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82B24D9" w14:textId="7760C930" w:rsidR="0098002A" w:rsidRPr="00283458" w:rsidRDefault="00283458">
      <w:pPr>
        <w:jc w:val="center"/>
        <w:rPr>
          <w:color w:val="333333"/>
          <w:sz w:val="44"/>
          <w:szCs w:val="44"/>
          <w:shd w:val="clear" w:color="auto" w:fill="FFFFFF"/>
        </w:rPr>
      </w:pPr>
      <w:r w:rsidRPr="00283458">
        <w:rPr>
          <w:color w:val="333333"/>
          <w:sz w:val="44"/>
          <w:szCs w:val="44"/>
          <w:shd w:val="clear" w:color="auto" w:fill="FFFFFF"/>
        </w:rPr>
        <w:t>Community Engagement</w:t>
      </w:r>
    </w:p>
    <w:p w14:paraId="57131C7D" w14:textId="77777777" w:rsidR="00283458" w:rsidRPr="00283458" w:rsidRDefault="00283458">
      <w:pPr>
        <w:jc w:val="center"/>
        <w:rPr>
          <w:color w:val="333333"/>
          <w:sz w:val="40"/>
          <w:szCs w:val="40"/>
          <w:shd w:val="clear" w:color="auto" w:fill="FFFFFF"/>
        </w:rPr>
      </w:pPr>
    </w:p>
    <w:p w14:paraId="1480F27E" w14:textId="1338D08A" w:rsidR="00283458" w:rsidRDefault="00283458">
      <w:pPr>
        <w:jc w:val="center"/>
        <w:rPr>
          <w:color w:val="333333"/>
          <w:sz w:val="36"/>
          <w:szCs w:val="36"/>
          <w:shd w:val="clear" w:color="auto" w:fill="FFFFFF"/>
        </w:rPr>
      </w:pPr>
      <w:r>
        <w:rPr>
          <w:color w:val="333333"/>
          <w:sz w:val="36"/>
          <w:szCs w:val="36"/>
          <w:shd w:val="clear" w:color="auto" w:fill="FFFFFF"/>
        </w:rPr>
        <w:t xml:space="preserve">Module code: </w:t>
      </w:r>
      <w:r w:rsidRPr="00283458">
        <w:rPr>
          <w:b/>
          <w:bCs/>
          <w:color w:val="333333"/>
          <w:sz w:val="36"/>
          <w:szCs w:val="36"/>
          <w:shd w:val="clear" w:color="auto" w:fill="FFFFFF"/>
        </w:rPr>
        <w:t>LCBB4002</w:t>
      </w:r>
    </w:p>
    <w:p w14:paraId="05A4EB8B" w14:textId="77777777" w:rsidR="00283458" w:rsidRDefault="00283458">
      <w:pPr>
        <w:jc w:val="center"/>
        <w:rPr>
          <w:color w:val="333333"/>
          <w:sz w:val="36"/>
          <w:szCs w:val="36"/>
          <w:shd w:val="clear" w:color="auto" w:fill="FFFFFF"/>
        </w:rPr>
      </w:pPr>
    </w:p>
    <w:p w14:paraId="518F6EB3" w14:textId="66BCE317" w:rsidR="00283458" w:rsidRPr="00283458" w:rsidRDefault="00283458">
      <w:pPr>
        <w:jc w:val="center"/>
        <w:rPr>
          <w:color w:val="333333"/>
          <w:sz w:val="36"/>
          <w:szCs w:val="36"/>
          <w:shd w:val="clear" w:color="auto" w:fill="FFFFFF"/>
        </w:rPr>
      </w:pPr>
      <w:r>
        <w:rPr>
          <w:color w:val="333333"/>
          <w:sz w:val="36"/>
          <w:szCs w:val="36"/>
          <w:shd w:val="clear" w:color="auto" w:fill="FFFFFF"/>
        </w:rPr>
        <w:t xml:space="preserve">STUDENT ID: Valentin-Adrian </w:t>
      </w:r>
      <w:proofErr w:type="spellStart"/>
      <w:r>
        <w:rPr>
          <w:color w:val="333333"/>
          <w:sz w:val="36"/>
          <w:szCs w:val="36"/>
          <w:shd w:val="clear" w:color="auto" w:fill="FFFFFF"/>
        </w:rPr>
        <w:t>Marcu</w:t>
      </w:r>
      <w:proofErr w:type="spellEnd"/>
      <w:r>
        <w:rPr>
          <w:color w:val="333333"/>
          <w:sz w:val="36"/>
          <w:szCs w:val="36"/>
          <w:shd w:val="clear" w:color="auto" w:fill="FFFFFF"/>
        </w:rPr>
        <w:t xml:space="preserve"> - </w:t>
      </w:r>
      <w:r w:rsidRPr="00283458">
        <w:rPr>
          <w:b/>
          <w:bCs/>
          <w:color w:val="333333"/>
          <w:sz w:val="36"/>
          <w:szCs w:val="36"/>
          <w:shd w:val="clear" w:color="auto" w:fill="FFFFFF"/>
        </w:rPr>
        <w:t>2112587</w:t>
      </w:r>
    </w:p>
    <w:p w14:paraId="01FCB040" w14:textId="56023ABA" w:rsidR="00283458" w:rsidRDefault="00283458">
      <w:pPr>
        <w:jc w:val="center"/>
        <w:rPr>
          <w:color w:val="333333"/>
          <w:sz w:val="72"/>
          <w:szCs w:val="72"/>
          <w:shd w:val="clear" w:color="auto" w:fill="FFFFFF"/>
        </w:rPr>
      </w:pPr>
    </w:p>
    <w:p w14:paraId="2E93C33F" w14:textId="75B611EA" w:rsidR="00283458" w:rsidRDefault="00283458">
      <w:pPr>
        <w:jc w:val="center"/>
        <w:rPr>
          <w:color w:val="333333"/>
          <w:sz w:val="72"/>
          <w:szCs w:val="72"/>
          <w:shd w:val="clear" w:color="auto" w:fill="FFFFFF"/>
        </w:rPr>
      </w:pPr>
    </w:p>
    <w:p w14:paraId="64DA2987" w14:textId="2078130F" w:rsidR="00283458" w:rsidRDefault="00283458">
      <w:pPr>
        <w:jc w:val="center"/>
        <w:rPr>
          <w:color w:val="333333"/>
          <w:sz w:val="72"/>
          <w:szCs w:val="72"/>
          <w:shd w:val="clear" w:color="auto" w:fill="FFFFFF"/>
        </w:rPr>
      </w:pPr>
    </w:p>
    <w:p w14:paraId="397FF952" w14:textId="7D8C9494" w:rsidR="00283458" w:rsidRDefault="00283458">
      <w:pPr>
        <w:jc w:val="center"/>
        <w:rPr>
          <w:color w:val="333333"/>
          <w:sz w:val="72"/>
          <w:szCs w:val="72"/>
          <w:shd w:val="clear" w:color="auto" w:fill="FFFFFF"/>
        </w:rPr>
      </w:pPr>
    </w:p>
    <w:p w14:paraId="152CF126" w14:textId="782BEA2F" w:rsidR="00283458" w:rsidRDefault="00283458">
      <w:pPr>
        <w:jc w:val="center"/>
        <w:rPr>
          <w:color w:val="333333"/>
          <w:sz w:val="72"/>
          <w:szCs w:val="72"/>
          <w:shd w:val="clear" w:color="auto" w:fill="FFFFFF"/>
        </w:rPr>
      </w:pPr>
    </w:p>
    <w:p w14:paraId="47C413CC" w14:textId="77777777" w:rsidR="00283458" w:rsidRDefault="00283458">
      <w:pPr>
        <w:jc w:val="center"/>
        <w:rPr>
          <w:color w:val="333333"/>
          <w:sz w:val="72"/>
          <w:szCs w:val="72"/>
          <w:shd w:val="clear" w:color="auto" w:fill="FFFFFF"/>
        </w:rPr>
      </w:pPr>
    </w:p>
    <w:p w14:paraId="7A3159CB" w14:textId="77777777" w:rsidR="0098002A" w:rsidRDefault="0098002A">
      <w:pPr>
        <w:pStyle w:val="Heading1"/>
        <w:jc w:val="center"/>
        <w:rPr>
          <w:sz w:val="72"/>
          <w:szCs w:val="72"/>
        </w:rPr>
      </w:pPr>
    </w:p>
    <w:p w14:paraId="524EAD17" w14:textId="77777777" w:rsidR="0098002A" w:rsidRDefault="0098002A">
      <w:pPr>
        <w:pStyle w:val="Heading1"/>
        <w:jc w:val="center"/>
        <w:rPr>
          <w:sz w:val="72"/>
          <w:szCs w:val="72"/>
        </w:rPr>
      </w:pPr>
    </w:p>
    <w:p w14:paraId="2F533E5F" w14:textId="77777777" w:rsidR="0098002A" w:rsidRDefault="00642DAF">
      <w:pPr>
        <w:pStyle w:val="Heading1"/>
        <w:jc w:val="center"/>
      </w:pPr>
      <w:bookmarkStart w:id="0" w:name="__RefHeading__171746_1387759465"/>
      <w:bookmarkEnd w:id="0"/>
      <w:r>
        <w:rPr>
          <w:color w:val="333333"/>
          <w:sz w:val="72"/>
          <w:szCs w:val="72"/>
          <w:shd w:val="clear" w:color="auto" w:fill="FFFFFF"/>
        </w:rPr>
        <w:t>Assessment 2 Community Engagement</w:t>
      </w:r>
    </w:p>
    <w:p w14:paraId="278C9562" w14:textId="77777777" w:rsidR="0098002A" w:rsidRDefault="0098002A">
      <w:pPr>
        <w:pStyle w:val="BodyText"/>
        <w:jc w:val="center"/>
      </w:pPr>
    </w:p>
    <w:p w14:paraId="574BA665" w14:textId="77777777" w:rsidR="0098002A" w:rsidRDefault="0098002A">
      <w:pPr>
        <w:pStyle w:val="BodyText"/>
        <w:jc w:val="center"/>
        <w:rPr>
          <w:b/>
          <w:bCs/>
          <w:sz w:val="72"/>
          <w:szCs w:val="72"/>
          <w:u w:val="single"/>
        </w:rPr>
      </w:pPr>
    </w:p>
    <w:p w14:paraId="0C3B49B6" w14:textId="77777777" w:rsidR="0098002A" w:rsidRDefault="0098002A">
      <w:pPr>
        <w:pStyle w:val="BodyText"/>
        <w:jc w:val="center"/>
        <w:rPr>
          <w:b/>
          <w:bCs/>
          <w:sz w:val="72"/>
          <w:szCs w:val="72"/>
          <w:u w:val="single"/>
        </w:rPr>
      </w:pPr>
    </w:p>
    <w:p w14:paraId="59877680" w14:textId="77777777" w:rsidR="0098002A" w:rsidRDefault="0098002A">
      <w:pPr>
        <w:pStyle w:val="BodyText"/>
        <w:jc w:val="center"/>
        <w:rPr>
          <w:b/>
          <w:bCs/>
          <w:sz w:val="72"/>
          <w:szCs w:val="72"/>
          <w:u w:val="single"/>
        </w:rPr>
      </w:pPr>
    </w:p>
    <w:p w14:paraId="3CD9ECDC" w14:textId="77777777" w:rsidR="0098002A" w:rsidRDefault="0098002A">
      <w:pPr>
        <w:pStyle w:val="BodyText"/>
        <w:jc w:val="center"/>
        <w:rPr>
          <w:b/>
          <w:bCs/>
          <w:sz w:val="72"/>
          <w:szCs w:val="72"/>
          <w:u w:val="single"/>
        </w:rPr>
      </w:pPr>
    </w:p>
    <w:p w14:paraId="0F607E07" w14:textId="77777777" w:rsidR="0098002A" w:rsidRDefault="0098002A">
      <w:pPr>
        <w:pStyle w:val="BodyText"/>
        <w:jc w:val="center"/>
        <w:rPr>
          <w:b/>
          <w:bCs/>
          <w:sz w:val="72"/>
          <w:szCs w:val="72"/>
          <w:u w:val="single"/>
        </w:rPr>
      </w:pPr>
    </w:p>
    <w:p w14:paraId="03CF9EAD" w14:textId="77777777" w:rsidR="0098002A" w:rsidRDefault="0098002A">
      <w:pPr>
        <w:sectPr w:rsidR="0098002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14:paraId="4F06F4F0" w14:textId="77777777" w:rsidR="0098002A" w:rsidRDefault="00642DAF">
      <w:pPr>
        <w:pStyle w:val="ContentsHeading"/>
        <w:jc w:val="center"/>
      </w:pPr>
      <w:r>
        <w:rPr>
          <w:rFonts w:ascii="Times New Roman" w:hAnsi="Times New Roman" w:cs="Times New Roman"/>
          <w:u w:val="single"/>
        </w:rPr>
        <w:lastRenderedPageBreak/>
        <w:t>Table of Contents</w:t>
      </w:r>
    </w:p>
    <w:p w14:paraId="58EF8DD4" w14:textId="77777777" w:rsidR="0098002A" w:rsidRDefault="00642DAF">
      <w:pPr>
        <w:pStyle w:val="TOC1"/>
        <w:tabs>
          <w:tab w:val="right" w:leader="dot" w:pos="9360"/>
        </w:tabs>
      </w:pPr>
      <w:r>
        <w:fldChar w:fldCharType="begin"/>
      </w:r>
      <w:r>
        <w:instrText xml:space="preserve"> TOC \f \o "1-9" \o "1-9" </w:instrText>
      </w:r>
      <w:r>
        <w:fldChar w:fldCharType="separate"/>
      </w:r>
      <w:r>
        <w:t>Assessment 2 Community Engagement</w:t>
      </w:r>
      <w:r>
        <w:tab/>
      </w:r>
      <w:hyperlink w:anchor="__RefHeading__171746_1387759465" w:history="1">
        <w:r>
          <w:rPr>
            <w:rStyle w:val="IndexLink"/>
          </w:rPr>
          <w:t>1</w:t>
        </w:r>
      </w:hyperlink>
    </w:p>
    <w:p w14:paraId="7920D468" w14:textId="77777777" w:rsidR="0098002A" w:rsidRDefault="00642DAF">
      <w:pPr>
        <w:pStyle w:val="TOC1"/>
        <w:tabs>
          <w:tab w:val="right" w:leader="dot" w:pos="9360"/>
        </w:tabs>
      </w:pPr>
      <w:r>
        <w:t>INTRODUCTION</w:t>
      </w:r>
      <w:r>
        <w:tab/>
      </w:r>
      <w:hyperlink w:anchor="__RefHeading__171748_1387759465" w:history="1">
        <w:r>
          <w:rPr>
            <w:rStyle w:val="IndexLink"/>
          </w:rPr>
          <w:t>3</w:t>
        </w:r>
      </w:hyperlink>
    </w:p>
    <w:p w14:paraId="7B81842D" w14:textId="77777777" w:rsidR="0098002A" w:rsidRDefault="00642DAF">
      <w:pPr>
        <w:pStyle w:val="TOC1"/>
        <w:tabs>
          <w:tab w:val="right" w:leader="dot" w:pos="9360"/>
        </w:tabs>
      </w:pPr>
      <w:r>
        <w:t>MAIN BODY</w:t>
      </w:r>
      <w:r>
        <w:tab/>
      </w:r>
      <w:hyperlink w:anchor="__RefHeading__171750_1387759465" w:history="1">
        <w:r>
          <w:rPr>
            <w:rStyle w:val="IndexLink"/>
          </w:rPr>
          <w:t>3</w:t>
        </w:r>
      </w:hyperlink>
    </w:p>
    <w:p w14:paraId="32B8AFDB" w14:textId="77777777" w:rsidR="0098002A" w:rsidRDefault="00642DAF">
      <w:pPr>
        <w:pStyle w:val="TOC2"/>
        <w:tabs>
          <w:tab w:val="right" w:leader="dot" w:pos="9360"/>
        </w:tabs>
      </w:pPr>
      <w:r>
        <w:t xml:space="preserve">Difference between both projects by comparing, analysing and evaluating the best practices on their community engagement approaches </w:t>
      </w:r>
      <w:r>
        <w:tab/>
      </w:r>
      <w:hyperlink w:anchor="__RefHeading__171752_1387759465" w:history="1">
        <w:r>
          <w:rPr>
            <w:rStyle w:val="IndexLink"/>
          </w:rPr>
          <w:t>3</w:t>
        </w:r>
      </w:hyperlink>
    </w:p>
    <w:p w14:paraId="723F219F" w14:textId="77777777" w:rsidR="0098002A" w:rsidRDefault="00642DAF">
      <w:pPr>
        <w:pStyle w:val="TOC1"/>
        <w:tabs>
          <w:tab w:val="right" w:leader="dot" w:pos="9360"/>
        </w:tabs>
      </w:pPr>
      <w:r>
        <w:t>CONCLUSION</w:t>
      </w:r>
      <w:r>
        <w:tab/>
      </w:r>
      <w:hyperlink w:anchor="__RefHeading__171754_1387759465" w:history="1">
        <w:r>
          <w:rPr>
            <w:rStyle w:val="IndexLink"/>
          </w:rPr>
          <w:t>7</w:t>
        </w:r>
      </w:hyperlink>
    </w:p>
    <w:p w14:paraId="7AF9D262" w14:textId="77777777" w:rsidR="0098002A" w:rsidRDefault="00642DAF">
      <w:pPr>
        <w:pStyle w:val="TOC1"/>
        <w:tabs>
          <w:tab w:val="right" w:leader="dot" w:pos="9360"/>
        </w:tabs>
      </w:pPr>
      <w:r>
        <w:t>REFERENCES</w:t>
      </w:r>
      <w:r>
        <w:tab/>
      </w:r>
      <w:hyperlink w:anchor="__RefHeading__171756_1387759465" w:history="1">
        <w:r>
          <w:rPr>
            <w:rStyle w:val="IndexLink"/>
          </w:rPr>
          <w:t>1</w:t>
        </w:r>
      </w:hyperlink>
    </w:p>
    <w:p w14:paraId="5D090318" w14:textId="77777777" w:rsidR="0098002A" w:rsidRDefault="00642DAF">
      <w:pPr>
        <w:pStyle w:val="ContentsHeading"/>
        <w:tabs>
          <w:tab w:val="right" w:leader="dot" w:pos="9360"/>
        </w:tabs>
      </w:pPr>
      <w:r>
        <w:fldChar w:fldCharType="end"/>
      </w:r>
    </w:p>
    <w:p w14:paraId="3DC8958C" w14:textId="77777777" w:rsidR="0098002A" w:rsidRDefault="00642DAF">
      <w:pPr>
        <w:pStyle w:val="Heading1"/>
        <w:pageBreakBefore/>
      </w:pPr>
      <w:bookmarkStart w:id="1" w:name="__RefHeading__171748_1387759465"/>
      <w:bookmarkStart w:id="2" w:name="__RefHeading__308_457569252"/>
      <w:bookmarkEnd w:id="1"/>
      <w:bookmarkEnd w:id="2"/>
      <w:r>
        <w:lastRenderedPageBreak/>
        <w:t>INTRODUCTION</w:t>
      </w:r>
    </w:p>
    <w:p w14:paraId="531DEFEE" w14:textId="77777777" w:rsidR="0098002A" w:rsidRDefault="00642DAF">
      <w:r>
        <w:tab/>
        <w:t>This reflection report includes that Community Engagement Programme is helping in knowing the aspects as to how effectively and in appropriate manner the disabled are being empowered within the community. The difference between both the projects will be done among which one is Scope's Community Engagement Programme and the other is coordinating the community engagement programme at large scale and in effective and efficient manner (</w:t>
      </w:r>
      <w:r>
        <w:rPr>
          <w:color w:val="222222"/>
          <w:szCs w:val="24"/>
        </w:rPr>
        <w:t xml:space="preserve">Ryan, Johnston and et.al., 2020). </w:t>
      </w:r>
      <w:r>
        <w:t xml:space="preserve">There are also some key and major points reflected which were best practices of the community engagement practices by discussing what can be done differently and why in an effective and efficient manner. Further, the differences between the active consultation, effective communication, stakeholders participation </w:t>
      </w:r>
      <w:proofErr w:type="gramStart"/>
      <w:r>
        <w:t>and  inclusion</w:t>
      </w:r>
      <w:proofErr w:type="gramEnd"/>
      <w:r>
        <w:t xml:space="preserve"> can make community engagement will be drawn upon in effective and significant manner. Moreover, community mapping will be conducted which will help in addressing the aspects of growth and development at large scale and in appropriate manner. </w:t>
      </w:r>
    </w:p>
    <w:p w14:paraId="3E8A4FA8" w14:textId="77777777" w:rsidR="0098002A" w:rsidRDefault="00642DAF">
      <w:r>
        <w:tab/>
        <w:t>Social engagement through social media platforms will also be explained which will create value for understanding the positiveness and effectiveness the community is creating at large scale. Community engagement process helps in defining the collaboration with the groups, special interests and the issues which are to be solved within living in the community at large scale. This is how the issues and problems within the community engagement will be addressed within this reflection which will be framed at large scale and is keeping the aspects and perspectives of contribution within the community at higher scale in an effective and efficient manner possible by improving the health of disabled children.</w:t>
      </w:r>
    </w:p>
    <w:p w14:paraId="5B1EC3D6" w14:textId="77777777" w:rsidR="0098002A" w:rsidRDefault="0098002A">
      <w:pPr>
        <w:pStyle w:val="Heading1"/>
      </w:pPr>
    </w:p>
    <w:p w14:paraId="464BC07C" w14:textId="77777777" w:rsidR="0098002A" w:rsidRDefault="00642DAF">
      <w:pPr>
        <w:pStyle w:val="Heading1"/>
      </w:pPr>
      <w:bookmarkStart w:id="3" w:name="__RefHeading__171750_1387759465"/>
      <w:bookmarkStart w:id="4" w:name="__RefHeading__312_457569252"/>
      <w:bookmarkStart w:id="5" w:name="__RefHeading__310_457569252"/>
      <w:bookmarkEnd w:id="3"/>
      <w:bookmarkEnd w:id="4"/>
      <w:bookmarkEnd w:id="5"/>
      <w:r>
        <w:t>MAIN BODY</w:t>
      </w:r>
    </w:p>
    <w:p w14:paraId="6324236C" w14:textId="77777777" w:rsidR="0098002A" w:rsidRDefault="00642DAF">
      <w:pPr>
        <w:pStyle w:val="Heading2"/>
      </w:pPr>
      <w:bookmarkStart w:id="6" w:name="__RefHeading__171752_1387759465"/>
      <w:bookmarkEnd w:id="6"/>
      <w:r>
        <w:t xml:space="preserve">Difference between both projects by comparing, </w:t>
      </w:r>
      <w:proofErr w:type="gramStart"/>
      <w:r>
        <w:t>analysing</w:t>
      </w:r>
      <w:proofErr w:type="gramEnd"/>
      <w:r>
        <w:t xml:space="preserve"> and evaluating the best practices on their community engagement approaches </w:t>
      </w:r>
    </w:p>
    <w:p w14:paraId="7C6FBFEC" w14:textId="77777777" w:rsidR="0098002A" w:rsidRDefault="00642DAF">
      <w:r>
        <w:t>I have learned that both the projects are different and have displayed their own effective values while demonstrating the community engagement programme. There is difference between both the projects which have been undertaken and are demonstrating the aspects as to how effectively and in efficient manner the Scope’s Community Engagement Programme is able to address the aspects of community people being disabled and how the healthcare facilities are to be provided to them (</w:t>
      </w:r>
      <w:r>
        <w:rPr>
          <w:color w:val="222222"/>
          <w:szCs w:val="24"/>
        </w:rPr>
        <w:t>Lin and et.al., 2020).</w:t>
      </w:r>
      <w:r>
        <w:t xml:space="preserve"> The project which was Scope Community Engagement Programme </w:t>
      </w:r>
      <w:r>
        <w:lastRenderedPageBreak/>
        <w:t xml:space="preserve">helped in addressing that how the local people are empowered to action and create change in the local communities. This programme is for disabled people aged between 12 and 65, parents, unpaid carers, families of disabled children. </w:t>
      </w:r>
    </w:p>
    <w:p w14:paraId="6622AAD5" w14:textId="77777777" w:rsidR="0098002A" w:rsidRDefault="00642DAF">
      <w:r>
        <w:tab/>
        <w:t xml:space="preserve">The other project which has been undertaken is the community engagement programme which is coordinating with the Scope’s Community Engagement </w:t>
      </w:r>
      <w:proofErr w:type="gramStart"/>
      <w:r>
        <w:t>Programme</w:t>
      </w:r>
      <w:proofErr w:type="gramEnd"/>
      <w:r>
        <w:t xml:space="preserve"> and this is analysed and evaluated at the stance of how effectively the community people are engaged in developing and improving the scales of delivering the best results in the healthcare sector by taking care of the disabled (</w:t>
      </w:r>
      <w:proofErr w:type="spellStart"/>
      <w:r>
        <w:rPr>
          <w:color w:val="222222"/>
          <w:szCs w:val="24"/>
        </w:rPr>
        <w:t>Zanini</w:t>
      </w:r>
      <w:proofErr w:type="spellEnd"/>
      <w:r>
        <w:rPr>
          <w:color w:val="222222"/>
          <w:szCs w:val="24"/>
        </w:rPr>
        <w:t xml:space="preserve"> and et.al., 2019). </w:t>
      </w:r>
      <w:r>
        <w:t>I have also learned through the project that certain practices such as showing members how they can contribute towards the community, parenting with the valued group of community leaders, remembering the values and connection which are maintained by the peers, online conversations being the best practice and scaling the intimacy helped in enabling the best practices which have been analysed within the community engagement programme which has been undertaken.</w:t>
      </w:r>
    </w:p>
    <w:p w14:paraId="5B008F02" w14:textId="77777777" w:rsidR="0098002A" w:rsidRDefault="00642DAF">
      <w:r>
        <w:tab/>
        <w:t>I have analysed and learned that the Scope’s Community Engagement Programme has helped in analysing the basis of how the community programme is coordinated at large scale.  The best practices for my project which has been undertaken is – Creating well defined roles and responsibilities which are designed as per the community programmes which are designed for the community at large scale (</w:t>
      </w:r>
      <w:r>
        <w:rPr>
          <w:color w:val="222222"/>
          <w:szCs w:val="24"/>
        </w:rPr>
        <w:t xml:space="preserve">Cameron and </w:t>
      </w:r>
      <w:proofErr w:type="spellStart"/>
      <w:r>
        <w:rPr>
          <w:color w:val="222222"/>
          <w:szCs w:val="24"/>
        </w:rPr>
        <w:t>FitzPatrick</w:t>
      </w:r>
      <w:proofErr w:type="spellEnd"/>
      <w:r>
        <w:rPr>
          <w:color w:val="222222"/>
          <w:szCs w:val="24"/>
        </w:rPr>
        <w:t>, 2021).</w:t>
      </w:r>
      <w:r>
        <w:t xml:space="preserve"> Planning is to be done in appropriate manner which helps in creating value as to how the community programmes helps in keeping engaging the people within the community. </w:t>
      </w:r>
    </w:p>
    <w:p w14:paraId="3F7B3391" w14:textId="77777777" w:rsidR="0098002A" w:rsidRDefault="00642DAF">
      <w:r>
        <w:tab/>
        <w:t xml:space="preserve">As per my understanding there are aspects as to how the community engagement programme is being demonstrated and is taken into consideration could have been done differently so that there could have been the aspects of growth and development within the people facing the issues while living in the community. The issues such </w:t>
      </w:r>
      <w:proofErr w:type="spellStart"/>
      <w:r>
        <w:t>bas</w:t>
      </w:r>
      <w:proofErr w:type="spellEnd"/>
      <w:r>
        <w:t xml:space="preserve"> discrimination, lack of recreational facilities, social disruption etc could have been solved in a better and more appropriate manner. The programme could have been framed in different manner which could have helped in addressing the fact that I will be further able to coordinate with the Scope's Community Engagement Programme. There could have been framing of new practices and techniques which could have been used and analysed with the help of how the aspects of improvement within community are being addressed at large scale. There should be other specific practices such as social media usage should have been maximum so that the Scope's Community Engagement </w:t>
      </w:r>
      <w:r>
        <w:lastRenderedPageBreak/>
        <w:t>Programme could empower the local people who are disabled and the children suffering from the disability.</w:t>
      </w:r>
    </w:p>
    <w:p w14:paraId="74761478" w14:textId="77777777" w:rsidR="0098002A" w:rsidRDefault="00642DAF">
      <w:r>
        <w:tab/>
        <w:t xml:space="preserve">In my opinion, I have learned that active consultation, effective communication, stakeholders participation and inclusion can make in community engagement the best way in manner which helps </w:t>
      </w:r>
      <w:proofErr w:type="gramStart"/>
      <w:r>
        <w:t>in  contributing</w:t>
      </w:r>
      <w:proofErr w:type="gramEnd"/>
      <w:r>
        <w:t xml:space="preserve"> to the problems and solving the issues at large scale. I have observed that there are certain differences which have been observed and are addressing the aspects of creating valuable points through the active consultation, effective communication, </w:t>
      </w:r>
      <w:proofErr w:type="gramStart"/>
      <w:r>
        <w:t>stakeholders</w:t>
      </w:r>
      <w:proofErr w:type="gramEnd"/>
      <w:r>
        <w:t xml:space="preserve"> participation and inclusion at large scale (</w:t>
      </w:r>
      <w:r>
        <w:rPr>
          <w:color w:val="222222"/>
          <w:szCs w:val="24"/>
        </w:rPr>
        <w:t xml:space="preserve">Martinez, </w:t>
      </w:r>
      <w:proofErr w:type="spellStart"/>
      <w:r>
        <w:rPr>
          <w:color w:val="222222"/>
          <w:szCs w:val="24"/>
        </w:rPr>
        <w:t>Rapkin</w:t>
      </w:r>
      <w:proofErr w:type="spellEnd"/>
      <w:r>
        <w:rPr>
          <w:color w:val="222222"/>
          <w:szCs w:val="24"/>
        </w:rPr>
        <w:t xml:space="preserve"> and et.al., 2020). </w:t>
      </w:r>
      <w:r>
        <w:t xml:space="preserve">With the help of active consultation, I was able to analyse that Scope's Community Engagement Programme helps in addressing that people within the community specially children within the community need advice as to how they can take care of themselves and their health and this programme provides the same </w:t>
      </w:r>
      <w:proofErr w:type="gramStart"/>
      <w:r>
        <w:t>by  providing</w:t>
      </w:r>
      <w:proofErr w:type="gramEnd"/>
      <w:r>
        <w:t xml:space="preserve"> the vocals to those who need help and are facing certain types of issues. This programme helps in empowering the local people so that they actively participate in the community programmes which are being coordinated by me. Through this, I will be able to create value for living a positive life with no problem at large scale. Effective communication also helps in enabling and solving the issues which the people of community were facing at large scale. These issues help in addressing that how effectively and in appropriate manner through effective communication community </w:t>
      </w:r>
      <w:proofErr w:type="gramStart"/>
      <w:r>
        <w:t>is able to</w:t>
      </w:r>
      <w:proofErr w:type="gramEnd"/>
      <w:r>
        <w:t xml:space="preserve"> address the aspects that effective communication helps in solving the issues. I have also observed that the community healthcare professionals, patients enable effective communication which helps them to take concern of their health issues (</w:t>
      </w:r>
      <w:r>
        <w:rPr>
          <w:color w:val="222222"/>
          <w:szCs w:val="24"/>
        </w:rPr>
        <w:t xml:space="preserve">Corbin and et.al., 2021). </w:t>
      </w:r>
      <w:r>
        <w:t xml:space="preserve">The stakeholders have helped in analysing and contributing to the aspects of growth and </w:t>
      </w:r>
      <w:proofErr w:type="gramStart"/>
      <w:r>
        <w:t>development  within</w:t>
      </w:r>
      <w:proofErr w:type="gramEnd"/>
      <w:r>
        <w:t xml:space="preserve"> the community by actively participating and taking concern to empower they local people within the community to cope up with the issues that they are facing and framing Scope' Community Engagement Programme to address the positive effects of the community while living in it. Inclusion can make the community issues minor by actively taking part in the community development programme which has been designed at large scale.</w:t>
      </w:r>
    </w:p>
    <w:p w14:paraId="70FC34C7" w14:textId="77777777" w:rsidR="0098002A" w:rsidRDefault="00642DAF">
      <w:pPr>
        <w:rPr>
          <w:b/>
          <w:bCs/>
          <w:i/>
          <w:iCs/>
        </w:rPr>
      </w:pPr>
      <w:r>
        <w:tab/>
        <w:t xml:space="preserve">Through my analysis, the research has been conducted by keeping in point of view of the providence of healthcare facilities at large scale which helps in addressing that how effectively and in appropriate manner the community programme is being framed to be conducted to spread awareness among the local people and create healthcare benefits which helps in addressing the aspects of how the disabled children and their families can take care of themselves. Community </w:t>
      </w:r>
      <w:r>
        <w:lastRenderedPageBreak/>
        <w:t xml:space="preserve">Mapping is defined as involving the residents in </w:t>
      </w:r>
      <w:proofErr w:type="gramStart"/>
      <w:r>
        <w:t>identifying  assets</w:t>
      </w:r>
      <w:proofErr w:type="gramEnd"/>
      <w:r>
        <w:t xml:space="preserve"> of the neighbourhood, observing the opportunities, and creating the picture of how living in that area feels like. </w:t>
      </w:r>
    </w:p>
    <w:p w14:paraId="1681B9CC" w14:textId="77777777" w:rsidR="0098002A" w:rsidRDefault="00642DAF">
      <w:pPr>
        <w:rPr>
          <w:b/>
          <w:bCs/>
        </w:rPr>
      </w:pPr>
      <w:r>
        <w:rPr>
          <w:b/>
          <w:bCs/>
          <w:i/>
          <w:iCs/>
        </w:rPr>
        <w:tab/>
        <w:t xml:space="preserve">Community Mapping </w:t>
      </w:r>
      <w:r>
        <w:t>is done in four major steps which are -</w:t>
      </w:r>
    </w:p>
    <w:p w14:paraId="09C17232" w14:textId="77777777" w:rsidR="0098002A" w:rsidRDefault="00642DAF">
      <w:pPr>
        <w:rPr>
          <w:b/>
          <w:bCs/>
        </w:rPr>
      </w:pPr>
      <w:r>
        <w:rPr>
          <w:b/>
          <w:bCs/>
        </w:rPr>
        <w:t xml:space="preserve">Pre – Mapping – </w:t>
      </w:r>
      <w:r>
        <w:t>This is the steps which includes establishing the task force for guiding the process of how effectively and in appropriate manner the process is being followed for the tasks and activities which are to be conducted at large scale (</w:t>
      </w:r>
      <w:r>
        <w:rPr>
          <w:color w:val="222222"/>
          <w:szCs w:val="24"/>
        </w:rPr>
        <w:t xml:space="preserve">Reynolds and </w:t>
      </w:r>
      <w:proofErr w:type="spellStart"/>
      <w:r>
        <w:rPr>
          <w:color w:val="222222"/>
          <w:szCs w:val="24"/>
        </w:rPr>
        <w:t>Sariola</w:t>
      </w:r>
      <w:proofErr w:type="spellEnd"/>
      <w:r>
        <w:rPr>
          <w:color w:val="222222"/>
          <w:szCs w:val="24"/>
        </w:rPr>
        <w:t xml:space="preserve">, 2018). </w:t>
      </w:r>
      <w:r>
        <w:t>It also includes setting a vision, goals, communicating continuously and reflecting to the questions which helps in knowing that what are the viewpoints and perceptions of the community.</w:t>
      </w:r>
    </w:p>
    <w:p w14:paraId="5D46ACA6" w14:textId="77777777" w:rsidR="0098002A" w:rsidRDefault="00642DAF">
      <w:pPr>
        <w:rPr>
          <w:b/>
          <w:bCs/>
        </w:rPr>
      </w:pPr>
      <w:r>
        <w:rPr>
          <w:b/>
          <w:bCs/>
        </w:rPr>
        <w:t xml:space="preserve">Mapping – </w:t>
      </w:r>
      <w:r>
        <w:t>This is the stage which helps in identifying the resources for the issues and the problems to be solved within the community. Certain information is gathered which helps in knowing that what are the needs and requirements of the community programme which is helping the disabled people and children to take care of them. Development of the strategies within the mapping is also done by keeping in point of view of solving and gathering the important information for mapping. There are certain questions which is being addressed as to how the mapping is done in appropriate manner.</w:t>
      </w:r>
    </w:p>
    <w:p w14:paraId="7B5A36E4" w14:textId="77777777" w:rsidR="0098002A" w:rsidRDefault="00642DAF">
      <w:pPr>
        <w:rPr>
          <w:b/>
          <w:bCs/>
        </w:rPr>
      </w:pPr>
      <w:proofErr w:type="gramStart"/>
      <w:r>
        <w:rPr>
          <w:b/>
          <w:bCs/>
        </w:rPr>
        <w:t>Taking Action</w:t>
      </w:r>
      <w:proofErr w:type="gramEnd"/>
      <w:r>
        <w:rPr>
          <w:b/>
          <w:bCs/>
        </w:rPr>
        <w:t xml:space="preserve"> – </w:t>
      </w:r>
      <w:r>
        <w:t xml:space="preserve">Certain actions are taken when all the information has been collected. Action plan is framed which helps in addressing the key points as to how the programme is keeping intact with the community </w:t>
      </w:r>
      <w:proofErr w:type="spellStart"/>
      <w:r>
        <w:t>ans</w:t>
      </w:r>
      <w:proofErr w:type="spellEnd"/>
      <w:r>
        <w:t xml:space="preserve"> is empowering the local people to keep the healthcare factor primary and take concern of the aspects of growth and development within the community by solving the problems and issues which the community is facing (</w:t>
      </w:r>
      <w:proofErr w:type="spellStart"/>
      <w:r>
        <w:rPr>
          <w:color w:val="222222"/>
          <w:szCs w:val="24"/>
        </w:rPr>
        <w:t>Petersson</w:t>
      </w:r>
      <w:proofErr w:type="spellEnd"/>
      <w:r>
        <w:rPr>
          <w:color w:val="222222"/>
          <w:szCs w:val="24"/>
        </w:rPr>
        <w:t xml:space="preserve"> and et.al., 2020).</w:t>
      </w:r>
    </w:p>
    <w:p w14:paraId="4EF8B9D2" w14:textId="77777777" w:rsidR="0098002A" w:rsidRDefault="00642DAF">
      <w:r>
        <w:rPr>
          <w:b/>
          <w:bCs/>
        </w:rPr>
        <w:t xml:space="preserve">Maintaining, Sustaining and Evaluating Mapping Efforts – </w:t>
      </w:r>
      <w:r>
        <w:t>The progress is measured which helps in understanding the growth and development through the programme which is helping the disabled to understand the community is taking measures for solving the issues and solving the healthcare problems of the disabled through this community programme which has been undertaken. Sustaining of the effort has helped in analysing and evaluating the aspects of growth and development within the community.</w:t>
      </w:r>
    </w:p>
    <w:p w14:paraId="36FD83D5" w14:textId="77777777" w:rsidR="0098002A" w:rsidRDefault="00642DAF">
      <w:r>
        <w:tab/>
        <w:t>In my knowledge and experience, social media is very helpful in creating effectiveness within the programme as it will help in promoting and evaluating the different measures as to which Scope's Community Engagement Programme is promoted on the social media channels and platforms at large scale (</w:t>
      </w:r>
      <w:r>
        <w:rPr>
          <w:color w:val="222222"/>
          <w:szCs w:val="24"/>
        </w:rPr>
        <w:t>Jackson and Bryson, 2018).</w:t>
      </w:r>
      <w:r>
        <w:t xml:space="preserve"> The social media platforms such as Facebook, Twitter, Instagram will help in creating value of the programme at large scale and will help in </w:t>
      </w:r>
      <w:r>
        <w:lastRenderedPageBreak/>
        <w:t xml:space="preserve">delivering the aspects through the social media standards and promotions of the programme to spread the awareness and empowering the disabled people and children of age 12 to 65. Justification of the best practices are addressed at large scale and this is how the Scope's Community Engagement Programme and my community programme are contributing to the best </w:t>
      </w:r>
      <w:proofErr w:type="gramStart"/>
      <w:r>
        <w:t>analysis  for</w:t>
      </w:r>
      <w:proofErr w:type="gramEnd"/>
      <w:r>
        <w:t xml:space="preserve"> the growth and development at large scale. I have observed that it is very important to have </w:t>
      </w:r>
      <w:proofErr w:type="gramStart"/>
      <w:r>
        <w:t>the  community</w:t>
      </w:r>
      <w:proofErr w:type="gramEnd"/>
      <w:r>
        <w:t xml:space="preserve"> participation which is among the best practice to be undertaken by the community at large scale (</w:t>
      </w:r>
      <w:proofErr w:type="spellStart"/>
      <w:r>
        <w:rPr>
          <w:color w:val="222222"/>
          <w:szCs w:val="24"/>
        </w:rPr>
        <w:t>Torrieri</w:t>
      </w:r>
      <w:proofErr w:type="spellEnd"/>
      <w:r>
        <w:rPr>
          <w:color w:val="222222"/>
          <w:szCs w:val="24"/>
        </w:rPr>
        <w:t xml:space="preserve">, </w:t>
      </w:r>
      <w:proofErr w:type="spellStart"/>
      <w:r>
        <w:rPr>
          <w:color w:val="222222"/>
          <w:szCs w:val="24"/>
        </w:rPr>
        <w:t>Oppio</w:t>
      </w:r>
      <w:proofErr w:type="spellEnd"/>
      <w:r>
        <w:rPr>
          <w:color w:val="222222"/>
          <w:szCs w:val="24"/>
        </w:rPr>
        <w:t xml:space="preserve"> and </w:t>
      </w:r>
      <w:proofErr w:type="spellStart"/>
      <w:r>
        <w:rPr>
          <w:color w:val="222222"/>
          <w:szCs w:val="24"/>
        </w:rPr>
        <w:t>Rossitti</w:t>
      </w:r>
      <w:proofErr w:type="spellEnd"/>
      <w:r>
        <w:rPr>
          <w:color w:val="222222"/>
          <w:szCs w:val="24"/>
        </w:rPr>
        <w:t>, 2020).</w:t>
      </w:r>
      <w:r>
        <w:t xml:space="preserve"> The contribution of the peers and the other people help in addressing the effects as to how the changes are being taken into consideration for online communicating with the peers and the other professionals helps in addressing to the fact that it </w:t>
      </w:r>
      <w:proofErr w:type="gramStart"/>
      <w:r>
        <w:t>take</w:t>
      </w:r>
      <w:proofErr w:type="gramEnd"/>
      <w:r>
        <w:t xml:space="preserve"> the aspects of creating valuable impact on the community.</w:t>
      </w:r>
    </w:p>
    <w:p w14:paraId="36B7545A" w14:textId="77777777" w:rsidR="0098002A" w:rsidRDefault="0098002A"/>
    <w:p w14:paraId="322BCF99" w14:textId="77777777" w:rsidR="0098002A" w:rsidRDefault="00642DAF">
      <w:pPr>
        <w:pStyle w:val="Heading1"/>
      </w:pPr>
      <w:bookmarkStart w:id="7" w:name="__RefHeading__171754_1387759465"/>
      <w:bookmarkEnd w:id="7"/>
      <w:r>
        <w:t>CONCLUSION</w:t>
      </w:r>
    </w:p>
    <w:p w14:paraId="55C7DE52" w14:textId="77777777" w:rsidR="0098002A" w:rsidRDefault="00642DAF">
      <w:r>
        <w:tab/>
        <w:t xml:space="preserve">Thus, </w:t>
      </w:r>
      <w:proofErr w:type="spellStart"/>
      <w:r>
        <w:t>its</w:t>
      </w:r>
      <w:proofErr w:type="spellEnd"/>
      <w:r>
        <w:t xml:space="preserve"> is concluded from the above reflection report that Community Engagement Programme has helped in knowing the aspects as to how effectively and in appropriate manner the disabled are being empowered within the community. The difference between both the projects was done among which one was Scope's Community Engagement Programme and the other was coordinating the community engagement programme at large scale and in effective and efficient manner. There were also some key and major points reflected which were best practices of the community engagement practices by discussing what could have been done differently and why in an effective and efficient manner. Further, </w:t>
      </w:r>
      <w:proofErr w:type="gramStart"/>
      <w:r>
        <w:t>the  differences</w:t>
      </w:r>
      <w:proofErr w:type="gramEnd"/>
      <w:r>
        <w:t xml:space="preserve"> between the active consultation, effective communication, stakeholders participation and  inclusion can make community engagement were drawn upon in effective and significant manner. Moreover, community mapping was conducted which helped in addressing the aspects of growth and development at large scale and in appropriate manner. </w:t>
      </w:r>
    </w:p>
    <w:p w14:paraId="6FA8E367" w14:textId="77777777" w:rsidR="0098002A" w:rsidRDefault="00642DAF">
      <w:r>
        <w:tab/>
        <w:t xml:space="preserve">Social engagement through social media platforms was also explained which created value for understanding the positiveness and effectiveness the community has </w:t>
      </w:r>
      <w:proofErr w:type="spellStart"/>
      <w:r>
        <w:t>crated</w:t>
      </w:r>
      <w:proofErr w:type="spellEnd"/>
      <w:r>
        <w:t xml:space="preserve"> at large scale. Community engagement process helps in defining the collaboration with the groups, special interests and the issues which are to be solved within living in the community at large scale. This is how the issues and problems within the community engagement were addressed within this reflection which has been framed at large scale and is keeping the aspects and perspectives of </w:t>
      </w:r>
      <w:r>
        <w:lastRenderedPageBreak/>
        <w:t>contribution within the community at higher scale in an effective and efficient manner possible by improving the health of disabled children.</w:t>
      </w:r>
    </w:p>
    <w:p w14:paraId="3D28CAAC" w14:textId="77777777" w:rsidR="0098002A" w:rsidRDefault="0098002A">
      <w:pPr>
        <w:pStyle w:val="BodyText"/>
      </w:pPr>
    </w:p>
    <w:p w14:paraId="60F403D2" w14:textId="77777777" w:rsidR="0098002A" w:rsidRDefault="0098002A">
      <w:pPr>
        <w:pStyle w:val="BodyText"/>
      </w:pPr>
      <w:bookmarkStart w:id="8" w:name="__RefHeading__2411_559310541"/>
    </w:p>
    <w:p w14:paraId="0C43793E" w14:textId="77777777" w:rsidR="0098002A" w:rsidRDefault="0098002A">
      <w:pPr>
        <w:sectPr w:rsidR="0098002A">
          <w:pgSz w:w="12240" w:h="15840"/>
          <w:pgMar w:top="1440" w:right="1440" w:bottom="1440" w:left="1440" w:header="708" w:footer="708" w:gutter="0"/>
          <w:cols w:space="708"/>
          <w:docGrid w:linePitch="600" w:charSpace="32768"/>
        </w:sectPr>
      </w:pPr>
    </w:p>
    <w:p w14:paraId="138EECDC" w14:textId="77777777" w:rsidR="0098002A" w:rsidRDefault="00642DAF">
      <w:pPr>
        <w:pStyle w:val="Heading1"/>
        <w:rPr>
          <w:u w:val="single"/>
        </w:rPr>
      </w:pPr>
      <w:bookmarkStart w:id="9" w:name="__RefHeading__171756_1387759465"/>
      <w:bookmarkStart w:id="10" w:name="__RefHeading__314_457569252"/>
      <w:bookmarkEnd w:id="9"/>
      <w:bookmarkEnd w:id="10"/>
      <w:r>
        <w:lastRenderedPageBreak/>
        <w:t>REFERENCES</w:t>
      </w:r>
    </w:p>
    <w:p w14:paraId="6D216346" w14:textId="77777777" w:rsidR="0098002A" w:rsidRDefault="00642DAF">
      <w:pPr>
        <w:pStyle w:val="BodyText"/>
        <w:rPr>
          <w:color w:val="222222"/>
          <w:szCs w:val="24"/>
        </w:rPr>
      </w:pPr>
      <w:r>
        <w:rPr>
          <w:u w:val="single"/>
        </w:rPr>
        <w:t>Books and journals</w:t>
      </w:r>
    </w:p>
    <w:p w14:paraId="34EA6CD7" w14:textId="77777777" w:rsidR="0098002A" w:rsidRDefault="00642DAF">
      <w:pPr>
        <w:pStyle w:val="BodyText"/>
        <w:ind w:left="878" w:hanging="865"/>
        <w:jc w:val="left"/>
        <w:rPr>
          <w:color w:val="222222"/>
          <w:szCs w:val="24"/>
        </w:rPr>
      </w:pPr>
      <w:r>
        <w:rPr>
          <w:color w:val="222222"/>
          <w:szCs w:val="24"/>
        </w:rPr>
        <w:t xml:space="preserve">Cameron, K. and </w:t>
      </w:r>
      <w:proofErr w:type="spellStart"/>
      <w:r>
        <w:rPr>
          <w:color w:val="222222"/>
          <w:szCs w:val="24"/>
        </w:rPr>
        <w:t>FitzPatrick</w:t>
      </w:r>
      <w:proofErr w:type="spellEnd"/>
      <w:r>
        <w:rPr>
          <w:color w:val="222222"/>
          <w:szCs w:val="24"/>
        </w:rPr>
        <w:t xml:space="preserve">, J., 2021. Designing Lived Space: Community Engagement Practices in Rooted AR. In </w:t>
      </w:r>
      <w:r>
        <w:rPr>
          <w:i/>
          <w:color w:val="222222"/>
          <w:szCs w:val="24"/>
        </w:rPr>
        <w:t xml:space="preserve">Augmented and Mixed Reality for Communities </w:t>
      </w:r>
      <w:r>
        <w:rPr>
          <w:color w:val="222222"/>
          <w:szCs w:val="24"/>
        </w:rPr>
        <w:t>(pp. 83-102). CRC Press.</w:t>
      </w:r>
    </w:p>
    <w:p w14:paraId="205E4A0D" w14:textId="77777777" w:rsidR="0098002A" w:rsidRDefault="00642DAF">
      <w:pPr>
        <w:pStyle w:val="BodyText"/>
        <w:ind w:left="878" w:hanging="865"/>
        <w:jc w:val="left"/>
        <w:rPr>
          <w:color w:val="222222"/>
          <w:szCs w:val="24"/>
        </w:rPr>
      </w:pPr>
      <w:r>
        <w:rPr>
          <w:color w:val="222222"/>
          <w:szCs w:val="24"/>
        </w:rPr>
        <w:t xml:space="preserve">Corbin, J.H. and et.al., 2021. A health promotion approach to emergency management: effective community engagement strategies from five cases. </w:t>
      </w:r>
      <w:r>
        <w:rPr>
          <w:i/>
          <w:color w:val="222222"/>
          <w:szCs w:val="24"/>
        </w:rPr>
        <w:t>Health promotion international</w:t>
      </w:r>
      <w:r>
        <w:rPr>
          <w:color w:val="222222"/>
          <w:szCs w:val="24"/>
        </w:rPr>
        <w:t xml:space="preserve">. 36(Supplement_1). </w:t>
      </w:r>
      <w:proofErr w:type="gramStart"/>
      <w:r>
        <w:rPr>
          <w:color w:val="222222"/>
          <w:szCs w:val="24"/>
        </w:rPr>
        <w:t>pp.i</w:t>
      </w:r>
      <w:proofErr w:type="gramEnd"/>
      <w:r>
        <w:rPr>
          <w:color w:val="222222"/>
          <w:szCs w:val="24"/>
        </w:rPr>
        <w:t>24-i38.</w:t>
      </w:r>
    </w:p>
    <w:p w14:paraId="5C4B954F" w14:textId="77777777" w:rsidR="0098002A" w:rsidRDefault="00642DAF">
      <w:pPr>
        <w:pStyle w:val="BodyText"/>
        <w:ind w:left="878" w:hanging="865"/>
        <w:jc w:val="left"/>
        <w:rPr>
          <w:color w:val="222222"/>
          <w:szCs w:val="24"/>
        </w:rPr>
      </w:pPr>
      <w:r>
        <w:rPr>
          <w:color w:val="222222"/>
          <w:szCs w:val="24"/>
        </w:rPr>
        <w:t xml:space="preserve">Jackson, T.O. and Bryson, B.S., 2018. Community mapping as a tool for developing culturally relevant pedagogy. </w:t>
      </w:r>
      <w:r>
        <w:rPr>
          <w:i/>
          <w:color w:val="222222"/>
          <w:szCs w:val="24"/>
        </w:rPr>
        <w:t>The New Educator</w:t>
      </w:r>
      <w:r>
        <w:rPr>
          <w:color w:val="222222"/>
          <w:szCs w:val="24"/>
        </w:rPr>
        <w:t>. 14(2). pp.109-128.</w:t>
      </w:r>
    </w:p>
    <w:p w14:paraId="5AABE791" w14:textId="77777777" w:rsidR="0098002A" w:rsidRDefault="00642DAF">
      <w:pPr>
        <w:pStyle w:val="BodyText"/>
        <w:ind w:left="878" w:hanging="865"/>
        <w:jc w:val="left"/>
        <w:rPr>
          <w:color w:val="222222"/>
          <w:szCs w:val="24"/>
        </w:rPr>
      </w:pPr>
      <w:r>
        <w:rPr>
          <w:color w:val="222222"/>
          <w:szCs w:val="24"/>
        </w:rPr>
        <w:t xml:space="preserve">Lin, C.Y. and et.al., 2020. Community engagement approaches for Indigenous health research: recommendations based on an integrative review. </w:t>
      </w:r>
      <w:r>
        <w:rPr>
          <w:i/>
          <w:color w:val="222222"/>
          <w:szCs w:val="24"/>
        </w:rPr>
        <w:t>BMJ open</w:t>
      </w:r>
      <w:r>
        <w:rPr>
          <w:color w:val="222222"/>
          <w:szCs w:val="24"/>
        </w:rPr>
        <w:t>. 10(11). p.e039736.</w:t>
      </w:r>
    </w:p>
    <w:p w14:paraId="0FDF86C9" w14:textId="77777777" w:rsidR="0098002A" w:rsidRDefault="00642DAF">
      <w:pPr>
        <w:pStyle w:val="BodyText"/>
        <w:ind w:left="878" w:hanging="865"/>
        <w:jc w:val="left"/>
        <w:rPr>
          <w:color w:val="222222"/>
          <w:szCs w:val="24"/>
        </w:rPr>
      </w:pPr>
      <w:r>
        <w:rPr>
          <w:color w:val="222222"/>
          <w:szCs w:val="24"/>
        </w:rPr>
        <w:t xml:space="preserve">Martinez, L.S., </w:t>
      </w:r>
      <w:proofErr w:type="spellStart"/>
      <w:r>
        <w:rPr>
          <w:color w:val="222222"/>
          <w:szCs w:val="24"/>
        </w:rPr>
        <w:t>Rapkin</w:t>
      </w:r>
      <w:proofErr w:type="spellEnd"/>
      <w:r>
        <w:rPr>
          <w:color w:val="222222"/>
          <w:szCs w:val="24"/>
        </w:rPr>
        <w:t xml:space="preserve">, B.D. and et.al., 2020. Community engagement to implement evidence-based practices in the </w:t>
      </w:r>
      <w:proofErr w:type="spellStart"/>
      <w:r>
        <w:rPr>
          <w:color w:val="222222"/>
          <w:szCs w:val="24"/>
        </w:rPr>
        <w:t>HEALing</w:t>
      </w:r>
      <w:proofErr w:type="spellEnd"/>
      <w:r>
        <w:rPr>
          <w:color w:val="222222"/>
          <w:szCs w:val="24"/>
        </w:rPr>
        <w:t xml:space="preserve"> Communities Study. </w:t>
      </w:r>
      <w:r>
        <w:rPr>
          <w:i/>
          <w:color w:val="222222"/>
          <w:szCs w:val="24"/>
        </w:rPr>
        <w:t>Drug and Alcohol Dependence</w:t>
      </w:r>
      <w:r>
        <w:rPr>
          <w:color w:val="222222"/>
          <w:szCs w:val="24"/>
        </w:rPr>
        <w:t>. 217</w:t>
      </w:r>
      <w:r>
        <w:rPr>
          <w:i/>
          <w:color w:val="222222"/>
          <w:szCs w:val="24"/>
        </w:rPr>
        <w:t>.</w:t>
      </w:r>
      <w:r>
        <w:rPr>
          <w:color w:val="222222"/>
          <w:szCs w:val="24"/>
        </w:rPr>
        <w:t xml:space="preserve"> p.108326.</w:t>
      </w:r>
    </w:p>
    <w:p w14:paraId="0D429015" w14:textId="77777777" w:rsidR="0098002A" w:rsidRDefault="00642DAF">
      <w:pPr>
        <w:pStyle w:val="BodyText"/>
        <w:ind w:left="878" w:hanging="865"/>
        <w:jc w:val="left"/>
        <w:rPr>
          <w:color w:val="222222"/>
          <w:szCs w:val="24"/>
        </w:rPr>
      </w:pPr>
      <w:proofErr w:type="spellStart"/>
      <w:r>
        <w:rPr>
          <w:color w:val="222222"/>
          <w:szCs w:val="24"/>
        </w:rPr>
        <w:t>Petersson</w:t>
      </w:r>
      <w:proofErr w:type="spellEnd"/>
      <w:r>
        <w:rPr>
          <w:color w:val="222222"/>
          <w:szCs w:val="24"/>
        </w:rPr>
        <w:t xml:space="preserve">, L. and et.al., 2020. Community mapping supports comprehensive urban flood </w:t>
      </w:r>
      <w:proofErr w:type="spellStart"/>
      <w:r>
        <w:rPr>
          <w:color w:val="222222"/>
          <w:szCs w:val="24"/>
        </w:rPr>
        <w:t>modeling</w:t>
      </w:r>
      <w:proofErr w:type="spellEnd"/>
      <w:r>
        <w:rPr>
          <w:color w:val="222222"/>
          <w:szCs w:val="24"/>
        </w:rPr>
        <w:t xml:space="preserve"> for flood risk management in a data-scarce environment. </w:t>
      </w:r>
      <w:r>
        <w:rPr>
          <w:i/>
          <w:color w:val="222222"/>
          <w:szCs w:val="24"/>
        </w:rPr>
        <w:t>Frontiers in earth science</w:t>
      </w:r>
      <w:r>
        <w:rPr>
          <w:color w:val="222222"/>
          <w:szCs w:val="24"/>
        </w:rPr>
        <w:t>. 8. p.304.</w:t>
      </w:r>
    </w:p>
    <w:p w14:paraId="4D9E3EE9" w14:textId="77777777" w:rsidR="0098002A" w:rsidRDefault="00642DAF">
      <w:pPr>
        <w:pStyle w:val="BodyText"/>
        <w:ind w:left="878" w:hanging="865"/>
        <w:jc w:val="left"/>
        <w:rPr>
          <w:color w:val="222222"/>
          <w:szCs w:val="24"/>
        </w:rPr>
      </w:pPr>
      <w:r>
        <w:rPr>
          <w:color w:val="222222"/>
          <w:szCs w:val="24"/>
        </w:rPr>
        <w:t xml:space="preserve">Reynolds, L. and </w:t>
      </w:r>
      <w:proofErr w:type="spellStart"/>
      <w:r>
        <w:rPr>
          <w:color w:val="222222"/>
          <w:szCs w:val="24"/>
        </w:rPr>
        <w:t>Sariola</w:t>
      </w:r>
      <w:proofErr w:type="spellEnd"/>
      <w:r>
        <w:rPr>
          <w:color w:val="222222"/>
          <w:szCs w:val="24"/>
        </w:rPr>
        <w:t xml:space="preserve">, S., 2018. The ethics and politics of community engagement in global health research. </w:t>
      </w:r>
      <w:r>
        <w:rPr>
          <w:i/>
          <w:color w:val="222222"/>
          <w:szCs w:val="24"/>
        </w:rPr>
        <w:t>Critical Public Health</w:t>
      </w:r>
      <w:r>
        <w:rPr>
          <w:color w:val="222222"/>
          <w:szCs w:val="24"/>
        </w:rPr>
        <w:t>. 28(3). pp.257-268.</w:t>
      </w:r>
    </w:p>
    <w:p w14:paraId="4AE03CD9" w14:textId="77777777" w:rsidR="0098002A" w:rsidRDefault="00642DAF">
      <w:pPr>
        <w:pStyle w:val="BodyText"/>
        <w:ind w:left="878" w:hanging="865"/>
        <w:jc w:val="left"/>
        <w:rPr>
          <w:color w:val="222222"/>
          <w:szCs w:val="24"/>
        </w:rPr>
      </w:pPr>
      <w:r>
        <w:rPr>
          <w:color w:val="222222"/>
          <w:szCs w:val="24"/>
        </w:rPr>
        <w:t>Ryan, B., Johnston, K.A. and et.al</w:t>
      </w:r>
      <w:proofErr w:type="gramStart"/>
      <w:r>
        <w:rPr>
          <w:color w:val="222222"/>
          <w:szCs w:val="24"/>
        </w:rPr>
        <w:t>.,  2020</w:t>
      </w:r>
      <w:proofErr w:type="gramEnd"/>
      <w:r>
        <w:rPr>
          <w:color w:val="222222"/>
          <w:szCs w:val="24"/>
        </w:rPr>
        <w:t xml:space="preserve">. Community engagement for disaster preparedness: A systematic literature review. </w:t>
      </w:r>
      <w:r>
        <w:rPr>
          <w:i/>
          <w:color w:val="222222"/>
          <w:szCs w:val="24"/>
        </w:rPr>
        <w:t>International journal of disaster risk reduction</w:t>
      </w:r>
      <w:r>
        <w:rPr>
          <w:color w:val="222222"/>
          <w:szCs w:val="24"/>
        </w:rPr>
        <w:t>. 49. p.101655.</w:t>
      </w:r>
    </w:p>
    <w:p w14:paraId="178B2042" w14:textId="77777777" w:rsidR="0098002A" w:rsidRDefault="00642DAF">
      <w:pPr>
        <w:pStyle w:val="BodyText"/>
        <w:ind w:left="878" w:hanging="865"/>
        <w:jc w:val="left"/>
        <w:rPr>
          <w:color w:val="222222"/>
          <w:szCs w:val="24"/>
        </w:rPr>
      </w:pPr>
      <w:proofErr w:type="spellStart"/>
      <w:r>
        <w:rPr>
          <w:color w:val="222222"/>
          <w:szCs w:val="24"/>
        </w:rPr>
        <w:t>Torrieri</w:t>
      </w:r>
      <w:proofErr w:type="spellEnd"/>
      <w:r>
        <w:rPr>
          <w:color w:val="222222"/>
          <w:szCs w:val="24"/>
        </w:rPr>
        <w:t xml:space="preserve">, F., </w:t>
      </w:r>
      <w:proofErr w:type="spellStart"/>
      <w:r>
        <w:rPr>
          <w:color w:val="222222"/>
          <w:szCs w:val="24"/>
        </w:rPr>
        <w:t>Oppio</w:t>
      </w:r>
      <w:proofErr w:type="spellEnd"/>
      <w:r>
        <w:rPr>
          <w:color w:val="222222"/>
          <w:szCs w:val="24"/>
        </w:rPr>
        <w:t xml:space="preserve">, A. and </w:t>
      </w:r>
      <w:proofErr w:type="spellStart"/>
      <w:r>
        <w:rPr>
          <w:color w:val="222222"/>
          <w:szCs w:val="24"/>
        </w:rPr>
        <w:t>Rossitti</w:t>
      </w:r>
      <w:proofErr w:type="spellEnd"/>
      <w:r>
        <w:rPr>
          <w:color w:val="222222"/>
          <w:szCs w:val="24"/>
        </w:rPr>
        <w:t xml:space="preserve">, M., 2020, May. Cultural heritage social value and community mapping. In </w:t>
      </w:r>
      <w:r>
        <w:rPr>
          <w:i/>
          <w:color w:val="222222"/>
          <w:szCs w:val="24"/>
        </w:rPr>
        <w:t xml:space="preserve">INTERNATIONAL SYMPOSIUM: New Metropolitan Perspectives </w:t>
      </w:r>
      <w:r>
        <w:rPr>
          <w:color w:val="222222"/>
          <w:szCs w:val="24"/>
        </w:rPr>
        <w:t>(pp. 1786-1795). Springer, Cham.</w:t>
      </w:r>
    </w:p>
    <w:p w14:paraId="4F614C22" w14:textId="77777777" w:rsidR="0098002A" w:rsidRDefault="00642DAF">
      <w:pPr>
        <w:pStyle w:val="BodyText"/>
        <w:ind w:left="878" w:hanging="865"/>
        <w:jc w:val="left"/>
        <w:rPr>
          <w:sz w:val="48"/>
          <w:szCs w:val="24"/>
        </w:rPr>
      </w:pPr>
      <w:proofErr w:type="spellStart"/>
      <w:r>
        <w:rPr>
          <w:color w:val="222222"/>
          <w:szCs w:val="24"/>
        </w:rPr>
        <w:t>Zanini</w:t>
      </w:r>
      <w:proofErr w:type="spellEnd"/>
      <w:r>
        <w:rPr>
          <w:color w:val="222222"/>
          <w:szCs w:val="24"/>
        </w:rPr>
        <w:t xml:space="preserve">, M.T. and et.al., 2019. Soccer and Twitter: virtual brand community engagement practices. </w:t>
      </w:r>
      <w:r>
        <w:rPr>
          <w:i/>
          <w:color w:val="222222"/>
          <w:szCs w:val="24"/>
        </w:rPr>
        <w:t>Marketing Intelligence &amp; Planning</w:t>
      </w:r>
      <w:r>
        <w:rPr>
          <w:color w:val="222222"/>
          <w:szCs w:val="24"/>
        </w:rPr>
        <w:t>.</w:t>
      </w:r>
    </w:p>
    <w:p w14:paraId="62B28B1E" w14:textId="77777777" w:rsidR="0098002A" w:rsidRDefault="0098002A">
      <w:pPr>
        <w:rPr>
          <w:sz w:val="48"/>
          <w:szCs w:val="24"/>
        </w:rPr>
      </w:pPr>
    </w:p>
    <w:p w14:paraId="768FE4C6" w14:textId="77777777" w:rsidR="0098002A" w:rsidRDefault="0098002A">
      <w:pPr>
        <w:rPr>
          <w:sz w:val="48"/>
          <w:szCs w:val="24"/>
        </w:rPr>
      </w:pPr>
    </w:p>
    <w:bookmarkEnd w:id="8"/>
    <w:p w14:paraId="094868D5" w14:textId="77777777" w:rsidR="0098002A" w:rsidRDefault="0098002A"/>
    <w:sectPr w:rsidR="0098002A">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E7926" w14:textId="77777777" w:rsidR="005D5B19" w:rsidRDefault="005D5B19">
      <w:pPr>
        <w:spacing w:line="240" w:lineRule="auto"/>
      </w:pPr>
      <w:r>
        <w:separator/>
      </w:r>
    </w:p>
  </w:endnote>
  <w:endnote w:type="continuationSeparator" w:id="0">
    <w:p w14:paraId="6E6F4902" w14:textId="77777777" w:rsidR="005D5B19" w:rsidRDefault="005D5B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MS Gothic"/>
    <w:panose1 w:val="020B0604020202020204"/>
    <w:charset w:val="00"/>
    <w:family w:val="auto"/>
    <w:pitch w:val="variable"/>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OpenSymbol">
    <w:altName w:val="Arial Unicode MS"/>
    <w:panose1 w:val="020B0604020202020204"/>
    <w:charset w:val="80"/>
    <w:family w:val="roman"/>
    <w:pitch w:val="variable"/>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845D4" w14:textId="77777777" w:rsidR="00642DAF" w:rsidRDefault="00642D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0A200" w14:textId="77777777" w:rsidR="00642DAF" w:rsidRDefault="00642D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2CE44" w14:textId="77777777" w:rsidR="00642DAF" w:rsidRDefault="00642DA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76B39" w14:textId="77777777" w:rsidR="0098002A" w:rsidRDefault="0098002A"/>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A7757" w14:textId="77777777" w:rsidR="0098002A" w:rsidRDefault="00642DAF">
    <w:pPr>
      <w:pStyle w:val="Footer"/>
      <w:jc w:val="center"/>
    </w:pPr>
    <w:r>
      <w:fldChar w:fldCharType="begin"/>
    </w:r>
    <w:r>
      <w:instrText xml:space="preserve"> PAGE </w:instrText>
    </w:r>
    <w:r>
      <w:fldChar w:fldCharType="separate"/>
    </w:r>
    <w:r>
      <w:t>2</w:t>
    </w:r>
    <w:r>
      <w:fldChar w:fldCharType="end"/>
    </w:r>
  </w:p>
  <w:p w14:paraId="25F0E8A6" w14:textId="77777777" w:rsidR="0098002A" w:rsidRDefault="0098002A">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1FCD4" w14:textId="77777777" w:rsidR="0098002A" w:rsidRDefault="0098002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B7E40" w14:textId="77777777" w:rsidR="005D5B19" w:rsidRDefault="005D5B19">
      <w:pPr>
        <w:spacing w:line="240" w:lineRule="auto"/>
      </w:pPr>
      <w:r>
        <w:separator/>
      </w:r>
    </w:p>
  </w:footnote>
  <w:footnote w:type="continuationSeparator" w:id="0">
    <w:p w14:paraId="4E93451F" w14:textId="77777777" w:rsidR="005D5B19" w:rsidRDefault="005D5B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65A3A" w14:textId="77777777" w:rsidR="00642DAF" w:rsidRDefault="00642D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EB8E3" w14:textId="77777777" w:rsidR="00642DAF" w:rsidRDefault="00642D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B406C" w14:textId="77777777" w:rsidR="00642DAF" w:rsidRDefault="00642DA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7B75E" w14:textId="77777777" w:rsidR="0098002A" w:rsidRDefault="0098002A"/>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0A0E3" w14:textId="77777777" w:rsidR="0098002A" w:rsidRDefault="0098002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953099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DAF"/>
    <w:rsid w:val="00283458"/>
    <w:rsid w:val="005D5B19"/>
    <w:rsid w:val="00642DAF"/>
    <w:rsid w:val="0098002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4B05CE32"/>
  <w15:chartTrackingRefBased/>
  <w15:docId w15:val="{45FA93A2-DD7D-CC44-8C49-D131D0364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DefaultParagraphFont1">
    <w:name w:val="Default Paragraph Font1"/>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customStyle="1" w:styleId="WW-DefaultParagraphFont">
    <w:name w:val="WW-Default Paragraph Font"/>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character" w:customStyle="1" w:styleId="object">
    <w:name w:val="object"/>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TOCHeading1">
    <w:name w:val="TOC Heading1"/>
    <w:basedOn w:val="Heading1"/>
    <w:next w:val="Normal"/>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1"/>
  </w:style>
  <w:style w:type="paragraph" w:customStyle="1" w:styleId="Framecontents">
    <w:name w:val="Frame contents"/>
    <w:basedOn w:val="BodyText"/>
  </w:style>
  <w:style w:type="paragraph" w:customStyle="1" w:styleId="ListParagraph1">
    <w:name w:val="List Paragraph1"/>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28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6.xml"/><Relationship Id="rId2" Type="http://schemas.openxmlformats.org/officeDocument/2006/relationships/styles" Target="styles.xml"/><Relationship Id="rId16"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2370</Words>
  <Characters>13509</Characters>
  <Application>Microsoft Office Word</Application>
  <DocSecurity>0</DocSecurity>
  <Lines>112</Lines>
  <Paragraphs>31</Paragraphs>
  <ScaleCrop>false</ScaleCrop>
  <Company/>
  <LinksUpToDate>false</LinksUpToDate>
  <CharactersWithSpaces>15848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Fabian-Andrei Dumitru (Student)</cp:lastModifiedBy>
  <cp:revision>3</cp:revision>
  <cp:lastPrinted>1900-01-01T00:00:00Z</cp:lastPrinted>
  <dcterms:created xsi:type="dcterms:W3CDTF">2022-05-05T17:40:00Z</dcterms:created>
  <dcterms:modified xsi:type="dcterms:W3CDTF">2022-05-05T17:50:00Z</dcterms:modified>
</cp:coreProperties>
</file>