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34451" w14:textId="72531C2D" w:rsidR="00D37101" w:rsidRPr="00A714A7" w:rsidRDefault="00ED46ED" w:rsidP="003801CB">
      <w:pPr>
        <w:ind w:left="720"/>
        <w:jc w:val="center"/>
        <w:rPr>
          <w:rFonts w:asciiTheme="minorBidi" w:hAnsiTheme="minorBidi"/>
          <w:b/>
          <w:bCs/>
          <w:sz w:val="44"/>
          <w:szCs w:val="44"/>
        </w:rPr>
      </w:pPr>
      <w:r w:rsidRPr="00A714A7">
        <w:rPr>
          <w:rFonts w:asciiTheme="minorBidi" w:hAnsiTheme="minorBidi"/>
          <w:b/>
          <w:bCs/>
          <w:sz w:val="44"/>
          <w:szCs w:val="44"/>
        </w:rPr>
        <w:t>University of Wales Trinity Saint David</w:t>
      </w:r>
      <w:r w:rsidR="003801CB" w:rsidRPr="00A714A7">
        <w:rPr>
          <w:rFonts w:asciiTheme="minorBidi" w:hAnsiTheme="minorBidi"/>
          <w:b/>
          <w:bCs/>
          <w:sz w:val="44"/>
          <w:szCs w:val="44"/>
        </w:rPr>
        <w:t xml:space="preserve"> </w:t>
      </w:r>
    </w:p>
    <w:p w14:paraId="6B827C09" w14:textId="72BF3CB0" w:rsidR="00ED46ED" w:rsidRPr="00A714A7" w:rsidRDefault="00ED46ED" w:rsidP="003801CB">
      <w:pPr>
        <w:ind w:firstLine="480"/>
        <w:jc w:val="center"/>
        <w:rPr>
          <w:rFonts w:asciiTheme="minorBidi" w:hAnsiTheme="minorBidi"/>
          <w:b/>
          <w:bCs/>
          <w:sz w:val="44"/>
          <w:szCs w:val="44"/>
        </w:rPr>
      </w:pPr>
      <w:r w:rsidRPr="00A714A7">
        <w:rPr>
          <w:rFonts w:asciiTheme="minorBidi" w:hAnsiTheme="minorBidi"/>
          <w:b/>
          <w:bCs/>
          <w:sz w:val="44"/>
          <w:szCs w:val="44"/>
        </w:rPr>
        <w:t>HPHI4013</w:t>
      </w:r>
    </w:p>
    <w:p w14:paraId="7FE84772" w14:textId="2D882C84" w:rsidR="00ED46ED" w:rsidRPr="00A714A7" w:rsidRDefault="00ED46ED" w:rsidP="003801CB">
      <w:pPr>
        <w:ind w:firstLine="480"/>
        <w:jc w:val="center"/>
        <w:rPr>
          <w:rFonts w:asciiTheme="minorBidi" w:hAnsiTheme="minorBidi"/>
          <w:b/>
          <w:bCs/>
          <w:sz w:val="44"/>
          <w:szCs w:val="44"/>
        </w:rPr>
      </w:pPr>
      <w:r w:rsidRPr="00A714A7">
        <w:rPr>
          <w:rFonts w:asciiTheme="minorBidi" w:hAnsiTheme="minorBidi"/>
          <w:b/>
          <w:bCs/>
          <w:sz w:val="44"/>
          <w:szCs w:val="44"/>
        </w:rPr>
        <w:t>THE MODERN WORLD</w:t>
      </w:r>
    </w:p>
    <w:p w14:paraId="1A0F1DB5" w14:textId="0B6B8799" w:rsidR="00A714A7" w:rsidRPr="00A714A7" w:rsidRDefault="00A714A7" w:rsidP="003801CB">
      <w:pPr>
        <w:ind w:firstLine="480"/>
        <w:jc w:val="center"/>
        <w:rPr>
          <w:rFonts w:asciiTheme="minorBidi" w:hAnsiTheme="minorBidi"/>
          <w:b/>
          <w:bCs/>
          <w:sz w:val="44"/>
          <w:szCs w:val="44"/>
        </w:rPr>
      </w:pPr>
      <w:r w:rsidRPr="00A714A7">
        <w:rPr>
          <w:rFonts w:asciiTheme="minorBidi" w:hAnsiTheme="minorBidi"/>
          <w:b/>
          <w:bCs/>
          <w:sz w:val="44"/>
          <w:szCs w:val="44"/>
        </w:rPr>
        <w:t>Module Handbook</w:t>
      </w:r>
    </w:p>
    <w:p w14:paraId="514F52BE" w14:textId="1BF3ABAB" w:rsidR="00A714A7" w:rsidRPr="00A714A7" w:rsidRDefault="00ED46ED" w:rsidP="00A714A7">
      <w:pPr>
        <w:ind w:firstLine="480"/>
        <w:jc w:val="center"/>
        <w:rPr>
          <w:rFonts w:ascii="Times New Roman" w:hAnsi="Times New Roman" w:cs="Times New Roman"/>
          <w:b/>
          <w:bCs/>
          <w:sz w:val="44"/>
          <w:szCs w:val="44"/>
        </w:rPr>
      </w:pPr>
      <w:r>
        <w:rPr>
          <w:noProof/>
        </w:rPr>
        <w:drawing>
          <wp:inline distT="0" distB="0" distL="0" distR="0" wp14:anchorId="4C18FA26" wp14:editId="5CA2938A">
            <wp:extent cx="5730716" cy="4371975"/>
            <wp:effectExtent l="0" t="0" r="3810" b="0"/>
            <wp:docPr id="2" name="Picture 1"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map of the worl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5333" cy="4383127"/>
                    </a:xfrm>
                    <a:prstGeom prst="rect">
                      <a:avLst/>
                    </a:prstGeom>
                    <a:noFill/>
                    <a:ln>
                      <a:noFill/>
                    </a:ln>
                  </pic:spPr>
                </pic:pic>
              </a:graphicData>
            </a:graphic>
          </wp:inline>
        </w:drawing>
      </w:r>
      <w:r w:rsidR="003801CB" w:rsidRPr="00A714A7">
        <w:rPr>
          <w:rFonts w:asciiTheme="minorBidi" w:hAnsiTheme="minorBidi"/>
          <w:b/>
          <w:bCs/>
          <w:sz w:val="44"/>
          <w:szCs w:val="44"/>
        </w:rPr>
        <w:t>2</w:t>
      </w:r>
      <w:r w:rsidRPr="00A714A7">
        <w:rPr>
          <w:rFonts w:asciiTheme="minorBidi" w:hAnsiTheme="minorBidi"/>
          <w:b/>
          <w:bCs/>
          <w:sz w:val="44"/>
          <w:szCs w:val="44"/>
        </w:rPr>
        <w:t>02</w:t>
      </w:r>
      <w:r w:rsidR="00A714A7" w:rsidRPr="00A714A7">
        <w:rPr>
          <w:rFonts w:asciiTheme="minorBidi" w:hAnsiTheme="minorBidi"/>
          <w:b/>
          <w:bCs/>
          <w:sz w:val="44"/>
          <w:szCs w:val="44"/>
        </w:rPr>
        <w:t>5</w:t>
      </w:r>
      <w:r w:rsidR="003801CB" w:rsidRPr="00A714A7">
        <w:rPr>
          <w:rFonts w:asciiTheme="minorBidi" w:hAnsiTheme="minorBidi"/>
          <w:b/>
          <w:bCs/>
          <w:sz w:val="44"/>
          <w:szCs w:val="44"/>
        </w:rPr>
        <w:t>-2</w:t>
      </w:r>
      <w:r w:rsidR="00A714A7" w:rsidRPr="00A714A7">
        <w:rPr>
          <w:rFonts w:asciiTheme="minorBidi" w:hAnsiTheme="minorBidi"/>
          <w:b/>
          <w:bCs/>
          <w:sz w:val="44"/>
          <w:szCs w:val="44"/>
        </w:rPr>
        <w:t>6</w:t>
      </w:r>
    </w:p>
    <w:p w14:paraId="0F25106C" w14:textId="6E0D8DF1" w:rsidR="00A714A7" w:rsidRPr="00A714A7" w:rsidRDefault="003801CB" w:rsidP="00A714A7">
      <w:pPr>
        <w:jc w:val="center"/>
        <w:rPr>
          <w:rFonts w:asciiTheme="minorBidi" w:hAnsiTheme="minorBidi"/>
          <w:b/>
          <w:bCs/>
          <w:sz w:val="44"/>
          <w:szCs w:val="44"/>
        </w:rPr>
      </w:pPr>
      <w:r w:rsidRPr="00A714A7">
        <w:rPr>
          <w:rFonts w:asciiTheme="minorBidi" w:hAnsiTheme="minorBidi"/>
          <w:b/>
          <w:bCs/>
          <w:sz w:val="44"/>
          <w:szCs w:val="44"/>
        </w:rPr>
        <w:t>Block</w:t>
      </w:r>
    </w:p>
    <w:p w14:paraId="78CB5760" w14:textId="190B5A0D" w:rsidR="00A714A7" w:rsidRPr="00A714A7" w:rsidRDefault="003801CB" w:rsidP="00A714A7">
      <w:pPr>
        <w:jc w:val="center"/>
        <w:rPr>
          <w:rFonts w:asciiTheme="minorBidi" w:hAnsiTheme="minorBidi"/>
          <w:b/>
          <w:bCs/>
          <w:sz w:val="44"/>
          <w:szCs w:val="44"/>
        </w:rPr>
      </w:pPr>
      <w:r w:rsidRPr="00A714A7">
        <w:rPr>
          <w:rFonts w:asciiTheme="minorBidi" w:hAnsiTheme="minorBidi"/>
          <w:b/>
          <w:bCs/>
          <w:sz w:val="44"/>
          <w:szCs w:val="44"/>
        </w:rPr>
        <w:t>Commencing</w:t>
      </w:r>
      <w:r w:rsidR="00A714A7" w:rsidRPr="00A714A7">
        <w:rPr>
          <w:rFonts w:asciiTheme="minorBidi" w:hAnsiTheme="minorBidi"/>
          <w:b/>
          <w:bCs/>
          <w:sz w:val="44"/>
          <w:szCs w:val="44"/>
        </w:rPr>
        <w:t>:</w:t>
      </w:r>
    </w:p>
    <w:p w14:paraId="0C0AC681" w14:textId="638A762B" w:rsidR="00ED46ED" w:rsidRPr="00A714A7" w:rsidRDefault="003801CB" w:rsidP="00A714A7">
      <w:pPr>
        <w:jc w:val="center"/>
        <w:rPr>
          <w:rFonts w:asciiTheme="minorBidi" w:hAnsiTheme="minorBidi"/>
          <w:b/>
          <w:bCs/>
          <w:sz w:val="44"/>
          <w:szCs w:val="44"/>
        </w:rPr>
      </w:pPr>
      <w:r w:rsidRPr="00A714A7">
        <w:rPr>
          <w:rFonts w:asciiTheme="minorBidi" w:hAnsiTheme="minorBidi"/>
          <w:b/>
          <w:bCs/>
          <w:sz w:val="44"/>
          <w:szCs w:val="44"/>
        </w:rPr>
        <w:t>Room</w:t>
      </w:r>
      <w:r w:rsidR="00A714A7" w:rsidRPr="00A714A7">
        <w:rPr>
          <w:rFonts w:asciiTheme="minorBidi" w:hAnsiTheme="minorBidi"/>
          <w:b/>
          <w:bCs/>
          <w:sz w:val="44"/>
          <w:szCs w:val="44"/>
        </w:rPr>
        <w:t>:</w:t>
      </w:r>
    </w:p>
    <w:p w14:paraId="7DF9FCD0" w14:textId="2295F3FB" w:rsidR="00ED46ED" w:rsidRPr="00A714A7" w:rsidRDefault="003801CB" w:rsidP="00A714A7">
      <w:pPr>
        <w:jc w:val="center"/>
        <w:rPr>
          <w:rFonts w:asciiTheme="minorBidi" w:hAnsiTheme="minorBidi"/>
          <w:b/>
          <w:bCs/>
          <w:sz w:val="44"/>
          <w:szCs w:val="44"/>
        </w:rPr>
      </w:pPr>
      <w:r w:rsidRPr="00A714A7">
        <w:rPr>
          <w:rFonts w:asciiTheme="minorBidi" w:hAnsiTheme="minorBidi"/>
          <w:b/>
          <w:bCs/>
          <w:sz w:val="44"/>
          <w:szCs w:val="44"/>
        </w:rPr>
        <w:t>Module Lead:</w:t>
      </w:r>
      <w:r w:rsidR="00A714A7" w:rsidRPr="00A714A7">
        <w:rPr>
          <w:rFonts w:asciiTheme="minorBidi" w:hAnsiTheme="minorBidi"/>
          <w:b/>
          <w:bCs/>
          <w:sz w:val="44"/>
          <w:szCs w:val="44"/>
        </w:rPr>
        <w:t xml:space="preserve"> Dr. Rhian</w:t>
      </w:r>
      <w:r w:rsidR="00121D04">
        <w:rPr>
          <w:rFonts w:asciiTheme="minorBidi" w:hAnsiTheme="minorBidi"/>
          <w:b/>
          <w:bCs/>
          <w:sz w:val="44"/>
          <w:szCs w:val="44"/>
        </w:rPr>
        <w:t xml:space="preserve"> Elinor</w:t>
      </w:r>
      <w:r w:rsidR="00A714A7" w:rsidRPr="00A714A7">
        <w:rPr>
          <w:rFonts w:asciiTheme="minorBidi" w:hAnsiTheme="minorBidi"/>
          <w:b/>
          <w:bCs/>
          <w:sz w:val="44"/>
          <w:szCs w:val="44"/>
        </w:rPr>
        <w:t xml:space="preserve"> Keyse (r.keyse@uwtsd.ac.uk)</w:t>
      </w:r>
    </w:p>
    <w:p w14:paraId="25B81F93" w14:textId="77777777" w:rsidR="00A714A7" w:rsidRDefault="00A714A7" w:rsidP="00A714A7">
      <w:pPr>
        <w:pStyle w:val="Heading2"/>
      </w:pPr>
      <w:r>
        <w:lastRenderedPageBreak/>
        <w:t>Introduction to the module</w:t>
      </w:r>
    </w:p>
    <w:p w14:paraId="0DC0D2C2" w14:textId="77777777" w:rsidR="00A714A7" w:rsidRDefault="00A714A7" w:rsidP="00A714A7">
      <w:pPr>
        <w:spacing w:line="276" w:lineRule="auto"/>
      </w:pPr>
      <w:r w:rsidRPr="003B6D43">
        <w:t xml:space="preserve">Welcome to </w:t>
      </w:r>
      <w:r>
        <w:t>HPHI4013 The Modern World.</w:t>
      </w:r>
    </w:p>
    <w:p w14:paraId="1F57AAA7" w14:textId="24B00369" w:rsidR="00A714A7" w:rsidRDefault="00A714A7" w:rsidP="00A714A7">
      <w:pPr>
        <w:spacing w:line="276" w:lineRule="auto"/>
      </w:pPr>
      <w:r>
        <w:t xml:space="preserve">The Moodle page for the module contains information about our classes. There you’ll find dates of classes, </w:t>
      </w:r>
      <w:r w:rsidRPr="003B6D43">
        <w:t>reading lists, and information about assessment. We’ll meet</w:t>
      </w:r>
      <w:r>
        <w:t xml:space="preserve"> over the course of </w:t>
      </w:r>
      <w:r w:rsidR="00A0291E">
        <w:t>Block 3, on Mondays, Thursdays and Fridays</w:t>
      </w:r>
      <w:r>
        <w:t>.</w:t>
      </w:r>
      <w:r w:rsidR="006E3D86">
        <w:t xml:space="preserve"> The Moodle page will be updated through the course of the module, so please do check back regularly.</w:t>
      </w:r>
    </w:p>
    <w:p w14:paraId="00AF60E8" w14:textId="77777777" w:rsidR="00A0291E" w:rsidRDefault="00A0291E" w:rsidP="00A0291E">
      <w:pPr>
        <w:spacing w:line="276" w:lineRule="auto"/>
      </w:pPr>
      <w:r>
        <w:t>Don’t be shy to ask questions if there’s something that doesn’t quite make sense, or if you want to know more. I might not always know the answer, but we can find out collaboratively! I actively encourage you to ask questions. Don’t be afraid to have a go at answering questions. I recognise that some of the subjects discussed during the module will be unfamiliar to some of you. Remember you’re encouraged to think and explore, and there are rarely right or wrong answers.</w:t>
      </w:r>
    </w:p>
    <w:p w14:paraId="179A6A38" w14:textId="77777777" w:rsidR="00A714A7" w:rsidRDefault="00A714A7" w:rsidP="00A714A7">
      <w:pPr>
        <w:pStyle w:val="Heading2"/>
      </w:pPr>
      <w:r>
        <w:t>Help and advice</w:t>
      </w:r>
    </w:p>
    <w:p w14:paraId="19E9963A" w14:textId="17DF3FE7" w:rsidR="00A714A7" w:rsidRDefault="00A714A7" w:rsidP="008418EB">
      <w:pPr>
        <w:spacing w:line="276" w:lineRule="auto"/>
      </w:pPr>
      <w:r>
        <w:t xml:space="preserve">If you have any queries about the module, please do not hesitate to ask for help. The best way to reach me is always by email: </w:t>
      </w:r>
      <w:hyperlink r:id="rId8" w:history="1">
        <w:r w:rsidRPr="00F93D87">
          <w:rPr>
            <w:rStyle w:val="Hyperlink"/>
          </w:rPr>
          <w:t>r.keyse@uwtsd.ac.uk</w:t>
        </w:r>
      </w:hyperlink>
      <w:r>
        <w:t>)</w:t>
      </w:r>
      <w:r w:rsidR="008418EB">
        <w:t xml:space="preserve">. </w:t>
      </w:r>
      <w:r w:rsidR="008418EB">
        <w:t xml:space="preserve">I’ll be very happy to discuss the material outside class, either by email or by setting up a meeting at a mutually convenient time. </w:t>
      </w:r>
    </w:p>
    <w:p w14:paraId="3134E52B" w14:textId="77777777" w:rsidR="00A714A7" w:rsidRDefault="00A714A7" w:rsidP="00A714A7">
      <w:pPr>
        <w:pStyle w:val="Heading2"/>
      </w:pPr>
      <w:r>
        <w:t>Aims</w:t>
      </w:r>
    </w:p>
    <w:p w14:paraId="19698092" w14:textId="24B49587" w:rsidR="00A714A7" w:rsidRDefault="00A714A7" w:rsidP="00A714A7">
      <w:r>
        <w:t>The module aims to demonstrate, through modern historical case studies, how theoretical ideas about history work in practice, and to illustrate some of the varieties of histories practiced within the discipline at large. We’ll be exploring how History as a subject constantly evolves in terms of understandings and interpretations.</w:t>
      </w:r>
    </w:p>
    <w:p w14:paraId="28F00A95" w14:textId="7A30DA28" w:rsidR="00A714A7" w:rsidRPr="00A714A7" w:rsidRDefault="00A714A7" w:rsidP="00A714A7">
      <w:r>
        <w:t>The classes aim to help students acquire the basic skills of historical criticism, to demonstrate the logical and structured presentation of historical arguments, to foster effective listening and note-taking skills, and to encourage a critical awareness of historical traces.</w:t>
      </w:r>
    </w:p>
    <w:p w14:paraId="05D1925C" w14:textId="3F2E3455" w:rsidR="00143A82" w:rsidRDefault="00A714A7" w:rsidP="00A714A7">
      <w:pPr>
        <w:pStyle w:val="Heading2"/>
      </w:pPr>
      <w:r>
        <w:t>Learning outcomes</w:t>
      </w:r>
    </w:p>
    <w:p w14:paraId="408E571B" w14:textId="7773EEF2" w:rsidR="00A714A7" w:rsidRDefault="00A714A7" w:rsidP="00A714A7">
      <w:r>
        <w:t>Upon successful completion of the module, the student should be able to:</w:t>
      </w:r>
    </w:p>
    <w:p w14:paraId="4007146B" w14:textId="18693CBD" w:rsidR="00A714A7" w:rsidRDefault="00A714A7" w:rsidP="00A714A7">
      <w:r>
        <w:t>Demonstrate they have developed basic skills of historical criticism, and in particular an understanding of how the theory and methodologies of the study of history may be applied in practice to modern historical topics.</w:t>
      </w:r>
    </w:p>
    <w:p w14:paraId="33C00CBC" w14:textId="7E027E90" w:rsidR="00A714A7" w:rsidRDefault="00A714A7" w:rsidP="00A714A7">
      <w:r>
        <w:t xml:space="preserve">Show they can use secondary material confidently and </w:t>
      </w:r>
      <w:proofErr w:type="gramStart"/>
      <w:r>
        <w:t>carefully, and</w:t>
      </w:r>
      <w:proofErr w:type="gramEnd"/>
      <w:r>
        <w:t xml:space="preserve"> present a clear analysis of key issues.</w:t>
      </w:r>
    </w:p>
    <w:p w14:paraId="56C5FBF5" w14:textId="77777777" w:rsidR="00AE1959" w:rsidRDefault="00AE1959" w:rsidP="00AE1959">
      <w:pPr>
        <w:pStyle w:val="Heading2"/>
      </w:pPr>
      <w:r>
        <w:t>Content note</w:t>
      </w:r>
    </w:p>
    <w:p w14:paraId="045FB834" w14:textId="5627DF20" w:rsidR="00AE1959" w:rsidRDefault="00AE1959" w:rsidP="00AE1959">
      <w:r>
        <w:t>Some of the classes in this module</w:t>
      </w:r>
      <w:r>
        <w:t xml:space="preserve"> will cover challenging material that could be potentially distressing. Topics covered will include</w:t>
      </w:r>
      <w:r w:rsidR="00510C5F">
        <w:t xml:space="preserve"> references to</w:t>
      </w:r>
      <w:r>
        <w:t xml:space="preserve"> violence (including </w:t>
      </w:r>
      <w:r w:rsidR="008C54EC">
        <w:t xml:space="preserve">warfare and colonial racist violence), racism, slavery, </w:t>
      </w:r>
      <w:r w:rsidR="00510C5F">
        <w:t xml:space="preserve">and misogyny. </w:t>
      </w:r>
      <w:r>
        <w:t xml:space="preserve">If there is anything that concerns you in the course outline, please do not hesitate to contact me. You will not need to discuss why you do not wish to engage with particular </w:t>
      </w:r>
      <w:proofErr w:type="gramStart"/>
      <w:r>
        <w:t>topics,</w:t>
      </w:r>
      <w:proofErr w:type="gramEnd"/>
      <w:r>
        <w:t xml:space="preserve"> we can simply discuss how you might meet the learning objectives of the module.</w:t>
      </w:r>
    </w:p>
    <w:p w14:paraId="672A6054" w14:textId="77777777" w:rsidR="00AE1959" w:rsidRDefault="00AE1959" w:rsidP="00AE1959">
      <w:r>
        <w:lastRenderedPageBreak/>
        <w:t xml:space="preserve">I am committed to ensuring that our work together this semester occurs in a safe space for discussing difficult topics. This isn’t about limiting critical </w:t>
      </w:r>
      <w:proofErr w:type="gramStart"/>
      <w:r>
        <w:t>engagement, but</w:t>
      </w:r>
      <w:proofErr w:type="gramEnd"/>
      <w:r>
        <w:t xml:space="preserve"> rather ensuring that everyone feels respected and safe. I ask that we all treat each other carefully.</w:t>
      </w:r>
    </w:p>
    <w:p w14:paraId="6CBD4E34" w14:textId="77777777" w:rsidR="006E3D86" w:rsidRDefault="006E3D86" w:rsidP="006E3D86">
      <w:pPr>
        <w:pStyle w:val="Heading2"/>
      </w:pPr>
      <w:r>
        <w:t>Class schedule</w:t>
      </w:r>
    </w:p>
    <w:p w14:paraId="356E09A4" w14:textId="529CA8A2" w:rsidR="006E3D86" w:rsidRDefault="006E3D86" w:rsidP="006E3D86">
      <w:r>
        <w:t xml:space="preserve">The class will take place on </w:t>
      </w:r>
      <w:r w:rsidR="00510C5F">
        <w:t xml:space="preserve">Mondays, Thursdays and Fridays in Block 3, between 2pm and 5pm. We will meet in </w:t>
      </w:r>
      <w:r w:rsidR="003368CF">
        <w:t xml:space="preserve">Teifi B (Halliwell). </w:t>
      </w:r>
    </w:p>
    <w:p w14:paraId="7E4F177F" w14:textId="6C28D631" w:rsidR="001C4FDE" w:rsidRDefault="001C4FDE" w:rsidP="001C4FDE">
      <w:pPr>
        <w:rPr>
          <w:b/>
          <w:bCs/>
        </w:rPr>
      </w:pPr>
      <w:r>
        <w:rPr>
          <w:b/>
          <w:bCs/>
        </w:rPr>
        <w:t xml:space="preserve">NB: This information is correct as </w:t>
      </w:r>
      <w:proofErr w:type="gramStart"/>
      <w:r>
        <w:rPr>
          <w:b/>
          <w:bCs/>
        </w:rPr>
        <w:t>at</w:t>
      </w:r>
      <w:proofErr w:type="gramEnd"/>
      <w:r>
        <w:rPr>
          <w:b/>
          <w:bCs/>
        </w:rPr>
        <w:t xml:space="preserve"> 2</w:t>
      </w:r>
      <w:r>
        <w:rPr>
          <w:b/>
          <w:bCs/>
        </w:rPr>
        <w:t xml:space="preserve">2 November </w:t>
      </w:r>
      <w:r>
        <w:rPr>
          <w:b/>
          <w:bCs/>
        </w:rPr>
        <w:t>2025. However, times and rooms may change. Always check your personal timetable on the Hwb, which will have the most up-to-date information.</w:t>
      </w:r>
    </w:p>
    <w:p w14:paraId="33D06507" w14:textId="1AD0A0AB" w:rsidR="00FB05A7" w:rsidRDefault="00FB05A7" w:rsidP="001C4FDE">
      <w:r>
        <w:t>The class schedule is as follows:</w:t>
      </w:r>
    </w:p>
    <w:p w14:paraId="1E0192BA" w14:textId="37C6A406" w:rsidR="00FB05A7" w:rsidRDefault="00FB05A7" w:rsidP="001C4FDE">
      <w:r>
        <w:t>Session 1: Introduction</w:t>
      </w:r>
    </w:p>
    <w:p w14:paraId="47CAD329" w14:textId="3F85CB79" w:rsidR="00FB05A7" w:rsidRDefault="00FB05A7" w:rsidP="001C4FDE">
      <w:r>
        <w:t>Session 2: The Enlightenment</w:t>
      </w:r>
    </w:p>
    <w:p w14:paraId="2A9715EA" w14:textId="1287406B" w:rsidR="00FB05A7" w:rsidRDefault="00FB05A7" w:rsidP="001C4FDE">
      <w:r>
        <w:t>Session 3: The French Revolution</w:t>
      </w:r>
    </w:p>
    <w:p w14:paraId="5D76A46D" w14:textId="079A883F" w:rsidR="00FB05A7" w:rsidRDefault="00FB05A7" w:rsidP="001C4FDE">
      <w:r>
        <w:t>Session 4: Transatlantic Slavery</w:t>
      </w:r>
    </w:p>
    <w:p w14:paraId="446B243D" w14:textId="113177B7" w:rsidR="00FB05A7" w:rsidRDefault="00FB05A7" w:rsidP="001C4FDE">
      <w:r>
        <w:t>Session 5: The Haitian Revolution</w:t>
      </w:r>
    </w:p>
    <w:p w14:paraId="324DB9C9" w14:textId="77777777" w:rsidR="003E6079" w:rsidRDefault="00FB05A7" w:rsidP="001C4FDE">
      <w:r>
        <w:t xml:space="preserve">Session 6: </w:t>
      </w:r>
      <w:r w:rsidR="003E6079">
        <w:t xml:space="preserve">Assignment Focus </w:t>
      </w:r>
    </w:p>
    <w:p w14:paraId="39444F5E" w14:textId="56F39E6F" w:rsidR="00FB05A7" w:rsidRDefault="003E6079" w:rsidP="001C4FDE">
      <w:r>
        <w:t xml:space="preserve">Session 7: </w:t>
      </w:r>
      <w:r w:rsidR="00FB05A7">
        <w:t>Imperialism and Colonialism</w:t>
      </w:r>
    </w:p>
    <w:p w14:paraId="674F4ED5" w14:textId="57777E6E" w:rsidR="00FB05A7" w:rsidRDefault="00FB05A7" w:rsidP="001C4FDE">
      <w:r>
        <w:t xml:space="preserve">Session </w:t>
      </w:r>
      <w:r w:rsidR="003E6079">
        <w:t>8</w:t>
      </w:r>
      <w:r>
        <w:t>: The Origins of the First World War</w:t>
      </w:r>
    </w:p>
    <w:p w14:paraId="14875619" w14:textId="07DAF05F" w:rsidR="00FB05A7" w:rsidRDefault="00FB05A7" w:rsidP="001C4FDE">
      <w:r>
        <w:t>Session 9: Women’s Suffrage in Britain</w:t>
      </w:r>
    </w:p>
    <w:p w14:paraId="50D406DC" w14:textId="2032C298" w:rsidR="00FB05A7" w:rsidRDefault="00FB05A7" w:rsidP="001C4FDE">
      <w:r>
        <w:t>Session 10: The Origins of the Second World War</w:t>
      </w:r>
    </w:p>
    <w:p w14:paraId="3E45F3C7" w14:textId="1E099AE0" w:rsidR="00FB05A7" w:rsidRDefault="00FB05A7" w:rsidP="001C4FDE">
      <w:r>
        <w:t>Session 11: Anticolonialism and Decolonisation</w:t>
      </w:r>
    </w:p>
    <w:p w14:paraId="6F7A8AE2" w14:textId="5928C93F" w:rsidR="00FB05A7" w:rsidRPr="00FB05A7" w:rsidRDefault="00FB05A7" w:rsidP="001C4FDE">
      <w:r>
        <w:t>Session 12: Conclusions and Assignment Workshop</w:t>
      </w:r>
    </w:p>
    <w:p w14:paraId="7868CE73" w14:textId="77777777" w:rsidR="006E3D86" w:rsidRDefault="006E3D86" w:rsidP="006E3D86">
      <w:r>
        <w:t>If for any reason you are unable to attend a class, please advise me by email, ideally well in advance. Absences without notice will be marked as unauthorised, and attendance records are submitted to the Faculty Office.</w:t>
      </w:r>
    </w:p>
    <w:p w14:paraId="799C3C3E" w14:textId="5924AE18" w:rsidR="006E3D86" w:rsidRDefault="006E3D86" w:rsidP="006E3D86">
      <w:r>
        <w:t>Please be aware that the contact hours only constitute a quarter of the time you are expected to be working on this module. This means reading around topics, preparing for class, and working on your assessments. The set reading for each class is listed on Moodle. Please bring notes on your reading to class, focusing on the questions raised by what you’ve read, and the arguments set forth in the work, as you will be expected to draw upon your reading in class exercises.</w:t>
      </w:r>
    </w:p>
    <w:p w14:paraId="01B39C30" w14:textId="77777777" w:rsidR="006E3D86" w:rsidRDefault="006E3D86" w:rsidP="006E3D86">
      <w:r>
        <w:t xml:space="preserve"> Many of the set readings are available online, as e-books and articles, while others will require consulting physical books in the library, so please do get into the habit of using the library regularly. I hope that you will find the set material stimulating. A fuller reading list is provided at the end of this handbook, to help you to research your assignments. The reading lists are long, to enable you to find adequate material, but you are not expected to read everything on the list. Conversely, they are not exhaustive </w:t>
      </w:r>
      <w:proofErr w:type="gramStart"/>
      <w:r>
        <w:t>lists</w:t>
      </w:r>
      <w:proofErr w:type="gramEnd"/>
      <w:r>
        <w:t xml:space="preserve"> and you are encouraged to research supplementary materials for your assignments.</w:t>
      </w:r>
    </w:p>
    <w:p w14:paraId="557A5A41" w14:textId="77777777" w:rsidR="006E3D86" w:rsidRDefault="006E3D86" w:rsidP="006E3D86">
      <w:pPr>
        <w:pStyle w:val="Heading2"/>
      </w:pPr>
      <w:proofErr w:type="spellStart"/>
      <w:r>
        <w:lastRenderedPageBreak/>
        <w:t>Asssessment</w:t>
      </w:r>
      <w:proofErr w:type="spellEnd"/>
      <w:r>
        <w:t xml:space="preserve"> for this module</w:t>
      </w:r>
    </w:p>
    <w:p w14:paraId="6BF32D24" w14:textId="31D5F733" w:rsidR="006E3D86" w:rsidRDefault="006E3D86" w:rsidP="006E3D86">
      <w:r>
        <w:t>All assessment is by written assignments submitted via Moodle, and grades will be returned on Moodle. When the marks are available, I will email you to inform you, and you will be able to read your feedback on Moodle. I aim to make the feedback constructive and helpful. It may comment on your understanding of the issues raised, the organisation of your work, or on how clearly you are expressing yourself, for example. Please do take the time to check your feedback, read the comments carefully, and reflect on them. If anything is unclear, please do ask. With that in mind, you are very welcome to make an appointment with me to discuss your feedback. I’m here to help and want to support you to do the best you can.</w:t>
      </w:r>
    </w:p>
    <w:p w14:paraId="6D6D815D" w14:textId="2F2E3169" w:rsidR="0017737B" w:rsidRDefault="0017737B" w:rsidP="0017737B">
      <w:pPr>
        <w:pStyle w:val="Heading3"/>
      </w:pPr>
      <w:r>
        <w:t>Assignment 1: Book or Article Review (2000 words, worth 50% of your module grade)</w:t>
      </w:r>
      <w:r w:rsidR="0013086F">
        <w:t xml:space="preserve"> – Due Sunday 4 January 2026, 23:59 PM</w:t>
      </w:r>
    </w:p>
    <w:p w14:paraId="73376A50" w14:textId="1335A0D8" w:rsidR="0017737B" w:rsidRDefault="0017737B" w:rsidP="0017737B">
      <w:pPr>
        <w:rPr>
          <w:rFonts w:ascii="Calibri" w:eastAsia="Calibri" w:hAnsi="Calibri" w:cs="Calibri"/>
        </w:rPr>
      </w:pPr>
      <w:r w:rsidRPr="7418567E">
        <w:rPr>
          <w:rFonts w:ascii="Calibri" w:eastAsia="Calibri" w:hAnsi="Calibri" w:cs="Calibri"/>
        </w:rPr>
        <w:t>Please choose a piece of scholarly literature – a book, journal article, or essay in an edited collection. You may select items from the module reading list or choose your own from independent research. You may choose the same topic as you are choosing for your essay.</w:t>
      </w:r>
    </w:p>
    <w:p w14:paraId="2FF68064" w14:textId="77777777" w:rsidR="0017737B" w:rsidRDefault="0017737B" w:rsidP="0017737B">
      <w:pPr>
        <w:spacing w:line="257" w:lineRule="auto"/>
      </w:pPr>
      <w:r w:rsidRPr="7418567E">
        <w:rPr>
          <w:rFonts w:ascii="Calibri" w:eastAsia="Calibri" w:hAnsi="Calibri" w:cs="Calibri"/>
        </w:rPr>
        <w:t>For the book/article review, please consider:</w:t>
      </w:r>
    </w:p>
    <w:p w14:paraId="1EA84396" w14:textId="77777777" w:rsidR="0017737B" w:rsidRDefault="0017737B" w:rsidP="0017737B">
      <w:pPr>
        <w:pStyle w:val="ListParagraph"/>
        <w:numPr>
          <w:ilvl w:val="0"/>
          <w:numId w:val="45"/>
        </w:numPr>
        <w:spacing w:after="0" w:line="276" w:lineRule="auto"/>
        <w:rPr>
          <w:rFonts w:ascii="Calibri" w:eastAsia="Calibri" w:hAnsi="Calibri" w:cs="Calibri"/>
        </w:rPr>
      </w:pPr>
      <w:r w:rsidRPr="7418567E">
        <w:rPr>
          <w:rFonts w:ascii="Calibri" w:eastAsia="Calibri" w:hAnsi="Calibri" w:cs="Calibri"/>
        </w:rPr>
        <w:t>The main argument of the text</w:t>
      </w:r>
    </w:p>
    <w:p w14:paraId="3835A15E" w14:textId="77777777" w:rsidR="0017737B" w:rsidRDefault="0017737B" w:rsidP="0017737B">
      <w:pPr>
        <w:pStyle w:val="ListParagraph"/>
        <w:numPr>
          <w:ilvl w:val="0"/>
          <w:numId w:val="45"/>
        </w:numPr>
        <w:spacing w:after="0" w:line="276" w:lineRule="auto"/>
        <w:rPr>
          <w:rFonts w:ascii="Calibri" w:eastAsia="Calibri" w:hAnsi="Calibri" w:cs="Calibri"/>
        </w:rPr>
      </w:pPr>
      <w:r w:rsidRPr="7418567E">
        <w:rPr>
          <w:rFonts w:ascii="Calibri" w:eastAsia="Calibri" w:hAnsi="Calibri" w:cs="Calibri"/>
        </w:rPr>
        <w:t>The strengths and weaknesses of the argument</w:t>
      </w:r>
    </w:p>
    <w:p w14:paraId="7C7C5EBF" w14:textId="77777777" w:rsidR="0017737B" w:rsidRDefault="0017737B" w:rsidP="0017737B">
      <w:pPr>
        <w:pStyle w:val="ListParagraph"/>
        <w:numPr>
          <w:ilvl w:val="0"/>
          <w:numId w:val="45"/>
        </w:numPr>
        <w:spacing w:after="0" w:line="276" w:lineRule="auto"/>
        <w:rPr>
          <w:rFonts w:ascii="Calibri" w:eastAsia="Calibri" w:hAnsi="Calibri" w:cs="Calibri"/>
        </w:rPr>
      </w:pPr>
      <w:r w:rsidRPr="7418567E">
        <w:rPr>
          <w:rFonts w:ascii="Calibri" w:eastAsia="Calibri" w:hAnsi="Calibri" w:cs="Calibri"/>
        </w:rPr>
        <w:t>How it relates to the other literature you have read</w:t>
      </w:r>
    </w:p>
    <w:p w14:paraId="4A4BD027" w14:textId="77777777" w:rsidR="0017737B" w:rsidRDefault="0017737B" w:rsidP="0017737B">
      <w:pPr>
        <w:pStyle w:val="ListParagraph"/>
        <w:numPr>
          <w:ilvl w:val="0"/>
          <w:numId w:val="45"/>
        </w:numPr>
        <w:spacing w:after="0" w:line="276" w:lineRule="auto"/>
        <w:rPr>
          <w:rFonts w:ascii="Calibri" w:eastAsia="Calibri" w:hAnsi="Calibri" w:cs="Calibri"/>
        </w:rPr>
      </w:pPr>
      <w:r w:rsidRPr="7418567E">
        <w:rPr>
          <w:rFonts w:ascii="Calibri" w:eastAsia="Calibri" w:hAnsi="Calibri" w:cs="Calibri"/>
        </w:rPr>
        <w:t>How it is useful for your understanding of your chosen case study.</w:t>
      </w:r>
    </w:p>
    <w:p w14:paraId="597D514B" w14:textId="77777777" w:rsidR="0017737B" w:rsidRDefault="0017737B" w:rsidP="0017737B">
      <w:pPr>
        <w:spacing w:line="257" w:lineRule="auto"/>
      </w:pPr>
      <w:r w:rsidRPr="7418567E">
        <w:rPr>
          <w:rFonts w:ascii="Calibri" w:eastAsia="Calibri" w:hAnsi="Calibri" w:cs="Calibri"/>
        </w:rPr>
        <w:t>You can choose texts from the reading list for your chosen topic or research your own. You are welcome to contact me to check that the items you have chosen are suitable secondary sources. Your work should include references and a bibliography, even if it only refers to one item. You should also use direct quotations from your chosen article or book to evidence your points.</w:t>
      </w:r>
    </w:p>
    <w:p w14:paraId="37A47E04" w14:textId="77777777" w:rsidR="0017737B" w:rsidRDefault="0017737B" w:rsidP="0017737B">
      <w:pPr>
        <w:spacing w:line="257" w:lineRule="auto"/>
      </w:pPr>
      <w:r w:rsidRPr="7418567E">
        <w:rPr>
          <w:rFonts w:ascii="Calibri" w:eastAsia="Calibri" w:hAnsi="Calibri" w:cs="Calibri"/>
          <w:b/>
          <w:bCs/>
        </w:rPr>
        <w:t>Questions your review might consider (you probably won’t have space for them all):</w:t>
      </w:r>
    </w:p>
    <w:p w14:paraId="3C833C24" w14:textId="77777777" w:rsidR="0017737B" w:rsidRDefault="0017737B" w:rsidP="0017737B">
      <w:pPr>
        <w:pStyle w:val="ListParagraph"/>
        <w:numPr>
          <w:ilvl w:val="0"/>
          <w:numId w:val="44"/>
        </w:numPr>
        <w:spacing w:after="0" w:line="276" w:lineRule="auto"/>
        <w:rPr>
          <w:rFonts w:ascii="Calibri" w:eastAsia="Calibri" w:hAnsi="Calibri" w:cs="Calibri"/>
        </w:rPr>
      </w:pPr>
      <w:r w:rsidRPr="7418567E">
        <w:rPr>
          <w:rFonts w:ascii="Calibri" w:eastAsia="Calibri" w:hAnsi="Calibri" w:cs="Calibri"/>
        </w:rPr>
        <w:t xml:space="preserve">Who is the author? When are they writing (in what social/historical context)? </w:t>
      </w:r>
    </w:p>
    <w:p w14:paraId="11A6FF02" w14:textId="77777777" w:rsidR="0017737B" w:rsidRDefault="0017737B" w:rsidP="0017737B">
      <w:pPr>
        <w:pStyle w:val="ListParagraph"/>
        <w:numPr>
          <w:ilvl w:val="0"/>
          <w:numId w:val="44"/>
        </w:numPr>
        <w:spacing w:after="0" w:line="276" w:lineRule="auto"/>
        <w:rPr>
          <w:rFonts w:ascii="Calibri" w:eastAsia="Calibri" w:hAnsi="Calibri" w:cs="Calibri"/>
        </w:rPr>
      </w:pPr>
      <w:r w:rsidRPr="7418567E">
        <w:rPr>
          <w:rFonts w:ascii="Calibri" w:eastAsia="Calibri" w:hAnsi="Calibri" w:cs="Calibri"/>
        </w:rPr>
        <w:t>What kind of work is it?</w:t>
      </w:r>
    </w:p>
    <w:p w14:paraId="4E919F9B" w14:textId="77777777" w:rsidR="0017737B" w:rsidRDefault="0017737B" w:rsidP="0017737B">
      <w:pPr>
        <w:pStyle w:val="ListParagraph"/>
        <w:numPr>
          <w:ilvl w:val="0"/>
          <w:numId w:val="44"/>
        </w:numPr>
        <w:spacing w:after="0" w:line="276" w:lineRule="auto"/>
        <w:rPr>
          <w:rFonts w:ascii="Calibri" w:eastAsia="Calibri" w:hAnsi="Calibri" w:cs="Calibri"/>
        </w:rPr>
      </w:pPr>
      <w:r w:rsidRPr="7418567E">
        <w:rPr>
          <w:rFonts w:ascii="Calibri" w:eastAsia="Calibri" w:hAnsi="Calibri" w:cs="Calibri"/>
        </w:rPr>
        <w:t>What is the text about? What are the author’s main arguments?</w:t>
      </w:r>
    </w:p>
    <w:p w14:paraId="43A4D9C5" w14:textId="77777777" w:rsidR="0017737B" w:rsidRDefault="0017737B" w:rsidP="0017737B">
      <w:pPr>
        <w:pStyle w:val="ListParagraph"/>
        <w:numPr>
          <w:ilvl w:val="0"/>
          <w:numId w:val="44"/>
        </w:numPr>
        <w:spacing w:after="0" w:line="276" w:lineRule="auto"/>
        <w:rPr>
          <w:rFonts w:ascii="Calibri" w:eastAsia="Calibri" w:hAnsi="Calibri" w:cs="Calibri"/>
        </w:rPr>
      </w:pPr>
      <w:r w:rsidRPr="7418567E">
        <w:rPr>
          <w:rFonts w:ascii="Calibri" w:eastAsia="Calibri" w:hAnsi="Calibri" w:cs="Calibri"/>
        </w:rPr>
        <w:t>Does the author have a particular theoretical perspective?</w:t>
      </w:r>
    </w:p>
    <w:p w14:paraId="264339F4" w14:textId="77777777" w:rsidR="0017737B" w:rsidRDefault="0017737B" w:rsidP="0017737B">
      <w:pPr>
        <w:pStyle w:val="ListParagraph"/>
        <w:numPr>
          <w:ilvl w:val="0"/>
          <w:numId w:val="44"/>
        </w:numPr>
        <w:spacing w:after="0" w:line="276" w:lineRule="auto"/>
        <w:rPr>
          <w:rFonts w:ascii="Calibri" w:eastAsia="Calibri" w:hAnsi="Calibri" w:cs="Calibri"/>
        </w:rPr>
      </w:pPr>
      <w:r w:rsidRPr="7418567E">
        <w:rPr>
          <w:rFonts w:ascii="Calibri" w:eastAsia="Calibri" w:hAnsi="Calibri" w:cs="Calibri"/>
        </w:rPr>
        <w:t>What sources is the text based upon?</w:t>
      </w:r>
    </w:p>
    <w:p w14:paraId="7C1301E1" w14:textId="77777777" w:rsidR="0017737B" w:rsidRDefault="0017737B" w:rsidP="0017737B">
      <w:pPr>
        <w:pStyle w:val="ListParagraph"/>
        <w:numPr>
          <w:ilvl w:val="0"/>
          <w:numId w:val="44"/>
        </w:numPr>
        <w:spacing w:after="0" w:line="276" w:lineRule="auto"/>
        <w:rPr>
          <w:rFonts w:ascii="Calibri" w:eastAsia="Calibri" w:hAnsi="Calibri" w:cs="Calibri"/>
        </w:rPr>
      </w:pPr>
      <w:r w:rsidRPr="7418567E">
        <w:rPr>
          <w:rFonts w:ascii="Calibri" w:eastAsia="Calibri" w:hAnsi="Calibri" w:cs="Calibri"/>
        </w:rPr>
        <w:t>What are the strengths and weaknesses of the argument and approach?</w:t>
      </w:r>
    </w:p>
    <w:p w14:paraId="003C1672" w14:textId="77777777" w:rsidR="0017737B" w:rsidRDefault="0017737B" w:rsidP="0017737B">
      <w:pPr>
        <w:pStyle w:val="ListParagraph"/>
        <w:numPr>
          <w:ilvl w:val="0"/>
          <w:numId w:val="44"/>
        </w:numPr>
        <w:spacing w:after="0" w:line="276" w:lineRule="auto"/>
        <w:rPr>
          <w:rFonts w:ascii="Calibri" w:eastAsia="Calibri" w:hAnsi="Calibri" w:cs="Calibri"/>
        </w:rPr>
      </w:pPr>
      <w:r w:rsidRPr="7418567E">
        <w:rPr>
          <w:rFonts w:ascii="Calibri" w:eastAsia="Calibri" w:hAnsi="Calibri" w:cs="Calibri"/>
        </w:rPr>
        <w:t>How does it relate to other things you have read on the topic? Does it contradict or support them?</w:t>
      </w:r>
    </w:p>
    <w:p w14:paraId="48A5ABB9" w14:textId="3EEDB385" w:rsidR="00CA6516" w:rsidRDefault="0017737B" w:rsidP="00CA6516">
      <w:pPr>
        <w:pStyle w:val="ListParagraph"/>
        <w:numPr>
          <w:ilvl w:val="0"/>
          <w:numId w:val="44"/>
        </w:numPr>
        <w:spacing w:after="0" w:line="276" w:lineRule="auto"/>
        <w:rPr>
          <w:rFonts w:ascii="Calibri" w:eastAsia="Calibri" w:hAnsi="Calibri" w:cs="Calibri"/>
        </w:rPr>
      </w:pPr>
      <w:r w:rsidRPr="7418567E">
        <w:rPr>
          <w:rFonts w:ascii="Calibri" w:eastAsia="Calibri" w:hAnsi="Calibri" w:cs="Calibri"/>
        </w:rPr>
        <w:t>How is it useful for your own research?</w:t>
      </w:r>
    </w:p>
    <w:p w14:paraId="4534F18F" w14:textId="65406DF5" w:rsidR="00CA6516" w:rsidRPr="00CA6516" w:rsidRDefault="00CA6516" w:rsidP="00CA6516">
      <w:pPr>
        <w:pStyle w:val="Heading3"/>
      </w:pPr>
      <w:r>
        <w:t>Assignment 2: Essay (2000 words, worth 50% of your module grade) – Due Sunday 18 January 2026, 23:59 PM.</w:t>
      </w:r>
    </w:p>
    <w:p w14:paraId="096C5AB5" w14:textId="1DFB3998" w:rsidR="006E3D86" w:rsidRDefault="006E3D86" w:rsidP="006E3D86">
      <w:r>
        <w:t>For the essay, please choose one of the following questions:</w:t>
      </w:r>
    </w:p>
    <w:p w14:paraId="42CE8F62" w14:textId="5743A719" w:rsidR="006E3D86" w:rsidRDefault="006E3D86" w:rsidP="006E3D86">
      <w:pPr>
        <w:pStyle w:val="ListParagraph"/>
        <w:numPr>
          <w:ilvl w:val="0"/>
          <w:numId w:val="31"/>
        </w:numPr>
      </w:pPr>
      <w:r>
        <w:t xml:space="preserve">Discuss the essence and tone of </w:t>
      </w:r>
      <w:proofErr w:type="gramStart"/>
      <w:r>
        <w:t>eighteenth century</w:t>
      </w:r>
      <w:proofErr w:type="gramEnd"/>
      <w:r>
        <w:t xml:space="preserve"> Enlightenment thought and ideals.</w:t>
      </w:r>
    </w:p>
    <w:p w14:paraId="635409BB" w14:textId="45E1B882" w:rsidR="00556658" w:rsidRDefault="00556658" w:rsidP="006E3D86">
      <w:pPr>
        <w:pStyle w:val="ListParagraph"/>
        <w:numPr>
          <w:ilvl w:val="0"/>
          <w:numId w:val="31"/>
        </w:numPr>
      </w:pPr>
      <w:r>
        <w:t>How far was the French Revolution a truly ‘popular’ revolution?</w:t>
      </w:r>
    </w:p>
    <w:p w14:paraId="0FC25CBA" w14:textId="0EF46627" w:rsidR="00556658" w:rsidRDefault="006E3D86" w:rsidP="00556658">
      <w:pPr>
        <w:pStyle w:val="ListParagraph"/>
        <w:numPr>
          <w:ilvl w:val="0"/>
          <w:numId w:val="31"/>
        </w:numPr>
      </w:pPr>
      <w:r>
        <w:t>What impact did the Abolition of Slavery Act 1834 have on the lives of enslaved people in the Caribbean?</w:t>
      </w:r>
    </w:p>
    <w:p w14:paraId="79121C79" w14:textId="035F11D1" w:rsidR="00556658" w:rsidRDefault="00556658" w:rsidP="00556658">
      <w:pPr>
        <w:pStyle w:val="ListParagraph"/>
        <w:numPr>
          <w:ilvl w:val="0"/>
          <w:numId w:val="31"/>
        </w:numPr>
      </w:pPr>
      <w:r>
        <w:lastRenderedPageBreak/>
        <w:t>Was the Haitian Revolution more a result of ideological currents or of the social conditions of slavery?</w:t>
      </w:r>
    </w:p>
    <w:p w14:paraId="20C89988" w14:textId="183B9710" w:rsidR="00121D04" w:rsidRDefault="00121D04" w:rsidP="006E3D86">
      <w:pPr>
        <w:pStyle w:val="ListParagraph"/>
        <w:numPr>
          <w:ilvl w:val="0"/>
          <w:numId w:val="31"/>
        </w:numPr>
      </w:pPr>
      <w:r>
        <w:t>Did the European Powers stumble into the First World War?</w:t>
      </w:r>
    </w:p>
    <w:p w14:paraId="1F624837" w14:textId="0EA08CB1" w:rsidR="00556658" w:rsidRDefault="00556658" w:rsidP="00556658">
      <w:pPr>
        <w:pStyle w:val="ListParagraph"/>
        <w:numPr>
          <w:ilvl w:val="0"/>
          <w:numId w:val="31"/>
        </w:numPr>
      </w:pPr>
      <w:r>
        <w:t>Was violence inevitable in decolonisation?</w:t>
      </w:r>
    </w:p>
    <w:p w14:paraId="40C68FCE" w14:textId="73406792" w:rsidR="006E3D86" w:rsidRPr="006E3D86" w:rsidRDefault="006E3D86" w:rsidP="006E3D86">
      <w:pPr>
        <w:pStyle w:val="ListParagraph"/>
        <w:numPr>
          <w:ilvl w:val="0"/>
          <w:numId w:val="31"/>
        </w:numPr>
      </w:pPr>
      <w:r>
        <w:t>Did the First World War help or hinder the women’s suffrage movement?</w:t>
      </w:r>
    </w:p>
    <w:p w14:paraId="7BE903CA" w14:textId="77777777" w:rsidR="003E5457" w:rsidRDefault="003E5457" w:rsidP="003E5457">
      <w:pPr>
        <w:pStyle w:val="Heading3"/>
      </w:pPr>
      <w:r>
        <w:t>Guidance for essays:</w:t>
      </w:r>
    </w:p>
    <w:p w14:paraId="35435219" w14:textId="77777777" w:rsidR="003E5457" w:rsidRDefault="003E5457" w:rsidP="003E5457">
      <w:r>
        <w:t>An excellent essay will be strong in the following areas:</w:t>
      </w:r>
    </w:p>
    <w:p w14:paraId="72B14A58" w14:textId="77777777" w:rsidR="003E5457" w:rsidRDefault="003E5457" w:rsidP="003E5457">
      <w:r w:rsidRPr="00811AC1">
        <w:rPr>
          <w:b/>
          <w:bCs/>
        </w:rPr>
        <w:t>Context</w:t>
      </w:r>
      <w:r>
        <w:rPr>
          <w:b/>
          <w:bCs/>
        </w:rPr>
        <w:t>, k</w:t>
      </w:r>
      <w:r w:rsidRPr="00811AC1">
        <w:rPr>
          <w:b/>
          <w:bCs/>
        </w:rPr>
        <w:t>nowledge and coverage of the material</w:t>
      </w:r>
      <w:r>
        <w:rPr>
          <w:b/>
          <w:bCs/>
        </w:rPr>
        <w:t xml:space="preserve">: </w:t>
      </w:r>
      <w:r>
        <w:t>The essay will contain arguments based on specific examples from your reading. It will demonstrate a good understanding of all the issues and good coverage of the relevant material. It will demonstrate that you have researched the topic in adequate depth and drawn upon appropriate academic sources.</w:t>
      </w:r>
    </w:p>
    <w:p w14:paraId="167DF3D4" w14:textId="77777777" w:rsidR="003E5457" w:rsidRDefault="003E5457" w:rsidP="003E5457">
      <w:r>
        <w:rPr>
          <w:b/>
          <w:bCs/>
        </w:rPr>
        <w:t xml:space="preserve">Structure and argument: </w:t>
      </w:r>
      <w:r>
        <w:t>Your essay should be clearly structured and argued. This will include a clearly stated thesis statement in the introduction. This statement of the argument will then be systematically developed throughout the essay, with use of evidence to support your analysis, and summarised in a concluding paragraph.</w:t>
      </w:r>
    </w:p>
    <w:p w14:paraId="78FFC82E" w14:textId="77777777" w:rsidR="003E5457" w:rsidRDefault="003E5457" w:rsidP="003E5457">
      <w:r>
        <w:rPr>
          <w:b/>
          <w:bCs/>
        </w:rPr>
        <w:t xml:space="preserve">Critical technique: </w:t>
      </w:r>
      <w:r>
        <w:t xml:space="preserve">Your essay will show an awareness of the historiography, and how scholars have debated your topic. It will also demonstrate an awareness of the problems and biases of </w:t>
      </w:r>
      <w:proofErr w:type="gramStart"/>
      <w:r>
        <w:t>particular source</w:t>
      </w:r>
      <w:proofErr w:type="gramEnd"/>
      <w:r>
        <w:t xml:space="preserve"> materials.</w:t>
      </w:r>
    </w:p>
    <w:p w14:paraId="07AF8772" w14:textId="77777777" w:rsidR="003E5457" w:rsidRDefault="003E5457" w:rsidP="003E5457">
      <w:r>
        <w:rPr>
          <w:b/>
          <w:bCs/>
        </w:rPr>
        <w:t xml:space="preserve">Analysis: </w:t>
      </w:r>
      <w:r>
        <w:t>Your essay will not simply explain events, nor restate the evidence and argument from other texts, but rather will appraise the validity of the evidence and closely analyse the topic or question under consideration.</w:t>
      </w:r>
    </w:p>
    <w:p w14:paraId="73EBE844" w14:textId="77777777" w:rsidR="003E5457" w:rsidRDefault="003E5457" w:rsidP="003E5457">
      <w:r>
        <w:rPr>
          <w:b/>
          <w:bCs/>
        </w:rPr>
        <w:t xml:space="preserve">Originality: </w:t>
      </w:r>
      <w:r>
        <w:t>It will display original ideas and be thought-provoking – you are encouraged to express your own position on a debate, supporting it with evidence.</w:t>
      </w:r>
    </w:p>
    <w:p w14:paraId="3C3A8053" w14:textId="77777777" w:rsidR="003E5457" w:rsidRDefault="003E5457" w:rsidP="003E5457">
      <w:r>
        <w:rPr>
          <w:b/>
          <w:bCs/>
        </w:rPr>
        <w:t xml:space="preserve">Style and presentation: </w:t>
      </w:r>
      <w:r>
        <w:t xml:space="preserve">Your work will have a good standard of grammar and syntax. It will preferably use the active </w:t>
      </w:r>
      <w:proofErr w:type="gramStart"/>
      <w:r>
        <w:t>voice, and</w:t>
      </w:r>
      <w:proofErr w:type="gramEnd"/>
      <w:r>
        <w:t xml:space="preserve"> will avoid contractions and informal language. All references will be correctly cited according to either MHRA or Harvard style.</w:t>
      </w:r>
    </w:p>
    <w:p w14:paraId="2B59C14D" w14:textId="77777777" w:rsidR="003E5457" w:rsidRPr="00957D0E" w:rsidRDefault="003E5457" w:rsidP="003E5457">
      <w:pPr>
        <w:rPr>
          <w:b/>
          <w:bCs/>
        </w:rPr>
      </w:pPr>
      <w:r w:rsidRPr="00957D0E">
        <w:rPr>
          <w:b/>
          <w:bCs/>
        </w:rPr>
        <w:t>Approaching essay questions:</w:t>
      </w:r>
    </w:p>
    <w:p w14:paraId="2D5975F3" w14:textId="77777777" w:rsidR="003E5457" w:rsidRDefault="003E5457" w:rsidP="003E5457">
      <w:pPr>
        <w:pStyle w:val="ListParagraph"/>
        <w:numPr>
          <w:ilvl w:val="0"/>
          <w:numId w:val="41"/>
        </w:numPr>
        <w:spacing w:line="278" w:lineRule="auto"/>
      </w:pPr>
      <w:r>
        <w:t>Unpack the question: make sure you’re answering every clause or aspect of the question?</w:t>
      </w:r>
    </w:p>
    <w:p w14:paraId="5C0EAFFC" w14:textId="77777777" w:rsidR="003E5457" w:rsidRDefault="003E5457" w:rsidP="003E5457">
      <w:pPr>
        <w:pStyle w:val="ListParagraph"/>
        <w:numPr>
          <w:ilvl w:val="0"/>
          <w:numId w:val="41"/>
        </w:numPr>
        <w:spacing w:line="278" w:lineRule="auto"/>
      </w:pPr>
      <w:r>
        <w:t>Think behind the question: why is it being asked? What larger themes does it address?</w:t>
      </w:r>
    </w:p>
    <w:p w14:paraId="3A82460A" w14:textId="77777777" w:rsidR="003E5457" w:rsidRPr="00C329F4" w:rsidRDefault="003E5457" w:rsidP="003E5457">
      <w:pPr>
        <w:pStyle w:val="ListParagraph"/>
        <w:numPr>
          <w:ilvl w:val="0"/>
          <w:numId w:val="41"/>
        </w:numPr>
        <w:spacing w:line="278" w:lineRule="auto"/>
      </w:pPr>
      <w:r>
        <w:t>Think about the evidence you are using: what are its strengths and weaknesses?</w:t>
      </w:r>
    </w:p>
    <w:p w14:paraId="32C5D243" w14:textId="43976ED6" w:rsidR="003E5457" w:rsidRDefault="003E5457" w:rsidP="003E5457">
      <w:r>
        <w:t>Please check the relevant assessment criteria</w:t>
      </w:r>
      <w:r w:rsidR="00B808DD">
        <w:t xml:space="preserve"> for Level 4</w:t>
      </w:r>
      <w:r>
        <w:t>:</w:t>
      </w:r>
    </w:p>
    <w:p w14:paraId="6A202C01" w14:textId="77777777" w:rsidR="003E5457" w:rsidRPr="00B978D3" w:rsidRDefault="003E5457" w:rsidP="003E5457">
      <w:pPr>
        <w:rPr>
          <w:highlight w:val="yellow"/>
        </w:rPr>
      </w:pPr>
      <w:hyperlink r:id="rId9" w:history="1">
        <w:r w:rsidRPr="001B26F3">
          <w:rPr>
            <w:rStyle w:val="Hyperlink"/>
          </w:rPr>
          <w:t>Assessment Criteria</w:t>
        </w:r>
      </w:hyperlink>
    </w:p>
    <w:p w14:paraId="16CD1E82" w14:textId="77777777" w:rsidR="004551EA" w:rsidRDefault="004551EA" w:rsidP="004551EA">
      <w:pPr>
        <w:pStyle w:val="Heading3"/>
      </w:pPr>
      <w:r>
        <w:t>Referencing</w:t>
      </w:r>
    </w:p>
    <w:p w14:paraId="5618294E" w14:textId="77777777" w:rsidR="004551EA" w:rsidRDefault="004551EA" w:rsidP="004551EA">
      <w:r>
        <w:t>For this module, you may use either MHRA or Harvard referencing styles. It is important that you reference properly and accurately, and I recommend that you refer carefully to the referencing handbook for your chosen style when you’re proofreading your references before submitting. Referencing handbooks can be consulted on the UWTSD Library website here:</w:t>
      </w:r>
    </w:p>
    <w:p w14:paraId="77F58B7F" w14:textId="77777777" w:rsidR="004551EA" w:rsidRDefault="004551EA" w:rsidP="004551EA">
      <w:pPr>
        <w:pStyle w:val="Heading3"/>
        <w:rPr>
          <w:rFonts w:eastAsiaTheme="minorEastAsia" w:cstheme="minorBidi"/>
          <w:color w:val="auto"/>
          <w:sz w:val="24"/>
          <w:szCs w:val="24"/>
        </w:rPr>
      </w:pPr>
      <w:hyperlink r:id="rId10" w:history="1">
        <w:r w:rsidRPr="001A38D7">
          <w:rPr>
            <w:rStyle w:val="Hyperlink"/>
            <w:rFonts w:eastAsiaTheme="minorEastAsia" w:cstheme="minorBidi"/>
            <w:sz w:val="24"/>
            <w:szCs w:val="24"/>
          </w:rPr>
          <w:t>Referencing Handbooks - Digital Services | University of Wales Trinity Saint David</w:t>
        </w:r>
      </w:hyperlink>
    </w:p>
    <w:p w14:paraId="21F57223" w14:textId="77777777" w:rsidR="004551EA" w:rsidRDefault="004551EA" w:rsidP="004551EA">
      <w:pPr>
        <w:pStyle w:val="Heading3"/>
      </w:pPr>
      <w:r>
        <w:t>Use of AI</w:t>
      </w:r>
    </w:p>
    <w:p w14:paraId="60286AE0" w14:textId="77777777" w:rsidR="004551EA" w:rsidRDefault="004551EA" w:rsidP="004551EA">
      <w:r w:rsidRPr="001A38D7">
        <w:t>In addition to t</w:t>
      </w:r>
      <w:r>
        <w:t xml:space="preserve">he General Allowable Uses of AI, for this module you are permitted to use AI for structuring, within the guidelines set out by the University’s guidance. Please consult the information on the Use of AI Tile on </w:t>
      </w:r>
      <w:proofErr w:type="gramStart"/>
      <w:r>
        <w:t>Moodle, and</w:t>
      </w:r>
      <w:proofErr w:type="gramEnd"/>
      <w:r>
        <w:t xml:space="preserve"> ensure that you are familiar with what you can, and cannot, do before using AI to support your studies. Please also note that you are required to keep all notes, drafts and other resources you have used to complete your assignment, before and after the use of any AI tool, as you may be required to produce these. Please ensure that you have reviewed this information before you attempt your assignments.</w:t>
      </w:r>
    </w:p>
    <w:p w14:paraId="0998FC21" w14:textId="77777777" w:rsidR="004551EA" w:rsidRPr="00961043" w:rsidRDefault="004551EA" w:rsidP="004551EA">
      <w:r>
        <w:t xml:space="preserve">Whether you use AI or not in your assignments, </w:t>
      </w:r>
      <w:r>
        <w:rPr>
          <w:b/>
          <w:bCs/>
        </w:rPr>
        <w:t xml:space="preserve">all assignments must include an AI declaration. </w:t>
      </w:r>
      <w:r>
        <w:t>Guidance on how to declare your use of AI – or how to declare that you have not used it – is available on the Use of AI tile on Moodle.</w:t>
      </w:r>
    </w:p>
    <w:p w14:paraId="18EECD6D" w14:textId="77777777" w:rsidR="003E5457" w:rsidRDefault="003E5457" w:rsidP="003E5457">
      <w:pPr>
        <w:pStyle w:val="Heading2"/>
      </w:pPr>
      <w:r>
        <w:t>Seminar outlines</w:t>
      </w:r>
    </w:p>
    <w:p w14:paraId="1C4B8AEB" w14:textId="77777777" w:rsidR="003E5457" w:rsidRDefault="003E5457" w:rsidP="003E5457">
      <w:pPr>
        <w:pStyle w:val="Heading3"/>
      </w:pPr>
      <w:r>
        <w:t>Session 1: Introduction to the module</w:t>
      </w:r>
    </w:p>
    <w:p w14:paraId="193078C5" w14:textId="045A6DD6" w:rsidR="003E5457" w:rsidRDefault="003E5457" w:rsidP="003E5457">
      <w:r w:rsidRPr="00846261">
        <w:t xml:space="preserve">This session will be a gentle introduction to the module. We'll talk about what we'll cover together in the sessions, as well as strategies for approaching the assignments. </w:t>
      </w:r>
    </w:p>
    <w:p w14:paraId="7395D469" w14:textId="77777777" w:rsidR="003E5457" w:rsidRDefault="003E5457" w:rsidP="003E5457">
      <w:r>
        <w:t>In preparation for this class, please familiarise yourself with the contents of this handbook.</w:t>
      </w:r>
    </w:p>
    <w:p w14:paraId="2284DFB2" w14:textId="58148909" w:rsidR="003E5457" w:rsidRDefault="003E5457" w:rsidP="003E5457">
      <w:pPr>
        <w:pStyle w:val="Heading3"/>
      </w:pPr>
      <w:r>
        <w:t>Session 2: The Enlightenment</w:t>
      </w:r>
    </w:p>
    <w:p w14:paraId="2CFD913C" w14:textId="77777777" w:rsidR="00404CB1" w:rsidRDefault="003E5457" w:rsidP="003E5457">
      <w:r>
        <w:t xml:space="preserve">The Enlightenment </w:t>
      </w:r>
      <w:r w:rsidR="0019637C">
        <w:t>is commonly understood as a</w:t>
      </w:r>
      <w:r w:rsidR="00F21732">
        <w:t xml:space="preserve">n intellectual movement in the seventeenth and eighteenth centuries which aimed to change society through </w:t>
      </w:r>
      <w:r w:rsidR="00C63772">
        <w:t>reason and secularism</w:t>
      </w:r>
      <w:r w:rsidR="00482F12">
        <w:t xml:space="preserve"> and the dissemination of ‘modern’ ideas such as equality, individualism, and human rights. </w:t>
      </w:r>
      <w:r w:rsidR="00D2002E">
        <w:t>More recent historians have contested both the European origins of the Enlightenment and its benign image, connecting it with</w:t>
      </w:r>
      <w:r w:rsidR="006C6928">
        <w:t xml:space="preserve"> empire, racism, and twentieth century totalitarianism. We will examine the nature of </w:t>
      </w:r>
      <w:r w:rsidR="00404CB1">
        <w:t>‘the Enlightenment’, engaging with debates over whether there was a single unitary ‘Enlightenment’, as well as placing the period within its global context.</w:t>
      </w:r>
    </w:p>
    <w:p w14:paraId="78BF7705" w14:textId="666EAD59" w:rsidR="003E5457" w:rsidRDefault="003E5457" w:rsidP="003E5457">
      <w:pPr>
        <w:rPr>
          <w:b/>
          <w:bCs/>
        </w:rPr>
      </w:pPr>
      <w:r>
        <w:rPr>
          <w:b/>
          <w:bCs/>
        </w:rPr>
        <w:t>Key reading:</w:t>
      </w:r>
    </w:p>
    <w:p w14:paraId="28BC24BE" w14:textId="77777777" w:rsidR="002F0F7A" w:rsidRDefault="002F0F7A" w:rsidP="003E5457">
      <w:r>
        <w:t xml:space="preserve">Sebastian Conrad, ‘Enlightenment in Global History: A Historiographical Critique’, </w:t>
      </w:r>
      <w:r>
        <w:rPr>
          <w:i/>
          <w:iCs/>
        </w:rPr>
        <w:t xml:space="preserve">American Historical Review </w:t>
      </w:r>
      <w:r>
        <w:t>117.4 (2012), 999-1027.</w:t>
      </w:r>
    </w:p>
    <w:p w14:paraId="139B52D6" w14:textId="7B0FD06F" w:rsidR="003E5457" w:rsidRDefault="003E5457" w:rsidP="003E5457">
      <w:r w:rsidRPr="003E5457">
        <w:t xml:space="preserve">Annelien de Dijn, ‘Rousseau and Republicanism’, </w:t>
      </w:r>
      <w:r w:rsidRPr="003E5457">
        <w:rPr>
          <w:i/>
          <w:iCs/>
        </w:rPr>
        <w:t xml:space="preserve">Political </w:t>
      </w:r>
      <w:r>
        <w:rPr>
          <w:i/>
          <w:iCs/>
        </w:rPr>
        <w:t xml:space="preserve">Theory </w:t>
      </w:r>
      <w:r>
        <w:t>46.1 (2018), 59-80.</w:t>
      </w:r>
    </w:p>
    <w:p w14:paraId="613EC48B" w14:textId="1363F017" w:rsidR="003E5457" w:rsidRPr="003E5457" w:rsidRDefault="003E5457" w:rsidP="003E5457">
      <w:r>
        <w:t xml:space="preserve">Dorinda Outram, </w:t>
      </w:r>
      <w:r>
        <w:rPr>
          <w:i/>
          <w:iCs/>
        </w:rPr>
        <w:t xml:space="preserve">The Enlightenment </w:t>
      </w:r>
      <w:r>
        <w:t>(Cambridge</w:t>
      </w:r>
      <w:r w:rsidR="00F97F06">
        <w:t xml:space="preserve"> University Press</w:t>
      </w:r>
      <w:r>
        <w:t>, 2005).</w:t>
      </w:r>
    </w:p>
    <w:p w14:paraId="31CBD927" w14:textId="7EA58522" w:rsidR="00406822" w:rsidRDefault="00F97F06" w:rsidP="004F7EA6">
      <w:pPr>
        <w:rPr>
          <w:b/>
          <w:bCs/>
        </w:rPr>
      </w:pPr>
      <w:r>
        <w:rPr>
          <w:b/>
          <w:bCs/>
        </w:rPr>
        <w:t>Further reading</w:t>
      </w:r>
    </w:p>
    <w:p w14:paraId="1B55F0FA" w14:textId="43EB712E" w:rsidR="0003327A" w:rsidRPr="0003327A" w:rsidRDefault="0003327A" w:rsidP="004F7EA6">
      <w:r>
        <w:t xml:space="preserve">J. C. D. Clark, </w:t>
      </w:r>
      <w:r>
        <w:rPr>
          <w:i/>
          <w:iCs/>
        </w:rPr>
        <w:t xml:space="preserve">The Enlightenment: An Idea and Its History </w:t>
      </w:r>
      <w:r>
        <w:t>(Oxford University Press, 2024).</w:t>
      </w:r>
    </w:p>
    <w:p w14:paraId="49438D94" w14:textId="253C06FF" w:rsidR="001D393E" w:rsidRDefault="001D393E" w:rsidP="004F7EA6">
      <w:r>
        <w:t xml:space="preserve">Robert Darnton, ‘An Early Information Society: News and Media in Eighteenth-Century Paris’, </w:t>
      </w:r>
      <w:r>
        <w:rPr>
          <w:i/>
          <w:iCs/>
        </w:rPr>
        <w:t xml:space="preserve">American Historical Review </w:t>
      </w:r>
      <w:r>
        <w:t>105.1 (2000)</w:t>
      </w:r>
    </w:p>
    <w:p w14:paraId="44B44C6B" w14:textId="44243901" w:rsidR="002E73B9" w:rsidRDefault="002E73B9" w:rsidP="002E73B9">
      <w:r w:rsidRPr="002E73B9">
        <w:t>Martin</w:t>
      </w:r>
      <w:r>
        <w:t xml:space="preserve"> Fitzpatrick</w:t>
      </w:r>
      <w:r w:rsidRPr="002E73B9">
        <w:t>, </w:t>
      </w:r>
      <w:r w:rsidRPr="002E73B9">
        <w:rPr>
          <w:i/>
          <w:iCs/>
        </w:rPr>
        <w:t>The Enlightenment World</w:t>
      </w:r>
      <w:r w:rsidRPr="002E73B9">
        <w:t> (Routledge, 2004)</w:t>
      </w:r>
    </w:p>
    <w:p w14:paraId="21AD6D96" w14:textId="688D5D93" w:rsidR="00F97F06" w:rsidRDefault="00F97F06" w:rsidP="004F7EA6">
      <w:r>
        <w:t xml:space="preserve">Norman Hampson, </w:t>
      </w:r>
      <w:r>
        <w:rPr>
          <w:i/>
          <w:iCs/>
        </w:rPr>
        <w:t xml:space="preserve">The Enlightenment </w:t>
      </w:r>
      <w:r>
        <w:t xml:space="preserve">(Penguin, </w:t>
      </w:r>
      <w:r w:rsidR="001B7467">
        <w:t>1990</w:t>
      </w:r>
      <w:r>
        <w:t>).</w:t>
      </w:r>
    </w:p>
    <w:p w14:paraId="472A4B96" w14:textId="1D03706F" w:rsidR="002F0F7A" w:rsidRDefault="002F0F7A" w:rsidP="004F7EA6">
      <w:r>
        <w:lastRenderedPageBreak/>
        <w:t xml:space="preserve">Jonathan I. Israel, </w:t>
      </w:r>
      <w:r>
        <w:rPr>
          <w:i/>
          <w:iCs/>
        </w:rPr>
        <w:t xml:space="preserve">Enlightenment Contested: Philosophy, Modernity and the Emancipation of Man 1670-1752 </w:t>
      </w:r>
      <w:r>
        <w:t>(</w:t>
      </w:r>
      <w:r w:rsidR="0032409E">
        <w:t>Oxford University Press, 2006).</w:t>
      </w:r>
    </w:p>
    <w:p w14:paraId="5836DC50" w14:textId="768B8CD1" w:rsidR="00BD4C58" w:rsidRDefault="00BD4C58" w:rsidP="00BD4C58">
      <w:r w:rsidRPr="00BD4C58">
        <w:t>Andrew</w:t>
      </w:r>
      <w:r>
        <w:t xml:space="preserve"> Janiak</w:t>
      </w:r>
      <w:r w:rsidRPr="00BD4C58">
        <w:t>, </w:t>
      </w:r>
      <w:r w:rsidRPr="00BD4C58">
        <w:rPr>
          <w:i/>
          <w:iCs/>
        </w:rPr>
        <w:t xml:space="preserve">The Enlightenment’s Most Dangerous </w:t>
      </w:r>
      <w:proofErr w:type="gramStart"/>
      <w:r w:rsidRPr="00BD4C58">
        <w:rPr>
          <w:i/>
          <w:iCs/>
        </w:rPr>
        <w:t>Woman :</w:t>
      </w:r>
      <w:proofErr w:type="gramEnd"/>
      <w:r w:rsidRPr="00BD4C58">
        <w:rPr>
          <w:i/>
          <w:iCs/>
        </w:rPr>
        <w:t xml:space="preserve"> </w:t>
      </w:r>
      <w:proofErr w:type="spellStart"/>
      <w:r w:rsidRPr="00BD4C58">
        <w:rPr>
          <w:i/>
          <w:iCs/>
        </w:rPr>
        <w:t>Émilie</w:t>
      </w:r>
      <w:proofErr w:type="spellEnd"/>
      <w:r w:rsidRPr="00BD4C58">
        <w:rPr>
          <w:i/>
          <w:iCs/>
        </w:rPr>
        <w:t xml:space="preserve"> Du </w:t>
      </w:r>
      <w:proofErr w:type="spellStart"/>
      <w:r w:rsidRPr="00BD4C58">
        <w:rPr>
          <w:i/>
          <w:iCs/>
        </w:rPr>
        <w:t>Châtelet</w:t>
      </w:r>
      <w:proofErr w:type="spellEnd"/>
      <w:r w:rsidRPr="00BD4C58">
        <w:rPr>
          <w:i/>
          <w:iCs/>
        </w:rPr>
        <w:t xml:space="preserve"> and the Making of Modern Philosophy</w:t>
      </w:r>
      <w:r w:rsidRPr="00BD4C58">
        <w:t>, (Oxford University Press, 2024)</w:t>
      </w:r>
      <w:r>
        <w:t>.</w:t>
      </w:r>
    </w:p>
    <w:p w14:paraId="48F66036" w14:textId="456020E1" w:rsidR="00F97F06" w:rsidRDefault="00F97F06" w:rsidP="004F7EA6">
      <w:r>
        <w:t xml:space="preserve">Karen O’Brien, ‘The Return of the Enlightenment’, </w:t>
      </w:r>
      <w:r>
        <w:rPr>
          <w:i/>
          <w:iCs/>
        </w:rPr>
        <w:t xml:space="preserve">American Historical Review </w:t>
      </w:r>
      <w:r>
        <w:t>115.5 (2010), 1426-35.</w:t>
      </w:r>
    </w:p>
    <w:p w14:paraId="233DC46A" w14:textId="36E944FF" w:rsidR="00BF584B" w:rsidRDefault="00BF584B" w:rsidP="00BF584B">
      <w:r w:rsidRPr="00BF584B">
        <w:t>Roy</w:t>
      </w:r>
      <w:r>
        <w:t xml:space="preserve"> Porter</w:t>
      </w:r>
      <w:r w:rsidRPr="00BF584B">
        <w:t>, </w:t>
      </w:r>
      <w:r w:rsidRPr="00BF584B">
        <w:rPr>
          <w:i/>
          <w:iCs/>
        </w:rPr>
        <w:t>The Enlightenment</w:t>
      </w:r>
      <w:r w:rsidRPr="00BF584B">
        <w:t>, 2nd ed. (Palgrave, 2001)</w:t>
      </w:r>
    </w:p>
    <w:p w14:paraId="3D85167B" w14:textId="24D934BE" w:rsidR="002F0F7A" w:rsidRDefault="002F0F7A" w:rsidP="002F0F7A">
      <w:r>
        <w:t xml:space="preserve">Catriona Seth and Rotraud von Kulessa, </w:t>
      </w:r>
      <w:r>
        <w:rPr>
          <w:i/>
          <w:iCs/>
        </w:rPr>
        <w:t xml:space="preserve">The Idea of Europe: Enlightenment Perspectives </w:t>
      </w:r>
      <w:r>
        <w:t>(</w:t>
      </w:r>
      <w:proofErr w:type="spellStart"/>
      <w:r>
        <w:t>OpenBook</w:t>
      </w:r>
      <w:proofErr w:type="spellEnd"/>
      <w:r>
        <w:t xml:space="preserve"> Publishers, 2017) available at </w:t>
      </w:r>
      <w:hyperlink r:id="rId11" w:history="1">
        <w:r w:rsidRPr="002F0F7A">
          <w:rPr>
            <w:rStyle w:val="Hyperlink"/>
          </w:rPr>
          <w:t>The Idea of Europe: Enlightenment Perspectives | Open Book Publishers</w:t>
        </w:r>
      </w:hyperlink>
    </w:p>
    <w:p w14:paraId="5E52CC01" w14:textId="2C60C460" w:rsidR="0030297E" w:rsidRPr="002F0F7A" w:rsidRDefault="0030297E" w:rsidP="0030297E">
      <w:r w:rsidRPr="0030297E">
        <w:t>Steven</w:t>
      </w:r>
      <w:r>
        <w:t xml:space="preserve"> Shapin</w:t>
      </w:r>
      <w:r w:rsidRPr="0030297E">
        <w:t>, </w:t>
      </w:r>
      <w:r w:rsidRPr="0030297E">
        <w:rPr>
          <w:i/>
          <w:iCs/>
        </w:rPr>
        <w:t>The Scientific Revolution</w:t>
      </w:r>
      <w:r w:rsidRPr="0030297E">
        <w:t> (University of Chicago Press, 1996)</w:t>
      </w:r>
    </w:p>
    <w:p w14:paraId="6A3DD76B" w14:textId="280AAAAB" w:rsidR="00F97F06" w:rsidRDefault="00F97F06" w:rsidP="004F7EA6">
      <w:r>
        <w:t xml:space="preserve">John W. Yolton, </w:t>
      </w:r>
      <w:r>
        <w:rPr>
          <w:i/>
          <w:iCs/>
        </w:rPr>
        <w:t xml:space="preserve">The Blackwell Companion to the Enlightenment </w:t>
      </w:r>
      <w:r>
        <w:t>(Blackwell, 1991).</w:t>
      </w:r>
    </w:p>
    <w:p w14:paraId="6F10BF88" w14:textId="0809AE87" w:rsidR="0032409E" w:rsidRDefault="0032409E" w:rsidP="0032409E">
      <w:pPr>
        <w:pStyle w:val="Heading3"/>
      </w:pPr>
      <w:r>
        <w:t xml:space="preserve">Session 3: </w:t>
      </w:r>
      <w:r w:rsidR="00880A62">
        <w:t>The French Revolution</w:t>
      </w:r>
    </w:p>
    <w:p w14:paraId="11E615F6" w14:textId="4BCBAA5C" w:rsidR="00160458" w:rsidRPr="00160458" w:rsidRDefault="00160458" w:rsidP="00160458">
      <w:r>
        <w:t xml:space="preserve">The French Revolution of 1789 has given rise to much historiographical controversy. While some interpretations see it as inaugurating </w:t>
      </w:r>
      <w:r w:rsidR="00B37B4F">
        <w:t xml:space="preserve">features of the contemporary world such as notions of human rights and equality, others emphasise the </w:t>
      </w:r>
      <w:r w:rsidR="008918BE">
        <w:t>use of terror, and the legacies of the revolution for authoritarianism and empire. This session will examine these controversies.</w:t>
      </w:r>
    </w:p>
    <w:p w14:paraId="2067424E" w14:textId="68CA9137" w:rsidR="00880A62" w:rsidRDefault="00880A62" w:rsidP="00880A62">
      <w:pPr>
        <w:rPr>
          <w:b/>
          <w:bCs/>
        </w:rPr>
      </w:pPr>
      <w:r>
        <w:rPr>
          <w:b/>
          <w:bCs/>
        </w:rPr>
        <w:t>Key reading:</w:t>
      </w:r>
    </w:p>
    <w:p w14:paraId="4D2E19E0" w14:textId="4B371285" w:rsidR="00892D31" w:rsidRDefault="00892D31" w:rsidP="00880A62">
      <w:r>
        <w:t xml:space="preserve">Peter Campbell, </w:t>
      </w:r>
      <w:r>
        <w:rPr>
          <w:i/>
          <w:iCs/>
        </w:rPr>
        <w:t xml:space="preserve">The Origins of the French Revolution </w:t>
      </w:r>
      <w:r>
        <w:t>(Palgrave Macmillan, 2006).</w:t>
      </w:r>
    </w:p>
    <w:p w14:paraId="78036B5C" w14:textId="26C311BF" w:rsidR="00A3364E" w:rsidRPr="00A3364E" w:rsidRDefault="00A3364E" w:rsidP="00880A62">
      <w:r>
        <w:t xml:space="preserve">Lynn Hunt, </w:t>
      </w:r>
      <w:r>
        <w:rPr>
          <w:i/>
          <w:iCs/>
        </w:rPr>
        <w:t xml:space="preserve">The French Revolution and Human Rights: A Brief History </w:t>
      </w:r>
      <w:proofErr w:type="gramStart"/>
      <w:r>
        <w:rPr>
          <w:i/>
          <w:iCs/>
        </w:rPr>
        <w:t>With</w:t>
      </w:r>
      <w:proofErr w:type="gramEnd"/>
      <w:r>
        <w:rPr>
          <w:i/>
          <w:iCs/>
        </w:rPr>
        <w:t xml:space="preserve"> Documents </w:t>
      </w:r>
      <w:r>
        <w:t>(Bedford, 2016).</w:t>
      </w:r>
    </w:p>
    <w:p w14:paraId="29947049" w14:textId="463EF55F" w:rsidR="00C633EE" w:rsidRDefault="00C633EE" w:rsidP="00C633EE">
      <w:pPr>
        <w:rPr>
          <w:b/>
          <w:bCs/>
        </w:rPr>
      </w:pPr>
      <w:r>
        <w:rPr>
          <w:b/>
          <w:bCs/>
        </w:rPr>
        <w:t>Further reading:</w:t>
      </w:r>
    </w:p>
    <w:p w14:paraId="6702BFE2" w14:textId="77777777" w:rsidR="003E6B22" w:rsidRDefault="003E6B22" w:rsidP="00C633EE">
      <w:r>
        <w:t xml:space="preserve">David Andress, </w:t>
      </w:r>
      <w:r>
        <w:rPr>
          <w:i/>
          <w:iCs/>
        </w:rPr>
        <w:t xml:space="preserve">French Society in Revolution, 1789-1799 </w:t>
      </w:r>
      <w:r>
        <w:t>(Manchester University Press, 1999).</w:t>
      </w:r>
    </w:p>
    <w:p w14:paraId="76698EC3" w14:textId="32678B24" w:rsidR="00892D31" w:rsidRDefault="00892D31" w:rsidP="00C633EE">
      <w:r>
        <w:t xml:space="preserve">Roger Chartier, </w:t>
      </w:r>
      <w:r>
        <w:rPr>
          <w:i/>
          <w:iCs/>
        </w:rPr>
        <w:t xml:space="preserve">The Cultural Origins of the French Revolution </w:t>
      </w:r>
      <w:r>
        <w:t>(Duke University Press, 1991).</w:t>
      </w:r>
    </w:p>
    <w:p w14:paraId="5924BCAA" w14:textId="347CE124" w:rsidR="00234193" w:rsidRDefault="00234193" w:rsidP="00234193">
      <w:r w:rsidRPr="00234193">
        <w:t xml:space="preserve">L. Cullen, ‘History, economic crises and revolution: understanding eighteenth-century France’, </w:t>
      </w:r>
      <w:r w:rsidRPr="00A310A5">
        <w:rPr>
          <w:i/>
          <w:iCs/>
        </w:rPr>
        <w:t>Economic History Review</w:t>
      </w:r>
      <w:r w:rsidRPr="00234193">
        <w:t>, 46 (1993)</w:t>
      </w:r>
    </w:p>
    <w:p w14:paraId="1FF62F4D" w14:textId="11B9FB46" w:rsidR="00387CE9" w:rsidRDefault="00387CE9" w:rsidP="00C633EE">
      <w:r>
        <w:t xml:space="preserve">Robert Darnton, </w:t>
      </w:r>
      <w:r>
        <w:rPr>
          <w:i/>
          <w:iCs/>
        </w:rPr>
        <w:t xml:space="preserve">The Great Cat Massacre and Other Episodes in French Cultural History </w:t>
      </w:r>
      <w:r>
        <w:t>(Basic Books, 2009).</w:t>
      </w:r>
    </w:p>
    <w:p w14:paraId="19578E4D" w14:textId="253F79EF" w:rsidR="00387CE9" w:rsidRDefault="00387CE9" w:rsidP="00C633EE">
      <w:r>
        <w:t xml:space="preserve">Suzanne Desan, </w:t>
      </w:r>
      <w:r>
        <w:rPr>
          <w:i/>
          <w:iCs/>
        </w:rPr>
        <w:t xml:space="preserve">The Family on Trial in Revolutionary France </w:t>
      </w:r>
      <w:r>
        <w:t>(University of California Press, 2004).</w:t>
      </w:r>
    </w:p>
    <w:p w14:paraId="4DFAA68E" w14:textId="2C2D092C" w:rsidR="00BF3E6D" w:rsidRPr="00D8175A" w:rsidRDefault="00BF3E6D" w:rsidP="00BF3E6D">
      <w:r w:rsidRPr="00D8175A">
        <w:t>William</w:t>
      </w:r>
      <w:r w:rsidR="004B6DFB">
        <w:t xml:space="preserve"> Doyle</w:t>
      </w:r>
      <w:r w:rsidRPr="00D8175A">
        <w:t xml:space="preserve">, </w:t>
      </w:r>
      <w:r w:rsidRPr="00D8175A">
        <w:rPr>
          <w:i/>
          <w:iCs/>
        </w:rPr>
        <w:t xml:space="preserve">The French </w:t>
      </w:r>
      <w:proofErr w:type="gramStart"/>
      <w:r w:rsidRPr="00D8175A">
        <w:rPr>
          <w:i/>
          <w:iCs/>
        </w:rPr>
        <w:t>Revolution :</w:t>
      </w:r>
      <w:proofErr w:type="gramEnd"/>
      <w:r w:rsidRPr="00D8175A">
        <w:rPr>
          <w:i/>
          <w:iCs/>
        </w:rPr>
        <w:t xml:space="preserve"> A Very Short Introduction</w:t>
      </w:r>
      <w:r w:rsidRPr="00D8175A">
        <w:t xml:space="preserve"> (Oxford University Press, 2001)</w:t>
      </w:r>
    </w:p>
    <w:p w14:paraId="3F9ECD52" w14:textId="77777777" w:rsidR="0017004D" w:rsidRDefault="0017004D" w:rsidP="0017004D">
      <w:r w:rsidRPr="00892D31">
        <w:t xml:space="preserve">François Furet, </w:t>
      </w:r>
      <w:r>
        <w:rPr>
          <w:i/>
          <w:iCs/>
        </w:rPr>
        <w:t xml:space="preserve">The </w:t>
      </w:r>
      <w:r w:rsidRPr="00892D31">
        <w:rPr>
          <w:i/>
          <w:iCs/>
        </w:rPr>
        <w:t xml:space="preserve">French Revolution </w:t>
      </w:r>
      <w:r w:rsidRPr="00892D31">
        <w:t>(Weidenfeld &amp; Nicolson, 1970)</w:t>
      </w:r>
    </w:p>
    <w:p w14:paraId="387B9493" w14:textId="77777777" w:rsidR="003E6B22" w:rsidRDefault="003E6B22" w:rsidP="00A3364E">
      <w:r>
        <w:t xml:space="preserve">Ferenc Feher, </w:t>
      </w:r>
      <w:r>
        <w:rPr>
          <w:i/>
          <w:iCs/>
        </w:rPr>
        <w:t xml:space="preserve">The French Revolution and the Birth of Modernity </w:t>
      </w:r>
      <w:r>
        <w:t>(University of California Press, 2023).</w:t>
      </w:r>
    </w:p>
    <w:p w14:paraId="20B63FF0" w14:textId="33F77CCD" w:rsidR="00A3364E" w:rsidRDefault="00A3364E" w:rsidP="00A3364E">
      <w:r>
        <w:t xml:space="preserve">François Furet, </w:t>
      </w:r>
      <w:r>
        <w:rPr>
          <w:i/>
          <w:iCs/>
        </w:rPr>
        <w:t xml:space="preserve">Interpreting the French Revolution </w:t>
      </w:r>
      <w:r>
        <w:t>(Cambridge University Press, 1981).</w:t>
      </w:r>
    </w:p>
    <w:p w14:paraId="6E7B326C" w14:textId="6E79A824" w:rsidR="003E6B22" w:rsidRDefault="003E6B22" w:rsidP="00A3364E">
      <w:r>
        <w:t xml:space="preserve">Eric Hobsbawm, </w:t>
      </w:r>
      <w:r>
        <w:rPr>
          <w:i/>
          <w:iCs/>
        </w:rPr>
        <w:t xml:space="preserve">The Age of Revolution: Europe 1789-1848 </w:t>
      </w:r>
      <w:r>
        <w:t>(Weidenfeld and Nicolson, 1962).</w:t>
      </w:r>
    </w:p>
    <w:p w14:paraId="71698826" w14:textId="75B9A953" w:rsidR="00387CE9" w:rsidRPr="00387CE9" w:rsidRDefault="00387CE9" w:rsidP="00A3364E">
      <w:r>
        <w:t xml:space="preserve">Jonathan Israel, </w:t>
      </w:r>
      <w:r>
        <w:rPr>
          <w:i/>
          <w:iCs/>
        </w:rPr>
        <w:t xml:space="preserve">Revolutionary Ideas: An Intellectual History of the French Revolution from the Rights of Man to Robespierre </w:t>
      </w:r>
      <w:r>
        <w:t>(Princeton University Press, 2014).</w:t>
      </w:r>
    </w:p>
    <w:p w14:paraId="4DB0FB80" w14:textId="695FEAE2" w:rsidR="003B3DDC" w:rsidRDefault="003E6B22" w:rsidP="003B3DDC">
      <w:r>
        <w:lastRenderedPageBreak/>
        <w:t xml:space="preserve">Colin Jones (ed.), </w:t>
      </w:r>
      <w:r>
        <w:rPr>
          <w:i/>
          <w:iCs/>
        </w:rPr>
        <w:t xml:space="preserve">The Longman Companion to the French Revolution </w:t>
      </w:r>
      <w:r>
        <w:t>(Longman, 1988).</w:t>
      </w:r>
    </w:p>
    <w:p w14:paraId="632E9A63" w14:textId="173FCCB8" w:rsidR="00F73AEE" w:rsidRDefault="00F73AEE" w:rsidP="00F73AEE">
      <w:r w:rsidRPr="00F73AEE">
        <w:t>Colin</w:t>
      </w:r>
      <w:r>
        <w:t xml:space="preserve"> Jones</w:t>
      </w:r>
      <w:r w:rsidRPr="00F73AEE">
        <w:t xml:space="preserve">, ‘The Great Chain of Buying: Medical Advertisement, the Bourgeois Public Sphere, and the Origins of the French Revolution’, </w:t>
      </w:r>
      <w:r w:rsidRPr="00F73AEE">
        <w:rPr>
          <w:i/>
          <w:iCs/>
        </w:rPr>
        <w:t>The American Historical Review</w:t>
      </w:r>
      <w:r w:rsidRPr="00F73AEE">
        <w:t>, 101.1 (1996)</w:t>
      </w:r>
      <w:r>
        <w:t>.</w:t>
      </w:r>
    </w:p>
    <w:p w14:paraId="78B5B005" w14:textId="3B8EC15E" w:rsidR="00387CE9" w:rsidRPr="00387CE9" w:rsidRDefault="00387CE9" w:rsidP="00A3364E">
      <w:r>
        <w:t xml:space="preserve">Gary </w:t>
      </w:r>
      <w:proofErr w:type="spellStart"/>
      <w:r>
        <w:t>Kates</w:t>
      </w:r>
      <w:proofErr w:type="spellEnd"/>
      <w:r>
        <w:t xml:space="preserve">, </w:t>
      </w:r>
      <w:r>
        <w:rPr>
          <w:i/>
          <w:iCs/>
        </w:rPr>
        <w:t xml:space="preserve">The French Revolution: Recent Debates and New Controversies </w:t>
      </w:r>
      <w:r>
        <w:t>(Routledge, 1997).</w:t>
      </w:r>
    </w:p>
    <w:p w14:paraId="67CDEEA2" w14:textId="71B0216F" w:rsidR="003E6B22" w:rsidRDefault="003E6B22" w:rsidP="00A3364E">
      <w:r>
        <w:t xml:space="preserve">Arno Mayer, </w:t>
      </w:r>
      <w:r>
        <w:rPr>
          <w:i/>
          <w:iCs/>
        </w:rPr>
        <w:t xml:space="preserve">The Furies: Violence and Terror in the French and Russian Revolutions </w:t>
      </w:r>
      <w:r>
        <w:t>(Princeton University Press, 2000).</w:t>
      </w:r>
    </w:p>
    <w:p w14:paraId="1194287A" w14:textId="2E20AB40" w:rsidR="003B3DDC" w:rsidRPr="003E6B22" w:rsidRDefault="003B3DDC" w:rsidP="003B3DDC">
      <w:r w:rsidRPr="003B3DDC">
        <w:t xml:space="preserve">S. Maza, 'Luxury, morality and social change: why there was no middle-class consciousness in Pre-revolutionary France', </w:t>
      </w:r>
      <w:r w:rsidRPr="00D24C86">
        <w:rPr>
          <w:i/>
          <w:iCs/>
        </w:rPr>
        <w:t>Journal of Modern History</w:t>
      </w:r>
      <w:r w:rsidRPr="003B3DDC">
        <w:t xml:space="preserve"> 69 (1997).</w:t>
      </w:r>
    </w:p>
    <w:p w14:paraId="1B83A14C" w14:textId="353BC45C" w:rsidR="00A3364E" w:rsidRDefault="00A3364E" w:rsidP="00C633EE">
      <w:r>
        <w:t xml:space="preserve">Timothy Tackett, </w:t>
      </w:r>
      <w:r>
        <w:rPr>
          <w:i/>
          <w:iCs/>
        </w:rPr>
        <w:t xml:space="preserve">The Coming of the Terror in the French Revolution </w:t>
      </w:r>
      <w:r>
        <w:t>(Belknap Press, 2015).</w:t>
      </w:r>
    </w:p>
    <w:p w14:paraId="473C9B80" w14:textId="77777777" w:rsidR="00234193" w:rsidRDefault="00234193" w:rsidP="00C633EE"/>
    <w:p w14:paraId="44B125E3" w14:textId="7F67D01C" w:rsidR="00880A62" w:rsidRDefault="00880A62" w:rsidP="003C2F94">
      <w:pPr>
        <w:pStyle w:val="Heading3"/>
      </w:pPr>
      <w:r>
        <w:t>Session 4: Transatlantic Slavery</w:t>
      </w:r>
      <w:r w:rsidR="004B2CF8">
        <w:t xml:space="preserve"> </w:t>
      </w:r>
    </w:p>
    <w:p w14:paraId="6C2C7D21" w14:textId="7C402078" w:rsidR="004B2CF8" w:rsidRPr="004B2CF8" w:rsidRDefault="004B2CF8" w:rsidP="004F4DF3">
      <w:r>
        <w:t>This session will introduce students to the history of the Transatlantic slave trade</w:t>
      </w:r>
      <w:r w:rsidR="003C2F94">
        <w:t xml:space="preserve">. From the seventeenth century origins of the trade through to its abolition in the nineteenth </w:t>
      </w:r>
      <w:proofErr w:type="gramStart"/>
      <w:r w:rsidR="003C2F94">
        <w:t>century ,</w:t>
      </w:r>
      <w:proofErr w:type="gramEnd"/>
      <w:r w:rsidR="003C2F94">
        <w:t xml:space="preserve"> </w:t>
      </w:r>
      <w:r>
        <w:t xml:space="preserve">12.5 million people were forcibly removed from the African continent bound for the Americas; many did not survive the Middle Passage. The 10.7 million men, women, and children who did survive were forced into slavery. </w:t>
      </w:r>
      <w:r w:rsidR="00B6521D">
        <w:t xml:space="preserve">In this session we’ll consider the nature of Transatlantic slavery, </w:t>
      </w:r>
      <w:r w:rsidR="004F4DF3">
        <w:t xml:space="preserve">and the scale and prominent features of the trade. </w:t>
      </w:r>
      <w:r w:rsidR="00594670">
        <w:t xml:space="preserve"> We will also begin to explore the resistance of enslaved people, </w:t>
      </w:r>
      <w:r w:rsidR="003553E8">
        <w:t>the campaign for abolition</w:t>
      </w:r>
      <w:r w:rsidR="008B4C90">
        <w:t>, and the impact of emancipation.</w:t>
      </w:r>
    </w:p>
    <w:p w14:paraId="25D25218" w14:textId="467AAD75" w:rsidR="001C76F1" w:rsidRDefault="001C76F1" w:rsidP="001C76F1">
      <w:pPr>
        <w:rPr>
          <w:b/>
          <w:bCs/>
        </w:rPr>
      </w:pPr>
      <w:r>
        <w:rPr>
          <w:b/>
          <w:bCs/>
        </w:rPr>
        <w:t>Key Reading:</w:t>
      </w:r>
    </w:p>
    <w:p w14:paraId="437EA4D3" w14:textId="4D6D8A88" w:rsidR="00F661CD" w:rsidRDefault="00F661CD" w:rsidP="00F661CD">
      <w:hyperlink r:id="rId12" w:history="1">
        <w:r w:rsidRPr="000204FA">
          <w:rPr>
            <w:rStyle w:val="Hyperlink"/>
          </w:rPr>
          <w:t>Slave Voyages</w:t>
        </w:r>
      </w:hyperlink>
      <w:r>
        <w:t xml:space="preserve"> – Begin with the introductory maps to get a sense of the scale of the trade in enslaved people, the geographical areas implicated, and the general patterns of the trade. Then, go to the database and explore different ways of displaying the results. Conduct your own search and select a voyage to focus on. Bring your notes to class.</w:t>
      </w:r>
    </w:p>
    <w:p w14:paraId="118159AB" w14:textId="301CE39C" w:rsidR="00F7338B" w:rsidRDefault="00F7338B" w:rsidP="001C76F1">
      <w:r w:rsidRPr="00F7338B">
        <w:t xml:space="preserve">Wm Roger Louis, Alaine Low, </w:t>
      </w:r>
      <w:r>
        <w:t xml:space="preserve">and Robin Winks (eds.), </w:t>
      </w:r>
      <w:r>
        <w:rPr>
          <w:i/>
          <w:iCs/>
        </w:rPr>
        <w:t xml:space="preserve">Oxford History of the British Empire, Volume 5: Historiography </w:t>
      </w:r>
      <w:r>
        <w:t>(Oxford University Press, 1999), chapter by Gad Heuman.</w:t>
      </w:r>
    </w:p>
    <w:p w14:paraId="150D5F6B" w14:textId="012CB2A2" w:rsidR="00F7338B" w:rsidRDefault="00F7338B" w:rsidP="001C76F1">
      <w:pPr>
        <w:rPr>
          <w:b/>
          <w:bCs/>
        </w:rPr>
      </w:pPr>
      <w:r>
        <w:rPr>
          <w:b/>
          <w:bCs/>
        </w:rPr>
        <w:t>Further Reading:</w:t>
      </w:r>
    </w:p>
    <w:p w14:paraId="01BD2B83" w14:textId="107F3EC4" w:rsidR="00370111" w:rsidRDefault="00370111" w:rsidP="00370111">
      <w:pPr>
        <w:pStyle w:val="Heading4"/>
      </w:pPr>
      <w:r>
        <w:t>General</w:t>
      </w:r>
    </w:p>
    <w:p w14:paraId="3F7DED22" w14:textId="77777777" w:rsidR="00370111" w:rsidRDefault="00370111" w:rsidP="00370111">
      <w:r>
        <w:t xml:space="preserve">Edward Baptist, </w:t>
      </w:r>
      <w:r>
        <w:rPr>
          <w:i/>
          <w:iCs/>
        </w:rPr>
        <w:t xml:space="preserve">The Half Has Never Been Told: Slavery and the Making of American Capitalism </w:t>
      </w:r>
      <w:r>
        <w:t>(Basic Books, 2014).</w:t>
      </w:r>
    </w:p>
    <w:p w14:paraId="5CFF05F2" w14:textId="77777777" w:rsidR="00370111" w:rsidRPr="004E1D39" w:rsidRDefault="00370111" w:rsidP="00370111">
      <w:r>
        <w:t xml:space="preserve">Stephen Behrendt, ‘Markets, Transaction Cycles and Profits: Merchant Decision Making in the British Slave Trade’, </w:t>
      </w:r>
      <w:r>
        <w:rPr>
          <w:i/>
          <w:iCs/>
        </w:rPr>
        <w:t xml:space="preserve">William and Mary Quarterly </w:t>
      </w:r>
      <w:r>
        <w:t>58.1 (2001), 171-204.</w:t>
      </w:r>
    </w:p>
    <w:p w14:paraId="3E93F187" w14:textId="77777777" w:rsidR="00370111" w:rsidRDefault="00370111" w:rsidP="00370111">
      <w:r>
        <w:t xml:space="preserve">Ira Berlin, </w:t>
      </w:r>
      <w:r>
        <w:rPr>
          <w:i/>
          <w:iCs/>
        </w:rPr>
        <w:t xml:space="preserve">Generations of Captivity: A History of </w:t>
      </w:r>
      <w:proofErr w:type="gramStart"/>
      <w:r>
        <w:rPr>
          <w:i/>
          <w:iCs/>
        </w:rPr>
        <w:t>African-American</w:t>
      </w:r>
      <w:proofErr w:type="gramEnd"/>
      <w:r>
        <w:rPr>
          <w:i/>
          <w:iCs/>
        </w:rPr>
        <w:t xml:space="preserve"> Slaves </w:t>
      </w:r>
      <w:r>
        <w:t>(Harvard University Press, 2009).</w:t>
      </w:r>
    </w:p>
    <w:p w14:paraId="4CA58F00" w14:textId="77777777" w:rsidR="00370111" w:rsidRDefault="00370111" w:rsidP="00370111">
      <w:r>
        <w:t xml:space="preserve">Ira Berlin, </w:t>
      </w:r>
      <w:r>
        <w:rPr>
          <w:i/>
          <w:iCs/>
        </w:rPr>
        <w:t xml:space="preserve">Many Thousands Gone: The First Two Centuries of Slavery in North America </w:t>
      </w:r>
      <w:r>
        <w:t>(Belknap, 1998).</w:t>
      </w:r>
    </w:p>
    <w:p w14:paraId="662DA85B" w14:textId="171BAA03" w:rsidR="00F64C1B" w:rsidRDefault="00F64C1B" w:rsidP="00F64C1B">
      <w:r>
        <w:t xml:space="preserve">Robin Blackburn, </w:t>
      </w:r>
      <w:r>
        <w:rPr>
          <w:i/>
          <w:iCs/>
        </w:rPr>
        <w:t xml:space="preserve">The Making of New World Slavery: From the Baroque to the Modern, 1492-1800 </w:t>
      </w:r>
      <w:r>
        <w:t>(Verso, 2010).</w:t>
      </w:r>
    </w:p>
    <w:p w14:paraId="5757DF33" w14:textId="7A76C4A5" w:rsidR="00370111" w:rsidRDefault="00370111" w:rsidP="00370111">
      <w:r>
        <w:lastRenderedPageBreak/>
        <w:t xml:space="preserve">Vincent Brown, </w:t>
      </w:r>
      <w:r>
        <w:rPr>
          <w:i/>
          <w:iCs/>
        </w:rPr>
        <w:t xml:space="preserve">The Reaper’s Garden: Death and Power in the World of Atlantic Slavery </w:t>
      </w:r>
      <w:r>
        <w:t>(Harvard University Press, 2010).</w:t>
      </w:r>
    </w:p>
    <w:p w14:paraId="5B812F43" w14:textId="77777777" w:rsidR="00370111" w:rsidRPr="000204FA" w:rsidRDefault="00370111" w:rsidP="00370111">
      <w:r>
        <w:t xml:space="preserve">Randy Browne and John Wood Sweet, ‘Florence Hall’s “Memoirs”: Finding African Women in the Transatlantic Slave Trade’, </w:t>
      </w:r>
      <w:r>
        <w:rPr>
          <w:i/>
          <w:iCs/>
        </w:rPr>
        <w:t xml:space="preserve">Slavery and Abolition </w:t>
      </w:r>
      <w:r>
        <w:t>37.1 (2016), 206-221.</w:t>
      </w:r>
    </w:p>
    <w:p w14:paraId="05FEF396" w14:textId="77777777" w:rsidR="00370111" w:rsidRDefault="00370111" w:rsidP="00370111">
      <w:r>
        <w:t xml:space="preserve">Nicholas Canny and Wm Roger Louis (eds.), </w:t>
      </w:r>
      <w:r>
        <w:rPr>
          <w:i/>
          <w:iCs/>
        </w:rPr>
        <w:t xml:space="preserve">The Oxford History of the British Empire Volume I: The Origins of Empire </w:t>
      </w:r>
      <w:r>
        <w:t>(Oxford University Press, 1998).</w:t>
      </w:r>
    </w:p>
    <w:p w14:paraId="686802DF" w14:textId="77777777" w:rsidR="00370111" w:rsidRDefault="00370111" w:rsidP="00370111">
      <w:r>
        <w:t xml:space="preserve">Philip D. Curtin, </w:t>
      </w:r>
      <w:r>
        <w:rPr>
          <w:i/>
          <w:iCs/>
        </w:rPr>
        <w:t xml:space="preserve">The Rise and Fall of the Plantation Complex: Essays in Atlantic History </w:t>
      </w:r>
      <w:r>
        <w:t>(Cambridge University Press, 1998).</w:t>
      </w:r>
    </w:p>
    <w:p w14:paraId="7943084A" w14:textId="77777777" w:rsidR="00370111" w:rsidRDefault="00370111" w:rsidP="00370111">
      <w:r>
        <w:t xml:space="preserve">David Brion Davis, </w:t>
      </w:r>
      <w:r>
        <w:rPr>
          <w:i/>
          <w:iCs/>
        </w:rPr>
        <w:t xml:space="preserve">The Problem of Slavery in the Age of Revolution, 1770-1823 </w:t>
      </w:r>
      <w:r>
        <w:t>(Oxford University Press, 2023).</w:t>
      </w:r>
    </w:p>
    <w:p w14:paraId="4B3BF5A3" w14:textId="232B1E81" w:rsidR="0092289B" w:rsidRDefault="0092289B" w:rsidP="0092289B">
      <w:r w:rsidRPr="001C76F1">
        <w:t xml:space="preserve">David Brion Davis, </w:t>
      </w:r>
      <w:r w:rsidRPr="001C76F1">
        <w:rPr>
          <w:i/>
          <w:iCs/>
        </w:rPr>
        <w:t>Inhuman Bondage: The R</w:t>
      </w:r>
      <w:r>
        <w:rPr>
          <w:i/>
          <w:iCs/>
        </w:rPr>
        <w:t xml:space="preserve">ise and Fall of Slavery in the New World </w:t>
      </w:r>
      <w:r>
        <w:t>(Oxford University Press, 2023).</w:t>
      </w:r>
    </w:p>
    <w:p w14:paraId="7F74F7EC" w14:textId="77777777" w:rsidR="00370111" w:rsidRPr="00910ED4" w:rsidRDefault="00370111" w:rsidP="00370111">
      <w:r>
        <w:t xml:space="preserve">David Eltis, </w:t>
      </w:r>
      <w:r>
        <w:rPr>
          <w:i/>
          <w:iCs/>
        </w:rPr>
        <w:t xml:space="preserve">The Rise of African Slavery in the Americas </w:t>
      </w:r>
      <w:r>
        <w:t>(Cambridge University Press, 2000).</w:t>
      </w:r>
    </w:p>
    <w:p w14:paraId="4558168A" w14:textId="77777777" w:rsidR="00370111" w:rsidRDefault="00370111" w:rsidP="00370111">
      <w:r>
        <w:t xml:space="preserve">Lacy Ford, </w:t>
      </w:r>
      <w:r>
        <w:rPr>
          <w:i/>
          <w:iCs/>
        </w:rPr>
        <w:t xml:space="preserve">Deliver Us </w:t>
      </w:r>
      <w:proofErr w:type="gramStart"/>
      <w:r>
        <w:rPr>
          <w:i/>
          <w:iCs/>
        </w:rPr>
        <w:t>From</w:t>
      </w:r>
      <w:proofErr w:type="gramEnd"/>
      <w:r>
        <w:rPr>
          <w:i/>
          <w:iCs/>
        </w:rPr>
        <w:t xml:space="preserve"> Evil: The Slavery Question in the Old South </w:t>
      </w:r>
      <w:r>
        <w:t>(Oxford University Press, 2009).</w:t>
      </w:r>
    </w:p>
    <w:p w14:paraId="2A325808" w14:textId="73376E00" w:rsidR="00370111" w:rsidRDefault="00370111" w:rsidP="00370111">
      <w:r>
        <w:t xml:space="preserve">Stephen Foster (ed.), </w:t>
      </w:r>
      <w:r>
        <w:rPr>
          <w:i/>
          <w:iCs/>
        </w:rPr>
        <w:t xml:space="preserve">British North America in the Seventeenth and Eighteenth Centuries </w:t>
      </w:r>
      <w:r>
        <w:t>(Oxford University Press, 2014).</w:t>
      </w:r>
    </w:p>
    <w:p w14:paraId="07A318B1" w14:textId="77777777" w:rsidR="00370111" w:rsidRDefault="00370111" w:rsidP="00370111">
      <w:r>
        <w:t xml:space="preserve">Joseph Inikori, </w:t>
      </w:r>
      <w:r>
        <w:rPr>
          <w:i/>
          <w:iCs/>
        </w:rPr>
        <w:t xml:space="preserve">Africans and the Industrial Revolution in England: A Study in International Trade and Economic Development </w:t>
      </w:r>
      <w:r>
        <w:t>(Cambridge University Press, 2002).</w:t>
      </w:r>
    </w:p>
    <w:p w14:paraId="7D3E65C9" w14:textId="77777777" w:rsidR="00370111" w:rsidRDefault="00370111" w:rsidP="00370111">
      <w:r>
        <w:t xml:space="preserve">Robin Law, </w:t>
      </w:r>
      <w:r>
        <w:rPr>
          <w:i/>
          <w:iCs/>
        </w:rPr>
        <w:t xml:space="preserve">The Slave Coast of West Africa, 1550-1750: The Impact of the Atlantic Slave Trade on an African Society </w:t>
      </w:r>
      <w:r>
        <w:t>(Oxford University Press, 1991).</w:t>
      </w:r>
    </w:p>
    <w:p w14:paraId="1B772398" w14:textId="77777777" w:rsidR="00370111" w:rsidRDefault="00370111" w:rsidP="00370111">
      <w:r>
        <w:t xml:space="preserve">Philip Morgan and Sean Hawkins (eds.), </w:t>
      </w:r>
      <w:r>
        <w:rPr>
          <w:i/>
          <w:iCs/>
        </w:rPr>
        <w:t xml:space="preserve">Black Experience and the Empire </w:t>
      </w:r>
      <w:r>
        <w:t>(Oxford University Press, 2006), chapters by Northrup, Richardson, Morgan, Brown, Heuman.</w:t>
      </w:r>
    </w:p>
    <w:p w14:paraId="449D409B" w14:textId="77777777" w:rsidR="00370111" w:rsidRPr="001C76F1" w:rsidRDefault="00370111" w:rsidP="00370111">
      <w:r>
        <w:t xml:space="preserve">P. J. Marshall, Alaine Low and Wm Roger Louis (eds.), </w:t>
      </w:r>
      <w:r>
        <w:rPr>
          <w:i/>
          <w:iCs/>
        </w:rPr>
        <w:t xml:space="preserve">Oxford History of the British Empire, Vol II: The Eighteenth Century </w:t>
      </w:r>
      <w:r>
        <w:t>(Oxford University Press, 1998), Chapters by Sheridan, Ward, and Richardson</w:t>
      </w:r>
    </w:p>
    <w:p w14:paraId="5FC45199" w14:textId="77777777" w:rsidR="00370111" w:rsidRDefault="00370111" w:rsidP="00370111">
      <w:r>
        <w:t xml:space="preserve">Jennifer Morgan, </w:t>
      </w:r>
      <w:r>
        <w:rPr>
          <w:i/>
          <w:iCs/>
        </w:rPr>
        <w:t xml:space="preserve">Reckoning </w:t>
      </w:r>
      <w:proofErr w:type="gramStart"/>
      <w:r>
        <w:rPr>
          <w:i/>
          <w:iCs/>
        </w:rPr>
        <w:t>With</w:t>
      </w:r>
      <w:proofErr w:type="gramEnd"/>
      <w:r>
        <w:rPr>
          <w:i/>
          <w:iCs/>
        </w:rPr>
        <w:t xml:space="preserve"> Slavery: Gender, Kinship and Capitalism in the Early Black Atlantic </w:t>
      </w:r>
      <w:r>
        <w:t>(Duke University Press, 2021)</w:t>
      </w:r>
    </w:p>
    <w:p w14:paraId="77B887CB" w14:textId="0C824CCA" w:rsidR="00370111" w:rsidRDefault="00370111" w:rsidP="00370111">
      <w:r>
        <w:t xml:space="preserve">David Northrup (ed.), </w:t>
      </w:r>
      <w:r>
        <w:rPr>
          <w:i/>
          <w:iCs/>
        </w:rPr>
        <w:t xml:space="preserve">The Atlantic Slave Trade </w:t>
      </w:r>
      <w:r>
        <w:t>(D. C. Heath, 1994), chapters by Williams, Eltis and Davis.</w:t>
      </w:r>
    </w:p>
    <w:p w14:paraId="11B33CBA" w14:textId="7074FCCB" w:rsidR="00370111" w:rsidRDefault="00370111" w:rsidP="00370111">
      <w:r>
        <w:t xml:space="preserve">Orlando Patterson, </w:t>
      </w:r>
      <w:r>
        <w:rPr>
          <w:i/>
          <w:iCs/>
        </w:rPr>
        <w:t xml:space="preserve">Slavery and Social Death: A Comparative Study </w:t>
      </w:r>
      <w:r>
        <w:t>(Harvard University Press, 1982).</w:t>
      </w:r>
    </w:p>
    <w:p w14:paraId="67AA9A00" w14:textId="344B212E" w:rsidR="00370111" w:rsidRDefault="00370111" w:rsidP="00370111">
      <w:r>
        <w:t xml:space="preserve">Damian A. Pargas and Juliane Schiel (eds.), </w:t>
      </w:r>
      <w:r>
        <w:rPr>
          <w:i/>
          <w:iCs/>
        </w:rPr>
        <w:t xml:space="preserve">The Palgrave Handbook of Global Slavery Throughout History </w:t>
      </w:r>
      <w:r>
        <w:t>(Palgrave Macmillan, 2023).</w:t>
      </w:r>
    </w:p>
    <w:p w14:paraId="34A9598E" w14:textId="77777777" w:rsidR="00370111" w:rsidRDefault="00370111" w:rsidP="00370111">
      <w:r>
        <w:t xml:space="preserve">Mary Prince, </w:t>
      </w:r>
      <w:r>
        <w:rPr>
          <w:i/>
          <w:iCs/>
        </w:rPr>
        <w:t xml:space="preserve">The History of Mary Prince, A West Indian Slave </w:t>
      </w:r>
      <w:r>
        <w:t>(University of Michigan Press, 1993).</w:t>
      </w:r>
    </w:p>
    <w:p w14:paraId="7860CD1A" w14:textId="7A6F48F1" w:rsidR="00370111" w:rsidRDefault="00370111" w:rsidP="00370111">
      <w:r>
        <w:t xml:space="preserve">Marcus Rediker, </w:t>
      </w:r>
      <w:r>
        <w:rPr>
          <w:i/>
          <w:iCs/>
        </w:rPr>
        <w:t xml:space="preserve">The Slave Ship: A Human History </w:t>
      </w:r>
      <w:r>
        <w:t>(John Murray, 2008).</w:t>
      </w:r>
    </w:p>
    <w:p w14:paraId="426B6C61" w14:textId="30D23F1E" w:rsidR="00370111" w:rsidRDefault="00370111" w:rsidP="00370111">
      <w:r>
        <w:t xml:space="preserve">Daniel B. Rood, </w:t>
      </w:r>
      <w:r>
        <w:rPr>
          <w:i/>
          <w:iCs/>
        </w:rPr>
        <w:t xml:space="preserve">The Reinvention of Atlantic Slavery: Technology, Labour, Race, and Capitalism in the Greater Caribbean </w:t>
      </w:r>
      <w:r>
        <w:t>(Oxford University Press, 2017).</w:t>
      </w:r>
    </w:p>
    <w:p w14:paraId="49D45BD6" w14:textId="553F7121" w:rsidR="00370111" w:rsidRDefault="00370111" w:rsidP="00370111">
      <w:r w:rsidRPr="0093136B">
        <w:t xml:space="preserve">Stuart Schwartz, </w:t>
      </w:r>
      <w:r w:rsidRPr="0093136B">
        <w:rPr>
          <w:i/>
          <w:iCs/>
        </w:rPr>
        <w:t>Sugar Plantations in the Formation of B</w:t>
      </w:r>
      <w:r>
        <w:rPr>
          <w:i/>
          <w:iCs/>
        </w:rPr>
        <w:t xml:space="preserve">razilian Society: Bahia, 1550-1835 </w:t>
      </w:r>
      <w:r>
        <w:t>(Cambridge University Press, 1985).</w:t>
      </w:r>
    </w:p>
    <w:p w14:paraId="38ECB4F2" w14:textId="77777777" w:rsidR="00E34848" w:rsidRDefault="00E34848" w:rsidP="00E34848">
      <w:r>
        <w:lastRenderedPageBreak/>
        <w:t xml:space="preserve">John Thornton, </w:t>
      </w:r>
      <w:r>
        <w:rPr>
          <w:i/>
          <w:iCs/>
        </w:rPr>
        <w:t xml:space="preserve">Africa and Africans in the Making of the Atlantic World, 1400-1800 </w:t>
      </w:r>
      <w:r>
        <w:t>(Cambridge University Press, 1998).</w:t>
      </w:r>
    </w:p>
    <w:p w14:paraId="6BE6783C" w14:textId="77777777" w:rsidR="00E34848" w:rsidRPr="002141EE" w:rsidRDefault="00E34848" w:rsidP="00E34848">
      <w:r>
        <w:t xml:space="preserve">Jane Webster, </w:t>
      </w:r>
      <w:r>
        <w:rPr>
          <w:i/>
          <w:iCs/>
        </w:rPr>
        <w:t xml:space="preserve">Materializing the Middle Passage: A Historical Archaeology of British Slave Shipping, 1680-1807 </w:t>
      </w:r>
      <w:r>
        <w:t>(Oxford University Press, 2023).</w:t>
      </w:r>
    </w:p>
    <w:p w14:paraId="322B0F0A" w14:textId="039F8B37" w:rsidR="00E34848" w:rsidRDefault="00E34848" w:rsidP="00E34848">
      <w:r>
        <w:t xml:space="preserve">Eric Williams, </w:t>
      </w:r>
      <w:r>
        <w:rPr>
          <w:i/>
          <w:iCs/>
        </w:rPr>
        <w:t xml:space="preserve">Capitalism and Slavery </w:t>
      </w:r>
      <w:r>
        <w:t>(Andre Deutsch, 1964).</w:t>
      </w:r>
    </w:p>
    <w:p w14:paraId="627F73D1" w14:textId="739495E1" w:rsidR="00370111" w:rsidRDefault="00370111" w:rsidP="00370111">
      <w:pPr>
        <w:pStyle w:val="Heading4"/>
      </w:pPr>
      <w:r>
        <w:t>Resistance, Abolition Campaigns and Emancipation</w:t>
      </w:r>
    </w:p>
    <w:p w14:paraId="4B5FA880" w14:textId="77777777" w:rsidR="00370111" w:rsidRDefault="00370111" w:rsidP="00370111">
      <w:r>
        <w:t xml:space="preserve">Vincent Brown, </w:t>
      </w:r>
      <w:proofErr w:type="spellStart"/>
      <w:r>
        <w:rPr>
          <w:i/>
          <w:iCs/>
        </w:rPr>
        <w:t>Tacky’s</w:t>
      </w:r>
      <w:proofErr w:type="spellEnd"/>
      <w:r>
        <w:rPr>
          <w:i/>
          <w:iCs/>
        </w:rPr>
        <w:t xml:space="preserve"> Revolt: The Story of an Atlantic Slave War </w:t>
      </w:r>
      <w:r>
        <w:t>(Belknap Press, 2020).</w:t>
      </w:r>
    </w:p>
    <w:p w14:paraId="3B4A84F1" w14:textId="77777777" w:rsidR="00370111" w:rsidRDefault="00370111" w:rsidP="00370111">
      <w:r>
        <w:t xml:space="preserve">Robin Blackburn, </w:t>
      </w:r>
      <w:r>
        <w:rPr>
          <w:i/>
          <w:iCs/>
        </w:rPr>
        <w:t xml:space="preserve">The Overthrow of Colonial Slavery, 1776-1848 </w:t>
      </w:r>
      <w:r>
        <w:t>(Verso, 1988).</w:t>
      </w:r>
    </w:p>
    <w:p w14:paraId="5277DB5B" w14:textId="77777777" w:rsidR="00370111" w:rsidRDefault="00370111" w:rsidP="00370111">
      <w:proofErr w:type="spellStart"/>
      <w:r>
        <w:t>Brycchan</w:t>
      </w:r>
      <w:proofErr w:type="spellEnd"/>
      <w:r>
        <w:t xml:space="preserve"> Carey, </w:t>
      </w:r>
      <w:r>
        <w:rPr>
          <w:i/>
          <w:iCs/>
        </w:rPr>
        <w:t xml:space="preserve">Slavery and the Cultures of Abolition: Essays Marking the Bicentennial of the British Abolition Act of 1807 </w:t>
      </w:r>
      <w:r>
        <w:t>(D. S. Brewer, 2007).</w:t>
      </w:r>
    </w:p>
    <w:p w14:paraId="0D29E7EC" w14:textId="77777777" w:rsidR="00370111" w:rsidRDefault="00370111" w:rsidP="00370111">
      <w:r>
        <w:t xml:space="preserve">Pieter Emmer, ‘“A Spirit of Independence” or Lack of Education for the Market? Freedmen and Asian Indentured Labourers in the Post-Emancipation Caribbean, 1834-1917’, </w:t>
      </w:r>
      <w:r>
        <w:rPr>
          <w:i/>
          <w:iCs/>
        </w:rPr>
        <w:t xml:space="preserve">Slavery and Abolition </w:t>
      </w:r>
      <w:r>
        <w:t>21.2 (2000), 150-168.</w:t>
      </w:r>
    </w:p>
    <w:p w14:paraId="1BB3008F" w14:textId="77777777" w:rsidR="00370111" w:rsidRDefault="00370111" w:rsidP="00370111">
      <w:r>
        <w:t>Anne Eller, ‘</w:t>
      </w:r>
      <w:proofErr w:type="spellStart"/>
      <w:r>
        <w:t>Rumors</w:t>
      </w:r>
      <w:proofErr w:type="spellEnd"/>
      <w:r>
        <w:t xml:space="preserve"> of Slavery: Defending Emancipation in a Hostile Caribbean’, </w:t>
      </w:r>
      <w:r>
        <w:rPr>
          <w:i/>
          <w:iCs/>
        </w:rPr>
        <w:t xml:space="preserve">American Historical Review </w:t>
      </w:r>
      <w:r>
        <w:t>122.3 (2017), 653-679.</w:t>
      </w:r>
    </w:p>
    <w:p w14:paraId="2F6F6F03" w14:textId="4C521BE2" w:rsidR="00370111" w:rsidRDefault="00370111" w:rsidP="00370111">
      <w:r>
        <w:t xml:space="preserve">David Galenson, ‘The Rise and Fall of Indentured Servitude in the Americas: An Economic Analysis’, </w:t>
      </w:r>
      <w:r>
        <w:rPr>
          <w:i/>
          <w:iCs/>
        </w:rPr>
        <w:t xml:space="preserve">Journal of Economic History </w:t>
      </w:r>
      <w:r>
        <w:t>44.1 (1984), 1-26.</w:t>
      </w:r>
    </w:p>
    <w:p w14:paraId="5A018AB5" w14:textId="77777777" w:rsidR="00370111" w:rsidRDefault="00370111" w:rsidP="00370111">
      <w:r>
        <w:t xml:space="preserve">William Green, </w:t>
      </w:r>
      <w:r>
        <w:rPr>
          <w:i/>
          <w:iCs/>
        </w:rPr>
        <w:t xml:space="preserve">British Slave Emancipation: The Sugar Colonies and the Great Experiment </w:t>
      </w:r>
      <w:r>
        <w:t>(Clarendon, 1976).</w:t>
      </w:r>
    </w:p>
    <w:p w14:paraId="0833306D" w14:textId="77777777" w:rsidR="00370111" w:rsidRDefault="00370111" w:rsidP="00370111">
      <w:r>
        <w:t xml:space="preserve">Tera Hunter, </w:t>
      </w:r>
      <w:r>
        <w:rPr>
          <w:i/>
          <w:iCs/>
        </w:rPr>
        <w:t xml:space="preserve">Bound in Wedlock: Slave and Free Black Marriage in the Nineteenth Century </w:t>
      </w:r>
      <w:r>
        <w:t>(Harvard University Press, 2017).</w:t>
      </w:r>
    </w:p>
    <w:p w14:paraId="2A72FF84" w14:textId="77777777" w:rsidR="00370111" w:rsidRDefault="00370111" w:rsidP="00370111">
      <w:r>
        <w:t xml:space="preserve">Thomas C. Holt, </w:t>
      </w:r>
      <w:r>
        <w:rPr>
          <w:i/>
          <w:iCs/>
        </w:rPr>
        <w:t xml:space="preserve">The Problem of Freedom: Race, Labour and Politics in Jamaica and Britain, 1832-1938 </w:t>
      </w:r>
      <w:r>
        <w:t>(Johns Hopkins University Press, 1992).</w:t>
      </w:r>
    </w:p>
    <w:p w14:paraId="5AEA7F1B" w14:textId="77777777" w:rsidR="00370111" w:rsidRDefault="00370111" w:rsidP="00370111">
      <w:r>
        <w:t xml:space="preserve">Fernanda </w:t>
      </w:r>
      <w:proofErr w:type="spellStart"/>
      <w:r>
        <w:t>Bretones</w:t>
      </w:r>
      <w:proofErr w:type="spellEnd"/>
      <w:r>
        <w:t xml:space="preserve"> Lane, ‘Free to Bury their Dead: Baptism and the Meanings of Freedom in the Eighteenth-Century Caribbean’, </w:t>
      </w:r>
      <w:r>
        <w:rPr>
          <w:i/>
          <w:iCs/>
        </w:rPr>
        <w:t xml:space="preserve">Slavery and Abolition </w:t>
      </w:r>
      <w:r>
        <w:t>42:3 (2021), 449-465.</w:t>
      </w:r>
    </w:p>
    <w:p w14:paraId="19064EBA" w14:textId="3F1C8310" w:rsidR="00370111" w:rsidRPr="00B115AA" w:rsidRDefault="00370111" w:rsidP="00370111">
      <w:r>
        <w:t xml:space="preserve">Stephan Lenik and Christer Petley, ‘The Material Cultures of Slavery and Abolition in the British Caribbean’, </w:t>
      </w:r>
      <w:r>
        <w:rPr>
          <w:i/>
          <w:iCs/>
        </w:rPr>
        <w:t xml:space="preserve">Slavery and Abolition </w:t>
      </w:r>
      <w:r>
        <w:t>35.3 (2014), 389-398.</w:t>
      </w:r>
    </w:p>
    <w:p w14:paraId="18C14612" w14:textId="77777777" w:rsidR="00370111" w:rsidRDefault="00370111" w:rsidP="00370111">
      <w:r>
        <w:t xml:space="preserve">Leroy Levy, ‘The Self-Purchase of “Freedom”: A Reparative History of the Abolition of Caribbean Slavery, 1832-1833’, </w:t>
      </w:r>
      <w:r>
        <w:rPr>
          <w:i/>
          <w:iCs/>
        </w:rPr>
        <w:t xml:space="preserve">Intellectual History Review </w:t>
      </w:r>
      <w:r>
        <w:t>34.4 (2024), 731-750.</w:t>
      </w:r>
    </w:p>
    <w:p w14:paraId="30D5A3C2" w14:textId="53054868" w:rsidR="00370111" w:rsidRDefault="00370111" w:rsidP="00370111">
      <w:proofErr w:type="spellStart"/>
      <w:r w:rsidRPr="00F61202">
        <w:t>Iyunolu</w:t>
      </w:r>
      <w:proofErr w:type="spellEnd"/>
      <w:r w:rsidRPr="00F61202">
        <w:t xml:space="preserve"> Folayan Osagie, </w:t>
      </w:r>
      <w:r w:rsidRPr="00F61202">
        <w:rPr>
          <w:i/>
          <w:iCs/>
        </w:rPr>
        <w:t>The Amistad Revolt: Memory</w:t>
      </w:r>
      <w:r>
        <w:rPr>
          <w:i/>
          <w:iCs/>
        </w:rPr>
        <w:t xml:space="preserve">, Slavery and the Politics of Identity in the United States and Sierra Leone </w:t>
      </w:r>
      <w:r>
        <w:t>(University of Georgia Press, 2000).</w:t>
      </w:r>
    </w:p>
    <w:p w14:paraId="43BE6462" w14:textId="3DB7B9CC" w:rsidR="00370111" w:rsidRDefault="00370111" w:rsidP="00370111">
      <w:r>
        <w:t xml:space="preserve">Christer Petley, ‘New Perspectives on Slavery and Emancipation in the British Caribbean’, </w:t>
      </w:r>
      <w:r>
        <w:rPr>
          <w:i/>
          <w:iCs/>
        </w:rPr>
        <w:t xml:space="preserve">Historical Journal </w:t>
      </w:r>
      <w:r>
        <w:t>54.3 (2011), 855-880.</w:t>
      </w:r>
    </w:p>
    <w:p w14:paraId="0CBD74A1" w14:textId="3FE898E5" w:rsidR="00370111" w:rsidRDefault="00370111" w:rsidP="00370111">
      <w:r>
        <w:t xml:space="preserve">David Richardson, ‘Shipboard Revolts: African Authority and the Atlantic Slave Trade’, </w:t>
      </w:r>
      <w:r>
        <w:rPr>
          <w:i/>
          <w:iCs/>
        </w:rPr>
        <w:t xml:space="preserve">William and Mary Quarterly </w:t>
      </w:r>
      <w:r>
        <w:t>58 (2001), 69-92.</w:t>
      </w:r>
    </w:p>
    <w:p w14:paraId="640ED9B4" w14:textId="12045B3B" w:rsidR="00370111" w:rsidRDefault="00370111" w:rsidP="00370111">
      <w:r>
        <w:t xml:space="preserve">Edward Bartlett Rugemer, </w:t>
      </w:r>
      <w:r>
        <w:rPr>
          <w:i/>
          <w:iCs/>
        </w:rPr>
        <w:t xml:space="preserve">The Problem of Emancipation: The Caribbean Roots of the American Civil War </w:t>
      </w:r>
      <w:r>
        <w:t>(LSU Press, 2009).</w:t>
      </w:r>
    </w:p>
    <w:p w14:paraId="4ADA1B52" w14:textId="66D56D3E" w:rsidR="00370111" w:rsidRDefault="00370111" w:rsidP="00370111">
      <w:r>
        <w:lastRenderedPageBreak/>
        <w:t xml:space="preserve">Christopher Schmidt-Nowara, ‘Caribbean Emancipations’, </w:t>
      </w:r>
      <w:r>
        <w:rPr>
          <w:i/>
          <w:iCs/>
        </w:rPr>
        <w:t xml:space="preserve">Social History </w:t>
      </w:r>
      <w:r>
        <w:t>36.3 (2011), 257-259.</w:t>
      </w:r>
    </w:p>
    <w:p w14:paraId="7B202693" w14:textId="76D110C5" w:rsidR="00370111" w:rsidRDefault="00370111" w:rsidP="00370111">
      <w:r w:rsidRPr="00910ED4">
        <w:t xml:space="preserve">Dimitrios Theodoridis, Klas </w:t>
      </w:r>
      <w:proofErr w:type="spellStart"/>
      <w:r w:rsidRPr="00910ED4">
        <w:t>Rönnbäck</w:t>
      </w:r>
      <w:proofErr w:type="spellEnd"/>
      <w:r w:rsidRPr="00910ED4">
        <w:t xml:space="preserve"> and St</w:t>
      </w:r>
      <w:r>
        <w:t xml:space="preserve">efania Galli, ‘The Failed Promise of Freedom: Emancipation and Wealth Inequality in the Caribbean’, </w:t>
      </w:r>
      <w:r>
        <w:rPr>
          <w:i/>
          <w:iCs/>
        </w:rPr>
        <w:t xml:space="preserve">Economic History Review </w:t>
      </w:r>
      <w:r>
        <w:t>(2024).</w:t>
      </w:r>
    </w:p>
    <w:p w14:paraId="6D4784B5" w14:textId="77777777" w:rsidR="00370111" w:rsidRDefault="00370111" w:rsidP="00370111">
      <w:pPr>
        <w:pStyle w:val="Heading4"/>
      </w:pPr>
      <w:r>
        <w:t>Legacies</w:t>
      </w:r>
    </w:p>
    <w:p w14:paraId="4FB55D0C" w14:textId="68645CC3" w:rsidR="00F61202" w:rsidRDefault="00F7338B" w:rsidP="00F61202">
      <w:r w:rsidRPr="00F7338B">
        <w:t xml:space="preserve">Ana Lucia Araujo, </w:t>
      </w:r>
      <w:r w:rsidRPr="00F7338B">
        <w:rPr>
          <w:i/>
          <w:iCs/>
        </w:rPr>
        <w:t>Reparations for Slavery and</w:t>
      </w:r>
      <w:r>
        <w:rPr>
          <w:i/>
          <w:iCs/>
        </w:rPr>
        <w:t xml:space="preserve"> the Slave Trade: A Transnational and Comparative History </w:t>
      </w:r>
      <w:r>
        <w:t>(Bloomsbury, 2017).</w:t>
      </w:r>
    </w:p>
    <w:p w14:paraId="7DB6BAA9" w14:textId="77777777" w:rsidR="00370111" w:rsidRDefault="00370111" w:rsidP="00370111">
      <w:r>
        <w:t xml:space="preserve">Michael Banner, </w:t>
      </w:r>
      <w:r>
        <w:rPr>
          <w:i/>
          <w:iCs/>
        </w:rPr>
        <w:t xml:space="preserve">Britain’s Slavery Debt: Reparations Now </w:t>
      </w:r>
      <w:r>
        <w:t>(Oxford University Press, 2024).</w:t>
      </w:r>
    </w:p>
    <w:p w14:paraId="23EC9943" w14:textId="128D0447" w:rsidR="00FE6E7E" w:rsidRPr="0093136B" w:rsidRDefault="0093136B" w:rsidP="00E34848">
      <w:r w:rsidRPr="0093136B">
        <w:t xml:space="preserve">Padraic X. Scanlan, </w:t>
      </w:r>
      <w:r w:rsidRPr="0093136B">
        <w:rPr>
          <w:i/>
          <w:iCs/>
        </w:rPr>
        <w:t>Slave Empire: How S</w:t>
      </w:r>
      <w:r>
        <w:rPr>
          <w:i/>
          <w:iCs/>
        </w:rPr>
        <w:t xml:space="preserve">lavery Built Modern Britain </w:t>
      </w:r>
      <w:r>
        <w:t>(Robinson, 2020).</w:t>
      </w:r>
    </w:p>
    <w:p w14:paraId="11337BF8" w14:textId="1F37E6C0" w:rsidR="0072641B" w:rsidRDefault="00880A62" w:rsidP="0072641B">
      <w:pPr>
        <w:pStyle w:val="Heading3"/>
      </w:pPr>
      <w:r>
        <w:t xml:space="preserve">Session 5: </w:t>
      </w:r>
      <w:r w:rsidR="00E34848">
        <w:t>The Haitian Revolution</w:t>
      </w:r>
    </w:p>
    <w:p w14:paraId="15CFCBB4" w14:textId="198E3DE5" w:rsidR="00057F96" w:rsidRDefault="00CD679E" w:rsidP="00210F6B">
      <w:r>
        <w:t>This session will explore the Haitian Revolution (1791-1804) and its profound global impact. We will look at the social, political, and economic conditions that led to the uprising, the role of enslaved people and free people of colour, and the influence of Enlightenment ideas and the French Revolution</w:t>
      </w:r>
      <w:r w:rsidR="00F64C1B">
        <w:t>.</w:t>
      </w:r>
    </w:p>
    <w:p w14:paraId="42D9006B" w14:textId="4712D09B" w:rsidR="00A3364E" w:rsidRDefault="00A3364E" w:rsidP="00A3364E">
      <w:pPr>
        <w:rPr>
          <w:b/>
          <w:bCs/>
        </w:rPr>
      </w:pPr>
      <w:r>
        <w:rPr>
          <w:b/>
          <w:bCs/>
        </w:rPr>
        <w:t>Key Reading:</w:t>
      </w:r>
    </w:p>
    <w:p w14:paraId="1869D6B5" w14:textId="410EE0D6" w:rsidR="006F43A5" w:rsidRPr="006F43A5" w:rsidRDefault="006F43A5" w:rsidP="006F43A5">
      <w:r>
        <w:t xml:space="preserve">Primary Source: </w:t>
      </w:r>
      <w:hyperlink r:id="rId13" w:history="1">
        <w:r w:rsidRPr="006F43A5">
          <w:rPr>
            <w:rStyle w:val="Hyperlink"/>
          </w:rPr>
          <w:t>Constitution of Haiti, 1805</w:t>
        </w:r>
      </w:hyperlink>
    </w:p>
    <w:p w14:paraId="1824D77E" w14:textId="77777777" w:rsidR="00057F96" w:rsidRPr="00057F96" w:rsidRDefault="00057F96" w:rsidP="00057F96">
      <w:r w:rsidRPr="00057F96">
        <w:t xml:space="preserve">Robin Blackburn, “Haiti, Slavery, and the Age of the Democratic Revolution.” </w:t>
      </w:r>
      <w:r w:rsidRPr="00057F96">
        <w:rPr>
          <w:i/>
          <w:iCs/>
        </w:rPr>
        <w:t>William and Mary Quarterly</w:t>
      </w:r>
      <w:r w:rsidRPr="00057F96">
        <w:t xml:space="preserve"> 63.4 (2006): 633-674.</w:t>
      </w:r>
    </w:p>
    <w:p w14:paraId="61DB324D" w14:textId="7C5DF6F4" w:rsidR="000204FA" w:rsidRPr="000204FA" w:rsidRDefault="000204FA" w:rsidP="00A3364E">
      <w:r>
        <w:t xml:space="preserve">Philippe R. Girard, ‘The Haitian Revolution, History’s New Frontier: State of the Scholarship and Archival Sources’, </w:t>
      </w:r>
      <w:r>
        <w:rPr>
          <w:i/>
          <w:iCs/>
        </w:rPr>
        <w:t xml:space="preserve">Slavery and Abolition </w:t>
      </w:r>
      <w:r>
        <w:t>34.3 (2013), 485-507.</w:t>
      </w:r>
    </w:p>
    <w:p w14:paraId="2D168166" w14:textId="3411D51C" w:rsidR="00057F96" w:rsidRDefault="00057F96" w:rsidP="00A3364E">
      <w:pPr>
        <w:rPr>
          <w:b/>
          <w:bCs/>
        </w:rPr>
      </w:pPr>
      <w:r>
        <w:rPr>
          <w:b/>
          <w:bCs/>
        </w:rPr>
        <w:t>Further Reading</w:t>
      </w:r>
    </w:p>
    <w:p w14:paraId="2332763C" w14:textId="428084A7" w:rsidR="00B115AA" w:rsidRPr="00B115AA" w:rsidRDefault="00B115AA" w:rsidP="00B115AA">
      <w:r>
        <w:t xml:space="preserve">Robin Blackburn, </w:t>
      </w:r>
      <w:r>
        <w:rPr>
          <w:i/>
          <w:iCs/>
        </w:rPr>
        <w:t xml:space="preserve">The Overthrow of Colonial Slavery, 1776-1848 </w:t>
      </w:r>
      <w:r>
        <w:t>(Verso, 1988), chapter 6.</w:t>
      </w:r>
    </w:p>
    <w:p w14:paraId="348C540C" w14:textId="77777777" w:rsidR="002C52BD" w:rsidRDefault="002C52BD" w:rsidP="00057F96">
      <w:r>
        <w:t xml:space="preserve">Laurence Brown, ‘Visions of Violence in the Haitian Revolution’, </w:t>
      </w:r>
      <w:r>
        <w:rPr>
          <w:i/>
          <w:iCs/>
        </w:rPr>
        <w:t xml:space="preserve">Atlantic Studies </w:t>
      </w:r>
      <w:r>
        <w:t>13.1 (2016), 144-164.</w:t>
      </w:r>
    </w:p>
    <w:p w14:paraId="502B6C60" w14:textId="77777777" w:rsidR="00057F96" w:rsidRDefault="00057F96" w:rsidP="00057F96">
      <w:r w:rsidRPr="00A3364E">
        <w:t xml:space="preserve">Laurent Dubois, </w:t>
      </w:r>
      <w:r w:rsidRPr="00A3364E">
        <w:rPr>
          <w:i/>
          <w:iCs/>
        </w:rPr>
        <w:t xml:space="preserve">Avengers of the </w:t>
      </w:r>
      <w:r>
        <w:rPr>
          <w:i/>
          <w:iCs/>
        </w:rPr>
        <w:t xml:space="preserve">New World: The Story of the Haitian Revolution </w:t>
      </w:r>
      <w:r>
        <w:t>(Belknap Press, 2004).</w:t>
      </w:r>
    </w:p>
    <w:p w14:paraId="367F619F" w14:textId="77777777" w:rsidR="006F43A5" w:rsidRDefault="006F43A5" w:rsidP="006F43A5">
      <w:r w:rsidRPr="00057F96">
        <w:t xml:space="preserve">Laurent Dubois, “Why Haiti should be at the </w:t>
      </w:r>
      <w:proofErr w:type="spellStart"/>
      <w:r w:rsidRPr="00057F96">
        <w:t>center</w:t>
      </w:r>
      <w:proofErr w:type="spellEnd"/>
      <w:r w:rsidRPr="00057F96">
        <w:t xml:space="preserve"> of the Age of Revolution,” </w:t>
      </w:r>
      <w:r w:rsidRPr="00057F96">
        <w:rPr>
          <w:i/>
          <w:iCs/>
        </w:rPr>
        <w:t>Aeon Essays</w:t>
      </w:r>
      <w:r w:rsidRPr="00057F96">
        <w:t xml:space="preserve">, 7 November 2016: </w:t>
      </w:r>
      <w:hyperlink r:id="rId14" w:history="1">
        <w:r w:rsidRPr="00871060">
          <w:rPr>
            <w:rStyle w:val="Hyperlink"/>
          </w:rPr>
          <w:t>https://aeon.co/essays/why-haiti-should-be-at-the-centre-of-the-age-of-revolution</w:t>
        </w:r>
      </w:hyperlink>
    </w:p>
    <w:p w14:paraId="12A7E65C" w14:textId="33F1B9F1" w:rsidR="00057F96" w:rsidRDefault="00057F96" w:rsidP="00057F96">
      <w:r>
        <w:t xml:space="preserve">Carolyn Fick, ‘Dilemmas of Emancipation: From the Saint Domingue Insurrections of 1791 to the Emerging Haitian State’, </w:t>
      </w:r>
      <w:r>
        <w:rPr>
          <w:i/>
          <w:iCs/>
        </w:rPr>
        <w:t xml:space="preserve">History Workshop Journal </w:t>
      </w:r>
      <w:r>
        <w:t>46 (1998), 1-15.</w:t>
      </w:r>
    </w:p>
    <w:p w14:paraId="0E21AB75" w14:textId="29E0A65A" w:rsidR="00261864" w:rsidRPr="00261864" w:rsidRDefault="00261864" w:rsidP="00057F96">
      <w:r>
        <w:t xml:space="preserve">Carolyn Fick. ‘The Haitian Revolution and the Limits of Freedom: Defining Citizenship in the Revolutionary Era’, </w:t>
      </w:r>
      <w:r>
        <w:rPr>
          <w:i/>
          <w:iCs/>
        </w:rPr>
        <w:t xml:space="preserve">Social History </w:t>
      </w:r>
      <w:r>
        <w:t>32.4 (2007), 394-414.</w:t>
      </w:r>
    </w:p>
    <w:p w14:paraId="2CE96C81" w14:textId="77777777" w:rsidR="00057F96" w:rsidRDefault="00057F96" w:rsidP="00057F96">
      <w:r w:rsidRPr="00A3364E">
        <w:t xml:space="preserve">Charles Forsdick, </w:t>
      </w:r>
      <w:r w:rsidRPr="00A3364E">
        <w:rPr>
          <w:i/>
          <w:iCs/>
        </w:rPr>
        <w:t>Toussaint Louverture: A Black Jacobin in th</w:t>
      </w:r>
      <w:r>
        <w:rPr>
          <w:i/>
          <w:iCs/>
        </w:rPr>
        <w:t xml:space="preserve">e Age of Revolutions </w:t>
      </w:r>
      <w:r>
        <w:t>(Pluto Press, 2017).</w:t>
      </w:r>
    </w:p>
    <w:p w14:paraId="034489D7" w14:textId="4ABCA5ED" w:rsidR="00261864" w:rsidRDefault="00261864" w:rsidP="00057F96">
      <w:r>
        <w:t xml:space="preserve">Julia Gaffield, ‘Haiti and Jamaica in the Remaking of the Early Nineteenth-Century Atlantic World’, </w:t>
      </w:r>
      <w:r>
        <w:rPr>
          <w:i/>
          <w:iCs/>
        </w:rPr>
        <w:t xml:space="preserve">William and Mary Quarterly </w:t>
      </w:r>
      <w:r>
        <w:t>69.3 (2012), 583-614.</w:t>
      </w:r>
    </w:p>
    <w:p w14:paraId="64E75251" w14:textId="368B2106" w:rsidR="000204FA" w:rsidRPr="000204FA" w:rsidRDefault="000204FA" w:rsidP="00057F96">
      <w:r>
        <w:t xml:space="preserve">John Garrigus, </w:t>
      </w:r>
      <w:proofErr w:type="spellStart"/>
      <w:r>
        <w:t>‘White</w:t>
      </w:r>
      <w:proofErr w:type="spellEnd"/>
      <w:r>
        <w:t xml:space="preserve"> Jacobins/Black Jacobins: Bringing the Haitian and French Revolutions Together in the Classroom’, </w:t>
      </w:r>
      <w:r>
        <w:rPr>
          <w:i/>
          <w:iCs/>
        </w:rPr>
        <w:t xml:space="preserve">French Historical Studies </w:t>
      </w:r>
      <w:r>
        <w:t>23.2 (2000), 259-275.</w:t>
      </w:r>
    </w:p>
    <w:p w14:paraId="343FD59A" w14:textId="77777777" w:rsidR="00057F96" w:rsidRPr="00057F96" w:rsidRDefault="00057F96" w:rsidP="00057F96">
      <w:r w:rsidRPr="00057F96">
        <w:lastRenderedPageBreak/>
        <w:t>David Geggus, “Haiti and Its Revolution: Four Recent Books.” Radical History Review 115(2013), 195-202</w:t>
      </w:r>
    </w:p>
    <w:p w14:paraId="47C6ACEE" w14:textId="1489BF47" w:rsidR="00387CE9" w:rsidRDefault="00387CE9" w:rsidP="00F7338B">
      <w:r>
        <w:t xml:space="preserve">David Geggus, </w:t>
      </w:r>
      <w:r>
        <w:rPr>
          <w:i/>
          <w:iCs/>
        </w:rPr>
        <w:t xml:space="preserve">The Impact of the Haitian Revolution in the Atlantic World </w:t>
      </w:r>
      <w:r>
        <w:t>(University of South Carolina Press, 2020).</w:t>
      </w:r>
    </w:p>
    <w:p w14:paraId="2AC3B384" w14:textId="15953730" w:rsidR="00387CE9" w:rsidRDefault="00387CE9" w:rsidP="00F7338B">
      <w:r>
        <w:t xml:space="preserve">David Geggus, </w:t>
      </w:r>
      <w:r>
        <w:rPr>
          <w:i/>
          <w:iCs/>
        </w:rPr>
        <w:t xml:space="preserve">Haitian Revolutionary Studies </w:t>
      </w:r>
      <w:r>
        <w:t>(Indiana University Press, 2002).</w:t>
      </w:r>
    </w:p>
    <w:p w14:paraId="394B65CC" w14:textId="2701031D" w:rsidR="00261864" w:rsidRDefault="00261864" w:rsidP="00F7338B">
      <w:r>
        <w:t xml:space="preserve">Philippe Girard, ‘Rebelles with a Cause: Women in the Haitian War of Independence’, </w:t>
      </w:r>
      <w:r>
        <w:rPr>
          <w:i/>
          <w:iCs/>
        </w:rPr>
        <w:t xml:space="preserve">Gender &amp; History </w:t>
      </w:r>
      <w:r>
        <w:t>21.1 (2009), 60-85.</w:t>
      </w:r>
    </w:p>
    <w:p w14:paraId="14E931AD" w14:textId="3D492E84" w:rsidR="00261864" w:rsidRDefault="00261864" w:rsidP="00F7338B">
      <w:r>
        <w:t xml:space="preserve">Philippe Girard, ‘French Atrocities During the Haitian War of Independence’, </w:t>
      </w:r>
      <w:r>
        <w:rPr>
          <w:i/>
          <w:iCs/>
        </w:rPr>
        <w:t xml:space="preserve">Journal of Genocide Research </w:t>
      </w:r>
      <w:r>
        <w:t>15.2 (2013), 133-149.</w:t>
      </w:r>
    </w:p>
    <w:p w14:paraId="452BBA5C" w14:textId="52D31A69" w:rsidR="00261864" w:rsidRDefault="00261864" w:rsidP="00F7338B">
      <w:r w:rsidRPr="00261864">
        <w:t xml:space="preserve">Philippe Girard, ‘“Liberté, Égalité, </w:t>
      </w:r>
      <w:proofErr w:type="spellStart"/>
      <w:r w:rsidRPr="00261864">
        <w:t>Esclavage</w:t>
      </w:r>
      <w:proofErr w:type="spellEnd"/>
      <w:proofErr w:type="gramStart"/>
      <w:r w:rsidRPr="00261864">
        <w:t>” :</w:t>
      </w:r>
      <w:proofErr w:type="gramEnd"/>
      <w:r w:rsidRPr="00261864">
        <w:t xml:space="preserve"> French Revolutionary Ideals and the F</w:t>
      </w:r>
      <w:r>
        <w:t xml:space="preserve">ailure of the Leclerc Expedition to Saint-Domingue’, </w:t>
      </w:r>
      <w:r>
        <w:rPr>
          <w:i/>
          <w:iCs/>
        </w:rPr>
        <w:t xml:space="preserve">French Colonial History </w:t>
      </w:r>
      <w:r>
        <w:t>6.1 (2005).</w:t>
      </w:r>
    </w:p>
    <w:p w14:paraId="4C4A9994" w14:textId="523A0866" w:rsidR="00261864" w:rsidRDefault="00261864" w:rsidP="00F7338B">
      <w:r w:rsidRPr="00261864">
        <w:t>Philippe Girard, ‘Jean-Jacques Dessalines and the Atlantic S</w:t>
      </w:r>
      <w:r>
        <w:t xml:space="preserve">ystem: A Reappraisal’, </w:t>
      </w:r>
      <w:r>
        <w:rPr>
          <w:i/>
          <w:iCs/>
        </w:rPr>
        <w:t xml:space="preserve">William and Mary Quarterly </w:t>
      </w:r>
      <w:r>
        <w:t>69.3 (2012), 549-582.</w:t>
      </w:r>
    </w:p>
    <w:p w14:paraId="062045DF" w14:textId="27056ECE" w:rsidR="002C52BD" w:rsidRPr="002C52BD" w:rsidRDefault="002C52BD" w:rsidP="00F7338B">
      <w:r>
        <w:t xml:space="preserve">Johnhenry Gonzalez, ‘Defiant Haiti: Free-Soil Runaways, Ship Seizures and the Politics of Diplomatic Non-Recognition in the Early Nineteenth Century’, </w:t>
      </w:r>
      <w:r>
        <w:rPr>
          <w:i/>
          <w:iCs/>
        </w:rPr>
        <w:t xml:space="preserve">Slavery and Abolition </w:t>
      </w:r>
      <w:r>
        <w:t>36.1 (2015), 124-135.</w:t>
      </w:r>
    </w:p>
    <w:p w14:paraId="7190A8BD" w14:textId="7193A24F" w:rsidR="00F7338B" w:rsidRDefault="00F7338B" w:rsidP="00F7338B">
      <w:r>
        <w:t xml:space="preserve">Sudhir Hazareesingh, </w:t>
      </w:r>
      <w:r>
        <w:rPr>
          <w:i/>
          <w:iCs/>
        </w:rPr>
        <w:t xml:space="preserve">Black Spartacus: The Epic Life of Toussaint Louverture </w:t>
      </w:r>
      <w:r>
        <w:t>(Penguin, 2020).</w:t>
      </w:r>
    </w:p>
    <w:p w14:paraId="3B3649D8" w14:textId="3E8CA7A4" w:rsidR="000204FA" w:rsidRPr="000204FA" w:rsidRDefault="000204FA" w:rsidP="00F7338B">
      <w:r>
        <w:t xml:space="preserve">Raphael Hoermann, ‘Figures of Terror: The “Zombie” and the Haitian Revolution’, </w:t>
      </w:r>
      <w:r>
        <w:rPr>
          <w:i/>
          <w:iCs/>
        </w:rPr>
        <w:t xml:space="preserve">Atlantic Studies </w:t>
      </w:r>
      <w:r>
        <w:t>14.2 (2017).</w:t>
      </w:r>
    </w:p>
    <w:p w14:paraId="55811B89" w14:textId="77777777" w:rsidR="00057F96" w:rsidRDefault="00057F96" w:rsidP="00057F96">
      <w:r>
        <w:t xml:space="preserve">C.L.R. James, </w:t>
      </w:r>
      <w:r>
        <w:rPr>
          <w:i/>
          <w:iCs/>
        </w:rPr>
        <w:t xml:space="preserve">The Black Jacobins: Toussaint L’Ouverture and the San Domingo Revolution </w:t>
      </w:r>
      <w:r>
        <w:t>(Allison and Busby, 1980), especially pp.85-117.</w:t>
      </w:r>
    </w:p>
    <w:p w14:paraId="76A0DB22" w14:textId="28A01609" w:rsidR="002C52BD" w:rsidRPr="002C52BD" w:rsidRDefault="002C52BD" w:rsidP="00057F96">
      <w:r w:rsidRPr="002C52BD">
        <w:t>Deborah Jenson, ‘Jean-Jacques Dessalines and the African Character of th</w:t>
      </w:r>
      <w:r>
        <w:t xml:space="preserve">e Haitian Revolution’, </w:t>
      </w:r>
      <w:r>
        <w:rPr>
          <w:i/>
          <w:iCs/>
        </w:rPr>
        <w:t xml:space="preserve">William and Mary Quarterly </w:t>
      </w:r>
      <w:r>
        <w:t>69.3 (2012), 615-638.</w:t>
      </w:r>
    </w:p>
    <w:p w14:paraId="1644976D" w14:textId="459B406A" w:rsidR="006F43A5" w:rsidRPr="00261864" w:rsidRDefault="00261864" w:rsidP="006F43A5">
      <w:r>
        <w:t xml:space="preserve">Sara Johnson, ‘“You Should Give Them Blacks to Eat”: Waging Inter-American Wars of Torture and Terror’, </w:t>
      </w:r>
      <w:r>
        <w:rPr>
          <w:i/>
          <w:iCs/>
        </w:rPr>
        <w:t xml:space="preserve">American Quarterly </w:t>
      </w:r>
      <w:r>
        <w:t>61.1 (2009), 65-92.</w:t>
      </w:r>
    </w:p>
    <w:p w14:paraId="02715D75" w14:textId="219D64CB" w:rsidR="004C6931" w:rsidRDefault="004C6931" w:rsidP="00057F96">
      <w:r w:rsidRPr="004C6931">
        <w:t>Annette K. Joseph-Gabriel, ‘Creolizing F</w:t>
      </w:r>
      <w:r>
        <w:t xml:space="preserve">reedom: French-Creole Translations of Liberty and Equality in the Haitian Revolution’, </w:t>
      </w:r>
      <w:r>
        <w:rPr>
          <w:i/>
          <w:iCs/>
        </w:rPr>
        <w:t xml:space="preserve">Slavery &amp; Abolition </w:t>
      </w:r>
      <w:r>
        <w:t>36.1 (2015), 111-123.</w:t>
      </w:r>
    </w:p>
    <w:p w14:paraId="3CA91EBD" w14:textId="59D85778" w:rsidR="006F43A5" w:rsidRPr="004C6931" w:rsidRDefault="006F43A5" w:rsidP="006F43A5">
      <w:r>
        <w:t xml:space="preserve">Franklin Knight, ‘The Haitian Revolution’, </w:t>
      </w:r>
      <w:r>
        <w:rPr>
          <w:i/>
          <w:iCs/>
        </w:rPr>
        <w:t xml:space="preserve">American Historical Review </w:t>
      </w:r>
      <w:r>
        <w:t>(2000), 103-115.</w:t>
      </w:r>
    </w:p>
    <w:p w14:paraId="3093567E" w14:textId="6AD298F0" w:rsidR="004C6931" w:rsidRDefault="004C6931" w:rsidP="00057F96">
      <w:r>
        <w:t xml:space="preserve">Jeremy Popkin, ‘Facing Racial Revolution: Captivity Narratives and Identity in the Saint-Domingue Insurrection’, </w:t>
      </w:r>
      <w:r>
        <w:rPr>
          <w:i/>
          <w:iCs/>
        </w:rPr>
        <w:t xml:space="preserve">Eighteenth-Century Studies </w:t>
      </w:r>
      <w:r>
        <w:t>36.4 (2003), 511-533.</w:t>
      </w:r>
    </w:p>
    <w:p w14:paraId="17955748" w14:textId="7D858FD7" w:rsidR="004C6931" w:rsidRPr="004C6931" w:rsidRDefault="004C6931" w:rsidP="00057F96">
      <w:r>
        <w:t xml:space="preserve">Thomas Reinhardt, ‘200 Years of Forgetting: Hushing Up the Haitian Revolution’, </w:t>
      </w:r>
      <w:r>
        <w:rPr>
          <w:i/>
          <w:iCs/>
        </w:rPr>
        <w:t xml:space="preserve">Journal of Black Studies </w:t>
      </w:r>
      <w:r>
        <w:t>35.4 (2005), 246-261.</w:t>
      </w:r>
    </w:p>
    <w:p w14:paraId="0A4FA252" w14:textId="7E3CC10B" w:rsidR="00387CE9" w:rsidRDefault="00387CE9" w:rsidP="00F7338B">
      <w:r>
        <w:t xml:space="preserve">Karen Salt, </w:t>
      </w:r>
      <w:r>
        <w:rPr>
          <w:i/>
          <w:iCs/>
        </w:rPr>
        <w:t xml:space="preserve">The Unfinished Revolution: Haiti, Black Sovereignty and Power in the Nineteenth Century Atlantic World </w:t>
      </w:r>
      <w:r>
        <w:t>(Liverpool University Press, 2018).</w:t>
      </w:r>
    </w:p>
    <w:p w14:paraId="70EE5E61" w14:textId="3A371081" w:rsidR="00261864" w:rsidRPr="00261864" w:rsidRDefault="00261864" w:rsidP="00F7338B">
      <w:r>
        <w:t xml:space="preserve">Lorelle Semley, ‘To Live and Die, Free and French: Toussaint Louverture’s 1801 Constitution and the Original Challenge of Black Citizenship’, </w:t>
      </w:r>
      <w:r>
        <w:rPr>
          <w:i/>
          <w:iCs/>
        </w:rPr>
        <w:t xml:space="preserve">Radical History Review </w:t>
      </w:r>
      <w:r>
        <w:t>(2013), 65-90.</w:t>
      </w:r>
    </w:p>
    <w:p w14:paraId="7B1BB8E2" w14:textId="5166E8F8" w:rsidR="00F7338B" w:rsidRDefault="00387CE9" w:rsidP="00A3364E">
      <w:r>
        <w:t xml:space="preserve">Julius Scott, </w:t>
      </w:r>
      <w:r>
        <w:rPr>
          <w:i/>
          <w:iCs/>
        </w:rPr>
        <w:t xml:space="preserve">The Common Wind: Afro-American Currents in the Age of the Haitian Revolution </w:t>
      </w:r>
      <w:r>
        <w:t>(Verso, 2020).</w:t>
      </w:r>
    </w:p>
    <w:p w14:paraId="6AE855A0" w14:textId="138A06C2" w:rsidR="006F43A5" w:rsidRDefault="006F43A5" w:rsidP="006F43A5">
      <w:r w:rsidRPr="000204FA">
        <w:lastRenderedPageBreak/>
        <w:t>Robert D. Taber, ‘Navigating Hai</w:t>
      </w:r>
      <w:r>
        <w:t xml:space="preserve">ti’s History: Saint-Domingue and the Haitian Revolution’, </w:t>
      </w:r>
      <w:r>
        <w:rPr>
          <w:i/>
          <w:iCs/>
        </w:rPr>
        <w:t xml:space="preserve">History Compass </w:t>
      </w:r>
      <w:r>
        <w:t>13.5 (2015), 235-250.</w:t>
      </w:r>
    </w:p>
    <w:p w14:paraId="38E44AF2" w14:textId="0D297C95" w:rsidR="002C52BD" w:rsidRPr="002C52BD" w:rsidRDefault="002C52BD" w:rsidP="00A3364E">
      <w:r>
        <w:t xml:space="preserve">Michel-Rolph Trouillot, </w:t>
      </w:r>
      <w:r>
        <w:rPr>
          <w:i/>
          <w:iCs/>
        </w:rPr>
        <w:t xml:space="preserve">Silencing the Past: Power and the Production of History </w:t>
      </w:r>
      <w:r>
        <w:t>(Beacon, 2015).</w:t>
      </w:r>
    </w:p>
    <w:p w14:paraId="21F81253" w14:textId="416EA8F4" w:rsidR="002C52BD" w:rsidRPr="002C52BD" w:rsidRDefault="002C52BD" w:rsidP="00A3364E">
      <w:r>
        <w:t xml:space="preserve">Erin Zavitz, ‘Revolutionary Narrations: Early Haitian Historiography and the Challenge of Writing Counter-History’, </w:t>
      </w:r>
      <w:r>
        <w:rPr>
          <w:i/>
          <w:iCs/>
        </w:rPr>
        <w:t xml:space="preserve">Atlantic Studies </w:t>
      </w:r>
      <w:r>
        <w:t>14.3 (2017), 336-353.</w:t>
      </w:r>
    </w:p>
    <w:p w14:paraId="26D1352C" w14:textId="75846519" w:rsidR="003E6079" w:rsidRDefault="003E6079" w:rsidP="003E6079">
      <w:pPr>
        <w:pStyle w:val="Heading3"/>
      </w:pPr>
      <w:r>
        <w:t xml:space="preserve">Session </w:t>
      </w:r>
      <w:r>
        <w:t>6</w:t>
      </w:r>
      <w:r>
        <w:t>: Assignment Focus</w:t>
      </w:r>
    </w:p>
    <w:p w14:paraId="42F18F28" w14:textId="77777777" w:rsidR="003E6079" w:rsidRPr="009D0CF9" w:rsidRDefault="003E6079" w:rsidP="003E6079">
      <w:r>
        <w:t>In this session we will discuss your assignments – bring your work in progress!</w:t>
      </w:r>
    </w:p>
    <w:p w14:paraId="74522E8B" w14:textId="48ACED7B" w:rsidR="00880A62" w:rsidRDefault="00880A62" w:rsidP="00880A62">
      <w:pPr>
        <w:pStyle w:val="Heading3"/>
      </w:pPr>
      <w:r>
        <w:t xml:space="preserve">Session </w:t>
      </w:r>
      <w:r w:rsidR="003E6079">
        <w:t>7</w:t>
      </w:r>
      <w:r>
        <w:t>: Imperialism and Colonialism</w:t>
      </w:r>
    </w:p>
    <w:p w14:paraId="6957C8D7" w14:textId="77777777" w:rsidR="00CD61B0" w:rsidRPr="00CD61B0" w:rsidRDefault="00CD61B0" w:rsidP="00CD61B0">
      <w:pPr>
        <w:rPr>
          <w:rFonts w:cstheme="minorHAnsi"/>
          <w:color w:val="000000" w:themeColor="text1"/>
        </w:rPr>
      </w:pPr>
      <w:r w:rsidRPr="00CD61B0">
        <w:rPr>
          <w:rFonts w:cstheme="minorHAnsi"/>
          <w:color w:val="000000" w:themeColor="text1"/>
        </w:rPr>
        <w:t>European expansion and imperialism shaped the ‘modern’ world and has wide-ranging legacies for the world today. In this session we will explore the nature of imperialism and the shape of colonial states, with reference to the British, French, and Belgian empires. We’ll think about what motivated imperial expansion, how colonial powers governed, and the responses of colonised people.</w:t>
      </w:r>
    </w:p>
    <w:p w14:paraId="6E0320C4" w14:textId="77777777" w:rsidR="007427FE" w:rsidRDefault="007427FE" w:rsidP="001C76F1">
      <w:pPr>
        <w:rPr>
          <w:b/>
          <w:bCs/>
        </w:rPr>
      </w:pPr>
      <w:r>
        <w:rPr>
          <w:b/>
          <w:bCs/>
        </w:rPr>
        <w:t>Key Reading:</w:t>
      </w:r>
    </w:p>
    <w:p w14:paraId="4C2371AB" w14:textId="4F51C747" w:rsidR="00CB7EE5" w:rsidRDefault="00CB7EE5" w:rsidP="00CB7EE5">
      <w:pPr>
        <w:rPr>
          <w:rFonts w:cstheme="minorHAnsi"/>
          <w:color w:val="000000" w:themeColor="text1"/>
        </w:rPr>
      </w:pPr>
      <w:r>
        <w:rPr>
          <w:rFonts w:cstheme="minorHAnsi"/>
          <w:color w:val="000000" w:themeColor="text1"/>
        </w:rPr>
        <w:t>Michael Adas</w:t>
      </w:r>
      <w:r w:rsidRPr="00CD61B0">
        <w:rPr>
          <w:rFonts w:cstheme="minorHAnsi"/>
          <w:color w:val="000000" w:themeColor="text1"/>
        </w:rPr>
        <w:t>, ‘Imperialism and Colonialism in Comparative Perspective’, </w:t>
      </w:r>
      <w:r w:rsidRPr="00CD61B0">
        <w:rPr>
          <w:rFonts w:cstheme="minorHAnsi"/>
          <w:i/>
          <w:iCs/>
          <w:color w:val="000000" w:themeColor="text1"/>
        </w:rPr>
        <w:t>International History Review</w:t>
      </w:r>
      <w:r w:rsidRPr="00CD61B0">
        <w:rPr>
          <w:rFonts w:cstheme="minorHAnsi"/>
          <w:color w:val="000000" w:themeColor="text1"/>
        </w:rPr>
        <w:t xml:space="preserve">, 20.2 (1998), 371–88 </w:t>
      </w:r>
    </w:p>
    <w:p w14:paraId="44F8091D" w14:textId="7D38BA0B" w:rsidR="00CB7EE5" w:rsidRPr="00CB7EE5" w:rsidRDefault="00CB7EE5" w:rsidP="00CB7EE5">
      <w:r>
        <w:t xml:space="preserve">Raj Chandavarkar, ‘Imperialism and the European Empires’ in J. Jackson (ed.), </w:t>
      </w:r>
      <w:r>
        <w:rPr>
          <w:i/>
          <w:iCs/>
        </w:rPr>
        <w:t xml:space="preserve">The Short Oxford History of Europe, 1900-1945 </w:t>
      </w:r>
      <w:r>
        <w:t>(Oxford University Press, 2002).</w:t>
      </w:r>
    </w:p>
    <w:p w14:paraId="73A776F8" w14:textId="22B66411" w:rsidR="00CD61B0" w:rsidRPr="00CD61B0" w:rsidRDefault="00CD61B0" w:rsidP="00CD61B0">
      <w:pPr>
        <w:rPr>
          <w:rFonts w:cstheme="minorHAnsi"/>
          <w:color w:val="000000" w:themeColor="text1"/>
        </w:rPr>
      </w:pPr>
      <w:r w:rsidRPr="00CD61B0">
        <w:rPr>
          <w:rFonts w:cstheme="minorHAnsi"/>
          <w:color w:val="000000" w:themeColor="text1"/>
        </w:rPr>
        <w:t>Martin</w:t>
      </w:r>
      <w:r w:rsidR="0076076A">
        <w:rPr>
          <w:rFonts w:cstheme="minorHAnsi"/>
          <w:color w:val="000000" w:themeColor="text1"/>
        </w:rPr>
        <w:t xml:space="preserve"> Thomas</w:t>
      </w:r>
      <w:r w:rsidRPr="00CD61B0">
        <w:rPr>
          <w:rFonts w:cstheme="minorHAnsi"/>
          <w:color w:val="000000" w:themeColor="text1"/>
        </w:rPr>
        <w:t xml:space="preserve"> and Andrew Thompson, ‘Empire and Globalisation: From “High Imperialism” to Decolonisation’, </w:t>
      </w:r>
      <w:r w:rsidRPr="00CD61B0">
        <w:rPr>
          <w:rFonts w:cstheme="minorHAnsi"/>
          <w:i/>
          <w:iCs/>
          <w:color w:val="000000" w:themeColor="text1"/>
        </w:rPr>
        <w:t>International History Review</w:t>
      </w:r>
      <w:r w:rsidRPr="00CD61B0">
        <w:rPr>
          <w:rFonts w:cstheme="minorHAnsi"/>
          <w:color w:val="000000" w:themeColor="text1"/>
        </w:rPr>
        <w:t xml:space="preserve">, 36.1 (2014), 142–70 </w:t>
      </w:r>
    </w:p>
    <w:p w14:paraId="5DF86C0A" w14:textId="3E194157" w:rsidR="001C76F1" w:rsidRDefault="001C76F1" w:rsidP="001C76F1">
      <w:pPr>
        <w:rPr>
          <w:b/>
          <w:bCs/>
        </w:rPr>
      </w:pPr>
      <w:r>
        <w:rPr>
          <w:b/>
          <w:bCs/>
        </w:rPr>
        <w:t>Further Reading</w:t>
      </w:r>
    </w:p>
    <w:p w14:paraId="6F8F6C92" w14:textId="77777777" w:rsidR="0093136B" w:rsidRDefault="0093136B" w:rsidP="001C76F1">
      <w:r>
        <w:t xml:space="preserve">Robert Bickers, </w:t>
      </w:r>
      <w:r>
        <w:rPr>
          <w:i/>
          <w:iCs/>
        </w:rPr>
        <w:t xml:space="preserve">Settlers and Expatriates: Britons over the Seas </w:t>
      </w:r>
      <w:r>
        <w:t>(Oxford University Press, 2010).</w:t>
      </w:r>
    </w:p>
    <w:p w14:paraId="70125836" w14:textId="77777777" w:rsidR="00994BFE" w:rsidRDefault="00F555C6" w:rsidP="000E5F69">
      <w:r>
        <w:t xml:space="preserve">Jane Burbank and Frederick Cooper, </w:t>
      </w:r>
      <w:r>
        <w:rPr>
          <w:i/>
          <w:iCs/>
        </w:rPr>
        <w:t xml:space="preserve">Empires in World History: Power and the Politics of Difference </w:t>
      </w:r>
      <w:r>
        <w:t>(Princeton University Press, 2010), Chapter 10.</w:t>
      </w:r>
    </w:p>
    <w:p w14:paraId="6FAD12D3" w14:textId="0F5CA428" w:rsidR="00BB696A" w:rsidRDefault="00BB696A" w:rsidP="000E5F69">
      <w:r>
        <w:t xml:space="preserve">Norman Etherington (ed.), </w:t>
      </w:r>
      <w:r>
        <w:rPr>
          <w:i/>
          <w:iCs/>
        </w:rPr>
        <w:t xml:space="preserve">Missions and Empire </w:t>
      </w:r>
      <w:r>
        <w:t>(Oxford University Press, 2009).</w:t>
      </w:r>
    </w:p>
    <w:p w14:paraId="028ABC08" w14:textId="2E053B0F" w:rsidR="0076076A" w:rsidRDefault="0076076A" w:rsidP="0076076A">
      <w:r w:rsidRPr="007427FE">
        <w:t>Prasenjit Duara, ‘Modern Imperialism’ in Jerry H. Be</w:t>
      </w:r>
      <w:r>
        <w:t xml:space="preserve">ntley (ed.), </w:t>
      </w:r>
      <w:r>
        <w:rPr>
          <w:i/>
          <w:iCs/>
        </w:rPr>
        <w:t xml:space="preserve">The Oxford Handbook of World History </w:t>
      </w:r>
      <w:r>
        <w:t>(Oxford University Press, 2012), pp. 379-395.</w:t>
      </w:r>
    </w:p>
    <w:p w14:paraId="786C6858" w14:textId="1079372E" w:rsidR="001C76F1" w:rsidRDefault="001C76F1" w:rsidP="001C76F1">
      <w:r>
        <w:t xml:space="preserve">Wm Roger Louis and Andrew Porter (eds.), </w:t>
      </w:r>
      <w:r>
        <w:rPr>
          <w:i/>
          <w:iCs/>
        </w:rPr>
        <w:t xml:space="preserve">Oxford History of the British Empire, Volume III: The Nineteenth Century </w:t>
      </w:r>
      <w:r>
        <w:t>(</w:t>
      </w:r>
      <w:r w:rsidR="00BB696A">
        <w:t xml:space="preserve">Oxford University Press, </w:t>
      </w:r>
      <w:r>
        <w:t>1999).</w:t>
      </w:r>
    </w:p>
    <w:p w14:paraId="02E12D9C" w14:textId="49BD9480" w:rsidR="00BB696A" w:rsidRDefault="00BB696A" w:rsidP="001C76F1">
      <w:r>
        <w:t xml:space="preserve">Nandini </w:t>
      </w:r>
      <w:proofErr w:type="spellStart"/>
      <w:r>
        <w:t>Gooptu</w:t>
      </w:r>
      <w:proofErr w:type="spellEnd"/>
      <w:r>
        <w:t xml:space="preserve"> and Douglas Peers (eds.), </w:t>
      </w:r>
      <w:r>
        <w:rPr>
          <w:i/>
          <w:iCs/>
        </w:rPr>
        <w:t xml:space="preserve">India and the British Empire </w:t>
      </w:r>
      <w:r>
        <w:t>(Oxford University Press, 2012).</w:t>
      </w:r>
    </w:p>
    <w:p w14:paraId="47B90324" w14:textId="15ACD520" w:rsidR="00821FCE" w:rsidRDefault="00821FCE" w:rsidP="00821FCE">
      <w:r w:rsidRPr="00821FCE">
        <w:t>Priyamvada Gopal, </w:t>
      </w:r>
      <w:r w:rsidRPr="00821FCE">
        <w:rPr>
          <w:i/>
          <w:iCs/>
        </w:rPr>
        <w:t>Insurgent Empire: Anti-Colonial Resistance and British Dissent </w:t>
      </w:r>
      <w:r w:rsidRPr="00821FCE">
        <w:t>(Verso, 2019)</w:t>
      </w:r>
    </w:p>
    <w:p w14:paraId="01B338A2" w14:textId="1565DA7B" w:rsidR="00BB696A" w:rsidRPr="00BB696A" w:rsidRDefault="00BB696A" w:rsidP="001C76F1">
      <w:r>
        <w:t xml:space="preserve">Philippa Levine (ed.), </w:t>
      </w:r>
      <w:r>
        <w:rPr>
          <w:i/>
          <w:iCs/>
        </w:rPr>
        <w:t xml:space="preserve">Gender and Empire </w:t>
      </w:r>
      <w:r>
        <w:t>(Oxford University Press, 2004).</w:t>
      </w:r>
    </w:p>
    <w:p w14:paraId="40CF5988" w14:textId="207F2BBC" w:rsidR="00F7338B" w:rsidRDefault="00F7338B" w:rsidP="001C76F1">
      <w:r>
        <w:t xml:space="preserve">Wm Roger Louis and Judith Brown (eds.), </w:t>
      </w:r>
      <w:r>
        <w:rPr>
          <w:i/>
          <w:iCs/>
        </w:rPr>
        <w:t xml:space="preserve">Oxford History of the British Empire: The Twentieth Century </w:t>
      </w:r>
      <w:r>
        <w:t>(</w:t>
      </w:r>
      <w:r w:rsidR="00BB696A">
        <w:t xml:space="preserve">Oxford University Press, </w:t>
      </w:r>
      <w:r>
        <w:t>1999).</w:t>
      </w:r>
    </w:p>
    <w:p w14:paraId="303A2413" w14:textId="0E4C7BE9" w:rsidR="00BB696A" w:rsidRDefault="00BB696A" w:rsidP="00BB696A">
      <w:r>
        <w:t xml:space="preserve">Philip D. Morgan and Sean Hawkins (eds.), </w:t>
      </w:r>
      <w:r>
        <w:rPr>
          <w:i/>
          <w:iCs/>
        </w:rPr>
        <w:t xml:space="preserve">Black Experience and the Empire </w:t>
      </w:r>
      <w:r>
        <w:t>(Oxford University Press, 2006).</w:t>
      </w:r>
    </w:p>
    <w:p w14:paraId="514626BA" w14:textId="37245811" w:rsidR="0093136B" w:rsidRDefault="0093136B" w:rsidP="00BB696A">
      <w:r>
        <w:lastRenderedPageBreak/>
        <w:t xml:space="preserve">Edward Said, </w:t>
      </w:r>
      <w:r>
        <w:rPr>
          <w:i/>
          <w:iCs/>
        </w:rPr>
        <w:t xml:space="preserve">Orientalism </w:t>
      </w:r>
      <w:r>
        <w:t>(Penguin, 2003)</w:t>
      </w:r>
    </w:p>
    <w:p w14:paraId="5B498B4C" w14:textId="08F356F7" w:rsidR="000E5F69" w:rsidRPr="000E5F69" w:rsidRDefault="000E5F69" w:rsidP="000E5F69">
      <w:pPr>
        <w:rPr>
          <w:rFonts w:cstheme="minorHAnsi"/>
          <w:color w:val="000000" w:themeColor="text1"/>
        </w:rPr>
      </w:pPr>
      <w:r w:rsidRPr="00CD61B0">
        <w:rPr>
          <w:rFonts w:cstheme="minorHAnsi"/>
          <w:color w:val="000000" w:themeColor="text1"/>
        </w:rPr>
        <w:t xml:space="preserve">Ann Laura </w:t>
      </w:r>
      <w:r>
        <w:rPr>
          <w:rFonts w:cstheme="minorHAnsi"/>
          <w:color w:val="000000" w:themeColor="text1"/>
        </w:rPr>
        <w:t xml:space="preserve">Stoler </w:t>
      </w:r>
      <w:r w:rsidRPr="00CD61B0">
        <w:rPr>
          <w:rFonts w:cstheme="minorHAnsi"/>
          <w:color w:val="000000" w:themeColor="text1"/>
        </w:rPr>
        <w:t xml:space="preserve">and Frederick Cooper, ‘Between Metropole and Colony: Rethinking a Research Agenda’ in Frederick Cooper and Ann Laura Stoler (eds.), </w:t>
      </w:r>
      <w:r w:rsidRPr="00CD61B0">
        <w:rPr>
          <w:rFonts w:cstheme="minorHAnsi"/>
          <w:i/>
          <w:iCs/>
          <w:color w:val="000000" w:themeColor="text1"/>
        </w:rPr>
        <w:t xml:space="preserve">Tensions of Empire: Colonial Cultures in a Bourgeois World </w:t>
      </w:r>
      <w:r w:rsidRPr="00CD61B0">
        <w:rPr>
          <w:rFonts w:cstheme="minorHAnsi"/>
          <w:color w:val="000000" w:themeColor="text1"/>
        </w:rPr>
        <w:t>(Berkeley: University of California Press, 1997).</w:t>
      </w:r>
    </w:p>
    <w:p w14:paraId="09477FFF" w14:textId="25F33A1D" w:rsidR="00880A62" w:rsidRDefault="00880A62" w:rsidP="00880A62">
      <w:pPr>
        <w:pStyle w:val="Heading3"/>
      </w:pPr>
      <w:r>
        <w:t xml:space="preserve">Session </w:t>
      </w:r>
      <w:r w:rsidR="003E6079">
        <w:t>8</w:t>
      </w:r>
      <w:r>
        <w:t xml:space="preserve">: </w:t>
      </w:r>
      <w:r w:rsidR="00281958">
        <w:t xml:space="preserve">The Origins of the </w:t>
      </w:r>
      <w:r>
        <w:t>First World War</w:t>
      </w:r>
    </w:p>
    <w:p w14:paraId="1E92448B" w14:textId="29CCEBF5" w:rsidR="00EC4B4F" w:rsidRDefault="00EC4B4F" w:rsidP="00EC4B4F">
      <w:r>
        <w:t>Did the European powers march or stumble into war in 1914?</w:t>
      </w:r>
      <w:r w:rsidR="00021274">
        <w:t xml:space="preserve"> This seminar will examine the complex causes of the conflict and the major historiographical debates surrounding them. </w:t>
      </w:r>
      <w:r w:rsidR="000048F6">
        <w:t xml:space="preserve">We will explore alliance systems, militarism and nationalism, and structural explanations such as imperialism and economic competition. </w:t>
      </w:r>
    </w:p>
    <w:p w14:paraId="32328D1C" w14:textId="5C9B5109" w:rsidR="00F7338B" w:rsidRDefault="007427FE" w:rsidP="00F7338B">
      <w:pPr>
        <w:rPr>
          <w:b/>
          <w:bCs/>
        </w:rPr>
      </w:pPr>
      <w:r>
        <w:rPr>
          <w:b/>
          <w:bCs/>
        </w:rPr>
        <w:t>Key Reading:</w:t>
      </w:r>
    </w:p>
    <w:p w14:paraId="2BB29D6D" w14:textId="77777777" w:rsidR="00FF7927" w:rsidRDefault="00FF7927" w:rsidP="00FF7927">
      <w:r>
        <w:t xml:space="preserve">Niall Ferguson, </w:t>
      </w:r>
      <w:r>
        <w:rPr>
          <w:i/>
          <w:iCs/>
        </w:rPr>
        <w:t xml:space="preserve">The Pity of War </w:t>
      </w:r>
      <w:r>
        <w:t>(Penguin, 1999).</w:t>
      </w:r>
    </w:p>
    <w:p w14:paraId="7222A3E2" w14:textId="7453D073" w:rsidR="00FF7927" w:rsidRDefault="00FF7927" w:rsidP="00FF7927">
      <w:r>
        <w:t xml:space="preserve">Hew Strachan, </w:t>
      </w:r>
      <w:r>
        <w:rPr>
          <w:i/>
          <w:iCs/>
        </w:rPr>
        <w:t xml:space="preserve">The Oxford Illustrated History of the First World War </w:t>
      </w:r>
      <w:r>
        <w:t>(Oxford University Press, 1998), Chapter 1.</w:t>
      </w:r>
    </w:p>
    <w:p w14:paraId="563785FC" w14:textId="58AC04E4" w:rsidR="00FF7927" w:rsidRDefault="00FF7927" w:rsidP="007427FE">
      <w:pPr>
        <w:rPr>
          <w:b/>
          <w:bCs/>
        </w:rPr>
      </w:pPr>
      <w:r>
        <w:rPr>
          <w:b/>
          <w:bCs/>
        </w:rPr>
        <w:t>Further Reading:</w:t>
      </w:r>
    </w:p>
    <w:p w14:paraId="410C5227" w14:textId="77777777" w:rsidR="00F5706A" w:rsidRDefault="00F5706A" w:rsidP="00CB0824">
      <w:r>
        <w:t xml:space="preserve">Gunter Bischof, Ferdinand Karlhofer and Samuel R. Williamson, </w:t>
      </w:r>
      <w:r>
        <w:rPr>
          <w:i/>
          <w:iCs/>
        </w:rPr>
        <w:t xml:space="preserve">1914: Austria-Hungary, the Origins, and the First Year of World War I </w:t>
      </w:r>
      <w:r>
        <w:t>(University of New Orleans Press, 2014).</w:t>
      </w:r>
    </w:p>
    <w:p w14:paraId="357FC51B" w14:textId="77777777" w:rsidR="008C51A9" w:rsidRDefault="008C51A9" w:rsidP="00CB0824">
      <w:r>
        <w:t xml:space="preserve">Andrew G. Bonnell, ‘New Histories of the Origins of the First World War: What Happened to the “Primacy of Domestic Politics?”, </w:t>
      </w:r>
      <w:r>
        <w:rPr>
          <w:i/>
          <w:iCs/>
        </w:rPr>
        <w:t xml:space="preserve">Australian Journal of Politics and History </w:t>
      </w:r>
      <w:r>
        <w:t>61.1 (2015), 121-127.</w:t>
      </w:r>
    </w:p>
    <w:p w14:paraId="1F1D65B6" w14:textId="07C1EBCD" w:rsidR="00CB0824" w:rsidRDefault="00CB0824" w:rsidP="00CB0824">
      <w:r w:rsidRPr="00CB0824">
        <w:t xml:space="preserve">R.J.W. Evans and H. Pogge von Strandmann (eds.), </w:t>
      </w:r>
      <w:r w:rsidRPr="00CB0824">
        <w:rPr>
          <w:i/>
          <w:iCs/>
        </w:rPr>
        <w:t>Th</w:t>
      </w:r>
      <w:r>
        <w:rPr>
          <w:i/>
          <w:iCs/>
        </w:rPr>
        <w:t xml:space="preserve">e Coming of the First World War </w:t>
      </w:r>
      <w:r>
        <w:t>(Clarendon, 1988).</w:t>
      </w:r>
    </w:p>
    <w:p w14:paraId="1B0E83B5" w14:textId="24A8ACD1" w:rsidR="00CB0824" w:rsidRDefault="00CB0824" w:rsidP="00CB0824">
      <w:r>
        <w:t xml:space="preserve">Niall Ferguson, ‘Public Finance and National Security: The Domestic Origins of the First World War Revisited’, </w:t>
      </w:r>
      <w:r>
        <w:rPr>
          <w:i/>
          <w:iCs/>
        </w:rPr>
        <w:t xml:space="preserve">Past and Present </w:t>
      </w:r>
      <w:r>
        <w:t>142 (1994), 141-168.</w:t>
      </w:r>
    </w:p>
    <w:p w14:paraId="1599F4C6" w14:textId="1B54BE45" w:rsidR="006F54CA" w:rsidRPr="006F54CA" w:rsidRDefault="006F54CA" w:rsidP="00CB0824">
      <w:r>
        <w:t xml:space="preserve">Ruth Henig, </w:t>
      </w:r>
      <w:r>
        <w:rPr>
          <w:i/>
          <w:iCs/>
        </w:rPr>
        <w:t xml:space="preserve">The Origins of the First World War </w:t>
      </w:r>
      <w:r>
        <w:t>(Routledge, 1993).</w:t>
      </w:r>
    </w:p>
    <w:p w14:paraId="64920608" w14:textId="0A13093B" w:rsidR="007C4E04" w:rsidRDefault="007C4E04" w:rsidP="007427FE">
      <w:r>
        <w:t xml:space="preserve">David G. Herrmann, </w:t>
      </w:r>
      <w:r>
        <w:rPr>
          <w:i/>
          <w:iCs/>
        </w:rPr>
        <w:t xml:space="preserve">The Arming of Europe and the Making of the First World War </w:t>
      </w:r>
      <w:r>
        <w:t>(Princeton University Press, 1996).</w:t>
      </w:r>
    </w:p>
    <w:p w14:paraId="273885BF" w14:textId="31EDBA75" w:rsidR="006F54CA" w:rsidRPr="006F54CA" w:rsidRDefault="006F54CA" w:rsidP="007427FE">
      <w:r>
        <w:t xml:space="preserve">James Joll and Gordon Martel, </w:t>
      </w:r>
      <w:r>
        <w:rPr>
          <w:i/>
          <w:iCs/>
        </w:rPr>
        <w:t xml:space="preserve">The Origins of the First World War </w:t>
      </w:r>
      <w:r>
        <w:t>(Pearson Longman, 2007).</w:t>
      </w:r>
    </w:p>
    <w:p w14:paraId="73BFD71B" w14:textId="57D61EAA" w:rsidR="006F54CA" w:rsidRPr="006F54CA" w:rsidRDefault="006F54CA" w:rsidP="007427FE">
      <w:r>
        <w:t xml:space="preserve">Sean McMeekin, </w:t>
      </w:r>
      <w:r>
        <w:rPr>
          <w:i/>
          <w:iCs/>
        </w:rPr>
        <w:t xml:space="preserve">The Russian Origins of the First World War </w:t>
      </w:r>
      <w:r>
        <w:t>(Belknap Press, 2011).</w:t>
      </w:r>
    </w:p>
    <w:p w14:paraId="3473E617" w14:textId="280473E4" w:rsidR="007C4E04" w:rsidRDefault="007C4E04" w:rsidP="007427FE">
      <w:r>
        <w:t xml:space="preserve">Annika Mombauer, </w:t>
      </w:r>
      <w:r>
        <w:rPr>
          <w:i/>
          <w:iCs/>
        </w:rPr>
        <w:t xml:space="preserve">The Origins of the First World War: Controversies and Consensus </w:t>
      </w:r>
      <w:r>
        <w:t>(Longman, 2002).</w:t>
      </w:r>
    </w:p>
    <w:p w14:paraId="1D8338D4" w14:textId="49D7700A" w:rsidR="000C2E31" w:rsidRPr="004102B4" w:rsidRDefault="000C2E31" w:rsidP="007427FE">
      <w:r w:rsidRPr="000C2E31">
        <w:t>Annika Mombauer, ‘The Fischer Controversy, Do</w:t>
      </w:r>
      <w:r>
        <w:t>cuments and the “Truth” About the Origins of the First World War’</w:t>
      </w:r>
      <w:r w:rsidR="004102B4">
        <w:t xml:space="preserve">, </w:t>
      </w:r>
      <w:r w:rsidR="004102B4">
        <w:rPr>
          <w:i/>
          <w:iCs/>
        </w:rPr>
        <w:t xml:space="preserve">Journal of Contemporary History </w:t>
      </w:r>
      <w:r w:rsidR="004102B4">
        <w:t>48.2 (2013), 290-314.</w:t>
      </w:r>
    </w:p>
    <w:p w14:paraId="144790F3" w14:textId="77777777" w:rsidR="00CB0824" w:rsidRDefault="00FF7927" w:rsidP="00CB0824">
      <w:r>
        <w:t xml:space="preserve">A.J.P. Taylor, </w:t>
      </w:r>
      <w:r>
        <w:rPr>
          <w:i/>
          <w:iCs/>
        </w:rPr>
        <w:t xml:space="preserve">The First World War: An Illustrated History </w:t>
      </w:r>
      <w:r>
        <w:t>(Penguin, 1966).</w:t>
      </w:r>
      <w:r w:rsidR="00CB0824" w:rsidRPr="00CB0824">
        <w:t xml:space="preserve"> </w:t>
      </w:r>
    </w:p>
    <w:p w14:paraId="3EF19156" w14:textId="24455E83" w:rsidR="00CB0824" w:rsidRDefault="00CB0824" w:rsidP="00CB0824">
      <w:r>
        <w:t xml:space="preserve">Marc Trachtenberg, ‘The Meaning of Mobilization in 1914’, </w:t>
      </w:r>
      <w:r>
        <w:rPr>
          <w:i/>
          <w:iCs/>
        </w:rPr>
        <w:t xml:space="preserve">International Security </w:t>
      </w:r>
      <w:r>
        <w:t>15.3 (1991), 120-150.</w:t>
      </w:r>
    </w:p>
    <w:p w14:paraId="3EB21B67" w14:textId="2C11763A" w:rsidR="00CB0824" w:rsidRDefault="00CB0824" w:rsidP="00CB0824">
      <w:r>
        <w:t xml:space="preserve">Samuel Williamson, </w:t>
      </w:r>
      <w:r>
        <w:rPr>
          <w:i/>
          <w:iCs/>
        </w:rPr>
        <w:t xml:space="preserve">Austria-Hungary and the Origins of the First World War </w:t>
      </w:r>
      <w:r>
        <w:t>(Macmillan, 1991).</w:t>
      </w:r>
    </w:p>
    <w:p w14:paraId="07063269" w14:textId="58FDD567" w:rsidR="00292AEE" w:rsidRDefault="00292AEE" w:rsidP="00292AEE">
      <w:pPr>
        <w:pStyle w:val="Heading3"/>
      </w:pPr>
      <w:r>
        <w:lastRenderedPageBreak/>
        <w:t>Session 9: Women’s Suffrage</w:t>
      </w:r>
      <w:r w:rsidR="00AC4E29">
        <w:t xml:space="preserve"> in Britain</w:t>
      </w:r>
    </w:p>
    <w:p w14:paraId="225186CA" w14:textId="77777777" w:rsidR="00292AEE" w:rsidRDefault="00292AEE" w:rsidP="00292AEE">
      <w:pPr>
        <w:rPr>
          <w:rFonts w:cstheme="minorHAnsi"/>
        </w:rPr>
      </w:pPr>
      <w:r w:rsidRPr="00292AEE">
        <w:rPr>
          <w:rFonts w:cstheme="minorHAnsi"/>
        </w:rPr>
        <w:t>By the end of the 1800s, there was growing support for a campaign for women to have the right to vote. The historical narrative surrounding the women's suffrage movement encompasses not only the experiences of women but also the involvement of men. We will analyse the significance of collective organisation, the influence of social class dynamics, and the examination of power dynamics and societal expectations regarding their distribution and potential reformation. The women's suffrage movement encompassed shifting societal perspectives on marriage and family, as well as progressive examinations of femininity and masculinity and the potential implications for legal and social frameworks.</w:t>
      </w:r>
    </w:p>
    <w:p w14:paraId="50D536CA" w14:textId="4A3223F4" w:rsidR="006119FE" w:rsidRPr="006119FE" w:rsidRDefault="006119FE" w:rsidP="00292AEE">
      <w:pPr>
        <w:rPr>
          <w:rFonts w:cstheme="minorHAnsi"/>
          <w:b/>
          <w:bCs/>
        </w:rPr>
      </w:pPr>
      <w:r>
        <w:rPr>
          <w:rFonts w:cstheme="minorHAnsi"/>
          <w:b/>
          <w:bCs/>
        </w:rPr>
        <w:t xml:space="preserve">Key Reading: </w:t>
      </w:r>
    </w:p>
    <w:p w14:paraId="7AD9E5EE" w14:textId="1F83F907" w:rsidR="00292AEE" w:rsidRDefault="00292AEE" w:rsidP="00292AEE">
      <w:pPr>
        <w:rPr>
          <w:rFonts w:cstheme="minorHAnsi"/>
        </w:rPr>
      </w:pPr>
      <w:r w:rsidRPr="00292AEE">
        <w:rPr>
          <w:rFonts w:cstheme="minorHAnsi"/>
        </w:rPr>
        <w:t>Ann</w:t>
      </w:r>
      <w:r w:rsidR="00EE51D3">
        <w:rPr>
          <w:rFonts w:cstheme="minorHAnsi"/>
        </w:rPr>
        <w:t xml:space="preserve"> Heilmann</w:t>
      </w:r>
      <w:r w:rsidRPr="00292AEE">
        <w:rPr>
          <w:rFonts w:cstheme="minorHAnsi"/>
        </w:rPr>
        <w:t>, ‘Words as Deeds: Debates and Narratives on Women’s Suffrage’, </w:t>
      </w:r>
      <w:r w:rsidRPr="00292AEE">
        <w:rPr>
          <w:rFonts w:cstheme="minorHAnsi"/>
          <w:i/>
          <w:iCs/>
        </w:rPr>
        <w:t>Women’s History Review</w:t>
      </w:r>
      <w:r w:rsidRPr="00292AEE">
        <w:rPr>
          <w:rFonts w:cstheme="minorHAnsi"/>
        </w:rPr>
        <w:t>, 11.4 (2002), 565–76</w:t>
      </w:r>
    </w:p>
    <w:p w14:paraId="2526245A" w14:textId="77777777" w:rsidR="00292AEE" w:rsidRDefault="00292AEE" w:rsidP="00292AEE">
      <w:r w:rsidRPr="004B2CF8">
        <w:t xml:space="preserve">Sandra Stanley Holton, </w:t>
      </w:r>
      <w:r w:rsidRPr="004B2CF8">
        <w:rPr>
          <w:i/>
          <w:iCs/>
        </w:rPr>
        <w:t>Feminism and Democrac</w:t>
      </w:r>
      <w:r>
        <w:rPr>
          <w:i/>
          <w:iCs/>
        </w:rPr>
        <w:t xml:space="preserve">y: Women’s Suffrage and Reform Politics in Britain, 1900-1918 </w:t>
      </w:r>
      <w:r>
        <w:t>(Cambridge University Press, 1986).</w:t>
      </w:r>
    </w:p>
    <w:p w14:paraId="61B4ABD5" w14:textId="625C13AA" w:rsidR="00292AEE" w:rsidRDefault="00292AEE" w:rsidP="00292AEE">
      <w:pPr>
        <w:rPr>
          <w:rFonts w:cstheme="minorHAnsi"/>
        </w:rPr>
      </w:pPr>
      <w:r w:rsidRPr="00292AEE">
        <w:rPr>
          <w:rFonts w:cstheme="minorHAnsi"/>
        </w:rPr>
        <w:t>Martin</w:t>
      </w:r>
      <w:r>
        <w:rPr>
          <w:rFonts w:cstheme="minorHAnsi"/>
        </w:rPr>
        <w:t xml:space="preserve"> Pugh</w:t>
      </w:r>
      <w:r w:rsidRPr="00292AEE">
        <w:rPr>
          <w:rFonts w:cstheme="minorHAnsi"/>
        </w:rPr>
        <w:t>, </w:t>
      </w:r>
      <w:r w:rsidRPr="00292AEE">
        <w:rPr>
          <w:rFonts w:cstheme="minorHAnsi"/>
          <w:i/>
          <w:iCs/>
        </w:rPr>
        <w:t>The March of the Women: A Revisionist Analysis of the Campaign for Women’s Suffrage, 1866-1914</w:t>
      </w:r>
      <w:r w:rsidRPr="00292AEE">
        <w:rPr>
          <w:rFonts w:cstheme="minorHAnsi"/>
        </w:rPr>
        <w:t xml:space="preserve">, 1st </w:t>
      </w:r>
      <w:proofErr w:type="spellStart"/>
      <w:r w:rsidRPr="00292AEE">
        <w:rPr>
          <w:rFonts w:cstheme="minorHAnsi"/>
        </w:rPr>
        <w:t>edn</w:t>
      </w:r>
      <w:proofErr w:type="spellEnd"/>
      <w:r w:rsidRPr="00292AEE">
        <w:rPr>
          <w:rFonts w:cstheme="minorHAnsi"/>
        </w:rPr>
        <w:t xml:space="preserve"> (Oxford: Oxford University Press, 2002)</w:t>
      </w:r>
    </w:p>
    <w:p w14:paraId="13C89BB9" w14:textId="7AB30B5A" w:rsidR="00292AEE" w:rsidRDefault="00B07DC1" w:rsidP="00292AEE">
      <w:pPr>
        <w:rPr>
          <w:b/>
          <w:bCs/>
        </w:rPr>
      </w:pPr>
      <w:r>
        <w:rPr>
          <w:b/>
          <w:bCs/>
        </w:rPr>
        <w:t>Further Reading</w:t>
      </w:r>
    </w:p>
    <w:p w14:paraId="401422A7" w14:textId="77777777" w:rsidR="00292AEE" w:rsidRPr="00FC08F8" w:rsidRDefault="00292AEE" w:rsidP="00292AEE">
      <w:r>
        <w:t xml:space="preserve">Julia Bush, </w:t>
      </w:r>
      <w:r>
        <w:rPr>
          <w:i/>
          <w:iCs/>
        </w:rPr>
        <w:t xml:space="preserve">Women Against the Vote: Female Anti-Suffragism in Britain </w:t>
      </w:r>
      <w:r>
        <w:t>(Oxford University Press, 2007).</w:t>
      </w:r>
    </w:p>
    <w:p w14:paraId="5F823962" w14:textId="77777777" w:rsidR="00292AEE" w:rsidRDefault="00292AEE" w:rsidP="00292AEE">
      <w:r w:rsidRPr="00FC08F8">
        <w:t xml:space="preserve">Barbara Caine, </w:t>
      </w:r>
      <w:r w:rsidRPr="00FC08F8">
        <w:rPr>
          <w:i/>
          <w:iCs/>
        </w:rPr>
        <w:t xml:space="preserve">English Feminism, 1780-1980 </w:t>
      </w:r>
      <w:r w:rsidRPr="00FC08F8">
        <w:t>(Oxford University P</w:t>
      </w:r>
      <w:r>
        <w:t>ress, 1997).</w:t>
      </w:r>
    </w:p>
    <w:p w14:paraId="21E040D7" w14:textId="77777777" w:rsidR="00292AEE" w:rsidRDefault="00292AEE" w:rsidP="00292AEE">
      <w:r>
        <w:t xml:space="preserve">Krista Cowman, ‘“Incipient Toryism”? The Women’s Social and Political Union and the Independent Labour Party, 1903-14’, </w:t>
      </w:r>
      <w:r>
        <w:rPr>
          <w:i/>
          <w:iCs/>
        </w:rPr>
        <w:t xml:space="preserve">History Workshop Journal </w:t>
      </w:r>
      <w:r>
        <w:t>53 (2002), 128-148.</w:t>
      </w:r>
    </w:p>
    <w:p w14:paraId="33244296" w14:textId="77777777" w:rsidR="00292AEE" w:rsidRDefault="00292AEE" w:rsidP="00292AEE">
      <w:r>
        <w:t xml:space="preserve">Krista Cowman, ‘Women’s Suffrage Campaigns in Britain’, </w:t>
      </w:r>
      <w:r>
        <w:rPr>
          <w:i/>
          <w:iCs/>
        </w:rPr>
        <w:t xml:space="preserve">Women’s History Review </w:t>
      </w:r>
      <w:r>
        <w:t>9.4 (2000), 815-823.</w:t>
      </w:r>
    </w:p>
    <w:p w14:paraId="111B3D1A" w14:textId="77777777" w:rsidR="00292AEE" w:rsidRDefault="00292AEE" w:rsidP="00292AEE">
      <w:r>
        <w:t xml:space="preserve">Krista Cowman, ‘Suffrage Days: Stories from the Women’s Suffrage Movement’, </w:t>
      </w:r>
      <w:r>
        <w:rPr>
          <w:i/>
          <w:iCs/>
        </w:rPr>
        <w:t xml:space="preserve">Women’s History Review </w:t>
      </w:r>
      <w:r>
        <w:t>7.2 (1998), 261-285.</w:t>
      </w:r>
    </w:p>
    <w:p w14:paraId="5D03C24B" w14:textId="77777777" w:rsidR="00292AEE" w:rsidRDefault="00292AEE" w:rsidP="00292AEE">
      <w:r>
        <w:t xml:space="preserve">Krista Cowman, ‘“Doing Something Silly”: The Uses of Humour by the Women’s Social and Political Union, 1903-1914’, </w:t>
      </w:r>
      <w:r>
        <w:rPr>
          <w:i/>
          <w:iCs/>
        </w:rPr>
        <w:t xml:space="preserve">International Review of Social History </w:t>
      </w:r>
      <w:r>
        <w:t>52 (2007), 259-274.</w:t>
      </w:r>
    </w:p>
    <w:p w14:paraId="64FD88FC" w14:textId="33AE67AD" w:rsidR="00B07DC1" w:rsidRDefault="00B07DC1" w:rsidP="00B07DC1">
      <w:pPr>
        <w:rPr>
          <w:rFonts w:cstheme="minorHAnsi"/>
        </w:rPr>
      </w:pPr>
      <w:r w:rsidRPr="00292AEE">
        <w:rPr>
          <w:rFonts w:cstheme="minorHAnsi"/>
        </w:rPr>
        <w:t>Caroline</w:t>
      </w:r>
      <w:r>
        <w:rPr>
          <w:rFonts w:cstheme="minorHAnsi"/>
        </w:rPr>
        <w:t xml:space="preserve"> Daley</w:t>
      </w:r>
      <w:r w:rsidRPr="00292AEE">
        <w:rPr>
          <w:rFonts w:cstheme="minorHAnsi"/>
        </w:rPr>
        <w:t xml:space="preserve"> and Melanie Nolan, </w:t>
      </w:r>
      <w:r w:rsidRPr="00292AEE">
        <w:rPr>
          <w:rFonts w:cstheme="minorHAnsi"/>
          <w:i/>
          <w:iCs/>
        </w:rPr>
        <w:t xml:space="preserve">Suffrage and </w:t>
      </w:r>
      <w:proofErr w:type="gramStart"/>
      <w:r w:rsidRPr="00292AEE">
        <w:rPr>
          <w:rFonts w:cstheme="minorHAnsi"/>
          <w:i/>
          <w:iCs/>
        </w:rPr>
        <w:t>beyond :</w:t>
      </w:r>
      <w:proofErr w:type="gramEnd"/>
      <w:r w:rsidRPr="00292AEE">
        <w:rPr>
          <w:rFonts w:cstheme="minorHAnsi"/>
          <w:i/>
          <w:iCs/>
        </w:rPr>
        <w:t xml:space="preserve"> International Feminist </w:t>
      </w:r>
      <w:r>
        <w:rPr>
          <w:rFonts w:cstheme="minorHAnsi"/>
          <w:i/>
          <w:iCs/>
        </w:rPr>
        <w:t>P</w:t>
      </w:r>
      <w:r w:rsidRPr="00292AEE">
        <w:rPr>
          <w:rFonts w:cstheme="minorHAnsi"/>
          <w:i/>
          <w:iCs/>
        </w:rPr>
        <w:t>erspectives</w:t>
      </w:r>
      <w:r w:rsidRPr="00292AEE">
        <w:rPr>
          <w:rFonts w:cstheme="minorHAnsi"/>
        </w:rPr>
        <w:t> (Auckland, NZ: Auckland University Press, 1994)</w:t>
      </w:r>
    </w:p>
    <w:p w14:paraId="1D639CB7" w14:textId="77777777" w:rsidR="00B07DC1" w:rsidRPr="00292AEE" w:rsidRDefault="00B07DC1" w:rsidP="00B07DC1">
      <w:pPr>
        <w:rPr>
          <w:rFonts w:cstheme="minorHAnsi"/>
        </w:rPr>
      </w:pPr>
      <w:r w:rsidRPr="00292AEE">
        <w:rPr>
          <w:rFonts w:cstheme="minorHAnsi"/>
        </w:rPr>
        <w:t xml:space="preserve">Terras, M., &amp; Crawford, E. eds. </w:t>
      </w:r>
      <w:r w:rsidRPr="00292AEE">
        <w:rPr>
          <w:rFonts w:cstheme="minorHAnsi"/>
          <w:i/>
          <w:iCs/>
        </w:rPr>
        <w:t>Millicent Garrett Fawcett: Selected writings</w:t>
      </w:r>
      <w:r w:rsidRPr="00292AEE">
        <w:rPr>
          <w:rFonts w:cstheme="minorHAnsi"/>
        </w:rPr>
        <w:t>. (UCL Press, 2022).</w:t>
      </w:r>
    </w:p>
    <w:p w14:paraId="7441ABC2" w14:textId="77777777" w:rsidR="00292AEE" w:rsidRPr="00FC08F8" w:rsidRDefault="00292AEE" w:rsidP="00292AEE">
      <w:r>
        <w:t xml:space="preserve">Alexandra Hughes-Johnson and Lyndsey Jenkins (eds.), </w:t>
      </w:r>
      <w:r>
        <w:rPr>
          <w:i/>
          <w:iCs/>
        </w:rPr>
        <w:t xml:space="preserve">Politics of Women’s Suffrage: Local, National, and International Dimensions </w:t>
      </w:r>
      <w:r>
        <w:t>(University of London Press, 2021).</w:t>
      </w:r>
    </w:p>
    <w:p w14:paraId="081588F6" w14:textId="77777777" w:rsidR="00292AEE" w:rsidRPr="00FC08F8" w:rsidRDefault="00292AEE" w:rsidP="00292AEE">
      <w:r w:rsidRPr="00C36F52">
        <w:t>L</w:t>
      </w:r>
      <w:r>
        <w:t>yndsey</w:t>
      </w:r>
      <w:r w:rsidRPr="00C36F52">
        <w:t xml:space="preserve"> Jenkins ‘Annie Kenney and the Politics of Class in the Women’s Social and Political Union’ </w:t>
      </w:r>
      <w:r>
        <w:rPr>
          <w:i/>
          <w:iCs/>
        </w:rPr>
        <w:t>Twentieth Century British History</w:t>
      </w:r>
      <w:r w:rsidRPr="00C36F52">
        <w:t xml:space="preserve"> 30 (2019)</w:t>
      </w:r>
      <w:r>
        <w:t xml:space="preserve">, </w:t>
      </w:r>
      <w:r w:rsidRPr="00C36F52">
        <w:t>477–503</w:t>
      </w:r>
    </w:p>
    <w:p w14:paraId="3D33EECE" w14:textId="77777777" w:rsidR="00292AEE" w:rsidRDefault="00292AEE" w:rsidP="00292AEE">
      <w:r>
        <w:t xml:space="preserve">Helen Jones, </w:t>
      </w:r>
      <w:r>
        <w:rPr>
          <w:i/>
          <w:iCs/>
        </w:rPr>
        <w:t xml:space="preserve">Women in British Public Life, 1914-1950: Gender, Power and Social Policy </w:t>
      </w:r>
      <w:r>
        <w:t>(Longman, 2000).</w:t>
      </w:r>
    </w:p>
    <w:p w14:paraId="6AA6F91E" w14:textId="77777777" w:rsidR="00292AEE" w:rsidRDefault="00292AEE" w:rsidP="00292AEE">
      <w:r>
        <w:lastRenderedPageBreak/>
        <w:t xml:space="preserve">Jane Lewis, </w:t>
      </w:r>
      <w:r>
        <w:rPr>
          <w:i/>
          <w:iCs/>
        </w:rPr>
        <w:t xml:space="preserve">Before the Vote Was Won: Arguments </w:t>
      </w:r>
      <w:proofErr w:type="gramStart"/>
      <w:r>
        <w:rPr>
          <w:i/>
          <w:iCs/>
        </w:rPr>
        <w:t>For</w:t>
      </w:r>
      <w:proofErr w:type="gramEnd"/>
      <w:r>
        <w:rPr>
          <w:i/>
          <w:iCs/>
        </w:rPr>
        <w:t xml:space="preserve"> and Against Women’s Suffrage </w:t>
      </w:r>
      <w:r>
        <w:t>(Routledge, 1987).</w:t>
      </w:r>
    </w:p>
    <w:p w14:paraId="22AFDCA6" w14:textId="77777777" w:rsidR="00292AEE" w:rsidRDefault="00292AEE" w:rsidP="00292AEE">
      <w:r>
        <w:t xml:space="preserve">Jill Liddington, </w:t>
      </w:r>
      <w:r>
        <w:rPr>
          <w:i/>
          <w:iCs/>
        </w:rPr>
        <w:t xml:space="preserve">One Hand Tied Behind Us: The Rise of the Women’s Suffrage Movement </w:t>
      </w:r>
      <w:r>
        <w:t>(Virago, 1978).</w:t>
      </w:r>
    </w:p>
    <w:p w14:paraId="4FB0A398" w14:textId="77777777" w:rsidR="00292AEE" w:rsidRDefault="00292AEE" w:rsidP="00292AEE">
      <w:r w:rsidRPr="00C36F52">
        <w:t xml:space="preserve">J. Liddington &amp; E. Crawford 'Women do not count, neither shall they be counted': Suffrage, Citizenship and the Battle for the 1911 </w:t>
      </w:r>
      <w:proofErr w:type="gramStart"/>
      <w:r w:rsidRPr="00C36F52">
        <w:t>Census ,</w:t>
      </w:r>
      <w:proofErr w:type="gramEnd"/>
      <w:r w:rsidRPr="00C36F52">
        <w:t xml:space="preserve"> </w:t>
      </w:r>
      <w:r w:rsidRPr="00CD61B0">
        <w:rPr>
          <w:i/>
          <w:iCs/>
        </w:rPr>
        <w:t>History Workshop Journal</w:t>
      </w:r>
      <w:r w:rsidRPr="00C36F52">
        <w:t xml:space="preserve"> (2011)</w:t>
      </w:r>
    </w:p>
    <w:p w14:paraId="4680EF83" w14:textId="77777777" w:rsidR="00292AEE" w:rsidRDefault="00292AEE" w:rsidP="00292AEE">
      <w:r w:rsidRPr="00C36F52">
        <w:t>H. Miller ‘The British women’s suffrage movement and the practice of petitioning, 1880- 1914’, Historical Journal (2020)</w:t>
      </w:r>
    </w:p>
    <w:p w14:paraId="5B7140A4" w14:textId="77777777" w:rsidR="00292AEE" w:rsidRDefault="00292AEE" w:rsidP="00292AEE">
      <w:r w:rsidRPr="00FC08F8">
        <w:t>Susan Pedersen, ‘Ben Pimlott Memorial Lecture 2018: Th</w:t>
      </w:r>
      <w:r>
        <w:t xml:space="preserve">e Women’s Suffrage Movement in the Balfour Family’, </w:t>
      </w:r>
      <w:r>
        <w:rPr>
          <w:i/>
          <w:iCs/>
        </w:rPr>
        <w:t xml:space="preserve">Twentieth Century British History </w:t>
      </w:r>
      <w:r>
        <w:t>30.3 (2019), 299-320.</w:t>
      </w:r>
    </w:p>
    <w:p w14:paraId="55289BBC" w14:textId="2A4F2C7B" w:rsidR="009B2E34" w:rsidRPr="009B2E34" w:rsidRDefault="009B2E34" w:rsidP="00292AEE">
      <w:r>
        <w:t xml:space="preserve">June Purvis, ‘Did militancy help or hinder the granting of women’s suffrage in Britain?’ </w:t>
      </w:r>
      <w:r>
        <w:rPr>
          <w:i/>
          <w:iCs/>
        </w:rPr>
        <w:t xml:space="preserve">Women’s History Review </w:t>
      </w:r>
      <w:r>
        <w:t>28.7 (2019), 1200-1234.</w:t>
      </w:r>
    </w:p>
    <w:p w14:paraId="7AF0882C" w14:textId="312F21E9" w:rsidR="00880A62" w:rsidRDefault="007C4E04" w:rsidP="00880A62">
      <w:pPr>
        <w:pStyle w:val="Heading3"/>
      </w:pPr>
      <w:r>
        <w:t>S</w:t>
      </w:r>
      <w:r w:rsidR="00880A62">
        <w:t xml:space="preserve">ession </w:t>
      </w:r>
      <w:r w:rsidR="00292AEE">
        <w:t>10</w:t>
      </w:r>
      <w:r w:rsidR="00880A62">
        <w:t>: Second World War</w:t>
      </w:r>
    </w:p>
    <w:p w14:paraId="6FBA3874" w14:textId="13D7C35F" w:rsidR="004A7462" w:rsidRPr="004A7462" w:rsidRDefault="004A7462" w:rsidP="004A7462">
      <w:r>
        <w:t>In this seminar we will ex</w:t>
      </w:r>
      <w:r w:rsidR="00CD0CB5">
        <w:t>amine factors leading to the outbreak of the Second World War in 1939. We will explore the interplay of political, economic, ideological and diplomatic factors</w:t>
      </w:r>
      <w:r w:rsidR="00AE0F10">
        <w:t xml:space="preserve">, including the legacies of the First World War, the Treaty of Versailles, the Great Depression, and the rise of fascist regimes. </w:t>
      </w:r>
    </w:p>
    <w:p w14:paraId="2DDE29A8" w14:textId="5B6B4644" w:rsidR="007C4E04" w:rsidRDefault="007C4E04" w:rsidP="007C4E04">
      <w:pPr>
        <w:rPr>
          <w:b/>
          <w:bCs/>
        </w:rPr>
      </w:pPr>
      <w:r>
        <w:rPr>
          <w:b/>
          <w:bCs/>
        </w:rPr>
        <w:t>Key reading:</w:t>
      </w:r>
    </w:p>
    <w:p w14:paraId="6D904D23" w14:textId="309C0DBE" w:rsidR="007C4E04" w:rsidRDefault="007C4E04" w:rsidP="007C4E04">
      <w:r>
        <w:t xml:space="preserve">Gerhard Weinberg, </w:t>
      </w:r>
      <w:r>
        <w:rPr>
          <w:i/>
          <w:iCs/>
        </w:rPr>
        <w:t xml:space="preserve">A World </w:t>
      </w:r>
      <w:proofErr w:type="gramStart"/>
      <w:r>
        <w:rPr>
          <w:i/>
          <w:iCs/>
        </w:rPr>
        <w:t>At</w:t>
      </w:r>
      <w:proofErr w:type="gramEnd"/>
      <w:r>
        <w:rPr>
          <w:i/>
          <w:iCs/>
        </w:rPr>
        <w:t xml:space="preserve"> Arms: A Global History of World War II </w:t>
      </w:r>
      <w:r>
        <w:t>(Cambridge University Press, 1994).</w:t>
      </w:r>
    </w:p>
    <w:p w14:paraId="5F060137" w14:textId="383C6312" w:rsidR="007414F4" w:rsidRDefault="007414F4" w:rsidP="007C4E04">
      <w:r w:rsidRPr="007414F4">
        <w:t>Tobias Jersak, ‘Blitzkrieg Revisited: A Ne</w:t>
      </w:r>
      <w:r>
        <w:t xml:space="preserve">w Look at Nazi War and Extermination Planning’, </w:t>
      </w:r>
      <w:r>
        <w:rPr>
          <w:i/>
          <w:iCs/>
        </w:rPr>
        <w:t xml:space="preserve">Historical Journal </w:t>
      </w:r>
      <w:r>
        <w:t>43.2 (2000), 565-582.</w:t>
      </w:r>
    </w:p>
    <w:p w14:paraId="7F9E85A0" w14:textId="518555E7" w:rsidR="007C4E04" w:rsidRPr="007414F4" w:rsidRDefault="007C4E04" w:rsidP="007C4E04">
      <w:pPr>
        <w:rPr>
          <w:b/>
          <w:bCs/>
        </w:rPr>
      </w:pPr>
      <w:r w:rsidRPr="007414F4">
        <w:rPr>
          <w:b/>
          <w:bCs/>
        </w:rPr>
        <w:t>Further reading</w:t>
      </w:r>
      <w:r w:rsidR="007414F4">
        <w:rPr>
          <w:b/>
          <w:bCs/>
        </w:rPr>
        <w:t>:</w:t>
      </w:r>
    </w:p>
    <w:p w14:paraId="7EE3534A" w14:textId="77777777" w:rsidR="008F6DFE" w:rsidRDefault="008F6DFE" w:rsidP="007C4E04">
      <w:r w:rsidRPr="0021532B">
        <w:t>P.M.H. Bell</w:t>
      </w:r>
      <w:r w:rsidRPr="008F6DFE">
        <w:rPr>
          <w:i/>
          <w:iCs/>
        </w:rPr>
        <w:t xml:space="preserve">, The Origins of the Second World War in Europe </w:t>
      </w:r>
      <w:r w:rsidRPr="0021532B">
        <w:t>(</w:t>
      </w:r>
      <w:r>
        <w:t>Longman,</w:t>
      </w:r>
      <w:r w:rsidRPr="0021532B">
        <w:t xml:space="preserve"> 1997) </w:t>
      </w:r>
    </w:p>
    <w:p w14:paraId="4115BFFC" w14:textId="4458A823" w:rsidR="007414F4" w:rsidRDefault="007414F4" w:rsidP="007C4E04">
      <w:r>
        <w:t xml:space="preserve">Gordon Martel (ed.), </w:t>
      </w:r>
      <w:r>
        <w:rPr>
          <w:i/>
          <w:iCs/>
        </w:rPr>
        <w:t xml:space="preserve">The Origins of the Second World War Reconsidered: A. J. P. Taylor and the Historians </w:t>
      </w:r>
      <w:r>
        <w:t>(Routledge, 1999).</w:t>
      </w:r>
    </w:p>
    <w:p w14:paraId="13E7341D" w14:textId="27C70225" w:rsidR="007414F4" w:rsidRDefault="007414F4" w:rsidP="007C4E04">
      <w:r w:rsidRPr="0021532B">
        <w:t xml:space="preserve">T. Mason, ‘Some Origins of the War’, </w:t>
      </w:r>
      <w:r w:rsidRPr="007414F4">
        <w:rPr>
          <w:i/>
          <w:iCs/>
        </w:rPr>
        <w:t>Past and Present</w:t>
      </w:r>
      <w:r w:rsidRPr="0021532B">
        <w:t xml:space="preserve"> 29 (1964)</w:t>
      </w:r>
    </w:p>
    <w:p w14:paraId="4E1F9152" w14:textId="504DFD01" w:rsidR="007414F4" w:rsidRDefault="007414F4" w:rsidP="007C4E04">
      <w:pPr>
        <w:rPr>
          <w:color w:val="FF0000"/>
        </w:rPr>
      </w:pPr>
      <w:r w:rsidRPr="0021532B">
        <w:t>R</w:t>
      </w:r>
      <w:r>
        <w:t xml:space="preserve">ichard Overy, </w:t>
      </w:r>
      <w:r w:rsidRPr="0021532B">
        <w:t xml:space="preserve">‘Germany, “Domestic Crisis” and War in 1939’, </w:t>
      </w:r>
      <w:r w:rsidRPr="007414F4">
        <w:rPr>
          <w:i/>
          <w:iCs/>
        </w:rPr>
        <w:t>Past and Present</w:t>
      </w:r>
      <w:r w:rsidRPr="0021532B">
        <w:t xml:space="preserve"> 116 (1987), 138-168 </w:t>
      </w:r>
    </w:p>
    <w:p w14:paraId="016E9B18" w14:textId="1DA2A57E" w:rsidR="007414F4" w:rsidRPr="007414F4" w:rsidRDefault="007414F4" w:rsidP="007C4E04">
      <w:pPr>
        <w:rPr>
          <w:color w:val="FF0000"/>
        </w:rPr>
      </w:pPr>
      <w:r w:rsidRPr="0021532B">
        <w:t xml:space="preserve">G. Roberts, ‘The Soviet Decision for a Pact with Nazi Germany’, </w:t>
      </w:r>
      <w:r w:rsidRPr="007414F4">
        <w:rPr>
          <w:i/>
          <w:iCs/>
        </w:rPr>
        <w:t>Soviet Studies</w:t>
      </w:r>
      <w:r w:rsidRPr="0021532B">
        <w:t xml:space="preserve"> 44.1 (1992), 57-78</w:t>
      </w:r>
    </w:p>
    <w:p w14:paraId="58FC3802" w14:textId="77777777" w:rsidR="007414F4" w:rsidRDefault="007414F4" w:rsidP="007414F4">
      <w:r>
        <w:t xml:space="preserve">Zara Steiner, </w:t>
      </w:r>
      <w:r>
        <w:rPr>
          <w:i/>
          <w:iCs/>
        </w:rPr>
        <w:t xml:space="preserve">The Triumph of the Dark: European International History </w:t>
      </w:r>
      <w:r>
        <w:t>1933-39 (Oxford University Press, 2011).</w:t>
      </w:r>
    </w:p>
    <w:p w14:paraId="4ABFE973" w14:textId="0F913293" w:rsidR="00020A09" w:rsidRDefault="00CC1603" w:rsidP="00CC1603">
      <w:r>
        <w:t xml:space="preserve">Zara Steiner, </w:t>
      </w:r>
      <w:r>
        <w:rPr>
          <w:i/>
          <w:iCs/>
        </w:rPr>
        <w:t xml:space="preserve">The Lights that Failed: European International History 1919-1933 </w:t>
      </w:r>
      <w:r>
        <w:t>(Oxford University Press, 2005).</w:t>
      </w:r>
    </w:p>
    <w:p w14:paraId="5E19F8C7" w14:textId="343FC458" w:rsidR="007414F4" w:rsidRPr="007414F4" w:rsidRDefault="007414F4" w:rsidP="007414F4">
      <w:r>
        <w:t xml:space="preserve">A.J.P. Taylor, </w:t>
      </w:r>
      <w:r>
        <w:rPr>
          <w:i/>
          <w:iCs/>
        </w:rPr>
        <w:t xml:space="preserve">The Origins of the Second World War </w:t>
      </w:r>
      <w:r>
        <w:t>(Penguin, 1964).</w:t>
      </w:r>
    </w:p>
    <w:p w14:paraId="092189A4" w14:textId="1BB8BAAB" w:rsidR="00880A62" w:rsidRDefault="00880A62" w:rsidP="00880A62">
      <w:pPr>
        <w:pStyle w:val="Heading3"/>
      </w:pPr>
      <w:r>
        <w:lastRenderedPageBreak/>
        <w:t xml:space="preserve">Session </w:t>
      </w:r>
      <w:r w:rsidR="00292AEE">
        <w:t>11</w:t>
      </w:r>
      <w:r>
        <w:t>: Anticolonialism and Decolonisation</w:t>
      </w:r>
    </w:p>
    <w:p w14:paraId="6C3F99DD" w14:textId="77777777" w:rsidR="00013CA8" w:rsidRPr="00013CA8" w:rsidRDefault="00013CA8" w:rsidP="00013CA8">
      <w:r w:rsidRPr="00013CA8">
        <w:t>In this session we will explore the factors leading to decolonisation, in particular the rise of anti-colonial nationalist movements and decolonisation struggles. We will examine the role of violence in colonialism, both as used by the coloniser and the colonised.</w:t>
      </w:r>
    </w:p>
    <w:p w14:paraId="44213ED3" w14:textId="46885EFC" w:rsidR="004B2CF8" w:rsidRDefault="004B2CF8" w:rsidP="004B2CF8">
      <w:pPr>
        <w:rPr>
          <w:b/>
          <w:bCs/>
        </w:rPr>
      </w:pPr>
      <w:r>
        <w:rPr>
          <w:b/>
          <w:bCs/>
        </w:rPr>
        <w:t>Key Reading</w:t>
      </w:r>
    </w:p>
    <w:p w14:paraId="2F6AEB22" w14:textId="77777777" w:rsidR="003C4BB5" w:rsidRPr="00292AEE" w:rsidRDefault="003C4BB5" w:rsidP="003C4BB5">
      <w:pPr>
        <w:rPr>
          <w:rFonts w:cstheme="minorHAnsi"/>
          <w:color w:val="000000" w:themeColor="text1"/>
        </w:rPr>
      </w:pPr>
      <w:r w:rsidRPr="00292AEE">
        <w:rPr>
          <w:rFonts w:cstheme="minorHAnsi"/>
          <w:color w:val="000000" w:themeColor="text1"/>
        </w:rPr>
        <w:t xml:space="preserve">Thijs Brocades Zaalberg and Bart Luttikhuis (eds.), </w:t>
      </w:r>
      <w:r w:rsidRPr="00292AEE">
        <w:rPr>
          <w:rFonts w:cstheme="minorHAnsi"/>
          <w:i/>
          <w:iCs/>
          <w:color w:val="000000" w:themeColor="text1"/>
        </w:rPr>
        <w:t xml:space="preserve">Empire’s Violent </w:t>
      </w:r>
      <w:proofErr w:type="gramStart"/>
      <w:r w:rsidRPr="00292AEE">
        <w:rPr>
          <w:rFonts w:cstheme="minorHAnsi"/>
          <w:i/>
          <w:iCs/>
          <w:color w:val="000000" w:themeColor="text1"/>
        </w:rPr>
        <w:t>End :</w:t>
      </w:r>
      <w:proofErr w:type="gramEnd"/>
      <w:r w:rsidRPr="00292AEE">
        <w:rPr>
          <w:rFonts w:cstheme="minorHAnsi"/>
          <w:i/>
          <w:iCs/>
          <w:color w:val="000000" w:themeColor="text1"/>
        </w:rPr>
        <w:t xml:space="preserve"> Comparing Dutch, British, and French Wars of Decolonization, 1945-1962 </w:t>
      </w:r>
      <w:r w:rsidRPr="00292AEE">
        <w:rPr>
          <w:rFonts w:cstheme="minorHAnsi"/>
          <w:color w:val="000000" w:themeColor="text1"/>
        </w:rPr>
        <w:t xml:space="preserve">(New York: Cornell University Press, 2022). Introduction and chapters by </w:t>
      </w:r>
      <w:proofErr w:type="spellStart"/>
      <w:r w:rsidRPr="00292AEE">
        <w:rPr>
          <w:rFonts w:cstheme="minorHAnsi"/>
          <w:color w:val="000000" w:themeColor="text1"/>
        </w:rPr>
        <w:t>Frakking</w:t>
      </w:r>
      <w:proofErr w:type="spellEnd"/>
      <w:r w:rsidRPr="00292AEE">
        <w:rPr>
          <w:rFonts w:cstheme="minorHAnsi"/>
          <w:color w:val="000000" w:themeColor="text1"/>
        </w:rPr>
        <w:t xml:space="preserve"> and Thomas, and by Branch.</w:t>
      </w:r>
    </w:p>
    <w:p w14:paraId="298753E1" w14:textId="719453C4" w:rsidR="004B2CF8" w:rsidRDefault="004B2CF8" w:rsidP="00F7338B">
      <w:pPr>
        <w:rPr>
          <w:b/>
          <w:bCs/>
        </w:rPr>
      </w:pPr>
      <w:r>
        <w:rPr>
          <w:b/>
          <w:bCs/>
        </w:rPr>
        <w:t>Further Reading:</w:t>
      </w:r>
    </w:p>
    <w:p w14:paraId="6F0237C8" w14:textId="4FE14635" w:rsidR="003C4BB5" w:rsidRPr="003C4BB5" w:rsidRDefault="003C4BB5" w:rsidP="003C4BB5">
      <w:pPr>
        <w:rPr>
          <w:rFonts w:cstheme="minorHAnsi"/>
          <w:color w:val="000000" w:themeColor="text1"/>
        </w:rPr>
      </w:pPr>
      <w:r w:rsidRPr="00292AEE">
        <w:rPr>
          <w:rFonts w:cstheme="minorHAnsi"/>
          <w:color w:val="000000" w:themeColor="text1"/>
        </w:rPr>
        <w:t>David M</w:t>
      </w:r>
      <w:r>
        <w:rPr>
          <w:rFonts w:cstheme="minorHAnsi"/>
          <w:color w:val="000000" w:themeColor="text1"/>
        </w:rPr>
        <w:t>. Anderson</w:t>
      </w:r>
      <w:r w:rsidRPr="00292AEE">
        <w:rPr>
          <w:rFonts w:cstheme="minorHAnsi"/>
          <w:color w:val="000000" w:themeColor="text1"/>
        </w:rPr>
        <w:t xml:space="preserve">, ‘British Abuse and Torture in Kenya’s </w:t>
      </w:r>
      <w:proofErr w:type="gramStart"/>
      <w:r w:rsidRPr="00292AEE">
        <w:rPr>
          <w:rFonts w:cstheme="minorHAnsi"/>
          <w:color w:val="000000" w:themeColor="text1"/>
        </w:rPr>
        <w:t>Counter-Insurgency</w:t>
      </w:r>
      <w:proofErr w:type="gramEnd"/>
      <w:r w:rsidRPr="00292AEE">
        <w:rPr>
          <w:rFonts w:cstheme="minorHAnsi"/>
          <w:color w:val="000000" w:themeColor="text1"/>
        </w:rPr>
        <w:t>, 1952-1960’, </w:t>
      </w:r>
      <w:r w:rsidRPr="00292AEE">
        <w:rPr>
          <w:rFonts w:cstheme="minorHAnsi"/>
          <w:i/>
          <w:iCs/>
          <w:color w:val="000000" w:themeColor="text1"/>
        </w:rPr>
        <w:t>Small Wars &amp; Insurgencies</w:t>
      </w:r>
      <w:r w:rsidRPr="00292AEE">
        <w:rPr>
          <w:rFonts w:cstheme="minorHAnsi"/>
          <w:color w:val="000000" w:themeColor="text1"/>
        </w:rPr>
        <w:t>, 23.4–5 (2012), 700–719</w:t>
      </w:r>
    </w:p>
    <w:p w14:paraId="7DCED495" w14:textId="7100579E" w:rsidR="00292AEE" w:rsidRDefault="00292AEE" w:rsidP="00292AEE">
      <w:pPr>
        <w:rPr>
          <w:rFonts w:cstheme="minorHAnsi"/>
        </w:rPr>
      </w:pPr>
      <w:r w:rsidRPr="00292AEE">
        <w:rPr>
          <w:rFonts w:cstheme="minorHAnsi"/>
          <w:color w:val="000000" w:themeColor="text1"/>
        </w:rPr>
        <w:t>Huw</w:t>
      </w:r>
      <w:r>
        <w:rPr>
          <w:rFonts w:cstheme="minorHAnsi"/>
          <w:color w:val="000000" w:themeColor="text1"/>
        </w:rPr>
        <w:t xml:space="preserve"> Bennett</w:t>
      </w:r>
      <w:r w:rsidRPr="00292AEE">
        <w:rPr>
          <w:rFonts w:cstheme="minorHAnsi"/>
          <w:color w:val="000000" w:themeColor="text1"/>
        </w:rPr>
        <w:t xml:space="preserve">, ‘“A Very Salutary Effect”: The Counter-Terror Strategy in the Early Malayan Emergency, June 1948 to December 1949’, Journal of Strategic Studies, 32.3 (2009), 415–44 </w:t>
      </w:r>
      <w:hyperlink r:id="rId15" w:history="1">
        <w:r w:rsidRPr="00292AEE">
          <w:rPr>
            <w:rStyle w:val="Hyperlink"/>
            <w:rFonts w:cstheme="minorHAnsi"/>
            <w:color w:val="000000" w:themeColor="text1"/>
          </w:rPr>
          <w:t>https://doi.org/10.1080/01402390902928248</w:t>
        </w:r>
      </w:hyperlink>
    </w:p>
    <w:p w14:paraId="318EF2BD" w14:textId="256B1100" w:rsidR="00292AEE" w:rsidRDefault="00292AEE" w:rsidP="00292AEE">
      <w:pPr>
        <w:rPr>
          <w:rFonts w:cstheme="minorHAnsi"/>
          <w:color w:val="000000" w:themeColor="text1"/>
        </w:rPr>
      </w:pPr>
      <w:r w:rsidRPr="00292AEE">
        <w:rPr>
          <w:rFonts w:cstheme="minorHAnsi"/>
          <w:color w:val="000000" w:themeColor="text1"/>
        </w:rPr>
        <w:t>Bruce B</w:t>
      </w:r>
      <w:r>
        <w:rPr>
          <w:rFonts w:cstheme="minorHAnsi"/>
          <w:color w:val="000000" w:themeColor="text1"/>
        </w:rPr>
        <w:t>e</w:t>
      </w:r>
      <w:r w:rsidRPr="00292AEE">
        <w:rPr>
          <w:rFonts w:cstheme="minorHAnsi"/>
          <w:color w:val="000000" w:themeColor="text1"/>
        </w:rPr>
        <w:t xml:space="preserve">rman, ‘Bureaucracy and Incumbent Violence: Colonial Administration and the Origins of the “Mau </w:t>
      </w:r>
      <w:proofErr w:type="spellStart"/>
      <w:r w:rsidRPr="00292AEE">
        <w:rPr>
          <w:rFonts w:cstheme="minorHAnsi"/>
          <w:color w:val="000000" w:themeColor="text1"/>
        </w:rPr>
        <w:t>Mau</w:t>
      </w:r>
      <w:proofErr w:type="spellEnd"/>
      <w:r w:rsidRPr="00292AEE">
        <w:rPr>
          <w:rFonts w:cstheme="minorHAnsi"/>
          <w:color w:val="000000" w:themeColor="text1"/>
        </w:rPr>
        <w:t xml:space="preserve">” Emergency in Kenya’, </w:t>
      </w:r>
      <w:r w:rsidRPr="00292AEE">
        <w:rPr>
          <w:rFonts w:cstheme="minorHAnsi"/>
          <w:i/>
          <w:iCs/>
          <w:color w:val="000000" w:themeColor="text1"/>
        </w:rPr>
        <w:t xml:space="preserve">British Journal of Political Science </w:t>
      </w:r>
      <w:r w:rsidRPr="00292AEE">
        <w:rPr>
          <w:rFonts w:cstheme="minorHAnsi"/>
          <w:color w:val="000000" w:themeColor="text1"/>
        </w:rPr>
        <w:t>6.2 (1976), 143-175.</w:t>
      </w:r>
    </w:p>
    <w:p w14:paraId="1D521549" w14:textId="6D043500" w:rsidR="003C4BB5" w:rsidRPr="00292AEE" w:rsidRDefault="003C4BB5" w:rsidP="003C4BB5">
      <w:pPr>
        <w:rPr>
          <w:rFonts w:cstheme="minorHAnsi"/>
          <w:color w:val="000000" w:themeColor="text1"/>
        </w:rPr>
      </w:pPr>
      <w:r w:rsidRPr="00292AEE">
        <w:rPr>
          <w:rFonts w:cstheme="minorHAnsi"/>
          <w:color w:val="000000" w:themeColor="text1"/>
        </w:rPr>
        <w:t xml:space="preserve">Jane Burbank and Frederick Cooper, </w:t>
      </w:r>
      <w:r w:rsidRPr="00292AEE">
        <w:rPr>
          <w:rFonts w:cstheme="minorHAnsi"/>
          <w:i/>
          <w:iCs/>
          <w:color w:val="000000" w:themeColor="text1"/>
        </w:rPr>
        <w:t xml:space="preserve">Empires in World History: Power and the Politics of Difference </w:t>
      </w:r>
      <w:r w:rsidRPr="00292AEE">
        <w:rPr>
          <w:rFonts w:cstheme="minorHAnsi"/>
          <w:color w:val="000000" w:themeColor="text1"/>
        </w:rPr>
        <w:t>(Princeton: Princeton University Press, 2010), Chapter 13</w:t>
      </w:r>
      <w:r>
        <w:rPr>
          <w:rFonts w:cstheme="minorHAnsi"/>
          <w:color w:val="000000" w:themeColor="text1"/>
        </w:rPr>
        <w:t>.</w:t>
      </w:r>
    </w:p>
    <w:p w14:paraId="0C3A037B" w14:textId="77777777" w:rsidR="005E1FDF" w:rsidRDefault="005E1FDF" w:rsidP="00F7338B">
      <w:r>
        <w:t xml:space="preserve">Urvashi Butalia, </w:t>
      </w:r>
      <w:r>
        <w:rPr>
          <w:i/>
          <w:iCs/>
        </w:rPr>
        <w:t xml:space="preserve">The Other Side of Silence: Voices from the Partition of India </w:t>
      </w:r>
      <w:r>
        <w:t>(Duke University Press, 2018).</w:t>
      </w:r>
    </w:p>
    <w:p w14:paraId="5ECA3BF0" w14:textId="45348E0B" w:rsidR="004B2CF8" w:rsidRDefault="004B2CF8" w:rsidP="00F7338B">
      <w:r>
        <w:t xml:space="preserve">P. J. Cain and A. G. Hopkins, </w:t>
      </w:r>
      <w:r>
        <w:rPr>
          <w:i/>
          <w:iCs/>
        </w:rPr>
        <w:t xml:space="preserve">British Imperialism: Crisis and Deconstruction, 1914-1990 </w:t>
      </w:r>
      <w:r>
        <w:t>(Longman, 1993).</w:t>
      </w:r>
    </w:p>
    <w:p w14:paraId="01E5C335" w14:textId="77777777" w:rsidR="00292AEE" w:rsidRPr="00292AEE" w:rsidRDefault="00292AEE" w:rsidP="00292AEE">
      <w:pPr>
        <w:rPr>
          <w:rFonts w:cstheme="minorHAnsi"/>
          <w:color w:val="000000" w:themeColor="text1"/>
        </w:rPr>
      </w:pPr>
      <w:r w:rsidRPr="00292AEE">
        <w:rPr>
          <w:rFonts w:cstheme="minorHAnsi"/>
          <w:color w:val="000000" w:themeColor="text1"/>
        </w:rPr>
        <w:t>Frederick Cooper, “French Africa, 1947–48: Reform, Violence, and Uncertainty in a Colonial Situation.” </w:t>
      </w:r>
      <w:r w:rsidRPr="00292AEE">
        <w:rPr>
          <w:rFonts w:cstheme="minorHAnsi"/>
          <w:i/>
          <w:iCs/>
          <w:color w:val="000000" w:themeColor="text1"/>
        </w:rPr>
        <w:t>Critical Inquiry</w:t>
      </w:r>
      <w:r w:rsidRPr="00292AEE">
        <w:rPr>
          <w:rFonts w:cstheme="minorHAnsi"/>
          <w:color w:val="000000" w:themeColor="text1"/>
        </w:rPr>
        <w:t xml:space="preserve"> 40, no. 4 (2014): 466–78. </w:t>
      </w:r>
      <w:hyperlink r:id="rId16" w:history="1">
        <w:r w:rsidRPr="00292AEE">
          <w:rPr>
            <w:rStyle w:val="Hyperlink"/>
            <w:rFonts w:cstheme="minorHAnsi"/>
            <w:color w:val="000000" w:themeColor="text1"/>
          </w:rPr>
          <w:t>https://doi.org/10.1086/676416</w:t>
        </w:r>
      </w:hyperlink>
      <w:r w:rsidRPr="00292AEE">
        <w:rPr>
          <w:rFonts w:cstheme="minorHAnsi"/>
          <w:color w:val="000000" w:themeColor="text1"/>
        </w:rPr>
        <w:t>.</w:t>
      </w:r>
    </w:p>
    <w:p w14:paraId="410FD545" w14:textId="4918C150" w:rsidR="00292AEE" w:rsidRPr="00292AEE" w:rsidRDefault="00292AEE" w:rsidP="00292AEE">
      <w:pPr>
        <w:rPr>
          <w:rFonts w:cstheme="minorHAnsi"/>
          <w:color w:val="000000" w:themeColor="text1"/>
        </w:rPr>
      </w:pPr>
      <w:r w:rsidRPr="00292AEE">
        <w:rPr>
          <w:rFonts w:cstheme="minorHAnsi"/>
          <w:color w:val="000000" w:themeColor="text1"/>
        </w:rPr>
        <w:t>Richard</w:t>
      </w:r>
      <w:r>
        <w:rPr>
          <w:rFonts w:cstheme="minorHAnsi"/>
          <w:color w:val="000000" w:themeColor="text1"/>
        </w:rPr>
        <w:t xml:space="preserve"> Dale</w:t>
      </w:r>
      <w:r w:rsidRPr="00292AEE">
        <w:rPr>
          <w:rFonts w:cstheme="minorHAnsi"/>
          <w:color w:val="000000" w:themeColor="text1"/>
        </w:rPr>
        <w:t>, ‘A Comparative Reconsideration of the Namibian Bush War, 1966-89’, </w:t>
      </w:r>
      <w:r w:rsidRPr="00292AEE">
        <w:rPr>
          <w:rFonts w:cstheme="minorHAnsi"/>
          <w:i/>
          <w:iCs/>
          <w:color w:val="000000" w:themeColor="text1"/>
        </w:rPr>
        <w:t>Small Wars &amp; Insurgencies</w:t>
      </w:r>
      <w:r w:rsidRPr="00292AEE">
        <w:rPr>
          <w:rFonts w:cstheme="minorHAnsi"/>
          <w:color w:val="000000" w:themeColor="text1"/>
        </w:rPr>
        <w:t> 18.2 (2007), pp. 196-215.</w:t>
      </w:r>
    </w:p>
    <w:p w14:paraId="6B74B221" w14:textId="067E7D81" w:rsidR="0093136B" w:rsidRDefault="0093136B" w:rsidP="00F7338B">
      <w:r>
        <w:t xml:space="preserve">David French, </w:t>
      </w:r>
      <w:r>
        <w:rPr>
          <w:i/>
          <w:iCs/>
        </w:rPr>
        <w:t xml:space="preserve">The British way in </w:t>
      </w:r>
      <w:proofErr w:type="gramStart"/>
      <w:r>
        <w:rPr>
          <w:i/>
          <w:iCs/>
        </w:rPr>
        <w:t>Counter-Insurgency</w:t>
      </w:r>
      <w:proofErr w:type="gramEnd"/>
      <w:r>
        <w:rPr>
          <w:i/>
          <w:iCs/>
        </w:rPr>
        <w:t xml:space="preserve">, 1945-1967 </w:t>
      </w:r>
      <w:r>
        <w:t>(Oxford University Press, 2011).</w:t>
      </w:r>
    </w:p>
    <w:p w14:paraId="684F5865" w14:textId="4F787170" w:rsidR="008D6A1A" w:rsidRPr="008D6A1A" w:rsidRDefault="008D6A1A" w:rsidP="008D6A1A">
      <w:r w:rsidRPr="008D6A1A">
        <w:t>Priyamvada Gopal, </w:t>
      </w:r>
      <w:r w:rsidRPr="008D6A1A">
        <w:rPr>
          <w:i/>
          <w:iCs/>
        </w:rPr>
        <w:t>Insurgent Empire: Anti-Colonial Resistance and British Dissent </w:t>
      </w:r>
      <w:r w:rsidRPr="008D6A1A">
        <w:t>(London and New York: Verso, 2019)</w:t>
      </w:r>
    </w:p>
    <w:p w14:paraId="74D97009" w14:textId="2BD42B52" w:rsidR="0093136B" w:rsidRPr="0093136B" w:rsidRDefault="0093136B" w:rsidP="00F7338B">
      <w:r w:rsidRPr="0093136B">
        <w:t xml:space="preserve">R. F. Holland, </w:t>
      </w:r>
      <w:r w:rsidRPr="0093136B">
        <w:rPr>
          <w:i/>
          <w:iCs/>
        </w:rPr>
        <w:t>European Decolonizati</w:t>
      </w:r>
      <w:r>
        <w:rPr>
          <w:i/>
          <w:iCs/>
        </w:rPr>
        <w:t xml:space="preserve">on 1918-1981: An Introductory Survey </w:t>
      </w:r>
      <w:r>
        <w:t>(Macmillan, 1985)</w:t>
      </w:r>
    </w:p>
    <w:p w14:paraId="6318312B" w14:textId="6C19D368" w:rsidR="004B2CF8" w:rsidRDefault="004B2CF8" w:rsidP="004B2CF8">
      <w:r>
        <w:t xml:space="preserve">Wm Roger Louis and Judith Brown (eds.), </w:t>
      </w:r>
      <w:r>
        <w:rPr>
          <w:i/>
          <w:iCs/>
        </w:rPr>
        <w:t xml:space="preserve">Oxford History of the British Empire: The Twentieth Century </w:t>
      </w:r>
      <w:r>
        <w:t>(1999), especially chapter 14.</w:t>
      </w:r>
    </w:p>
    <w:p w14:paraId="37BA8356" w14:textId="4ADFA262" w:rsidR="003C4BB5" w:rsidRDefault="003C4BB5" w:rsidP="003C4BB5">
      <w:r w:rsidRPr="00F7338B">
        <w:t xml:space="preserve">Wm Roger Louis, Alaine Low, </w:t>
      </w:r>
      <w:r>
        <w:t xml:space="preserve">and Robin Winks (eds.), </w:t>
      </w:r>
      <w:r>
        <w:rPr>
          <w:i/>
          <w:iCs/>
        </w:rPr>
        <w:t xml:space="preserve">Oxford History of the British Empire, Volume 5: Historiography </w:t>
      </w:r>
      <w:r>
        <w:t>(Oxford University Press, 1999), chapter by John Darwin.</w:t>
      </w:r>
    </w:p>
    <w:p w14:paraId="400A993E" w14:textId="352EC184" w:rsidR="003C4BB5" w:rsidRPr="003C4BB5" w:rsidRDefault="003C4BB5" w:rsidP="003C4BB5">
      <w:pPr>
        <w:rPr>
          <w:rFonts w:cstheme="minorHAnsi"/>
          <w:color w:val="000000" w:themeColor="text1"/>
        </w:rPr>
      </w:pPr>
      <w:r w:rsidRPr="00292AEE">
        <w:rPr>
          <w:rFonts w:cstheme="minorHAnsi"/>
          <w:color w:val="000000" w:themeColor="text1"/>
        </w:rPr>
        <w:t>Mark Mazower, ‘Violence and the State in the Twentieth Century’ American Historical Review 107:4 (2002) 1158-78</w:t>
      </w:r>
    </w:p>
    <w:p w14:paraId="40D558AF" w14:textId="42580568" w:rsidR="005E1FDF" w:rsidRDefault="005E1FDF" w:rsidP="004B2CF8">
      <w:r>
        <w:lastRenderedPageBreak/>
        <w:t xml:space="preserve">Janam Mukherjee, </w:t>
      </w:r>
      <w:r>
        <w:rPr>
          <w:i/>
          <w:iCs/>
        </w:rPr>
        <w:t xml:space="preserve">Hungry Bengal: War, Famine and the End of Empire </w:t>
      </w:r>
      <w:r>
        <w:t>(Oxford University Press, 2015).</w:t>
      </w:r>
    </w:p>
    <w:p w14:paraId="608C4DC4" w14:textId="074DC1AD" w:rsidR="00292AEE" w:rsidRDefault="00292AEE" w:rsidP="00292AEE">
      <w:pPr>
        <w:rPr>
          <w:rFonts w:cstheme="minorHAnsi"/>
          <w:color w:val="000000" w:themeColor="text1"/>
        </w:rPr>
      </w:pPr>
      <w:r w:rsidRPr="00292AEE">
        <w:rPr>
          <w:rFonts w:cstheme="minorHAnsi"/>
          <w:color w:val="000000" w:themeColor="text1"/>
        </w:rPr>
        <w:t>Jacob</w:t>
      </w:r>
      <w:r>
        <w:rPr>
          <w:rFonts w:cstheme="minorHAnsi"/>
          <w:color w:val="000000" w:themeColor="text1"/>
        </w:rPr>
        <w:t xml:space="preserve"> Norris</w:t>
      </w:r>
      <w:r w:rsidRPr="00292AEE">
        <w:rPr>
          <w:rFonts w:cstheme="minorHAnsi"/>
          <w:color w:val="000000" w:themeColor="text1"/>
        </w:rPr>
        <w:t>, 'Repression and rebellion: Britain’s response to the Arab Revolt in Palestine, 1936-39', </w:t>
      </w:r>
      <w:r w:rsidRPr="00292AEE">
        <w:rPr>
          <w:rFonts w:cstheme="minorHAnsi"/>
          <w:i/>
          <w:iCs/>
          <w:color w:val="000000" w:themeColor="text1"/>
        </w:rPr>
        <w:t>Journal of Imperial &amp; Commonwealth History</w:t>
      </w:r>
      <w:r w:rsidRPr="00292AEE">
        <w:rPr>
          <w:rFonts w:cstheme="minorHAnsi"/>
          <w:color w:val="000000" w:themeColor="text1"/>
        </w:rPr>
        <w:t xml:space="preserve"> 36, </w:t>
      </w:r>
      <w:proofErr w:type="spellStart"/>
      <w:r w:rsidRPr="00292AEE">
        <w:rPr>
          <w:rFonts w:cstheme="minorHAnsi"/>
          <w:color w:val="000000" w:themeColor="text1"/>
        </w:rPr>
        <w:t>i</w:t>
      </w:r>
      <w:proofErr w:type="spellEnd"/>
      <w:r w:rsidRPr="00292AEE">
        <w:rPr>
          <w:rFonts w:cstheme="minorHAnsi"/>
          <w:color w:val="000000" w:themeColor="text1"/>
        </w:rPr>
        <w:t xml:space="preserve"> (2008), pp. 25-45.</w:t>
      </w:r>
    </w:p>
    <w:p w14:paraId="674BD0B8" w14:textId="4C3F5002" w:rsidR="00292AEE" w:rsidRPr="00292AEE" w:rsidRDefault="00292AEE" w:rsidP="00292AEE">
      <w:r>
        <w:t xml:space="preserve">Andrew Smith and Chris Jeppesen, </w:t>
      </w:r>
      <w:r>
        <w:rPr>
          <w:i/>
          <w:iCs/>
        </w:rPr>
        <w:t xml:space="preserve">Britain, France and the Decolonization of Africa: Future Imperfect? </w:t>
      </w:r>
      <w:r>
        <w:t>(UCL Press, 2017).</w:t>
      </w:r>
    </w:p>
    <w:p w14:paraId="3200E685" w14:textId="2DE900DF" w:rsidR="009F1A54" w:rsidRDefault="00880A62" w:rsidP="00B808DD">
      <w:pPr>
        <w:pStyle w:val="Heading3"/>
      </w:pPr>
      <w:r>
        <w:t xml:space="preserve">Session </w:t>
      </w:r>
      <w:r w:rsidR="00292AEE">
        <w:t>12: Conclusions and Assignment Worksho</w:t>
      </w:r>
      <w:r w:rsidR="00B808DD">
        <w:t>p</w:t>
      </w:r>
    </w:p>
    <w:p w14:paraId="67FFC825" w14:textId="62A5E608" w:rsidR="00B808DD" w:rsidRPr="00B808DD" w:rsidRDefault="00B808DD" w:rsidP="00B808DD">
      <w:r>
        <w:t xml:space="preserve">This session will wrap up any outstanding questions from the </w:t>
      </w:r>
      <w:proofErr w:type="gramStart"/>
      <w:r>
        <w:t>module, and</w:t>
      </w:r>
      <w:proofErr w:type="gramEnd"/>
      <w:r>
        <w:t xml:space="preserve"> </w:t>
      </w:r>
      <w:r w:rsidR="004A7378">
        <w:t>focus on your final assignment – please bring your work-in-progress.</w:t>
      </w:r>
    </w:p>
    <w:p w14:paraId="5AF46547" w14:textId="77777777" w:rsidR="009F1A54" w:rsidRPr="00E73D72" w:rsidRDefault="009F1A54" w:rsidP="00756AD4">
      <w:pPr>
        <w:pStyle w:val="NormalWeb"/>
        <w:shd w:val="clear" w:color="auto" w:fill="FFFFFF"/>
        <w:spacing w:before="0" w:beforeAutospacing="0" w:after="0" w:afterAutospacing="0"/>
        <w:rPr>
          <w:color w:val="000000"/>
          <w:sz w:val="28"/>
          <w:szCs w:val="28"/>
          <w:bdr w:val="none" w:sz="0" w:space="0" w:color="auto" w:frame="1"/>
        </w:rPr>
      </w:pPr>
    </w:p>
    <w:p w14:paraId="25FFC860" w14:textId="77777777" w:rsidR="009F1A54" w:rsidRPr="00E73D72" w:rsidRDefault="009F1A54" w:rsidP="00756AD4">
      <w:pPr>
        <w:pStyle w:val="NormalWeb"/>
        <w:shd w:val="clear" w:color="auto" w:fill="FFFFFF"/>
        <w:spacing w:before="0" w:beforeAutospacing="0" w:after="0" w:afterAutospacing="0"/>
        <w:rPr>
          <w:color w:val="000000"/>
          <w:sz w:val="28"/>
          <w:szCs w:val="28"/>
          <w:bdr w:val="none" w:sz="0" w:space="0" w:color="auto" w:frame="1"/>
        </w:rPr>
      </w:pPr>
    </w:p>
    <w:p w14:paraId="5F6C0073" w14:textId="77777777" w:rsidR="009F1A54" w:rsidRPr="00E73D72" w:rsidRDefault="009F1A54" w:rsidP="00756AD4">
      <w:pPr>
        <w:pStyle w:val="NormalWeb"/>
        <w:shd w:val="clear" w:color="auto" w:fill="FFFFFF"/>
        <w:spacing w:before="0" w:beforeAutospacing="0" w:after="0" w:afterAutospacing="0"/>
        <w:rPr>
          <w:color w:val="000000"/>
          <w:sz w:val="28"/>
          <w:szCs w:val="28"/>
          <w:bdr w:val="none" w:sz="0" w:space="0" w:color="auto" w:frame="1"/>
        </w:rPr>
      </w:pPr>
    </w:p>
    <w:p w14:paraId="382EEDF4" w14:textId="77777777" w:rsidR="00756AD4" w:rsidRPr="00E73D72" w:rsidRDefault="00756AD4" w:rsidP="00756AD4">
      <w:pPr>
        <w:pStyle w:val="NormalWeb"/>
        <w:shd w:val="clear" w:color="auto" w:fill="FFFFFF"/>
        <w:spacing w:before="0" w:beforeAutospacing="0" w:after="0" w:afterAutospacing="0"/>
        <w:rPr>
          <w:b/>
          <w:bCs/>
          <w:color w:val="000000"/>
          <w:sz w:val="28"/>
          <w:szCs w:val="28"/>
          <w:bdr w:val="none" w:sz="0" w:space="0" w:color="auto" w:frame="1"/>
        </w:rPr>
      </w:pPr>
    </w:p>
    <w:p w14:paraId="7689F13D" w14:textId="77777777" w:rsidR="00ED4154" w:rsidRPr="00E73D72" w:rsidRDefault="00ED4154">
      <w:pPr>
        <w:ind w:firstLine="480"/>
        <w:rPr>
          <w:rFonts w:ascii="Times New Roman" w:hAnsi="Times New Roman" w:cs="Times New Roman"/>
          <w:b/>
          <w:bCs/>
          <w:sz w:val="28"/>
          <w:szCs w:val="28"/>
        </w:rPr>
      </w:pPr>
    </w:p>
    <w:p w14:paraId="720A1758" w14:textId="77777777" w:rsidR="009F1A54" w:rsidRPr="00E73D72" w:rsidRDefault="009F1A54">
      <w:pPr>
        <w:ind w:firstLine="480"/>
        <w:rPr>
          <w:rFonts w:ascii="Times New Roman" w:hAnsi="Times New Roman" w:cs="Times New Roman"/>
          <w:b/>
          <w:bCs/>
          <w:sz w:val="28"/>
          <w:szCs w:val="28"/>
        </w:rPr>
      </w:pPr>
    </w:p>
    <w:p w14:paraId="7D643FBB" w14:textId="77777777" w:rsidR="009F1A54" w:rsidRPr="00E73D72" w:rsidRDefault="009F1A54">
      <w:pPr>
        <w:ind w:firstLine="480"/>
        <w:rPr>
          <w:rFonts w:ascii="Times New Roman" w:hAnsi="Times New Roman" w:cs="Times New Roman"/>
          <w:b/>
          <w:bCs/>
          <w:sz w:val="28"/>
          <w:szCs w:val="28"/>
        </w:rPr>
      </w:pPr>
    </w:p>
    <w:p w14:paraId="04A5F19B" w14:textId="77777777" w:rsidR="009F1A54" w:rsidRPr="00E73D72" w:rsidRDefault="009F1A54">
      <w:pPr>
        <w:ind w:firstLine="480"/>
        <w:rPr>
          <w:rFonts w:ascii="Times New Roman" w:hAnsi="Times New Roman" w:cs="Times New Roman"/>
          <w:b/>
          <w:bCs/>
          <w:sz w:val="28"/>
          <w:szCs w:val="28"/>
        </w:rPr>
      </w:pPr>
    </w:p>
    <w:p w14:paraId="42ABF911" w14:textId="77777777" w:rsidR="009F1A54" w:rsidRPr="00E73D72" w:rsidRDefault="009F1A54">
      <w:pPr>
        <w:ind w:firstLine="480"/>
        <w:rPr>
          <w:rFonts w:ascii="Times New Roman" w:hAnsi="Times New Roman" w:cs="Times New Roman"/>
          <w:b/>
          <w:bCs/>
          <w:sz w:val="28"/>
          <w:szCs w:val="28"/>
        </w:rPr>
      </w:pPr>
    </w:p>
    <w:p w14:paraId="4D325651" w14:textId="77777777" w:rsidR="009F1A54" w:rsidRPr="00E73D72" w:rsidRDefault="009F1A54">
      <w:pPr>
        <w:ind w:firstLine="480"/>
        <w:rPr>
          <w:rFonts w:ascii="Times New Roman" w:hAnsi="Times New Roman" w:cs="Times New Roman"/>
          <w:b/>
          <w:bCs/>
          <w:sz w:val="28"/>
          <w:szCs w:val="28"/>
        </w:rPr>
      </w:pPr>
    </w:p>
    <w:p w14:paraId="26951F80" w14:textId="77777777" w:rsidR="009F1A54" w:rsidRPr="00E73D72" w:rsidRDefault="009F1A54" w:rsidP="009F1A54">
      <w:pPr>
        <w:rPr>
          <w:rFonts w:ascii="Times New Roman" w:hAnsi="Times New Roman" w:cs="Times New Roman"/>
          <w:b/>
          <w:bCs/>
          <w:sz w:val="28"/>
          <w:szCs w:val="28"/>
        </w:rPr>
      </w:pPr>
    </w:p>
    <w:p w14:paraId="2B71A72E" w14:textId="2490CBB9" w:rsidR="00ED4154" w:rsidRPr="00E73D72" w:rsidRDefault="00ED4154" w:rsidP="00ED4154">
      <w:pPr>
        <w:suppressAutoHyphens/>
        <w:spacing w:after="0" w:line="276" w:lineRule="auto"/>
        <w:rPr>
          <w:rFonts w:ascii="Times New Roman" w:eastAsia="Times New Roman" w:hAnsi="Times New Roman" w:cs="Times New Roman"/>
          <w:kern w:val="0"/>
          <w:sz w:val="28"/>
          <w:szCs w:val="28"/>
          <w14:ligatures w14:val="none"/>
        </w:rPr>
      </w:pPr>
      <w:r w:rsidRPr="00E73D72">
        <w:rPr>
          <w:rFonts w:ascii="Times New Roman" w:eastAsia="Times New Roman" w:hAnsi="Times New Roman" w:cs="Times New Roman"/>
          <w:kern w:val="0"/>
          <w:sz w:val="28"/>
          <w:szCs w:val="28"/>
          <w14:ligatures w14:val="none"/>
        </w:rPr>
        <w:t>.</w:t>
      </w:r>
    </w:p>
    <w:p w14:paraId="27E099EA" w14:textId="77777777" w:rsidR="00ED4154" w:rsidRPr="00E73D72" w:rsidRDefault="00ED4154">
      <w:pPr>
        <w:ind w:firstLine="480"/>
        <w:rPr>
          <w:rFonts w:ascii="Times New Roman" w:hAnsi="Times New Roman" w:cs="Times New Roman"/>
          <w:b/>
          <w:bCs/>
          <w:sz w:val="28"/>
          <w:szCs w:val="28"/>
        </w:rPr>
      </w:pPr>
    </w:p>
    <w:sectPr w:rsidR="00ED4154" w:rsidRPr="00E73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02F68" w14:textId="77777777" w:rsidR="00372679" w:rsidRDefault="00372679" w:rsidP="00ED063B">
      <w:pPr>
        <w:spacing w:after="0" w:line="240" w:lineRule="auto"/>
      </w:pPr>
      <w:r>
        <w:separator/>
      </w:r>
    </w:p>
  </w:endnote>
  <w:endnote w:type="continuationSeparator" w:id="0">
    <w:p w14:paraId="73F6FA80" w14:textId="77777777" w:rsidR="00372679" w:rsidRDefault="00372679" w:rsidP="00ED0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9EE81" w14:textId="77777777" w:rsidR="00372679" w:rsidRDefault="00372679" w:rsidP="00ED063B">
      <w:pPr>
        <w:spacing w:after="0" w:line="240" w:lineRule="auto"/>
      </w:pPr>
      <w:r>
        <w:separator/>
      </w:r>
    </w:p>
  </w:footnote>
  <w:footnote w:type="continuationSeparator" w:id="0">
    <w:p w14:paraId="2401600B" w14:textId="77777777" w:rsidR="00372679" w:rsidRDefault="00372679" w:rsidP="00ED06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singleLevel"/>
    <w:tmpl w:val="00000002"/>
    <w:name w:val="WW8Num2"/>
    <w:lvl w:ilvl="0">
      <w:start w:val="1"/>
      <w:numFmt w:val="decimal"/>
      <w:lvlText w:val="%1."/>
      <w:lvlJc w:val="left"/>
      <w:pPr>
        <w:tabs>
          <w:tab w:val="num" w:pos="1080"/>
        </w:tabs>
        <w:ind w:left="1080" w:hanging="360"/>
      </w:pPr>
      <w:rPr>
        <w:lang w:val="fr-FR"/>
      </w:rPr>
    </w:lvl>
  </w:abstractNum>
  <w:abstractNum w:abstractNumId="2" w15:restartNumberingAfterBreak="0">
    <w:nsid w:val="00000004"/>
    <w:multiLevelType w:val="singleLevel"/>
    <w:tmpl w:val="00000004"/>
    <w:name w:val="WW8Num4"/>
    <w:lvl w:ilvl="0">
      <w:start w:val="1"/>
      <w:numFmt w:val="bullet"/>
      <w:lvlText w:val=""/>
      <w:lvlJc w:val="left"/>
      <w:pPr>
        <w:tabs>
          <w:tab w:val="num" w:pos="720"/>
        </w:tabs>
        <w:ind w:left="720" w:hanging="360"/>
      </w:pPr>
      <w:rPr>
        <w:rFonts w:ascii="Symbol" w:hAnsi="Symbol" w:cs="Symbol" w:hint="default"/>
      </w:rPr>
    </w:lvl>
  </w:abstractNum>
  <w:abstractNum w:abstractNumId="3"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4" w15:restartNumberingAfterBreak="0">
    <w:nsid w:val="0000000A"/>
    <w:multiLevelType w:val="singleLevel"/>
    <w:tmpl w:val="0000000A"/>
    <w:name w:val="WW8Num10"/>
    <w:lvl w:ilvl="0">
      <w:start w:val="1"/>
      <w:numFmt w:val="bullet"/>
      <w:lvlText w:val=""/>
      <w:lvlJc w:val="left"/>
      <w:pPr>
        <w:tabs>
          <w:tab w:val="num" w:pos="720"/>
        </w:tabs>
        <w:ind w:left="720" w:hanging="360"/>
      </w:pPr>
      <w:rPr>
        <w:rFonts w:ascii="Symbol" w:hAnsi="Symbol" w:cs="Symbol" w:hint="default"/>
      </w:rPr>
    </w:lvl>
  </w:abstractNum>
  <w:abstractNum w:abstractNumId="5" w15:restartNumberingAfterBreak="0">
    <w:nsid w:val="0000000B"/>
    <w:multiLevelType w:val="singleLevel"/>
    <w:tmpl w:val="0000000B"/>
    <w:name w:val="WW8Num11"/>
    <w:lvl w:ilvl="0">
      <w:start w:val="1"/>
      <w:numFmt w:val="bullet"/>
      <w:lvlText w:val=""/>
      <w:lvlJc w:val="left"/>
      <w:pPr>
        <w:tabs>
          <w:tab w:val="num" w:pos="720"/>
        </w:tabs>
        <w:ind w:left="720" w:hanging="360"/>
      </w:pPr>
      <w:rPr>
        <w:rFonts w:ascii="Symbol" w:hAnsi="Symbol" w:cs="Symbol" w:hint="default"/>
      </w:rPr>
    </w:lvl>
  </w:abstractNum>
  <w:abstractNum w:abstractNumId="6" w15:restartNumberingAfterBreak="0">
    <w:nsid w:val="005145FE"/>
    <w:multiLevelType w:val="hybridMultilevel"/>
    <w:tmpl w:val="5F7A659C"/>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0A85694"/>
    <w:multiLevelType w:val="multilevel"/>
    <w:tmpl w:val="4EF22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15D73A3"/>
    <w:multiLevelType w:val="hybridMultilevel"/>
    <w:tmpl w:val="EA962D80"/>
    <w:lvl w:ilvl="0" w:tplc="0C6CE648">
      <w:start w:val="12"/>
      <w:numFmt w:val="decimal"/>
      <w:lvlText w:val="%1"/>
      <w:lvlJc w:val="left"/>
      <w:pPr>
        <w:ind w:left="420" w:hanging="420"/>
      </w:pPr>
      <w:rPr>
        <w:rFonts w:hint="default"/>
        <w:b/>
        <w:bCs/>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02E11723"/>
    <w:multiLevelType w:val="hybridMultilevel"/>
    <w:tmpl w:val="9D2E8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69235FB"/>
    <w:multiLevelType w:val="hybridMultilevel"/>
    <w:tmpl w:val="4E0C9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B560909"/>
    <w:multiLevelType w:val="hybridMultilevel"/>
    <w:tmpl w:val="ACB41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C0E1EA1"/>
    <w:multiLevelType w:val="hybridMultilevel"/>
    <w:tmpl w:val="23467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4913D56"/>
    <w:multiLevelType w:val="hybridMultilevel"/>
    <w:tmpl w:val="8C60D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992104"/>
    <w:multiLevelType w:val="multilevel"/>
    <w:tmpl w:val="26B8B88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6F5AC3"/>
    <w:multiLevelType w:val="hybridMultilevel"/>
    <w:tmpl w:val="4DA62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377E80"/>
    <w:multiLevelType w:val="hybridMultilevel"/>
    <w:tmpl w:val="878A3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D86695"/>
    <w:multiLevelType w:val="hybridMultilevel"/>
    <w:tmpl w:val="0C8E0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C769E1"/>
    <w:multiLevelType w:val="hybridMultilevel"/>
    <w:tmpl w:val="D154FF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A8734E5"/>
    <w:multiLevelType w:val="hybridMultilevel"/>
    <w:tmpl w:val="D4F68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DF6ADE"/>
    <w:multiLevelType w:val="multilevel"/>
    <w:tmpl w:val="1B5A90EC"/>
    <w:lvl w:ilvl="0">
      <w:start w:val="1"/>
      <w:numFmt w:val="decimal"/>
      <w:lvlText w:val="%1."/>
      <w:lvlJc w:val="left"/>
      <w:pPr>
        <w:ind w:left="502"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36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1" w15:restartNumberingAfterBreak="0">
    <w:nsid w:val="302A6F34"/>
    <w:multiLevelType w:val="hybridMultilevel"/>
    <w:tmpl w:val="96F24D3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2" w15:restartNumberingAfterBreak="0">
    <w:nsid w:val="325A7363"/>
    <w:multiLevelType w:val="hybridMultilevel"/>
    <w:tmpl w:val="B6B4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1A7555"/>
    <w:multiLevelType w:val="hybridMultilevel"/>
    <w:tmpl w:val="B5D4105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67A358A"/>
    <w:multiLevelType w:val="hybridMultilevel"/>
    <w:tmpl w:val="7742B734"/>
    <w:lvl w:ilvl="0" w:tplc="586805CA">
      <w:start w:val="1"/>
      <w:numFmt w:val="decimal"/>
      <w:lvlText w:val="%1."/>
      <w:lvlJc w:val="left"/>
      <w:pPr>
        <w:ind w:left="555" w:hanging="55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3AD87831"/>
    <w:multiLevelType w:val="hybridMultilevel"/>
    <w:tmpl w:val="ECF8A9F4"/>
    <w:lvl w:ilvl="0" w:tplc="7C6836EA">
      <w:start w:val="1"/>
      <w:numFmt w:val="bullet"/>
      <w:lvlText w:val="·"/>
      <w:lvlJc w:val="left"/>
      <w:pPr>
        <w:ind w:left="720" w:hanging="360"/>
      </w:pPr>
      <w:rPr>
        <w:rFonts w:ascii="Symbol" w:hAnsi="Symbol" w:hint="default"/>
      </w:rPr>
    </w:lvl>
    <w:lvl w:ilvl="1" w:tplc="3774D6A0">
      <w:start w:val="1"/>
      <w:numFmt w:val="bullet"/>
      <w:lvlText w:val="o"/>
      <w:lvlJc w:val="left"/>
      <w:pPr>
        <w:ind w:left="1440" w:hanging="360"/>
      </w:pPr>
      <w:rPr>
        <w:rFonts w:ascii="Courier New" w:hAnsi="Courier New" w:hint="default"/>
      </w:rPr>
    </w:lvl>
    <w:lvl w:ilvl="2" w:tplc="56485FD0">
      <w:start w:val="1"/>
      <w:numFmt w:val="bullet"/>
      <w:lvlText w:val=""/>
      <w:lvlJc w:val="left"/>
      <w:pPr>
        <w:ind w:left="2160" w:hanging="360"/>
      </w:pPr>
      <w:rPr>
        <w:rFonts w:ascii="Wingdings" w:hAnsi="Wingdings" w:hint="default"/>
      </w:rPr>
    </w:lvl>
    <w:lvl w:ilvl="3" w:tplc="4A701474">
      <w:start w:val="1"/>
      <w:numFmt w:val="bullet"/>
      <w:lvlText w:val=""/>
      <w:lvlJc w:val="left"/>
      <w:pPr>
        <w:ind w:left="2880" w:hanging="360"/>
      </w:pPr>
      <w:rPr>
        <w:rFonts w:ascii="Symbol" w:hAnsi="Symbol" w:hint="default"/>
      </w:rPr>
    </w:lvl>
    <w:lvl w:ilvl="4" w:tplc="2B9C87E2">
      <w:start w:val="1"/>
      <w:numFmt w:val="bullet"/>
      <w:lvlText w:val="o"/>
      <w:lvlJc w:val="left"/>
      <w:pPr>
        <w:ind w:left="3600" w:hanging="360"/>
      </w:pPr>
      <w:rPr>
        <w:rFonts w:ascii="Courier New" w:hAnsi="Courier New" w:hint="default"/>
      </w:rPr>
    </w:lvl>
    <w:lvl w:ilvl="5" w:tplc="7F6CE744">
      <w:start w:val="1"/>
      <w:numFmt w:val="bullet"/>
      <w:lvlText w:val=""/>
      <w:lvlJc w:val="left"/>
      <w:pPr>
        <w:ind w:left="4320" w:hanging="360"/>
      </w:pPr>
      <w:rPr>
        <w:rFonts w:ascii="Wingdings" w:hAnsi="Wingdings" w:hint="default"/>
      </w:rPr>
    </w:lvl>
    <w:lvl w:ilvl="6" w:tplc="D7965478">
      <w:start w:val="1"/>
      <w:numFmt w:val="bullet"/>
      <w:lvlText w:val=""/>
      <w:lvlJc w:val="left"/>
      <w:pPr>
        <w:ind w:left="5040" w:hanging="360"/>
      </w:pPr>
      <w:rPr>
        <w:rFonts w:ascii="Symbol" w:hAnsi="Symbol" w:hint="default"/>
      </w:rPr>
    </w:lvl>
    <w:lvl w:ilvl="7" w:tplc="FFB8B96C">
      <w:start w:val="1"/>
      <w:numFmt w:val="bullet"/>
      <w:lvlText w:val="o"/>
      <w:lvlJc w:val="left"/>
      <w:pPr>
        <w:ind w:left="5760" w:hanging="360"/>
      </w:pPr>
      <w:rPr>
        <w:rFonts w:ascii="Courier New" w:hAnsi="Courier New" w:hint="default"/>
      </w:rPr>
    </w:lvl>
    <w:lvl w:ilvl="8" w:tplc="EBFA8ED0">
      <w:start w:val="1"/>
      <w:numFmt w:val="bullet"/>
      <w:lvlText w:val=""/>
      <w:lvlJc w:val="left"/>
      <w:pPr>
        <w:ind w:left="6480" w:hanging="360"/>
      </w:pPr>
      <w:rPr>
        <w:rFonts w:ascii="Wingdings" w:hAnsi="Wingdings" w:hint="default"/>
      </w:rPr>
    </w:lvl>
  </w:abstractNum>
  <w:abstractNum w:abstractNumId="26" w15:restartNumberingAfterBreak="0">
    <w:nsid w:val="3DF93722"/>
    <w:multiLevelType w:val="hybridMultilevel"/>
    <w:tmpl w:val="D5A4B1E8"/>
    <w:lvl w:ilvl="0" w:tplc="8D8A4F9C">
      <w:start w:val="1"/>
      <w:numFmt w:val="decimal"/>
      <w:lvlText w:val="%1."/>
      <w:lvlJc w:val="left"/>
      <w:pPr>
        <w:ind w:left="360" w:hanging="360"/>
      </w:pPr>
      <w:rPr>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3EBC7C0D"/>
    <w:multiLevelType w:val="hybridMultilevel"/>
    <w:tmpl w:val="F190D668"/>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95C0C38"/>
    <w:multiLevelType w:val="hybridMultilevel"/>
    <w:tmpl w:val="8228A02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4A282F86"/>
    <w:multiLevelType w:val="hybridMultilevel"/>
    <w:tmpl w:val="ACC22B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424BBD"/>
    <w:multiLevelType w:val="hybridMultilevel"/>
    <w:tmpl w:val="D2547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10482D"/>
    <w:multiLevelType w:val="hybridMultilevel"/>
    <w:tmpl w:val="15105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84192D"/>
    <w:multiLevelType w:val="hybridMultilevel"/>
    <w:tmpl w:val="04DCC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2A39A8"/>
    <w:multiLevelType w:val="hybridMultilevel"/>
    <w:tmpl w:val="40F6A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40046C"/>
    <w:multiLevelType w:val="hybridMultilevel"/>
    <w:tmpl w:val="A492E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C5644A"/>
    <w:multiLevelType w:val="hybridMultilevel"/>
    <w:tmpl w:val="61E64E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C81324"/>
    <w:multiLevelType w:val="hybridMultilevel"/>
    <w:tmpl w:val="09D0D0BE"/>
    <w:lvl w:ilvl="0" w:tplc="AAD2EB76">
      <w:start w:val="1"/>
      <w:numFmt w:val="bullet"/>
      <w:lvlText w:val=""/>
      <w:lvlJc w:val="left"/>
      <w:pPr>
        <w:tabs>
          <w:tab w:val="num" w:pos="720"/>
        </w:tabs>
        <w:ind w:left="720" w:hanging="360"/>
      </w:pPr>
      <w:rPr>
        <w:rFonts w:ascii="Wingdings" w:hAnsi="Wingdings" w:hint="default"/>
      </w:rPr>
    </w:lvl>
    <w:lvl w:ilvl="1" w:tplc="CA20CC7E">
      <w:start w:val="1"/>
      <w:numFmt w:val="bullet"/>
      <w:lvlText w:val=""/>
      <w:lvlJc w:val="left"/>
      <w:pPr>
        <w:tabs>
          <w:tab w:val="num" w:pos="1440"/>
        </w:tabs>
        <w:ind w:left="1440" w:hanging="360"/>
      </w:pPr>
      <w:rPr>
        <w:rFonts w:ascii="Wingdings" w:hAnsi="Wingdings" w:hint="default"/>
      </w:rPr>
    </w:lvl>
    <w:lvl w:ilvl="2" w:tplc="7DE2E4D2" w:tentative="1">
      <w:start w:val="1"/>
      <w:numFmt w:val="bullet"/>
      <w:lvlText w:val=""/>
      <w:lvlJc w:val="left"/>
      <w:pPr>
        <w:tabs>
          <w:tab w:val="num" w:pos="2160"/>
        </w:tabs>
        <w:ind w:left="2160" w:hanging="360"/>
      </w:pPr>
      <w:rPr>
        <w:rFonts w:ascii="Wingdings" w:hAnsi="Wingdings" w:hint="default"/>
      </w:rPr>
    </w:lvl>
    <w:lvl w:ilvl="3" w:tplc="F98AE3D2" w:tentative="1">
      <w:start w:val="1"/>
      <w:numFmt w:val="bullet"/>
      <w:lvlText w:val=""/>
      <w:lvlJc w:val="left"/>
      <w:pPr>
        <w:tabs>
          <w:tab w:val="num" w:pos="2880"/>
        </w:tabs>
        <w:ind w:left="2880" w:hanging="360"/>
      </w:pPr>
      <w:rPr>
        <w:rFonts w:ascii="Wingdings" w:hAnsi="Wingdings" w:hint="default"/>
      </w:rPr>
    </w:lvl>
    <w:lvl w:ilvl="4" w:tplc="A9021F2C" w:tentative="1">
      <w:start w:val="1"/>
      <w:numFmt w:val="bullet"/>
      <w:lvlText w:val=""/>
      <w:lvlJc w:val="left"/>
      <w:pPr>
        <w:tabs>
          <w:tab w:val="num" w:pos="3600"/>
        </w:tabs>
        <w:ind w:left="3600" w:hanging="360"/>
      </w:pPr>
      <w:rPr>
        <w:rFonts w:ascii="Wingdings" w:hAnsi="Wingdings" w:hint="default"/>
      </w:rPr>
    </w:lvl>
    <w:lvl w:ilvl="5" w:tplc="395E14E0" w:tentative="1">
      <w:start w:val="1"/>
      <w:numFmt w:val="bullet"/>
      <w:lvlText w:val=""/>
      <w:lvlJc w:val="left"/>
      <w:pPr>
        <w:tabs>
          <w:tab w:val="num" w:pos="4320"/>
        </w:tabs>
        <w:ind w:left="4320" w:hanging="360"/>
      </w:pPr>
      <w:rPr>
        <w:rFonts w:ascii="Wingdings" w:hAnsi="Wingdings" w:hint="default"/>
      </w:rPr>
    </w:lvl>
    <w:lvl w:ilvl="6" w:tplc="5D227D26" w:tentative="1">
      <w:start w:val="1"/>
      <w:numFmt w:val="bullet"/>
      <w:lvlText w:val=""/>
      <w:lvlJc w:val="left"/>
      <w:pPr>
        <w:tabs>
          <w:tab w:val="num" w:pos="5040"/>
        </w:tabs>
        <w:ind w:left="5040" w:hanging="360"/>
      </w:pPr>
      <w:rPr>
        <w:rFonts w:ascii="Wingdings" w:hAnsi="Wingdings" w:hint="default"/>
      </w:rPr>
    </w:lvl>
    <w:lvl w:ilvl="7" w:tplc="A510FB46" w:tentative="1">
      <w:start w:val="1"/>
      <w:numFmt w:val="bullet"/>
      <w:lvlText w:val=""/>
      <w:lvlJc w:val="left"/>
      <w:pPr>
        <w:tabs>
          <w:tab w:val="num" w:pos="5760"/>
        </w:tabs>
        <w:ind w:left="5760" w:hanging="360"/>
      </w:pPr>
      <w:rPr>
        <w:rFonts w:ascii="Wingdings" w:hAnsi="Wingdings" w:hint="default"/>
      </w:rPr>
    </w:lvl>
    <w:lvl w:ilvl="8" w:tplc="48D8EE8A"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13F5720"/>
    <w:multiLevelType w:val="hybridMultilevel"/>
    <w:tmpl w:val="F96E7B6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9725C4"/>
    <w:multiLevelType w:val="hybridMultilevel"/>
    <w:tmpl w:val="3B98A45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074B1C"/>
    <w:multiLevelType w:val="hybridMultilevel"/>
    <w:tmpl w:val="89DAFE84"/>
    <w:lvl w:ilvl="0" w:tplc="5172F752">
      <w:start w:val="10"/>
      <w:numFmt w:val="decimal"/>
      <w:lvlText w:val="%1."/>
      <w:lvlJc w:val="left"/>
      <w:pPr>
        <w:ind w:left="525" w:hanging="52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ABCE7A9"/>
    <w:multiLevelType w:val="hybridMultilevel"/>
    <w:tmpl w:val="A2F03900"/>
    <w:lvl w:ilvl="0" w:tplc="278A6528">
      <w:start w:val="1"/>
      <w:numFmt w:val="bullet"/>
      <w:lvlText w:val="·"/>
      <w:lvlJc w:val="left"/>
      <w:pPr>
        <w:ind w:left="720" w:hanging="360"/>
      </w:pPr>
      <w:rPr>
        <w:rFonts w:ascii="Symbol" w:hAnsi="Symbol" w:hint="default"/>
      </w:rPr>
    </w:lvl>
    <w:lvl w:ilvl="1" w:tplc="2928510C">
      <w:start w:val="1"/>
      <w:numFmt w:val="bullet"/>
      <w:lvlText w:val="o"/>
      <w:lvlJc w:val="left"/>
      <w:pPr>
        <w:ind w:left="1440" w:hanging="360"/>
      </w:pPr>
      <w:rPr>
        <w:rFonts w:ascii="Courier New" w:hAnsi="Courier New" w:hint="default"/>
      </w:rPr>
    </w:lvl>
    <w:lvl w:ilvl="2" w:tplc="AFCCD28E">
      <w:start w:val="1"/>
      <w:numFmt w:val="bullet"/>
      <w:lvlText w:val=""/>
      <w:lvlJc w:val="left"/>
      <w:pPr>
        <w:ind w:left="2160" w:hanging="360"/>
      </w:pPr>
      <w:rPr>
        <w:rFonts w:ascii="Wingdings" w:hAnsi="Wingdings" w:hint="default"/>
      </w:rPr>
    </w:lvl>
    <w:lvl w:ilvl="3" w:tplc="2FC4D5B8">
      <w:start w:val="1"/>
      <w:numFmt w:val="bullet"/>
      <w:lvlText w:val=""/>
      <w:lvlJc w:val="left"/>
      <w:pPr>
        <w:ind w:left="2880" w:hanging="360"/>
      </w:pPr>
      <w:rPr>
        <w:rFonts w:ascii="Symbol" w:hAnsi="Symbol" w:hint="default"/>
      </w:rPr>
    </w:lvl>
    <w:lvl w:ilvl="4" w:tplc="A71C5D06">
      <w:start w:val="1"/>
      <w:numFmt w:val="bullet"/>
      <w:lvlText w:val="o"/>
      <w:lvlJc w:val="left"/>
      <w:pPr>
        <w:ind w:left="3600" w:hanging="360"/>
      </w:pPr>
      <w:rPr>
        <w:rFonts w:ascii="Courier New" w:hAnsi="Courier New" w:hint="default"/>
      </w:rPr>
    </w:lvl>
    <w:lvl w:ilvl="5" w:tplc="47B69426">
      <w:start w:val="1"/>
      <w:numFmt w:val="bullet"/>
      <w:lvlText w:val=""/>
      <w:lvlJc w:val="left"/>
      <w:pPr>
        <w:ind w:left="4320" w:hanging="360"/>
      </w:pPr>
      <w:rPr>
        <w:rFonts w:ascii="Wingdings" w:hAnsi="Wingdings" w:hint="default"/>
      </w:rPr>
    </w:lvl>
    <w:lvl w:ilvl="6" w:tplc="E102A2F8">
      <w:start w:val="1"/>
      <w:numFmt w:val="bullet"/>
      <w:lvlText w:val=""/>
      <w:lvlJc w:val="left"/>
      <w:pPr>
        <w:ind w:left="5040" w:hanging="360"/>
      </w:pPr>
      <w:rPr>
        <w:rFonts w:ascii="Symbol" w:hAnsi="Symbol" w:hint="default"/>
      </w:rPr>
    </w:lvl>
    <w:lvl w:ilvl="7" w:tplc="93C0C048">
      <w:start w:val="1"/>
      <w:numFmt w:val="bullet"/>
      <w:lvlText w:val="o"/>
      <w:lvlJc w:val="left"/>
      <w:pPr>
        <w:ind w:left="5760" w:hanging="360"/>
      </w:pPr>
      <w:rPr>
        <w:rFonts w:ascii="Courier New" w:hAnsi="Courier New" w:hint="default"/>
      </w:rPr>
    </w:lvl>
    <w:lvl w:ilvl="8" w:tplc="2DB60312">
      <w:start w:val="1"/>
      <w:numFmt w:val="bullet"/>
      <w:lvlText w:val=""/>
      <w:lvlJc w:val="left"/>
      <w:pPr>
        <w:ind w:left="6480" w:hanging="360"/>
      </w:pPr>
      <w:rPr>
        <w:rFonts w:ascii="Wingdings" w:hAnsi="Wingdings" w:hint="default"/>
      </w:rPr>
    </w:lvl>
  </w:abstractNum>
  <w:abstractNum w:abstractNumId="41" w15:restartNumberingAfterBreak="0">
    <w:nsid w:val="7CF8084B"/>
    <w:multiLevelType w:val="hybridMultilevel"/>
    <w:tmpl w:val="9C342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241DC2"/>
    <w:multiLevelType w:val="hybridMultilevel"/>
    <w:tmpl w:val="BCE2C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962706"/>
    <w:multiLevelType w:val="hybridMultilevel"/>
    <w:tmpl w:val="BB508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C31EFE"/>
    <w:multiLevelType w:val="hybridMultilevel"/>
    <w:tmpl w:val="B0FEB436"/>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16586053">
    <w:abstractNumId w:val="33"/>
  </w:num>
  <w:num w:numId="2" w16cid:durableId="423573237">
    <w:abstractNumId w:val="16"/>
  </w:num>
  <w:num w:numId="3" w16cid:durableId="1318223522">
    <w:abstractNumId w:val="34"/>
  </w:num>
  <w:num w:numId="4" w16cid:durableId="674460429">
    <w:abstractNumId w:val="11"/>
  </w:num>
  <w:num w:numId="5" w16cid:durableId="848522590">
    <w:abstractNumId w:val="37"/>
  </w:num>
  <w:num w:numId="6" w16cid:durableId="1787190828">
    <w:abstractNumId w:val="0"/>
  </w:num>
  <w:num w:numId="7" w16cid:durableId="350226749">
    <w:abstractNumId w:val="1"/>
  </w:num>
  <w:num w:numId="8" w16cid:durableId="2009406983">
    <w:abstractNumId w:val="2"/>
  </w:num>
  <w:num w:numId="9" w16cid:durableId="744767911">
    <w:abstractNumId w:val="3"/>
  </w:num>
  <w:num w:numId="10" w16cid:durableId="1908492355">
    <w:abstractNumId w:val="4"/>
  </w:num>
  <w:num w:numId="11" w16cid:durableId="1737623333">
    <w:abstractNumId w:val="5"/>
  </w:num>
  <w:num w:numId="12" w16cid:durableId="1500078317">
    <w:abstractNumId w:val="27"/>
  </w:num>
  <w:num w:numId="13" w16cid:durableId="954749564">
    <w:abstractNumId w:val="6"/>
  </w:num>
  <w:num w:numId="14" w16cid:durableId="1731348100">
    <w:abstractNumId w:val="28"/>
  </w:num>
  <w:num w:numId="15" w16cid:durableId="1732079157">
    <w:abstractNumId w:val="21"/>
  </w:num>
  <w:num w:numId="16" w16cid:durableId="2049914642">
    <w:abstractNumId w:val="31"/>
  </w:num>
  <w:num w:numId="17" w16cid:durableId="84689524">
    <w:abstractNumId w:val="17"/>
  </w:num>
  <w:num w:numId="18" w16cid:durableId="2096780834">
    <w:abstractNumId w:val="12"/>
  </w:num>
  <w:num w:numId="19" w16cid:durableId="180901029">
    <w:abstractNumId w:val="38"/>
  </w:num>
  <w:num w:numId="20" w16cid:durableId="774061229">
    <w:abstractNumId w:val="18"/>
  </w:num>
  <w:num w:numId="21" w16cid:durableId="1561164101">
    <w:abstractNumId w:val="13"/>
  </w:num>
  <w:num w:numId="22" w16cid:durableId="1008143223">
    <w:abstractNumId w:val="10"/>
  </w:num>
  <w:num w:numId="23" w16cid:durableId="1557351821">
    <w:abstractNumId w:val="32"/>
  </w:num>
  <w:num w:numId="24" w16cid:durableId="602999682">
    <w:abstractNumId w:val="22"/>
  </w:num>
  <w:num w:numId="25" w16cid:durableId="910164648">
    <w:abstractNumId w:val="39"/>
  </w:num>
  <w:num w:numId="26" w16cid:durableId="1565988567">
    <w:abstractNumId w:val="8"/>
  </w:num>
  <w:num w:numId="27" w16cid:durableId="1399789329">
    <w:abstractNumId w:val="7"/>
  </w:num>
  <w:num w:numId="28" w16cid:durableId="949976147">
    <w:abstractNumId w:val="44"/>
  </w:num>
  <w:num w:numId="29" w16cid:durableId="44912627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23150064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46731532">
    <w:abstractNumId w:val="24"/>
  </w:num>
  <w:num w:numId="32" w16cid:durableId="1547838862">
    <w:abstractNumId w:val="36"/>
  </w:num>
  <w:num w:numId="33" w16cid:durableId="2043700932">
    <w:abstractNumId w:val="19"/>
  </w:num>
  <w:num w:numId="34" w16cid:durableId="2143306705">
    <w:abstractNumId w:val="41"/>
  </w:num>
  <w:num w:numId="35" w16cid:durableId="1083114083">
    <w:abstractNumId w:val="30"/>
  </w:num>
  <w:num w:numId="36" w16cid:durableId="1250233220">
    <w:abstractNumId w:val="43"/>
  </w:num>
  <w:num w:numId="37" w16cid:durableId="991101479">
    <w:abstractNumId w:val="35"/>
  </w:num>
  <w:num w:numId="38" w16cid:durableId="876701128">
    <w:abstractNumId w:val="42"/>
  </w:num>
  <w:num w:numId="39" w16cid:durableId="1777406039">
    <w:abstractNumId w:val="9"/>
  </w:num>
  <w:num w:numId="40" w16cid:durableId="921910798">
    <w:abstractNumId w:val="14"/>
  </w:num>
  <w:num w:numId="41" w16cid:durableId="172693609">
    <w:abstractNumId w:val="15"/>
  </w:num>
  <w:num w:numId="42" w16cid:durableId="1544754272">
    <w:abstractNumId w:val="29"/>
  </w:num>
  <w:num w:numId="43" w16cid:durableId="778186236">
    <w:abstractNumId w:val="23"/>
  </w:num>
  <w:num w:numId="44" w16cid:durableId="1814906086">
    <w:abstractNumId w:val="25"/>
  </w:num>
  <w:num w:numId="45" w16cid:durableId="446391290">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6ED"/>
    <w:rsid w:val="00003477"/>
    <w:rsid w:val="000048F6"/>
    <w:rsid w:val="00013CA8"/>
    <w:rsid w:val="000204FA"/>
    <w:rsid w:val="00020A09"/>
    <w:rsid w:val="00021274"/>
    <w:rsid w:val="00022A01"/>
    <w:rsid w:val="00030BF4"/>
    <w:rsid w:val="0003327A"/>
    <w:rsid w:val="00057F96"/>
    <w:rsid w:val="00080D03"/>
    <w:rsid w:val="0009252B"/>
    <w:rsid w:val="000A1DBB"/>
    <w:rsid w:val="000C202B"/>
    <w:rsid w:val="000C2E31"/>
    <w:rsid w:val="000E5F69"/>
    <w:rsid w:val="000E7477"/>
    <w:rsid w:val="000E774E"/>
    <w:rsid w:val="000F221B"/>
    <w:rsid w:val="00100E7F"/>
    <w:rsid w:val="00121D04"/>
    <w:rsid w:val="00130634"/>
    <w:rsid w:val="0013086F"/>
    <w:rsid w:val="00143A82"/>
    <w:rsid w:val="00155CF1"/>
    <w:rsid w:val="00160458"/>
    <w:rsid w:val="0017004D"/>
    <w:rsid w:val="0017737B"/>
    <w:rsid w:val="0019637C"/>
    <w:rsid w:val="001B7467"/>
    <w:rsid w:val="001C4FDE"/>
    <w:rsid w:val="001C76F1"/>
    <w:rsid w:val="001D393E"/>
    <w:rsid w:val="00204DE2"/>
    <w:rsid w:val="00210F6B"/>
    <w:rsid w:val="002141EE"/>
    <w:rsid w:val="00234193"/>
    <w:rsid w:val="00261864"/>
    <w:rsid w:val="00265679"/>
    <w:rsid w:val="002732C2"/>
    <w:rsid w:val="00281958"/>
    <w:rsid w:val="00292AEE"/>
    <w:rsid w:val="002A2E19"/>
    <w:rsid w:val="002C52BD"/>
    <w:rsid w:val="002C7708"/>
    <w:rsid w:val="002D4B8E"/>
    <w:rsid w:val="002E324B"/>
    <w:rsid w:val="002E73B9"/>
    <w:rsid w:val="002F0F7A"/>
    <w:rsid w:val="0030297E"/>
    <w:rsid w:val="003104A9"/>
    <w:rsid w:val="0032409E"/>
    <w:rsid w:val="00332EDC"/>
    <w:rsid w:val="003368CF"/>
    <w:rsid w:val="003443BE"/>
    <w:rsid w:val="0034541D"/>
    <w:rsid w:val="00351835"/>
    <w:rsid w:val="00351E52"/>
    <w:rsid w:val="0035440A"/>
    <w:rsid w:val="003553E8"/>
    <w:rsid w:val="00370111"/>
    <w:rsid w:val="00372679"/>
    <w:rsid w:val="003801CB"/>
    <w:rsid w:val="00387CE9"/>
    <w:rsid w:val="003A20C8"/>
    <w:rsid w:val="003A3AE7"/>
    <w:rsid w:val="003B2B3C"/>
    <w:rsid w:val="003B3DDC"/>
    <w:rsid w:val="003B44E4"/>
    <w:rsid w:val="003C2F94"/>
    <w:rsid w:val="003C4BB5"/>
    <w:rsid w:val="003E5457"/>
    <w:rsid w:val="003E6079"/>
    <w:rsid w:val="003E6B22"/>
    <w:rsid w:val="00404CB1"/>
    <w:rsid w:val="00406822"/>
    <w:rsid w:val="004102B4"/>
    <w:rsid w:val="004435F8"/>
    <w:rsid w:val="00447228"/>
    <w:rsid w:val="004551EA"/>
    <w:rsid w:val="00474381"/>
    <w:rsid w:val="00482F12"/>
    <w:rsid w:val="004831E9"/>
    <w:rsid w:val="004A1118"/>
    <w:rsid w:val="004A516C"/>
    <w:rsid w:val="004A7378"/>
    <w:rsid w:val="004A7462"/>
    <w:rsid w:val="004B009E"/>
    <w:rsid w:val="004B2CF8"/>
    <w:rsid w:val="004B6DFB"/>
    <w:rsid w:val="004B71B6"/>
    <w:rsid w:val="004C6931"/>
    <w:rsid w:val="004E006F"/>
    <w:rsid w:val="004E1D39"/>
    <w:rsid w:val="004F4DF3"/>
    <w:rsid w:val="004F7EA6"/>
    <w:rsid w:val="00510B86"/>
    <w:rsid w:val="00510C5F"/>
    <w:rsid w:val="005155CC"/>
    <w:rsid w:val="00515DBC"/>
    <w:rsid w:val="00527411"/>
    <w:rsid w:val="0054018E"/>
    <w:rsid w:val="00556658"/>
    <w:rsid w:val="005579FA"/>
    <w:rsid w:val="00560438"/>
    <w:rsid w:val="00573841"/>
    <w:rsid w:val="005805D7"/>
    <w:rsid w:val="00590BE3"/>
    <w:rsid w:val="00594670"/>
    <w:rsid w:val="00594B91"/>
    <w:rsid w:val="005A5204"/>
    <w:rsid w:val="005A5A5F"/>
    <w:rsid w:val="005D1899"/>
    <w:rsid w:val="005E1FDF"/>
    <w:rsid w:val="005F21E3"/>
    <w:rsid w:val="0060169E"/>
    <w:rsid w:val="006037E8"/>
    <w:rsid w:val="006054EF"/>
    <w:rsid w:val="006119FE"/>
    <w:rsid w:val="00612A15"/>
    <w:rsid w:val="006B4AA6"/>
    <w:rsid w:val="006C6928"/>
    <w:rsid w:val="006E3D86"/>
    <w:rsid w:val="006F43A5"/>
    <w:rsid w:val="006F54CA"/>
    <w:rsid w:val="00712969"/>
    <w:rsid w:val="00721933"/>
    <w:rsid w:val="00722CE1"/>
    <w:rsid w:val="0072641B"/>
    <w:rsid w:val="007414F4"/>
    <w:rsid w:val="007427FE"/>
    <w:rsid w:val="00756AD4"/>
    <w:rsid w:val="0076076A"/>
    <w:rsid w:val="00767314"/>
    <w:rsid w:val="007B704D"/>
    <w:rsid w:val="007C4E04"/>
    <w:rsid w:val="007D20F4"/>
    <w:rsid w:val="007D32F8"/>
    <w:rsid w:val="007D3A72"/>
    <w:rsid w:val="007F0BCE"/>
    <w:rsid w:val="008205E7"/>
    <w:rsid w:val="00821FCE"/>
    <w:rsid w:val="008228ED"/>
    <w:rsid w:val="008418EB"/>
    <w:rsid w:val="00852797"/>
    <w:rsid w:val="00864D74"/>
    <w:rsid w:val="00880A62"/>
    <w:rsid w:val="00883398"/>
    <w:rsid w:val="008918BE"/>
    <w:rsid w:val="00892D31"/>
    <w:rsid w:val="008A2D5B"/>
    <w:rsid w:val="008A7D18"/>
    <w:rsid w:val="008B4C90"/>
    <w:rsid w:val="008C51A9"/>
    <w:rsid w:val="008C54EC"/>
    <w:rsid w:val="008D6A1A"/>
    <w:rsid w:val="008F2D50"/>
    <w:rsid w:val="008F58E1"/>
    <w:rsid w:val="008F6DFE"/>
    <w:rsid w:val="00903909"/>
    <w:rsid w:val="00910ED4"/>
    <w:rsid w:val="0092289B"/>
    <w:rsid w:val="0093136B"/>
    <w:rsid w:val="00993D15"/>
    <w:rsid w:val="009944B9"/>
    <w:rsid w:val="00994BFE"/>
    <w:rsid w:val="00996DF1"/>
    <w:rsid w:val="009A2C71"/>
    <w:rsid w:val="009B0463"/>
    <w:rsid w:val="009B2E34"/>
    <w:rsid w:val="009C6327"/>
    <w:rsid w:val="009D0CF9"/>
    <w:rsid w:val="009D6963"/>
    <w:rsid w:val="009E653E"/>
    <w:rsid w:val="009F1A54"/>
    <w:rsid w:val="00A000F8"/>
    <w:rsid w:val="00A0291E"/>
    <w:rsid w:val="00A11AB4"/>
    <w:rsid w:val="00A310A5"/>
    <w:rsid w:val="00A3364E"/>
    <w:rsid w:val="00A47D1D"/>
    <w:rsid w:val="00A5667C"/>
    <w:rsid w:val="00A63B0C"/>
    <w:rsid w:val="00A714A7"/>
    <w:rsid w:val="00A75E47"/>
    <w:rsid w:val="00A77B5C"/>
    <w:rsid w:val="00AB232C"/>
    <w:rsid w:val="00AC31F2"/>
    <w:rsid w:val="00AC4E29"/>
    <w:rsid w:val="00AE0F10"/>
    <w:rsid w:val="00AE1959"/>
    <w:rsid w:val="00AE4B9E"/>
    <w:rsid w:val="00AF5D0D"/>
    <w:rsid w:val="00B04587"/>
    <w:rsid w:val="00B07DC1"/>
    <w:rsid w:val="00B100D1"/>
    <w:rsid w:val="00B115AA"/>
    <w:rsid w:val="00B1602F"/>
    <w:rsid w:val="00B30934"/>
    <w:rsid w:val="00B37B4F"/>
    <w:rsid w:val="00B459BE"/>
    <w:rsid w:val="00B62713"/>
    <w:rsid w:val="00B64759"/>
    <w:rsid w:val="00B6521D"/>
    <w:rsid w:val="00B7330C"/>
    <w:rsid w:val="00B808DD"/>
    <w:rsid w:val="00B91089"/>
    <w:rsid w:val="00B92B22"/>
    <w:rsid w:val="00BA531E"/>
    <w:rsid w:val="00BA7DED"/>
    <w:rsid w:val="00BB5FD4"/>
    <w:rsid w:val="00BB696A"/>
    <w:rsid w:val="00BC03D8"/>
    <w:rsid w:val="00BC5061"/>
    <w:rsid w:val="00BD4C58"/>
    <w:rsid w:val="00BF3E6D"/>
    <w:rsid w:val="00BF584B"/>
    <w:rsid w:val="00C11F93"/>
    <w:rsid w:val="00C327A0"/>
    <w:rsid w:val="00C43787"/>
    <w:rsid w:val="00C633EE"/>
    <w:rsid w:val="00C63772"/>
    <w:rsid w:val="00C715F4"/>
    <w:rsid w:val="00C73F3B"/>
    <w:rsid w:val="00C748B2"/>
    <w:rsid w:val="00C91903"/>
    <w:rsid w:val="00C93B56"/>
    <w:rsid w:val="00C953B2"/>
    <w:rsid w:val="00CA6516"/>
    <w:rsid w:val="00CB0824"/>
    <w:rsid w:val="00CB7EE5"/>
    <w:rsid w:val="00CC1603"/>
    <w:rsid w:val="00CD0CB5"/>
    <w:rsid w:val="00CD3DFA"/>
    <w:rsid w:val="00CD61B0"/>
    <w:rsid w:val="00CD679E"/>
    <w:rsid w:val="00CD6FB0"/>
    <w:rsid w:val="00CE0616"/>
    <w:rsid w:val="00D01B24"/>
    <w:rsid w:val="00D14AEF"/>
    <w:rsid w:val="00D2002E"/>
    <w:rsid w:val="00D24C86"/>
    <w:rsid w:val="00D37101"/>
    <w:rsid w:val="00D66F4B"/>
    <w:rsid w:val="00D70F86"/>
    <w:rsid w:val="00D73363"/>
    <w:rsid w:val="00D8175A"/>
    <w:rsid w:val="00DA0CE0"/>
    <w:rsid w:val="00DC50DD"/>
    <w:rsid w:val="00DF33C1"/>
    <w:rsid w:val="00E00D97"/>
    <w:rsid w:val="00E33913"/>
    <w:rsid w:val="00E34848"/>
    <w:rsid w:val="00E72D63"/>
    <w:rsid w:val="00E73D72"/>
    <w:rsid w:val="00E77543"/>
    <w:rsid w:val="00EB1214"/>
    <w:rsid w:val="00EC27F0"/>
    <w:rsid w:val="00EC4B4F"/>
    <w:rsid w:val="00ED063B"/>
    <w:rsid w:val="00ED4154"/>
    <w:rsid w:val="00ED46ED"/>
    <w:rsid w:val="00EE51D3"/>
    <w:rsid w:val="00EE56BD"/>
    <w:rsid w:val="00F10CB2"/>
    <w:rsid w:val="00F21732"/>
    <w:rsid w:val="00F43AC3"/>
    <w:rsid w:val="00F53B45"/>
    <w:rsid w:val="00F555C6"/>
    <w:rsid w:val="00F5706A"/>
    <w:rsid w:val="00F61202"/>
    <w:rsid w:val="00F64C1B"/>
    <w:rsid w:val="00F661CD"/>
    <w:rsid w:val="00F7338B"/>
    <w:rsid w:val="00F73AEE"/>
    <w:rsid w:val="00F97F06"/>
    <w:rsid w:val="00FB05A7"/>
    <w:rsid w:val="00FC08F8"/>
    <w:rsid w:val="00FD49C4"/>
    <w:rsid w:val="00FE6E7E"/>
    <w:rsid w:val="00FF79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B7A658"/>
  <w15:chartTrackingRefBased/>
  <w15:docId w15:val="{2975B8DA-8853-4BCE-946E-2B42B434E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E7E"/>
  </w:style>
  <w:style w:type="paragraph" w:styleId="Heading1">
    <w:name w:val="heading 1"/>
    <w:basedOn w:val="Normal"/>
    <w:next w:val="Normal"/>
    <w:link w:val="Heading1Char"/>
    <w:uiPriority w:val="9"/>
    <w:qFormat/>
    <w:rsid w:val="00E73D72"/>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73D72"/>
    <w:pPr>
      <w:keepNext/>
      <w:keepLines/>
      <w:spacing w:before="160" w:after="80" w:line="278"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73D72"/>
    <w:pPr>
      <w:keepNext/>
      <w:keepLines/>
      <w:spacing w:before="160" w:after="80" w:line="278"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7011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46ED"/>
    <w:pPr>
      <w:ind w:left="720"/>
      <w:contextualSpacing/>
    </w:pPr>
  </w:style>
  <w:style w:type="character" w:styleId="Hyperlink">
    <w:name w:val="Hyperlink"/>
    <w:basedOn w:val="DefaultParagraphFont"/>
    <w:uiPriority w:val="99"/>
    <w:unhideWhenUsed/>
    <w:rsid w:val="00E33913"/>
    <w:rPr>
      <w:color w:val="0563C1" w:themeColor="hyperlink"/>
      <w:u w:val="single"/>
    </w:rPr>
  </w:style>
  <w:style w:type="character" w:styleId="UnresolvedMention">
    <w:name w:val="Unresolved Mention"/>
    <w:basedOn w:val="DefaultParagraphFont"/>
    <w:uiPriority w:val="99"/>
    <w:semiHidden/>
    <w:unhideWhenUsed/>
    <w:rsid w:val="00E33913"/>
    <w:rPr>
      <w:color w:val="605E5C"/>
      <w:shd w:val="clear" w:color="auto" w:fill="E1DFDD"/>
    </w:rPr>
  </w:style>
  <w:style w:type="paragraph" w:styleId="BodyText">
    <w:name w:val="Body Text"/>
    <w:basedOn w:val="Normal"/>
    <w:link w:val="BodyTextChar"/>
    <w:rsid w:val="00ED4154"/>
    <w:pPr>
      <w:suppressAutoHyphens/>
      <w:spacing w:after="0" w:line="276" w:lineRule="auto"/>
    </w:pPr>
    <w:rPr>
      <w:rFonts w:ascii="Garamond" w:eastAsia="Times New Roman" w:hAnsi="Garamond" w:cs="Garamond"/>
      <w:kern w:val="0"/>
      <w:sz w:val="24"/>
      <w:szCs w:val="24"/>
      <w14:ligatures w14:val="none"/>
    </w:rPr>
  </w:style>
  <w:style w:type="character" w:customStyle="1" w:styleId="BodyTextChar">
    <w:name w:val="Body Text Char"/>
    <w:basedOn w:val="DefaultParagraphFont"/>
    <w:link w:val="BodyText"/>
    <w:rsid w:val="00ED4154"/>
    <w:rPr>
      <w:rFonts w:ascii="Garamond" w:eastAsia="Times New Roman" w:hAnsi="Garamond" w:cs="Garamond"/>
      <w:kern w:val="0"/>
      <w:sz w:val="24"/>
      <w:szCs w:val="24"/>
      <w14:ligatures w14:val="none"/>
    </w:rPr>
  </w:style>
  <w:style w:type="paragraph" w:styleId="Header">
    <w:name w:val="header"/>
    <w:basedOn w:val="Normal"/>
    <w:link w:val="HeaderChar"/>
    <w:uiPriority w:val="99"/>
    <w:unhideWhenUsed/>
    <w:rsid w:val="00ED0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63B"/>
  </w:style>
  <w:style w:type="paragraph" w:styleId="Footer">
    <w:name w:val="footer"/>
    <w:basedOn w:val="Normal"/>
    <w:link w:val="FooterChar"/>
    <w:uiPriority w:val="99"/>
    <w:unhideWhenUsed/>
    <w:rsid w:val="00ED0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63B"/>
  </w:style>
  <w:style w:type="paragraph" w:styleId="NormalWeb">
    <w:name w:val="Normal (Web)"/>
    <w:basedOn w:val="Normal"/>
    <w:uiPriority w:val="99"/>
    <w:unhideWhenUsed/>
    <w:rsid w:val="00756AD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474381"/>
    <w:rPr>
      <w:i/>
      <w:iCs/>
    </w:rPr>
  </w:style>
  <w:style w:type="character" w:customStyle="1" w:styleId="Heading1Char">
    <w:name w:val="Heading 1 Char"/>
    <w:basedOn w:val="DefaultParagraphFont"/>
    <w:link w:val="Heading1"/>
    <w:uiPriority w:val="9"/>
    <w:rsid w:val="00E73D7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73D7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73D72"/>
    <w:rPr>
      <w:rFonts w:eastAsiaTheme="majorEastAsia" w:cstheme="majorBidi"/>
      <w:color w:val="2F5496" w:themeColor="accent1" w:themeShade="BF"/>
      <w:sz w:val="28"/>
      <w:szCs w:val="28"/>
    </w:rPr>
  </w:style>
  <w:style w:type="character" w:styleId="FollowedHyperlink">
    <w:name w:val="FollowedHyperlink"/>
    <w:basedOn w:val="DefaultParagraphFont"/>
    <w:uiPriority w:val="99"/>
    <w:semiHidden/>
    <w:unhideWhenUsed/>
    <w:rsid w:val="00EE56BD"/>
    <w:rPr>
      <w:color w:val="954F72" w:themeColor="followedHyperlink"/>
      <w:u w:val="single"/>
    </w:rPr>
  </w:style>
  <w:style w:type="character" w:customStyle="1" w:styleId="Heading4Char">
    <w:name w:val="Heading 4 Char"/>
    <w:basedOn w:val="DefaultParagraphFont"/>
    <w:link w:val="Heading4"/>
    <w:uiPriority w:val="9"/>
    <w:rsid w:val="0037011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481176">
      <w:bodyDiv w:val="1"/>
      <w:marLeft w:val="0"/>
      <w:marRight w:val="0"/>
      <w:marTop w:val="0"/>
      <w:marBottom w:val="0"/>
      <w:divBdr>
        <w:top w:val="none" w:sz="0" w:space="0" w:color="auto"/>
        <w:left w:val="none" w:sz="0" w:space="0" w:color="auto"/>
        <w:bottom w:val="none" w:sz="0" w:space="0" w:color="auto"/>
        <w:right w:val="none" w:sz="0" w:space="0" w:color="auto"/>
      </w:divBdr>
    </w:div>
    <w:div w:id="78647333">
      <w:bodyDiv w:val="1"/>
      <w:marLeft w:val="0"/>
      <w:marRight w:val="0"/>
      <w:marTop w:val="0"/>
      <w:marBottom w:val="0"/>
      <w:divBdr>
        <w:top w:val="none" w:sz="0" w:space="0" w:color="auto"/>
        <w:left w:val="none" w:sz="0" w:space="0" w:color="auto"/>
        <w:bottom w:val="none" w:sz="0" w:space="0" w:color="auto"/>
        <w:right w:val="none" w:sz="0" w:space="0" w:color="auto"/>
      </w:divBdr>
      <w:divsChild>
        <w:div w:id="2066948672">
          <w:marLeft w:val="0"/>
          <w:marRight w:val="0"/>
          <w:marTop w:val="0"/>
          <w:marBottom w:val="0"/>
          <w:divBdr>
            <w:top w:val="none" w:sz="0" w:space="0" w:color="auto"/>
            <w:left w:val="none" w:sz="0" w:space="0" w:color="auto"/>
            <w:bottom w:val="none" w:sz="0" w:space="0" w:color="auto"/>
            <w:right w:val="none" w:sz="0" w:space="0" w:color="auto"/>
          </w:divBdr>
          <w:divsChild>
            <w:div w:id="112211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21331">
      <w:bodyDiv w:val="1"/>
      <w:marLeft w:val="0"/>
      <w:marRight w:val="0"/>
      <w:marTop w:val="0"/>
      <w:marBottom w:val="0"/>
      <w:divBdr>
        <w:top w:val="none" w:sz="0" w:space="0" w:color="auto"/>
        <w:left w:val="none" w:sz="0" w:space="0" w:color="auto"/>
        <w:bottom w:val="none" w:sz="0" w:space="0" w:color="auto"/>
        <w:right w:val="none" w:sz="0" w:space="0" w:color="auto"/>
      </w:divBdr>
    </w:div>
    <w:div w:id="181209452">
      <w:bodyDiv w:val="1"/>
      <w:marLeft w:val="0"/>
      <w:marRight w:val="0"/>
      <w:marTop w:val="0"/>
      <w:marBottom w:val="0"/>
      <w:divBdr>
        <w:top w:val="none" w:sz="0" w:space="0" w:color="auto"/>
        <w:left w:val="none" w:sz="0" w:space="0" w:color="auto"/>
        <w:bottom w:val="none" w:sz="0" w:space="0" w:color="auto"/>
        <w:right w:val="none" w:sz="0" w:space="0" w:color="auto"/>
      </w:divBdr>
      <w:divsChild>
        <w:div w:id="1570842654">
          <w:marLeft w:val="0"/>
          <w:marRight w:val="0"/>
          <w:marTop w:val="0"/>
          <w:marBottom w:val="0"/>
          <w:divBdr>
            <w:top w:val="none" w:sz="0" w:space="0" w:color="auto"/>
            <w:left w:val="none" w:sz="0" w:space="0" w:color="auto"/>
            <w:bottom w:val="none" w:sz="0" w:space="0" w:color="auto"/>
            <w:right w:val="none" w:sz="0" w:space="0" w:color="auto"/>
          </w:divBdr>
        </w:div>
        <w:div w:id="2101876287">
          <w:marLeft w:val="0"/>
          <w:marRight w:val="0"/>
          <w:marTop w:val="75"/>
          <w:marBottom w:val="0"/>
          <w:divBdr>
            <w:top w:val="none" w:sz="0" w:space="0" w:color="auto"/>
            <w:left w:val="none" w:sz="0" w:space="0" w:color="auto"/>
            <w:bottom w:val="none" w:sz="0" w:space="0" w:color="auto"/>
            <w:right w:val="none" w:sz="0" w:space="0" w:color="auto"/>
          </w:divBdr>
          <w:divsChild>
            <w:div w:id="413288103">
              <w:marLeft w:val="0"/>
              <w:marRight w:val="0"/>
              <w:marTop w:val="0"/>
              <w:marBottom w:val="0"/>
              <w:divBdr>
                <w:top w:val="none" w:sz="0" w:space="0" w:color="auto"/>
                <w:left w:val="none" w:sz="0" w:space="0" w:color="auto"/>
                <w:bottom w:val="none" w:sz="0" w:space="0" w:color="auto"/>
                <w:right w:val="none" w:sz="0" w:space="0" w:color="auto"/>
              </w:divBdr>
            </w:div>
            <w:div w:id="40745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430341">
      <w:bodyDiv w:val="1"/>
      <w:marLeft w:val="0"/>
      <w:marRight w:val="0"/>
      <w:marTop w:val="0"/>
      <w:marBottom w:val="0"/>
      <w:divBdr>
        <w:top w:val="none" w:sz="0" w:space="0" w:color="auto"/>
        <w:left w:val="none" w:sz="0" w:space="0" w:color="auto"/>
        <w:bottom w:val="none" w:sz="0" w:space="0" w:color="auto"/>
        <w:right w:val="none" w:sz="0" w:space="0" w:color="auto"/>
      </w:divBdr>
    </w:div>
    <w:div w:id="387337081">
      <w:bodyDiv w:val="1"/>
      <w:marLeft w:val="0"/>
      <w:marRight w:val="0"/>
      <w:marTop w:val="0"/>
      <w:marBottom w:val="0"/>
      <w:divBdr>
        <w:top w:val="none" w:sz="0" w:space="0" w:color="auto"/>
        <w:left w:val="none" w:sz="0" w:space="0" w:color="auto"/>
        <w:bottom w:val="none" w:sz="0" w:space="0" w:color="auto"/>
        <w:right w:val="none" w:sz="0" w:space="0" w:color="auto"/>
      </w:divBdr>
    </w:div>
    <w:div w:id="408890247">
      <w:bodyDiv w:val="1"/>
      <w:marLeft w:val="0"/>
      <w:marRight w:val="0"/>
      <w:marTop w:val="0"/>
      <w:marBottom w:val="0"/>
      <w:divBdr>
        <w:top w:val="none" w:sz="0" w:space="0" w:color="auto"/>
        <w:left w:val="none" w:sz="0" w:space="0" w:color="auto"/>
        <w:bottom w:val="none" w:sz="0" w:space="0" w:color="auto"/>
        <w:right w:val="none" w:sz="0" w:space="0" w:color="auto"/>
      </w:divBdr>
      <w:divsChild>
        <w:div w:id="194317755">
          <w:marLeft w:val="0"/>
          <w:marRight w:val="0"/>
          <w:marTop w:val="0"/>
          <w:marBottom w:val="160"/>
          <w:divBdr>
            <w:top w:val="none" w:sz="0" w:space="0" w:color="auto"/>
            <w:left w:val="none" w:sz="0" w:space="0" w:color="auto"/>
            <w:bottom w:val="none" w:sz="0" w:space="0" w:color="auto"/>
            <w:right w:val="none" w:sz="0" w:space="0" w:color="auto"/>
          </w:divBdr>
        </w:div>
        <w:div w:id="586426015">
          <w:marLeft w:val="0"/>
          <w:marRight w:val="0"/>
          <w:marTop w:val="0"/>
          <w:marBottom w:val="160"/>
          <w:divBdr>
            <w:top w:val="none" w:sz="0" w:space="0" w:color="auto"/>
            <w:left w:val="none" w:sz="0" w:space="0" w:color="auto"/>
            <w:bottom w:val="none" w:sz="0" w:space="0" w:color="auto"/>
            <w:right w:val="none" w:sz="0" w:space="0" w:color="auto"/>
          </w:divBdr>
        </w:div>
        <w:div w:id="746925907">
          <w:marLeft w:val="0"/>
          <w:marRight w:val="0"/>
          <w:marTop w:val="0"/>
          <w:marBottom w:val="160"/>
          <w:divBdr>
            <w:top w:val="none" w:sz="0" w:space="0" w:color="auto"/>
            <w:left w:val="none" w:sz="0" w:space="0" w:color="auto"/>
            <w:bottom w:val="none" w:sz="0" w:space="0" w:color="auto"/>
            <w:right w:val="none" w:sz="0" w:space="0" w:color="auto"/>
          </w:divBdr>
        </w:div>
        <w:div w:id="905069243">
          <w:marLeft w:val="0"/>
          <w:marRight w:val="0"/>
          <w:marTop w:val="0"/>
          <w:marBottom w:val="160"/>
          <w:divBdr>
            <w:top w:val="none" w:sz="0" w:space="0" w:color="auto"/>
            <w:left w:val="none" w:sz="0" w:space="0" w:color="auto"/>
            <w:bottom w:val="none" w:sz="0" w:space="0" w:color="auto"/>
            <w:right w:val="none" w:sz="0" w:space="0" w:color="auto"/>
          </w:divBdr>
        </w:div>
      </w:divsChild>
    </w:div>
    <w:div w:id="570191716">
      <w:bodyDiv w:val="1"/>
      <w:marLeft w:val="0"/>
      <w:marRight w:val="0"/>
      <w:marTop w:val="0"/>
      <w:marBottom w:val="0"/>
      <w:divBdr>
        <w:top w:val="none" w:sz="0" w:space="0" w:color="auto"/>
        <w:left w:val="none" w:sz="0" w:space="0" w:color="auto"/>
        <w:bottom w:val="none" w:sz="0" w:space="0" w:color="auto"/>
        <w:right w:val="none" w:sz="0" w:space="0" w:color="auto"/>
      </w:divBdr>
    </w:div>
    <w:div w:id="821625470">
      <w:bodyDiv w:val="1"/>
      <w:marLeft w:val="0"/>
      <w:marRight w:val="0"/>
      <w:marTop w:val="0"/>
      <w:marBottom w:val="0"/>
      <w:divBdr>
        <w:top w:val="none" w:sz="0" w:space="0" w:color="auto"/>
        <w:left w:val="none" w:sz="0" w:space="0" w:color="auto"/>
        <w:bottom w:val="none" w:sz="0" w:space="0" w:color="auto"/>
        <w:right w:val="none" w:sz="0" w:space="0" w:color="auto"/>
      </w:divBdr>
      <w:divsChild>
        <w:div w:id="946818114">
          <w:marLeft w:val="0"/>
          <w:marRight w:val="0"/>
          <w:marTop w:val="0"/>
          <w:marBottom w:val="0"/>
          <w:divBdr>
            <w:top w:val="none" w:sz="0" w:space="0" w:color="auto"/>
            <w:left w:val="none" w:sz="0" w:space="0" w:color="auto"/>
            <w:bottom w:val="none" w:sz="0" w:space="0" w:color="auto"/>
            <w:right w:val="none" w:sz="0" w:space="0" w:color="auto"/>
          </w:divBdr>
          <w:divsChild>
            <w:div w:id="205180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358871">
      <w:bodyDiv w:val="1"/>
      <w:marLeft w:val="0"/>
      <w:marRight w:val="0"/>
      <w:marTop w:val="0"/>
      <w:marBottom w:val="0"/>
      <w:divBdr>
        <w:top w:val="none" w:sz="0" w:space="0" w:color="auto"/>
        <w:left w:val="none" w:sz="0" w:space="0" w:color="auto"/>
        <w:bottom w:val="none" w:sz="0" w:space="0" w:color="auto"/>
        <w:right w:val="none" w:sz="0" w:space="0" w:color="auto"/>
      </w:divBdr>
    </w:div>
    <w:div w:id="927811218">
      <w:bodyDiv w:val="1"/>
      <w:marLeft w:val="0"/>
      <w:marRight w:val="0"/>
      <w:marTop w:val="0"/>
      <w:marBottom w:val="0"/>
      <w:divBdr>
        <w:top w:val="none" w:sz="0" w:space="0" w:color="auto"/>
        <w:left w:val="none" w:sz="0" w:space="0" w:color="auto"/>
        <w:bottom w:val="none" w:sz="0" w:space="0" w:color="auto"/>
        <w:right w:val="none" w:sz="0" w:space="0" w:color="auto"/>
      </w:divBdr>
    </w:div>
    <w:div w:id="944537505">
      <w:bodyDiv w:val="1"/>
      <w:marLeft w:val="0"/>
      <w:marRight w:val="0"/>
      <w:marTop w:val="0"/>
      <w:marBottom w:val="0"/>
      <w:divBdr>
        <w:top w:val="none" w:sz="0" w:space="0" w:color="auto"/>
        <w:left w:val="none" w:sz="0" w:space="0" w:color="auto"/>
        <w:bottom w:val="none" w:sz="0" w:space="0" w:color="auto"/>
        <w:right w:val="none" w:sz="0" w:space="0" w:color="auto"/>
      </w:divBdr>
    </w:div>
    <w:div w:id="974406426">
      <w:bodyDiv w:val="1"/>
      <w:marLeft w:val="0"/>
      <w:marRight w:val="0"/>
      <w:marTop w:val="0"/>
      <w:marBottom w:val="0"/>
      <w:divBdr>
        <w:top w:val="none" w:sz="0" w:space="0" w:color="auto"/>
        <w:left w:val="none" w:sz="0" w:space="0" w:color="auto"/>
        <w:bottom w:val="none" w:sz="0" w:space="0" w:color="auto"/>
        <w:right w:val="none" w:sz="0" w:space="0" w:color="auto"/>
      </w:divBdr>
    </w:div>
    <w:div w:id="1000353883">
      <w:bodyDiv w:val="1"/>
      <w:marLeft w:val="0"/>
      <w:marRight w:val="0"/>
      <w:marTop w:val="0"/>
      <w:marBottom w:val="0"/>
      <w:divBdr>
        <w:top w:val="none" w:sz="0" w:space="0" w:color="auto"/>
        <w:left w:val="none" w:sz="0" w:space="0" w:color="auto"/>
        <w:bottom w:val="none" w:sz="0" w:space="0" w:color="auto"/>
        <w:right w:val="none" w:sz="0" w:space="0" w:color="auto"/>
      </w:divBdr>
      <w:divsChild>
        <w:div w:id="1228420251">
          <w:marLeft w:val="0"/>
          <w:marRight w:val="0"/>
          <w:marTop w:val="0"/>
          <w:marBottom w:val="0"/>
          <w:divBdr>
            <w:top w:val="none" w:sz="0" w:space="0" w:color="auto"/>
            <w:left w:val="none" w:sz="0" w:space="0" w:color="auto"/>
            <w:bottom w:val="none" w:sz="0" w:space="0" w:color="auto"/>
            <w:right w:val="none" w:sz="0" w:space="0" w:color="auto"/>
          </w:divBdr>
          <w:divsChild>
            <w:div w:id="160912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955976">
      <w:bodyDiv w:val="1"/>
      <w:marLeft w:val="0"/>
      <w:marRight w:val="0"/>
      <w:marTop w:val="0"/>
      <w:marBottom w:val="0"/>
      <w:divBdr>
        <w:top w:val="none" w:sz="0" w:space="0" w:color="auto"/>
        <w:left w:val="none" w:sz="0" w:space="0" w:color="auto"/>
        <w:bottom w:val="none" w:sz="0" w:space="0" w:color="auto"/>
        <w:right w:val="none" w:sz="0" w:space="0" w:color="auto"/>
      </w:divBdr>
    </w:div>
    <w:div w:id="1434402231">
      <w:bodyDiv w:val="1"/>
      <w:marLeft w:val="0"/>
      <w:marRight w:val="0"/>
      <w:marTop w:val="0"/>
      <w:marBottom w:val="0"/>
      <w:divBdr>
        <w:top w:val="none" w:sz="0" w:space="0" w:color="auto"/>
        <w:left w:val="none" w:sz="0" w:space="0" w:color="auto"/>
        <w:bottom w:val="none" w:sz="0" w:space="0" w:color="auto"/>
        <w:right w:val="none" w:sz="0" w:space="0" w:color="auto"/>
      </w:divBdr>
    </w:div>
    <w:div w:id="1515460412">
      <w:bodyDiv w:val="1"/>
      <w:marLeft w:val="0"/>
      <w:marRight w:val="0"/>
      <w:marTop w:val="0"/>
      <w:marBottom w:val="0"/>
      <w:divBdr>
        <w:top w:val="none" w:sz="0" w:space="0" w:color="auto"/>
        <w:left w:val="none" w:sz="0" w:space="0" w:color="auto"/>
        <w:bottom w:val="none" w:sz="0" w:space="0" w:color="auto"/>
        <w:right w:val="none" w:sz="0" w:space="0" w:color="auto"/>
      </w:divBdr>
    </w:div>
    <w:div w:id="1703902379">
      <w:bodyDiv w:val="1"/>
      <w:marLeft w:val="0"/>
      <w:marRight w:val="0"/>
      <w:marTop w:val="0"/>
      <w:marBottom w:val="0"/>
      <w:divBdr>
        <w:top w:val="none" w:sz="0" w:space="0" w:color="auto"/>
        <w:left w:val="none" w:sz="0" w:space="0" w:color="auto"/>
        <w:bottom w:val="none" w:sz="0" w:space="0" w:color="auto"/>
        <w:right w:val="none" w:sz="0" w:space="0" w:color="auto"/>
      </w:divBdr>
      <w:divsChild>
        <w:div w:id="225190143">
          <w:marLeft w:val="0"/>
          <w:marRight w:val="0"/>
          <w:marTop w:val="0"/>
          <w:marBottom w:val="0"/>
          <w:divBdr>
            <w:top w:val="none" w:sz="0" w:space="0" w:color="auto"/>
            <w:left w:val="none" w:sz="0" w:space="0" w:color="auto"/>
            <w:bottom w:val="none" w:sz="0" w:space="0" w:color="auto"/>
            <w:right w:val="none" w:sz="0" w:space="0" w:color="auto"/>
          </w:divBdr>
          <w:divsChild>
            <w:div w:id="165101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287472">
      <w:bodyDiv w:val="1"/>
      <w:marLeft w:val="0"/>
      <w:marRight w:val="0"/>
      <w:marTop w:val="0"/>
      <w:marBottom w:val="0"/>
      <w:divBdr>
        <w:top w:val="none" w:sz="0" w:space="0" w:color="auto"/>
        <w:left w:val="none" w:sz="0" w:space="0" w:color="auto"/>
        <w:bottom w:val="none" w:sz="0" w:space="0" w:color="auto"/>
        <w:right w:val="none" w:sz="0" w:space="0" w:color="auto"/>
      </w:divBdr>
    </w:div>
    <w:div w:id="1844662353">
      <w:bodyDiv w:val="1"/>
      <w:marLeft w:val="0"/>
      <w:marRight w:val="0"/>
      <w:marTop w:val="0"/>
      <w:marBottom w:val="0"/>
      <w:divBdr>
        <w:top w:val="none" w:sz="0" w:space="0" w:color="auto"/>
        <w:left w:val="none" w:sz="0" w:space="0" w:color="auto"/>
        <w:bottom w:val="none" w:sz="0" w:space="0" w:color="auto"/>
        <w:right w:val="none" w:sz="0" w:space="0" w:color="auto"/>
      </w:divBdr>
    </w:div>
    <w:div w:id="1895852080">
      <w:bodyDiv w:val="1"/>
      <w:marLeft w:val="0"/>
      <w:marRight w:val="0"/>
      <w:marTop w:val="0"/>
      <w:marBottom w:val="0"/>
      <w:divBdr>
        <w:top w:val="none" w:sz="0" w:space="0" w:color="auto"/>
        <w:left w:val="none" w:sz="0" w:space="0" w:color="auto"/>
        <w:bottom w:val="none" w:sz="0" w:space="0" w:color="auto"/>
        <w:right w:val="none" w:sz="0" w:space="0" w:color="auto"/>
      </w:divBdr>
      <w:divsChild>
        <w:div w:id="1049569927">
          <w:marLeft w:val="0"/>
          <w:marRight w:val="0"/>
          <w:marTop w:val="0"/>
          <w:marBottom w:val="0"/>
          <w:divBdr>
            <w:top w:val="none" w:sz="0" w:space="0" w:color="auto"/>
            <w:left w:val="none" w:sz="0" w:space="0" w:color="auto"/>
            <w:bottom w:val="none" w:sz="0" w:space="0" w:color="auto"/>
            <w:right w:val="none" w:sz="0" w:space="0" w:color="auto"/>
          </w:divBdr>
        </w:div>
        <w:div w:id="1804150429">
          <w:marLeft w:val="0"/>
          <w:marRight w:val="0"/>
          <w:marTop w:val="75"/>
          <w:marBottom w:val="0"/>
          <w:divBdr>
            <w:top w:val="none" w:sz="0" w:space="0" w:color="auto"/>
            <w:left w:val="none" w:sz="0" w:space="0" w:color="auto"/>
            <w:bottom w:val="none" w:sz="0" w:space="0" w:color="auto"/>
            <w:right w:val="none" w:sz="0" w:space="0" w:color="auto"/>
          </w:divBdr>
          <w:divsChild>
            <w:div w:id="613290495">
              <w:marLeft w:val="0"/>
              <w:marRight w:val="0"/>
              <w:marTop w:val="0"/>
              <w:marBottom w:val="0"/>
              <w:divBdr>
                <w:top w:val="none" w:sz="0" w:space="0" w:color="auto"/>
                <w:left w:val="none" w:sz="0" w:space="0" w:color="auto"/>
                <w:bottom w:val="none" w:sz="0" w:space="0" w:color="auto"/>
                <w:right w:val="none" w:sz="0" w:space="0" w:color="auto"/>
              </w:divBdr>
            </w:div>
            <w:div w:id="201722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888356">
      <w:bodyDiv w:val="1"/>
      <w:marLeft w:val="0"/>
      <w:marRight w:val="0"/>
      <w:marTop w:val="0"/>
      <w:marBottom w:val="0"/>
      <w:divBdr>
        <w:top w:val="none" w:sz="0" w:space="0" w:color="auto"/>
        <w:left w:val="none" w:sz="0" w:space="0" w:color="auto"/>
        <w:bottom w:val="none" w:sz="0" w:space="0" w:color="auto"/>
        <w:right w:val="none" w:sz="0" w:space="0" w:color="auto"/>
      </w:divBdr>
    </w:div>
    <w:div w:id="1985355697">
      <w:bodyDiv w:val="1"/>
      <w:marLeft w:val="0"/>
      <w:marRight w:val="0"/>
      <w:marTop w:val="0"/>
      <w:marBottom w:val="0"/>
      <w:divBdr>
        <w:top w:val="none" w:sz="0" w:space="0" w:color="auto"/>
        <w:left w:val="none" w:sz="0" w:space="0" w:color="auto"/>
        <w:bottom w:val="none" w:sz="0" w:space="0" w:color="auto"/>
        <w:right w:val="none" w:sz="0" w:space="0" w:color="auto"/>
      </w:divBdr>
    </w:div>
    <w:div w:id="2106610932">
      <w:bodyDiv w:val="1"/>
      <w:marLeft w:val="0"/>
      <w:marRight w:val="0"/>
      <w:marTop w:val="0"/>
      <w:marBottom w:val="0"/>
      <w:divBdr>
        <w:top w:val="none" w:sz="0" w:space="0" w:color="auto"/>
        <w:left w:val="none" w:sz="0" w:space="0" w:color="auto"/>
        <w:bottom w:val="none" w:sz="0" w:space="0" w:color="auto"/>
        <w:right w:val="none" w:sz="0" w:space="0" w:color="auto"/>
      </w:divBdr>
    </w:div>
    <w:div w:id="213648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keyse@uwtsd.ac.uk" TargetMode="External"/><Relationship Id="rId13" Type="http://schemas.openxmlformats.org/officeDocument/2006/relationships/hyperlink" Target="https://wp.stu.ca/worldhistory/wp-content/uploads/sites/4/2015/07/Constitution-of-Haiti-1805.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lavevoyages.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6/6764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bookpublishers.com/books/10.11647/obp.0123" TargetMode="External"/><Relationship Id="rId5" Type="http://schemas.openxmlformats.org/officeDocument/2006/relationships/footnotes" Target="footnotes.xml"/><Relationship Id="rId15" Type="http://schemas.openxmlformats.org/officeDocument/2006/relationships/hyperlink" Target="https://doi.org/10.1080/01402390902928248" TargetMode="External"/><Relationship Id="rId10" Type="http://schemas.openxmlformats.org/officeDocument/2006/relationships/hyperlink" Target="https://digitalservices.uwtsd.ac.uk/library/academic-and-infoskills/referencing-handbooks/" TargetMode="External"/><Relationship Id="rId4" Type="http://schemas.openxmlformats.org/officeDocument/2006/relationships/webSettings" Target="webSettings.xml"/><Relationship Id="rId9" Type="http://schemas.openxmlformats.org/officeDocument/2006/relationships/hyperlink" Target="https://www.google.com/url?sa=t&amp;rct=j&amp;q=&amp;esrc=s&amp;source=web&amp;cd=&amp;ved=2ahUKEwitmrChyeGKAxXAX0EAHfGZD8cQFnoECBoQAQ&amp;url=https%3A%2F%2Fwww.uwtsd.ac.uk%2Fmedia%2F1893%2Fdownload%3Fattachment&amp;usg=AOvVaw2ZnKYm-XMCbMZOfpG0orVh&amp;opi=89978449" TargetMode="External"/><Relationship Id="rId14" Type="http://schemas.openxmlformats.org/officeDocument/2006/relationships/hyperlink" Target="https://aeon.co/essays/why-haiti-should-be-at-the-centre-of-the-age-of-rev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6312</Words>
  <Characters>35980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Hilary Slack</dc:creator>
  <cp:keywords/>
  <dc:description/>
  <cp:lastModifiedBy>Rhian Keyse</cp:lastModifiedBy>
  <cp:revision>2</cp:revision>
  <dcterms:created xsi:type="dcterms:W3CDTF">2025-11-22T20:50:00Z</dcterms:created>
  <dcterms:modified xsi:type="dcterms:W3CDTF">2025-11-22T20:50:00Z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9bcaab96-0906-454c-895c-0b60f715497c</vt:lpwstr>
  </property>
</Properties>
</file>