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B05EA" w14:textId="77777777" w:rsidR="00817EFC" w:rsidRPr="00F94A2F" w:rsidRDefault="00E45860">
      <w:pPr>
        <w:rPr>
          <w:rFonts w:cs="Arial"/>
          <w:caps/>
        </w:rPr>
      </w:pPr>
      <w:r w:rsidRPr="00F94A2F">
        <w:rPr>
          <w:rFonts w:cs="Arial"/>
          <w:caps/>
          <w:noProof/>
        </w:rPr>
        <w:drawing>
          <wp:anchor distT="0" distB="0" distL="114300" distR="114300" simplePos="0" relativeHeight="251657728" behindDoc="0" locked="0" layoutInCell="1" allowOverlap="1" wp14:anchorId="6F63D40C" wp14:editId="0777777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94A2F">
        <w:rPr>
          <w:rFonts w:cs="Arial"/>
          <w:caps/>
          <w:noProof/>
        </w:rPr>
        <w:drawing>
          <wp:anchor distT="0" distB="0" distL="114300" distR="114300" simplePos="0" relativeHeight="251656704" behindDoc="0" locked="0" layoutInCell="1" allowOverlap="1" wp14:anchorId="2339FBA3" wp14:editId="07777777">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A6659" w14:textId="77777777" w:rsidR="00573AC6" w:rsidRPr="00F94A2F" w:rsidRDefault="00573AC6" w:rsidP="00F74EAF">
      <w:pPr>
        <w:jc w:val="center"/>
        <w:rPr>
          <w:rFonts w:cs="Arial"/>
          <w:caps/>
          <w:sz w:val="48"/>
          <w:szCs w:val="48"/>
        </w:rPr>
      </w:pPr>
    </w:p>
    <w:p w14:paraId="5DAB6C7B" w14:textId="77777777" w:rsidR="00575890" w:rsidRPr="00F94A2F" w:rsidRDefault="00575890" w:rsidP="00F74EAF">
      <w:pPr>
        <w:jc w:val="center"/>
        <w:rPr>
          <w:rFonts w:cs="Arial"/>
          <w:caps/>
          <w:sz w:val="48"/>
          <w:szCs w:val="48"/>
        </w:rPr>
      </w:pPr>
    </w:p>
    <w:p w14:paraId="105F47E9" w14:textId="77777777" w:rsidR="00B32D89" w:rsidRPr="00F94A2F" w:rsidRDefault="00B32D89">
      <w:pPr>
        <w:jc w:val="center"/>
        <w:rPr>
          <w:rFonts w:cs="Arial"/>
          <w:caps/>
          <w:sz w:val="48"/>
          <w:szCs w:val="48"/>
        </w:rPr>
      </w:pPr>
      <w:r w:rsidRPr="00F94A2F">
        <w:rPr>
          <w:rFonts w:cs="Arial"/>
          <w:caps/>
          <w:sz w:val="48"/>
          <w:szCs w:val="48"/>
        </w:rPr>
        <w:t>Investigate, Analyse and Demonstrate the Importance of Network Security and Penetration Testing in a Home Network</w:t>
      </w:r>
    </w:p>
    <w:p w14:paraId="60535034" w14:textId="3673B7CF" w:rsidR="00575890" w:rsidRPr="00F94A2F" w:rsidRDefault="00575890">
      <w:pPr>
        <w:jc w:val="center"/>
        <w:rPr>
          <w:rFonts w:cs="Arial"/>
          <w:sz w:val="48"/>
          <w:szCs w:val="48"/>
        </w:rPr>
      </w:pPr>
      <w:r w:rsidRPr="00F94A2F">
        <w:rPr>
          <w:rFonts w:cs="Arial"/>
          <w:sz w:val="48"/>
          <w:szCs w:val="48"/>
        </w:rPr>
        <w:t>by</w:t>
      </w:r>
    </w:p>
    <w:p w14:paraId="03D52362" w14:textId="485BF345" w:rsidR="00817EFC" w:rsidRPr="00F94A2F" w:rsidRDefault="001A0ECE">
      <w:pPr>
        <w:jc w:val="center"/>
        <w:rPr>
          <w:rFonts w:cs="Arial"/>
          <w:sz w:val="48"/>
          <w:szCs w:val="48"/>
        </w:rPr>
      </w:pPr>
      <w:r w:rsidRPr="00F94A2F">
        <w:rPr>
          <w:rFonts w:cs="Arial"/>
          <w:sz w:val="48"/>
          <w:szCs w:val="48"/>
        </w:rPr>
        <w:t>Joshua J Harries</w:t>
      </w:r>
    </w:p>
    <w:p w14:paraId="02EB378F" w14:textId="77777777" w:rsidR="00817EFC" w:rsidRPr="00F94A2F" w:rsidRDefault="00817EFC">
      <w:pPr>
        <w:jc w:val="center"/>
        <w:rPr>
          <w:rFonts w:cs="Arial"/>
          <w:sz w:val="48"/>
          <w:szCs w:val="48"/>
        </w:rPr>
      </w:pPr>
    </w:p>
    <w:p w14:paraId="7917A19B" w14:textId="37982BF6" w:rsidR="00817EFC" w:rsidRPr="00F94A2F" w:rsidRDefault="00575890">
      <w:pPr>
        <w:jc w:val="center"/>
        <w:rPr>
          <w:rFonts w:cs="Arial"/>
          <w:sz w:val="48"/>
          <w:szCs w:val="48"/>
        </w:rPr>
      </w:pPr>
      <w:r w:rsidRPr="00F94A2F">
        <w:rPr>
          <w:rFonts w:cs="Arial"/>
          <w:sz w:val="48"/>
          <w:szCs w:val="48"/>
        </w:rPr>
        <w:t xml:space="preserve">Supervisor: </w:t>
      </w:r>
      <w:r w:rsidR="001A0ECE" w:rsidRPr="00F94A2F">
        <w:rPr>
          <w:rFonts w:cs="Arial"/>
          <w:color w:val="000000"/>
          <w:sz w:val="48"/>
        </w:rPr>
        <w:t>Carlene Campbell</w:t>
      </w:r>
    </w:p>
    <w:p w14:paraId="6A05A809" w14:textId="77777777" w:rsidR="00817EFC" w:rsidRPr="00F94A2F" w:rsidRDefault="00817EFC">
      <w:pPr>
        <w:jc w:val="center"/>
        <w:rPr>
          <w:rFonts w:cs="Arial"/>
          <w:sz w:val="48"/>
          <w:szCs w:val="48"/>
        </w:rPr>
      </w:pPr>
    </w:p>
    <w:p w14:paraId="5A39BBE3" w14:textId="71DD5745" w:rsidR="00575890" w:rsidRPr="00F94A2F" w:rsidRDefault="00727EA5">
      <w:pPr>
        <w:jc w:val="center"/>
        <w:rPr>
          <w:rFonts w:cs="Arial"/>
          <w:sz w:val="48"/>
          <w:szCs w:val="48"/>
        </w:rPr>
      </w:pPr>
      <w:r w:rsidRPr="00F94A2F">
        <w:rPr>
          <w:rFonts w:cs="Arial"/>
          <w:color w:val="000000"/>
          <w:sz w:val="44"/>
        </w:rPr>
        <w:t>Project submitted as part of the requirements for the award of BSc (Hons) Computing (Computer Networks and Cybersecurity)</w:t>
      </w:r>
    </w:p>
    <w:p w14:paraId="2B74FF3B" w14:textId="7FE85EBD" w:rsidR="00B32D89" w:rsidRPr="00F94A2F" w:rsidRDefault="00DA44C3" w:rsidP="00B32D89">
      <w:pPr>
        <w:jc w:val="center"/>
        <w:rPr>
          <w:rFonts w:cs="Arial"/>
          <w:sz w:val="48"/>
          <w:szCs w:val="48"/>
        </w:rPr>
      </w:pPr>
      <w:r w:rsidRPr="00F94A2F">
        <w:rPr>
          <w:rFonts w:cs="Arial"/>
          <w:sz w:val="48"/>
          <w:szCs w:val="48"/>
        </w:rPr>
        <w:t>September</w:t>
      </w:r>
      <w:r w:rsidR="00E610AF" w:rsidRPr="00F94A2F">
        <w:rPr>
          <w:rFonts w:cs="Arial"/>
          <w:sz w:val="48"/>
          <w:szCs w:val="48"/>
        </w:rPr>
        <w:t xml:space="preserve"> 20</w:t>
      </w:r>
      <w:r w:rsidR="001E732C" w:rsidRPr="00F94A2F">
        <w:rPr>
          <w:rFonts w:cs="Arial"/>
          <w:sz w:val="48"/>
          <w:szCs w:val="48"/>
        </w:rPr>
        <w:t>2</w:t>
      </w:r>
      <w:r w:rsidR="00747F71" w:rsidRPr="00F94A2F">
        <w:rPr>
          <w:rFonts w:cs="Arial"/>
          <w:sz w:val="48"/>
          <w:szCs w:val="48"/>
        </w:rPr>
        <w:t>5</w:t>
      </w:r>
      <w:bookmarkStart w:id="0" w:name="_Toc202288048"/>
      <w:bookmarkStart w:id="1" w:name="_Toc202288693"/>
      <w:bookmarkStart w:id="2" w:name="_Toc202289151"/>
      <w:bookmarkStart w:id="3" w:name="_Toc166910561"/>
    </w:p>
    <w:p w14:paraId="4198788E" w14:textId="77777777" w:rsidR="00B32D89" w:rsidRPr="00F94A2F" w:rsidRDefault="00B32D89" w:rsidP="00F74EAF">
      <w:pPr>
        <w:rPr>
          <w:rFonts w:cs="Arial"/>
          <w:b/>
          <w:bCs/>
          <w:color w:val="000000"/>
          <w:sz w:val="28"/>
        </w:rPr>
      </w:pPr>
    </w:p>
    <w:p w14:paraId="59FEB0B0" w14:textId="6ADD29C6" w:rsidR="00F74EAF" w:rsidRPr="00F94A2F" w:rsidRDefault="00F74EAF" w:rsidP="00446D20">
      <w:pPr>
        <w:pStyle w:val="Heading1"/>
        <w:rPr>
          <w:rFonts w:cs="Arial"/>
        </w:rPr>
      </w:pPr>
      <w:bookmarkStart w:id="4" w:name="_Toc207753502"/>
      <w:r w:rsidRPr="00F94A2F">
        <w:rPr>
          <w:rFonts w:cs="Arial"/>
        </w:rPr>
        <w:t>Declaration of Originality</w:t>
      </w:r>
      <w:bookmarkEnd w:id="4"/>
    </w:p>
    <w:p w14:paraId="29D6B04F" w14:textId="77777777" w:rsidR="00575890" w:rsidRPr="00F94A2F" w:rsidRDefault="00575890" w:rsidP="00575890">
      <w:pPr>
        <w:rPr>
          <w:rFonts w:cs="Arial"/>
          <w:color w:val="000000"/>
        </w:rPr>
      </w:pPr>
      <w:r w:rsidRPr="00F94A2F">
        <w:rPr>
          <w:rFonts w:cs="Arial"/>
          <w:b/>
          <w:bCs/>
          <w:color w:val="000000"/>
        </w:rPr>
        <w:t xml:space="preserve"> </w:t>
      </w:r>
    </w:p>
    <w:p w14:paraId="426EBA4F" w14:textId="01562B36" w:rsidR="00575890" w:rsidRPr="00F94A2F" w:rsidRDefault="00575890" w:rsidP="00575890">
      <w:pPr>
        <w:rPr>
          <w:rFonts w:cs="Arial"/>
          <w:color w:val="000000"/>
        </w:rPr>
      </w:pPr>
      <w:r w:rsidRPr="00F94A2F">
        <w:rPr>
          <w:rFonts w:cs="Arial"/>
          <w:color w:val="000000"/>
        </w:rPr>
        <w:t xml:space="preserve">I, </w:t>
      </w:r>
      <w:r w:rsidR="001A0ECE" w:rsidRPr="00F94A2F">
        <w:rPr>
          <w:rFonts w:cs="Arial"/>
          <w:color w:val="000000"/>
        </w:rPr>
        <w:t>Joshua James Harries,</w:t>
      </w:r>
      <w:r w:rsidRPr="00F94A2F">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0DFAE634" w14:textId="77777777" w:rsidR="00575890" w:rsidRPr="00F94A2F" w:rsidRDefault="00575890" w:rsidP="00575890">
      <w:pPr>
        <w:rPr>
          <w:rFonts w:cs="Arial"/>
          <w:color w:val="000000"/>
        </w:rPr>
      </w:pPr>
      <w:r w:rsidRPr="00F94A2F">
        <w:rPr>
          <w:rFonts w:cs="Arial"/>
          <w:color w:val="000000"/>
        </w:rPr>
        <w:t xml:space="preserve">  </w:t>
      </w:r>
    </w:p>
    <w:p w14:paraId="5B647067" w14:textId="77777777" w:rsidR="00575890" w:rsidRPr="00F94A2F" w:rsidRDefault="00575890" w:rsidP="00575890">
      <w:pPr>
        <w:rPr>
          <w:rFonts w:cs="Arial"/>
          <w:color w:val="000000"/>
        </w:rPr>
      </w:pPr>
      <w:r w:rsidRPr="00F94A2F">
        <w:rPr>
          <w:rFonts w:cs="Arial"/>
          <w:color w:val="000000"/>
        </w:rPr>
        <w:t xml:space="preserve">This work has not previously been accepted as part of any other degree submission. </w:t>
      </w:r>
    </w:p>
    <w:p w14:paraId="54F9AE05" w14:textId="77777777" w:rsidR="00575890" w:rsidRPr="00F94A2F" w:rsidRDefault="00575890" w:rsidP="00575890">
      <w:pPr>
        <w:rPr>
          <w:rFonts w:cs="Arial"/>
          <w:color w:val="000000"/>
        </w:rPr>
      </w:pPr>
      <w:r w:rsidRPr="00F94A2F">
        <w:rPr>
          <w:rFonts w:cs="Arial"/>
          <w:color w:val="000000"/>
        </w:rPr>
        <w:t xml:space="preserve">   </w:t>
      </w:r>
    </w:p>
    <w:p w14:paraId="3607CC15" w14:textId="75FBDC93" w:rsidR="00575890" w:rsidRPr="00F94A2F" w:rsidRDefault="00575890" w:rsidP="00575890">
      <w:pPr>
        <w:ind w:left="1440"/>
        <w:rPr>
          <w:rFonts w:cs="Arial"/>
          <w:color w:val="000000"/>
        </w:rPr>
      </w:pPr>
      <w:r w:rsidRPr="00F94A2F">
        <w:rPr>
          <w:rFonts w:cs="Arial"/>
          <w:b/>
          <w:bCs/>
          <w:i/>
          <w:iCs/>
          <w:color w:val="000000"/>
        </w:rPr>
        <w:t xml:space="preserve">Signed : </w:t>
      </w:r>
      <w:r w:rsidR="001A0ECE" w:rsidRPr="00F94A2F">
        <w:rPr>
          <w:rFonts w:cs="Arial"/>
          <w:b/>
          <w:bCs/>
          <w:i/>
          <w:iCs/>
          <w:color w:val="000000"/>
        </w:rPr>
        <w:t>J.</w:t>
      </w:r>
      <w:r w:rsidR="00881DB3" w:rsidRPr="00F94A2F">
        <w:rPr>
          <w:rFonts w:cs="Arial"/>
          <w:b/>
          <w:bCs/>
          <w:i/>
          <w:iCs/>
          <w:color w:val="000000"/>
        </w:rPr>
        <w:t>J.</w:t>
      </w:r>
      <w:r w:rsidR="001A0ECE" w:rsidRPr="00F94A2F">
        <w:rPr>
          <w:rFonts w:cs="Arial"/>
          <w:b/>
          <w:bCs/>
          <w:i/>
          <w:iCs/>
          <w:color w:val="000000"/>
        </w:rPr>
        <w:t xml:space="preserve"> Harries</w:t>
      </w:r>
      <w:r w:rsidRPr="00F94A2F">
        <w:rPr>
          <w:rFonts w:cs="Arial"/>
          <w:b/>
          <w:bCs/>
          <w:i/>
          <w:iCs/>
          <w:color w:val="000000"/>
        </w:rPr>
        <w:t xml:space="preserve"> </w:t>
      </w:r>
    </w:p>
    <w:p w14:paraId="0A6959E7" w14:textId="77777777" w:rsidR="00575890" w:rsidRPr="00F94A2F" w:rsidRDefault="00575890" w:rsidP="00575890">
      <w:pPr>
        <w:ind w:left="1440"/>
        <w:rPr>
          <w:rFonts w:cs="Arial"/>
          <w:color w:val="000000"/>
        </w:rPr>
      </w:pPr>
      <w:r w:rsidRPr="00F94A2F">
        <w:rPr>
          <w:rFonts w:cs="Arial"/>
          <w:b/>
          <w:bCs/>
          <w:i/>
          <w:iCs/>
          <w:color w:val="000000"/>
        </w:rPr>
        <w:t xml:space="preserve"> </w:t>
      </w:r>
    </w:p>
    <w:p w14:paraId="100C5B58" w14:textId="77777777" w:rsidR="00575890" w:rsidRPr="00F94A2F" w:rsidRDefault="00575890" w:rsidP="00575890">
      <w:pPr>
        <w:ind w:left="1440"/>
        <w:rPr>
          <w:rFonts w:cs="Arial"/>
          <w:color w:val="000000"/>
        </w:rPr>
      </w:pPr>
      <w:r w:rsidRPr="00F94A2F">
        <w:rPr>
          <w:rFonts w:cs="Arial"/>
          <w:b/>
          <w:bCs/>
          <w:i/>
          <w:iCs/>
          <w:color w:val="000000"/>
        </w:rPr>
        <w:t xml:space="preserve"> </w:t>
      </w:r>
    </w:p>
    <w:p w14:paraId="7DA6CD87" w14:textId="122A47E9" w:rsidR="00575890" w:rsidRPr="00F94A2F" w:rsidRDefault="00575890" w:rsidP="00575890">
      <w:pPr>
        <w:ind w:left="1440"/>
        <w:rPr>
          <w:rFonts w:cs="Arial"/>
          <w:color w:val="000000"/>
        </w:rPr>
      </w:pPr>
      <w:r w:rsidRPr="00F94A2F">
        <w:rPr>
          <w:rFonts w:cs="Arial"/>
          <w:b/>
          <w:bCs/>
          <w:i/>
          <w:iCs/>
          <w:color w:val="000000"/>
        </w:rPr>
        <w:t xml:space="preserve">Date : </w:t>
      </w:r>
      <w:r w:rsidR="008B0CA8">
        <w:rPr>
          <w:rFonts w:cs="Arial"/>
          <w:b/>
          <w:bCs/>
          <w:i/>
          <w:iCs/>
          <w:color w:val="000000"/>
        </w:rPr>
        <w:t>0</w:t>
      </w:r>
      <w:r w:rsidR="00881DB3" w:rsidRPr="00F94A2F">
        <w:rPr>
          <w:rFonts w:cs="Arial"/>
          <w:b/>
          <w:bCs/>
          <w:i/>
          <w:iCs/>
          <w:color w:val="000000"/>
        </w:rPr>
        <w:t>1/0</w:t>
      </w:r>
      <w:r w:rsidR="008B0CA8">
        <w:rPr>
          <w:rFonts w:cs="Arial"/>
          <w:b/>
          <w:bCs/>
          <w:i/>
          <w:iCs/>
          <w:color w:val="000000"/>
        </w:rPr>
        <w:t>9</w:t>
      </w:r>
      <w:r w:rsidR="00881DB3" w:rsidRPr="00F94A2F">
        <w:rPr>
          <w:rFonts w:cs="Arial"/>
          <w:b/>
          <w:bCs/>
          <w:i/>
          <w:iCs/>
          <w:color w:val="000000"/>
        </w:rPr>
        <w:t>/2025</w:t>
      </w:r>
    </w:p>
    <w:p w14:paraId="60061E4C" w14:textId="77777777" w:rsidR="00AF6F95" w:rsidRPr="00F94A2F" w:rsidRDefault="00AF6F95" w:rsidP="00F903E7">
      <w:pPr>
        <w:pStyle w:val="Heading3"/>
        <w:rPr>
          <w:rFonts w:cs="Arial"/>
          <w:color w:val="000000"/>
          <w:sz w:val="22"/>
          <w:szCs w:val="22"/>
        </w:rPr>
      </w:pPr>
    </w:p>
    <w:p w14:paraId="44EAFD9C" w14:textId="77777777" w:rsidR="006E0A27" w:rsidRPr="00F94A2F" w:rsidRDefault="006E0A27" w:rsidP="00F903E7">
      <w:pPr>
        <w:rPr>
          <w:rFonts w:cs="Arial"/>
          <w:b/>
          <w:color w:val="000000"/>
          <w:sz w:val="22"/>
          <w:szCs w:val="22"/>
        </w:rPr>
      </w:pPr>
    </w:p>
    <w:p w14:paraId="3DD69829" w14:textId="77777777" w:rsidR="006E0A27" w:rsidRPr="00F94A2F" w:rsidRDefault="006E0A27" w:rsidP="00446D20">
      <w:pPr>
        <w:pStyle w:val="Heading1"/>
        <w:rPr>
          <w:rFonts w:cs="Arial"/>
        </w:rPr>
      </w:pPr>
      <w:bookmarkStart w:id="5" w:name="_Toc207753503"/>
      <w:r w:rsidRPr="00F94A2F">
        <w:rPr>
          <w:rFonts w:cs="Arial"/>
        </w:rPr>
        <w:t>FORM OF CONSENT</w:t>
      </w:r>
      <w:bookmarkEnd w:id="5"/>
      <w:r w:rsidRPr="00F94A2F">
        <w:rPr>
          <w:rFonts w:cs="Arial"/>
          <w:i/>
          <w:iCs/>
        </w:rPr>
        <w:t xml:space="preserve"> </w:t>
      </w:r>
    </w:p>
    <w:p w14:paraId="4B94D5A5" w14:textId="77777777" w:rsidR="006E0A27" w:rsidRPr="00F94A2F" w:rsidRDefault="006E0A27" w:rsidP="006E0A27">
      <w:pPr>
        <w:spacing w:after="40"/>
        <w:rPr>
          <w:rFonts w:cs="Arial"/>
          <w:b/>
          <w:bCs/>
          <w:color w:val="000000"/>
        </w:rPr>
      </w:pPr>
    </w:p>
    <w:p w14:paraId="63B53D95" w14:textId="087752F5" w:rsidR="006E0A27" w:rsidRPr="00F94A2F" w:rsidRDefault="006E0A27" w:rsidP="006E0A27">
      <w:pPr>
        <w:spacing w:after="40"/>
        <w:rPr>
          <w:rFonts w:cs="Arial"/>
          <w:color w:val="000000"/>
        </w:rPr>
      </w:pPr>
      <w:r w:rsidRPr="00F94A2F">
        <w:rPr>
          <w:rFonts w:cs="Arial"/>
          <w:b/>
          <w:bCs/>
          <w:color w:val="000000"/>
        </w:rPr>
        <w:t>I</w:t>
      </w:r>
      <w:r w:rsidR="00881DB3" w:rsidRPr="00F94A2F">
        <w:rPr>
          <w:rFonts w:cs="Arial"/>
          <w:b/>
          <w:bCs/>
          <w:color w:val="000000"/>
        </w:rPr>
        <w:t>,</w:t>
      </w:r>
      <w:r w:rsidRPr="00F94A2F">
        <w:rPr>
          <w:rFonts w:cs="Arial"/>
          <w:b/>
          <w:bCs/>
          <w:color w:val="000000"/>
        </w:rPr>
        <w:t xml:space="preserve"> </w:t>
      </w:r>
      <w:r w:rsidR="00881DB3" w:rsidRPr="00F94A2F">
        <w:rPr>
          <w:rFonts w:cs="Arial"/>
          <w:color w:val="000000"/>
        </w:rPr>
        <w:t xml:space="preserve">Joshua James Harries, </w:t>
      </w:r>
      <w:r w:rsidRPr="00F94A2F">
        <w:rPr>
          <w:rFonts w:cs="Arial"/>
          <w:color w:val="000000"/>
        </w:rPr>
        <w:t xml:space="preserve">hereby consent that my Project, submitted in candidature for the </w:t>
      </w:r>
      <w:r w:rsidRPr="00F94A2F">
        <w:rPr>
          <w:rFonts w:cs="Arial"/>
          <w:i/>
          <w:color w:val="000000"/>
          <w:u w:val="single"/>
        </w:rPr>
        <w:t xml:space="preserve">B.Sc.(Hons) Computer Networks </w:t>
      </w:r>
      <w:r w:rsidRPr="00F94A2F">
        <w:rPr>
          <w:rFonts w:cs="Arial"/>
          <w:color w:val="000000"/>
        </w:rPr>
        <w:t xml:space="preserve">degree, if successful, may be made available for inter-library loan or photocopying (subject to the law of copyright), and that the title and abstract may be made available to outside organisations. </w:t>
      </w:r>
    </w:p>
    <w:p w14:paraId="3DEEC669" w14:textId="77777777" w:rsidR="006E0A27" w:rsidRPr="00F94A2F" w:rsidRDefault="006E0A27" w:rsidP="006E0A27">
      <w:pPr>
        <w:ind w:left="1440"/>
        <w:rPr>
          <w:rFonts w:cs="Arial"/>
          <w:b/>
          <w:bCs/>
          <w:color w:val="000000"/>
        </w:rPr>
      </w:pPr>
    </w:p>
    <w:p w14:paraId="4CE5786F" w14:textId="0E0EFF23" w:rsidR="006E0A27" w:rsidRPr="00F94A2F" w:rsidRDefault="006E0A27" w:rsidP="006E0A27">
      <w:pPr>
        <w:ind w:left="1440"/>
        <w:rPr>
          <w:rFonts w:cs="Arial"/>
          <w:color w:val="000000"/>
        </w:rPr>
      </w:pPr>
      <w:r w:rsidRPr="00F94A2F">
        <w:rPr>
          <w:rFonts w:cs="Arial"/>
          <w:b/>
          <w:bCs/>
          <w:i/>
          <w:iCs/>
          <w:color w:val="000000"/>
        </w:rPr>
        <w:t xml:space="preserve">Signed : </w:t>
      </w:r>
      <w:r w:rsidR="00881DB3" w:rsidRPr="00F94A2F">
        <w:rPr>
          <w:rFonts w:cs="Arial"/>
          <w:b/>
          <w:bCs/>
          <w:i/>
          <w:iCs/>
          <w:color w:val="000000"/>
        </w:rPr>
        <w:t>J.J. Harries</w:t>
      </w:r>
    </w:p>
    <w:p w14:paraId="12F40E89" w14:textId="77777777" w:rsidR="006E0A27" w:rsidRPr="00F94A2F" w:rsidRDefault="006E0A27" w:rsidP="006E0A27">
      <w:pPr>
        <w:ind w:left="1440"/>
        <w:rPr>
          <w:rFonts w:cs="Arial"/>
          <w:color w:val="000000"/>
        </w:rPr>
      </w:pPr>
      <w:r w:rsidRPr="00F94A2F">
        <w:rPr>
          <w:rFonts w:cs="Arial"/>
          <w:b/>
          <w:bCs/>
          <w:i/>
          <w:iCs/>
          <w:color w:val="000000"/>
        </w:rPr>
        <w:t xml:space="preserve"> </w:t>
      </w:r>
    </w:p>
    <w:p w14:paraId="27B8F768" w14:textId="77777777" w:rsidR="006E0A27" w:rsidRPr="00F94A2F" w:rsidRDefault="006E0A27" w:rsidP="006E0A27">
      <w:pPr>
        <w:ind w:left="1440"/>
        <w:rPr>
          <w:rFonts w:cs="Arial"/>
          <w:color w:val="000000"/>
        </w:rPr>
      </w:pPr>
      <w:r w:rsidRPr="00F94A2F">
        <w:rPr>
          <w:rFonts w:cs="Arial"/>
          <w:b/>
          <w:bCs/>
          <w:i/>
          <w:iCs/>
          <w:color w:val="000000"/>
        </w:rPr>
        <w:t xml:space="preserve">  </w:t>
      </w:r>
    </w:p>
    <w:p w14:paraId="5C5C3149" w14:textId="7545A79E" w:rsidR="006E0A27" w:rsidRPr="00F94A2F" w:rsidRDefault="006E0A27" w:rsidP="006E0A27">
      <w:pPr>
        <w:ind w:left="1440"/>
        <w:rPr>
          <w:rFonts w:cs="Arial"/>
          <w:color w:val="000000"/>
        </w:rPr>
      </w:pPr>
      <w:r w:rsidRPr="00F94A2F">
        <w:rPr>
          <w:rFonts w:cs="Arial"/>
          <w:b/>
          <w:bCs/>
          <w:i/>
          <w:iCs/>
          <w:color w:val="000000"/>
        </w:rPr>
        <w:t xml:space="preserve">Date : </w:t>
      </w:r>
      <w:r w:rsidR="008B0CA8">
        <w:rPr>
          <w:rFonts w:cs="Arial"/>
          <w:b/>
          <w:bCs/>
          <w:i/>
          <w:iCs/>
          <w:color w:val="000000"/>
        </w:rPr>
        <w:t>0</w:t>
      </w:r>
      <w:r w:rsidR="00881DB3" w:rsidRPr="00F94A2F">
        <w:rPr>
          <w:rFonts w:cs="Arial"/>
          <w:b/>
          <w:bCs/>
          <w:i/>
          <w:iCs/>
          <w:color w:val="000000"/>
        </w:rPr>
        <w:t>1/0</w:t>
      </w:r>
      <w:r w:rsidR="008B0CA8">
        <w:rPr>
          <w:rFonts w:cs="Arial"/>
          <w:b/>
          <w:bCs/>
          <w:i/>
          <w:iCs/>
          <w:color w:val="000000"/>
        </w:rPr>
        <w:t>9</w:t>
      </w:r>
      <w:r w:rsidR="00881DB3" w:rsidRPr="00F94A2F">
        <w:rPr>
          <w:rFonts w:cs="Arial"/>
          <w:b/>
          <w:bCs/>
          <w:i/>
          <w:iCs/>
          <w:color w:val="000000"/>
        </w:rPr>
        <w:t>/2025</w:t>
      </w:r>
      <w:r w:rsidRPr="00F94A2F">
        <w:rPr>
          <w:rFonts w:cs="Arial"/>
          <w:b/>
          <w:bCs/>
          <w:i/>
          <w:iCs/>
          <w:color w:val="000000"/>
        </w:rPr>
        <w:t xml:space="preserve"> </w:t>
      </w:r>
    </w:p>
    <w:p w14:paraId="3656B9AB" w14:textId="77777777" w:rsidR="006E0A27" w:rsidRPr="00F94A2F" w:rsidRDefault="006E0A27" w:rsidP="006E0A27">
      <w:pPr>
        <w:pStyle w:val="BodyText3"/>
        <w:rPr>
          <w:rFonts w:cs="Arial"/>
          <w:b/>
          <w:bCs/>
          <w:color w:val="000000"/>
        </w:rPr>
      </w:pPr>
    </w:p>
    <w:p w14:paraId="45FB134A" w14:textId="77777777" w:rsidR="006E0A27" w:rsidRPr="00F94A2F" w:rsidRDefault="006E0A27" w:rsidP="00446D20">
      <w:pPr>
        <w:pStyle w:val="Heading1"/>
        <w:rPr>
          <w:rFonts w:cs="Arial"/>
        </w:rPr>
      </w:pPr>
      <w:bookmarkStart w:id="6" w:name="_Toc207753504"/>
      <w:r w:rsidRPr="00F94A2F">
        <w:rPr>
          <w:rFonts w:cs="Arial"/>
        </w:rPr>
        <w:t>Copyright Acknowledgement</w:t>
      </w:r>
      <w:bookmarkEnd w:id="6"/>
    </w:p>
    <w:p w14:paraId="45FB0818" w14:textId="77777777" w:rsidR="006E0A27" w:rsidRPr="00F94A2F" w:rsidRDefault="006E0A27" w:rsidP="006E0A27">
      <w:pPr>
        <w:rPr>
          <w:rFonts w:cs="Arial"/>
          <w:bCs/>
          <w:color w:val="000000"/>
          <w:sz w:val="22"/>
          <w:szCs w:val="22"/>
        </w:rPr>
      </w:pPr>
    </w:p>
    <w:p w14:paraId="7FEA11E7" w14:textId="77777777" w:rsidR="006E0A27" w:rsidRPr="00F94A2F" w:rsidRDefault="006E0A27" w:rsidP="006E0A27">
      <w:pPr>
        <w:rPr>
          <w:rFonts w:cs="Arial"/>
          <w:bCs/>
          <w:color w:val="000000"/>
          <w:sz w:val="22"/>
          <w:szCs w:val="22"/>
        </w:rPr>
      </w:pPr>
      <w:r w:rsidRPr="00F94A2F">
        <w:rPr>
          <w:rFonts w:cs="Arial"/>
          <w:bCs/>
          <w:color w:val="000000"/>
          <w:sz w:val="22"/>
          <w:szCs w:val="22"/>
        </w:rPr>
        <w:t>I acknowledge that the copyright of this project report, and any product developed as part of the project, belong to University of Wales Trinity Saint David, Swansea.</w:t>
      </w:r>
    </w:p>
    <w:p w14:paraId="56A87787" w14:textId="77777777" w:rsidR="00881DB3" w:rsidRPr="00F94A2F" w:rsidRDefault="00881DB3" w:rsidP="006E0A27">
      <w:pPr>
        <w:rPr>
          <w:rFonts w:cs="Arial"/>
          <w:bCs/>
          <w:color w:val="000000"/>
          <w:sz w:val="22"/>
          <w:szCs w:val="22"/>
        </w:rPr>
      </w:pPr>
    </w:p>
    <w:p w14:paraId="049F31CB" w14:textId="6872DAB3" w:rsidR="00446D20" w:rsidRPr="00F94A2F" w:rsidRDefault="00446D20">
      <w:pPr>
        <w:spacing w:line="240" w:lineRule="auto"/>
        <w:jc w:val="left"/>
        <w:rPr>
          <w:rFonts w:cs="Arial"/>
          <w:color w:val="000000"/>
          <w:sz w:val="22"/>
          <w:szCs w:val="22"/>
        </w:rPr>
      </w:pPr>
      <w:r w:rsidRPr="00F94A2F">
        <w:rPr>
          <w:rFonts w:cs="Arial"/>
          <w:color w:val="000000"/>
          <w:sz w:val="22"/>
          <w:szCs w:val="22"/>
        </w:rPr>
        <w:lastRenderedPageBreak/>
        <w:br w:type="page"/>
      </w:r>
    </w:p>
    <w:p w14:paraId="53128261" w14:textId="6F655C6F" w:rsidR="00EC1EE3" w:rsidRPr="00F94A2F" w:rsidRDefault="00007D8C" w:rsidP="00F94A2F">
      <w:pPr>
        <w:pStyle w:val="Heading1"/>
        <w:rPr>
          <w:rFonts w:cs="Arial"/>
        </w:rPr>
      </w:pPr>
      <w:bookmarkStart w:id="7" w:name="_Toc207753505"/>
      <w:r w:rsidRPr="00F94A2F">
        <w:rPr>
          <w:rFonts w:cs="Arial"/>
        </w:rPr>
        <w:lastRenderedPageBreak/>
        <w:t>A</w:t>
      </w:r>
      <w:r w:rsidR="00543F72" w:rsidRPr="00F94A2F">
        <w:rPr>
          <w:rFonts w:cs="Arial"/>
        </w:rPr>
        <w:t>BSTRACT</w:t>
      </w:r>
      <w:bookmarkEnd w:id="0"/>
      <w:bookmarkEnd w:id="1"/>
      <w:bookmarkEnd w:id="2"/>
      <w:r w:rsidR="00F74EAF" w:rsidRPr="00F94A2F">
        <w:rPr>
          <w:rFonts w:cs="Arial"/>
        </w:rPr>
        <w:t>/SYNPOSIS</w:t>
      </w:r>
      <w:bookmarkEnd w:id="7"/>
    </w:p>
    <w:p w14:paraId="4101652C" w14:textId="7DD5B26C" w:rsidR="00980695" w:rsidRPr="00F94A2F" w:rsidRDefault="00FE52F5" w:rsidP="00F13C6F">
      <w:pPr>
        <w:rPr>
          <w:rFonts w:cs="Arial"/>
        </w:rPr>
      </w:pPr>
      <w:r w:rsidRPr="00F94A2F">
        <w:rPr>
          <w:rFonts w:cs="Arial"/>
        </w:rPr>
        <w:t>Home networks increasingly resemble small enterprises: dozens of devices, cloud connected services, and mixed trust users. This project investigates how a focused set of low cost, platform agnostic controls—segmentation, service minimisation, credential hygiene, timely updates, and right sized monitoring—changes the security posture of a typical UK home. Using a before/after experimental design</w:t>
      </w:r>
      <w:r w:rsidR="004066C2" w:rsidRPr="00F94A2F">
        <w:rPr>
          <w:rFonts w:cs="Arial"/>
        </w:rPr>
        <w:t xml:space="preserve">, </w:t>
      </w:r>
      <w:r w:rsidRPr="00F94A2F">
        <w:rPr>
          <w:rFonts w:cs="Arial"/>
        </w:rPr>
        <w:t>we buil</w:t>
      </w:r>
      <w:r w:rsidR="004066C2" w:rsidRPr="00F94A2F">
        <w:rPr>
          <w:rFonts w:cs="Arial"/>
        </w:rPr>
        <w:t>t</w:t>
      </w:r>
      <w:r w:rsidRPr="00F94A2F">
        <w:rPr>
          <w:rFonts w:cs="Arial"/>
        </w:rPr>
        <w:t xml:space="preserve"> a Baseline configuration and a Hardened configuration, then </w:t>
      </w:r>
      <w:r w:rsidR="004B6DF4" w:rsidRPr="00F94A2F">
        <w:rPr>
          <w:rFonts w:cs="Arial"/>
        </w:rPr>
        <w:t>ran</w:t>
      </w:r>
      <w:r w:rsidRPr="00F94A2F">
        <w:rPr>
          <w:rFonts w:cs="Arial"/>
        </w:rPr>
        <w:t xml:space="preserve"> repeatable tests (external exposure checks, internal discovery, default/weak credential abuse, lateral movement from IoT, UPnP/remote admin exposure, exploit attempts, and detection). Results show a marked reduction in reachable attack surface and scanner visible risk, prevention of trivial compromises and lateral movement, and timely detection of reconnaissance/brute force activity. The findings align with current UK guidance (NCSC) and are feasible on </w:t>
      </w:r>
      <w:r w:rsidR="004B6DF4" w:rsidRPr="00F94A2F">
        <w:rPr>
          <w:rFonts w:cs="Arial"/>
        </w:rPr>
        <w:t>consumer-grade</w:t>
      </w:r>
      <w:r w:rsidRPr="00F94A2F">
        <w:rPr>
          <w:rFonts w:cs="Arial"/>
        </w:rPr>
        <w:t xml:space="preserve"> equipment. </w:t>
      </w:r>
    </w:p>
    <w:p w14:paraId="7C0B9687" w14:textId="77777777" w:rsidR="00220855" w:rsidRPr="00F94A2F" w:rsidRDefault="00220855" w:rsidP="00220855">
      <w:pPr>
        <w:pStyle w:val="Heading1"/>
        <w:rPr>
          <w:rFonts w:cs="Arial"/>
        </w:rPr>
      </w:pPr>
      <w:bookmarkStart w:id="8" w:name="_Toc207753506"/>
      <w:r w:rsidRPr="00F94A2F">
        <w:rPr>
          <w:rFonts w:cs="Arial"/>
        </w:rPr>
        <w:t>Acknowledgements</w:t>
      </w:r>
      <w:bookmarkEnd w:id="8"/>
    </w:p>
    <w:p w14:paraId="67144553" w14:textId="6BF6DFDC" w:rsidR="00220855" w:rsidRDefault="00220855" w:rsidP="00220855">
      <w:pPr>
        <w:rPr>
          <w:rFonts w:cs="Arial"/>
        </w:rPr>
      </w:pPr>
      <w:r w:rsidRPr="00F94A2F">
        <w:rPr>
          <w:rFonts w:cs="Arial"/>
        </w:rPr>
        <w:t xml:space="preserve">I would like to thank my supervisor Carlene for guidance, Gaynor and the wider </w:t>
      </w:r>
      <w:r w:rsidR="00866C91">
        <w:rPr>
          <w:rFonts w:cs="Arial"/>
        </w:rPr>
        <w:t>WISA</w:t>
      </w:r>
      <w:r w:rsidR="00D94749">
        <w:rPr>
          <w:rFonts w:cs="Arial"/>
        </w:rPr>
        <w:t xml:space="preserve"> / </w:t>
      </w:r>
      <w:r w:rsidR="00866C91">
        <w:rPr>
          <w:rFonts w:cs="Arial"/>
        </w:rPr>
        <w:t>SOAC</w:t>
      </w:r>
      <w:r w:rsidR="00D94749">
        <w:rPr>
          <w:rFonts w:cs="Arial"/>
        </w:rPr>
        <w:t xml:space="preserve"> team</w:t>
      </w:r>
      <w:r w:rsidRPr="00F94A2F">
        <w:rPr>
          <w:rFonts w:cs="Arial"/>
        </w:rPr>
        <w:t xml:space="preserve"> for all their support, </w:t>
      </w:r>
      <w:r w:rsidR="009732A9" w:rsidRPr="00F94A2F">
        <w:rPr>
          <w:rFonts w:cs="Arial"/>
        </w:rPr>
        <w:t>and most importantly my Apprentice Liaison Officer, Stephen Hole, for believing in me during times when I didn’t believe in myself, and pushing me to always give my best</w:t>
      </w:r>
      <w:r w:rsidR="00EE4424" w:rsidRPr="00F94A2F">
        <w:rPr>
          <w:rFonts w:cs="Arial"/>
        </w:rPr>
        <w:t xml:space="preserve"> – without him, this project would never have </w:t>
      </w:r>
      <w:proofErr w:type="spellStart"/>
      <w:r w:rsidR="00EE4424" w:rsidRPr="00F94A2F">
        <w:rPr>
          <w:rFonts w:cs="Arial"/>
        </w:rPr>
        <w:t>came</w:t>
      </w:r>
      <w:proofErr w:type="spellEnd"/>
      <w:r w:rsidR="00EE4424" w:rsidRPr="00F94A2F">
        <w:rPr>
          <w:rFonts w:cs="Arial"/>
        </w:rPr>
        <w:t xml:space="preserve"> to fruition.</w:t>
      </w:r>
    </w:p>
    <w:p w14:paraId="62027728" w14:textId="77777777" w:rsidR="009613A7" w:rsidRPr="00F94A2F" w:rsidRDefault="009613A7" w:rsidP="00220855">
      <w:pPr>
        <w:rPr>
          <w:rFonts w:cs="Arial"/>
        </w:rPr>
      </w:pPr>
    </w:p>
    <w:p w14:paraId="748386FE" w14:textId="623E5C37" w:rsidR="00EE4424" w:rsidRDefault="00EE4424" w:rsidP="00220855">
      <w:pPr>
        <w:rPr>
          <w:rFonts w:cs="Arial"/>
        </w:rPr>
      </w:pPr>
      <w:r w:rsidRPr="00F94A2F">
        <w:rPr>
          <w:rFonts w:cs="Arial"/>
        </w:rPr>
        <w:t>Thank you Stephen, Carlene, Gaynor, my lecturers over the years, and the wider UWTSD team</w:t>
      </w:r>
      <w:r w:rsidR="00D94749" w:rsidRPr="00D94749">
        <w:rPr>
          <w:rFonts w:cs="Arial"/>
        </w:rPr>
        <w:t>, for all you have done, and for picking up the shortfalls of my ex-employer.</w:t>
      </w:r>
    </w:p>
    <w:p w14:paraId="4F742B27" w14:textId="77777777" w:rsidR="009613A7" w:rsidRDefault="009613A7" w:rsidP="00220855">
      <w:pPr>
        <w:rPr>
          <w:rFonts w:cs="Arial"/>
        </w:rPr>
      </w:pPr>
    </w:p>
    <w:p w14:paraId="72A8A65A" w14:textId="66980AA5" w:rsidR="009613A7" w:rsidRPr="00F94A2F" w:rsidRDefault="009613A7" w:rsidP="00220855">
      <w:pPr>
        <w:rPr>
          <w:rFonts w:cs="Arial"/>
        </w:rPr>
      </w:pPr>
      <w:r>
        <w:rPr>
          <w:rFonts w:cs="Arial"/>
        </w:rPr>
        <w:t xml:space="preserve">A massive thank you has to go to my parents also, without them I wouldn’t be where I am today, </w:t>
      </w:r>
      <w:r w:rsidR="008B0CA8">
        <w:rPr>
          <w:rFonts w:cs="Arial"/>
        </w:rPr>
        <w:t>their unwavering support and dedication hasn’t gone unnoticed</w:t>
      </w:r>
      <w:r w:rsidR="00866C91">
        <w:rPr>
          <w:rFonts w:cs="Arial"/>
        </w:rPr>
        <w:t>, and I truly owe my life to them.</w:t>
      </w:r>
    </w:p>
    <w:p w14:paraId="4B99056E" w14:textId="77777777" w:rsidR="00980695" w:rsidRPr="00F94A2F" w:rsidRDefault="00980695" w:rsidP="00F13C6F">
      <w:pPr>
        <w:rPr>
          <w:rFonts w:cs="Arial"/>
        </w:rPr>
      </w:pPr>
    </w:p>
    <w:p w14:paraId="1299C43A" w14:textId="77777777" w:rsidR="00980695" w:rsidRPr="00F94A2F" w:rsidRDefault="00980695" w:rsidP="00F13C6F">
      <w:pPr>
        <w:rPr>
          <w:rFonts w:cs="Arial"/>
        </w:rPr>
      </w:pPr>
    </w:p>
    <w:p w14:paraId="4DDBEF00" w14:textId="77777777" w:rsidR="00980695" w:rsidRPr="00F94A2F" w:rsidRDefault="00980695" w:rsidP="00F13C6F">
      <w:pPr>
        <w:rPr>
          <w:rFonts w:cs="Arial"/>
        </w:rPr>
      </w:pPr>
    </w:p>
    <w:p w14:paraId="3461D779" w14:textId="77777777" w:rsidR="00980695" w:rsidRPr="00F94A2F" w:rsidRDefault="00980695" w:rsidP="00F13C6F">
      <w:pPr>
        <w:rPr>
          <w:rFonts w:cs="Arial"/>
        </w:rPr>
      </w:pPr>
    </w:p>
    <w:p w14:paraId="3CF2D8B6" w14:textId="77777777" w:rsidR="00980695" w:rsidRPr="00F94A2F" w:rsidRDefault="00980695" w:rsidP="00F13C6F">
      <w:pPr>
        <w:rPr>
          <w:rFonts w:cs="Arial"/>
        </w:rPr>
      </w:pPr>
    </w:p>
    <w:p w14:paraId="0FB78278" w14:textId="77777777" w:rsidR="00980695" w:rsidRPr="00F94A2F" w:rsidRDefault="00980695" w:rsidP="00F13C6F">
      <w:pPr>
        <w:rPr>
          <w:rFonts w:cs="Arial"/>
        </w:rPr>
      </w:pPr>
    </w:p>
    <w:p w14:paraId="34CE0A41" w14:textId="3525B774" w:rsidR="00706ABF" w:rsidRPr="00F94A2F" w:rsidRDefault="00EC1EE3" w:rsidP="00C9432F">
      <w:pPr>
        <w:pStyle w:val="Heading1"/>
        <w:rPr>
          <w:rFonts w:cs="Arial"/>
        </w:rPr>
      </w:pPr>
      <w:r w:rsidRPr="00F94A2F">
        <w:rPr>
          <w:rFonts w:cs="Arial"/>
          <w:u w:val="single"/>
        </w:rPr>
        <w:br w:type="page"/>
      </w:r>
      <w:bookmarkStart w:id="9" w:name="_Toc207753507"/>
      <w:r w:rsidR="00817EFC" w:rsidRPr="00F94A2F">
        <w:rPr>
          <w:rFonts w:cs="Arial"/>
        </w:rPr>
        <w:lastRenderedPageBreak/>
        <w:t>Table of Content</w:t>
      </w:r>
      <w:bookmarkEnd w:id="3"/>
      <w:r w:rsidR="00E413B2" w:rsidRPr="00F94A2F">
        <w:rPr>
          <w:rFonts w:cs="Arial"/>
        </w:rPr>
        <w:t>s</w:t>
      </w:r>
      <w:bookmarkEnd w:id="9"/>
    </w:p>
    <w:p w14:paraId="4F6A4DEF" w14:textId="6EE30801" w:rsidR="00B6011F" w:rsidRDefault="00C714EB">
      <w:pPr>
        <w:pStyle w:val="TOC1"/>
        <w:rPr>
          <w:rFonts w:asciiTheme="minorHAnsi" w:eastAsiaTheme="minorEastAsia" w:hAnsiTheme="minorHAnsi" w:cstheme="minorBidi"/>
          <w:b w:val="0"/>
          <w:bCs w:val="0"/>
          <w:caps w:val="0"/>
          <w:kern w:val="2"/>
          <w14:ligatures w14:val="standardContextual"/>
        </w:rPr>
      </w:pPr>
      <w:r w:rsidRPr="00F94A2F">
        <w:rPr>
          <w:bCs w:val="0"/>
          <w:iCs/>
        </w:rPr>
        <w:fldChar w:fldCharType="begin"/>
      </w:r>
      <w:r w:rsidRPr="00F94A2F">
        <w:instrText xml:space="preserve"> TOC \o "1-3" \u </w:instrText>
      </w:r>
      <w:r w:rsidRPr="00F94A2F">
        <w:rPr>
          <w:bCs w:val="0"/>
          <w:iCs/>
        </w:rPr>
        <w:fldChar w:fldCharType="separate"/>
      </w:r>
      <w:r w:rsidR="00B6011F" w:rsidRPr="00294615">
        <w:t>Declaration of Originality</w:t>
      </w:r>
      <w:r w:rsidR="00B6011F">
        <w:tab/>
      </w:r>
      <w:r w:rsidR="00B6011F">
        <w:fldChar w:fldCharType="begin"/>
      </w:r>
      <w:r w:rsidR="00B6011F">
        <w:instrText xml:space="preserve"> PAGEREF _Toc207753502 \h </w:instrText>
      </w:r>
      <w:r w:rsidR="00B6011F">
        <w:fldChar w:fldCharType="separate"/>
      </w:r>
      <w:r w:rsidR="00B6011F">
        <w:t>ii</w:t>
      </w:r>
      <w:r w:rsidR="00B6011F">
        <w:fldChar w:fldCharType="end"/>
      </w:r>
    </w:p>
    <w:p w14:paraId="3C3CABFB" w14:textId="03B75077" w:rsidR="00B6011F" w:rsidRDefault="00B6011F">
      <w:pPr>
        <w:pStyle w:val="TOC1"/>
        <w:rPr>
          <w:rFonts w:asciiTheme="minorHAnsi" w:eastAsiaTheme="minorEastAsia" w:hAnsiTheme="minorHAnsi" w:cstheme="minorBidi"/>
          <w:b w:val="0"/>
          <w:bCs w:val="0"/>
          <w:caps w:val="0"/>
          <w:kern w:val="2"/>
          <w14:ligatures w14:val="standardContextual"/>
        </w:rPr>
      </w:pPr>
      <w:r w:rsidRPr="00294615">
        <w:t>FORM OF CONSENT</w:t>
      </w:r>
      <w:r>
        <w:tab/>
      </w:r>
      <w:r>
        <w:fldChar w:fldCharType="begin"/>
      </w:r>
      <w:r>
        <w:instrText xml:space="preserve"> PAGEREF _Toc207753503 \h </w:instrText>
      </w:r>
      <w:r>
        <w:fldChar w:fldCharType="separate"/>
      </w:r>
      <w:r>
        <w:t>ii</w:t>
      </w:r>
      <w:r>
        <w:fldChar w:fldCharType="end"/>
      </w:r>
    </w:p>
    <w:p w14:paraId="7E9E9412" w14:textId="70CBAE23" w:rsidR="00B6011F" w:rsidRDefault="00B6011F">
      <w:pPr>
        <w:pStyle w:val="TOC1"/>
        <w:rPr>
          <w:rFonts w:asciiTheme="minorHAnsi" w:eastAsiaTheme="minorEastAsia" w:hAnsiTheme="minorHAnsi" w:cstheme="minorBidi"/>
          <w:b w:val="0"/>
          <w:bCs w:val="0"/>
          <w:caps w:val="0"/>
          <w:kern w:val="2"/>
          <w14:ligatures w14:val="standardContextual"/>
        </w:rPr>
      </w:pPr>
      <w:r w:rsidRPr="00294615">
        <w:t>Copyright Acknowledgement</w:t>
      </w:r>
      <w:r>
        <w:tab/>
      </w:r>
      <w:r>
        <w:fldChar w:fldCharType="begin"/>
      </w:r>
      <w:r>
        <w:instrText xml:space="preserve"> PAGEREF _Toc207753504 \h </w:instrText>
      </w:r>
      <w:r>
        <w:fldChar w:fldCharType="separate"/>
      </w:r>
      <w:r>
        <w:t>ii</w:t>
      </w:r>
      <w:r>
        <w:fldChar w:fldCharType="end"/>
      </w:r>
    </w:p>
    <w:p w14:paraId="24A37937" w14:textId="6380B9EB" w:rsidR="00B6011F" w:rsidRDefault="00B6011F">
      <w:pPr>
        <w:pStyle w:val="TOC1"/>
        <w:rPr>
          <w:rFonts w:asciiTheme="minorHAnsi" w:eastAsiaTheme="minorEastAsia" w:hAnsiTheme="minorHAnsi" w:cstheme="minorBidi"/>
          <w:b w:val="0"/>
          <w:bCs w:val="0"/>
          <w:caps w:val="0"/>
          <w:kern w:val="2"/>
          <w14:ligatures w14:val="standardContextual"/>
        </w:rPr>
      </w:pPr>
      <w:r w:rsidRPr="00294615">
        <w:t>ABSTRACT/SYNPOSIS</w:t>
      </w:r>
      <w:r>
        <w:tab/>
      </w:r>
      <w:r>
        <w:fldChar w:fldCharType="begin"/>
      </w:r>
      <w:r>
        <w:instrText xml:space="preserve"> PAGEREF _Toc207753505 \h </w:instrText>
      </w:r>
      <w:r>
        <w:fldChar w:fldCharType="separate"/>
      </w:r>
      <w:r>
        <w:t>iv</w:t>
      </w:r>
      <w:r>
        <w:fldChar w:fldCharType="end"/>
      </w:r>
    </w:p>
    <w:p w14:paraId="2E6E046E" w14:textId="4F3B65D4" w:rsidR="00B6011F" w:rsidRDefault="00B6011F">
      <w:pPr>
        <w:pStyle w:val="TOC1"/>
        <w:rPr>
          <w:rFonts w:asciiTheme="minorHAnsi" w:eastAsiaTheme="minorEastAsia" w:hAnsiTheme="minorHAnsi" w:cstheme="minorBidi"/>
          <w:b w:val="0"/>
          <w:bCs w:val="0"/>
          <w:caps w:val="0"/>
          <w:kern w:val="2"/>
          <w14:ligatures w14:val="standardContextual"/>
        </w:rPr>
      </w:pPr>
      <w:r w:rsidRPr="00294615">
        <w:t>Acknowledgements</w:t>
      </w:r>
      <w:r>
        <w:tab/>
      </w:r>
      <w:r>
        <w:fldChar w:fldCharType="begin"/>
      </w:r>
      <w:r>
        <w:instrText xml:space="preserve"> PAGEREF _Toc207753506 \h </w:instrText>
      </w:r>
      <w:r>
        <w:fldChar w:fldCharType="separate"/>
      </w:r>
      <w:r>
        <w:t>iv</w:t>
      </w:r>
      <w:r>
        <w:fldChar w:fldCharType="end"/>
      </w:r>
    </w:p>
    <w:p w14:paraId="4DACB472" w14:textId="06D61608" w:rsidR="00B6011F" w:rsidRDefault="00B6011F">
      <w:pPr>
        <w:pStyle w:val="TOC1"/>
        <w:rPr>
          <w:rFonts w:asciiTheme="minorHAnsi" w:eastAsiaTheme="minorEastAsia" w:hAnsiTheme="minorHAnsi" w:cstheme="minorBidi"/>
          <w:b w:val="0"/>
          <w:bCs w:val="0"/>
          <w:caps w:val="0"/>
          <w:kern w:val="2"/>
          <w14:ligatures w14:val="standardContextual"/>
        </w:rPr>
      </w:pPr>
      <w:r w:rsidRPr="00294615">
        <w:t>Table of Contents</w:t>
      </w:r>
      <w:r>
        <w:tab/>
      </w:r>
      <w:r>
        <w:fldChar w:fldCharType="begin"/>
      </w:r>
      <w:r>
        <w:instrText xml:space="preserve"> PAGEREF _Toc207753507 \h </w:instrText>
      </w:r>
      <w:r>
        <w:fldChar w:fldCharType="separate"/>
      </w:r>
      <w:r>
        <w:t>v</w:t>
      </w:r>
      <w:r>
        <w:fldChar w:fldCharType="end"/>
      </w:r>
    </w:p>
    <w:p w14:paraId="75935400" w14:textId="5702E55E" w:rsidR="00B6011F" w:rsidRDefault="00B6011F">
      <w:pPr>
        <w:pStyle w:val="TOC1"/>
        <w:rPr>
          <w:rFonts w:asciiTheme="minorHAnsi" w:eastAsiaTheme="minorEastAsia" w:hAnsiTheme="minorHAnsi" w:cstheme="minorBidi"/>
          <w:b w:val="0"/>
          <w:bCs w:val="0"/>
          <w:caps w:val="0"/>
          <w:kern w:val="2"/>
          <w14:ligatures w14:val="standardContextual"/>
        </w:rPr>
      </w:pPr>
      <w:r w:rsidRPr="00294615">
        <w:t>List of Figures</w:t>
      </w:r>
      <w:r>
        <w:tab/>
      </w:r>
      <w:r>
        <w:fldChar w:fldCharType="begin"/>
      </w:r>
      <w:r>
        <w:instrText xml:space="preserve"> PAGEREF _Toc207753508 \h </w:instrText>
      </w:r>
      <w:r>
        <w:fldChar w:fldCharType="separate"/>
      </w:r>
      <w:r>
        <w:t>vi</w:t>
      </w:r>
      <w:r>
        <w:fldChar w:fldCharType="end"/>
      </w:r>
    </w:p>
    <w:p w14:paraId="300A74FE" w14:textId="4181CA74" w:rsidR="00B6011F" w:rsidRDefault="00B6011F">
      <w:pPr>
        <w:pStyle w:val="TOC1"/>
        <w:rPr>
          <w:rFonts w:asciiTheme="minorHAnsi" w:eastAsiaTheme="minorEastAsia" w:hAnsiTheme="minorHAnsi" w:cstheme="minorBidi"/>
          <w:b w:val="0"/>
          <w:bCs w:val="0"/>
          <w:caps w:val="0"/>
          <w:kern w:val="2"/>
          <w14:ligatures w14:val="standardContextual"/>
        </w:rPr>
      </w:pPr>
      <w:r w:rsidRPr="00294615">
        <w:t>List of Tables</w:t>
      </w:r>
      <w:r>
        <w:tab/>
      </w:r>
      <w:r>
        <w:fldChar w:fldCharType="begin"/>
      </w:r>
      <w:r>
        <w:instrText xml:space="preserve"> PAGEREF _Toc207753509 \h </w:instrText>
      </w:r>
      <w:r>
        <w:fldChar w:fldCharType="separate"/>
      </w:r>
      <w:r>
        <w:t>vi</w:t>
      </w:r>
      <w:r>
        <w:fldChar w:fldCharType="end"/>
      </w:r>
    </w:p>
    <w:p w14:paraId="1C370AD1" w14:textId="6AF08139" w:rsidR="00B6011F" w:rsidRDefault="00B6011F">
      <w:pPr>
        <w:pStyle w:val="TOC1"/>
        <w:rPr>
          <w:rFonts w:asciiTheme="minorHAnsi" w:eastAsiaTheme="minorEastAsia" w:hAnsiTheme="minorHAnsi" w:cstheme="minorBidi"/>
          <w:b w:val="0"/>
          <w:bCs w:val="0"/>
          <w:caps w:val="0"/>
          <w:kern w:val="2"/>
          <w14:ligatures w14:val="standardContextual"/>
        </w:rPr>
      </w:pPr>
      <w:r w:rsidRPr="00294615">
        <w:t>Chapter 1</w:t>
      </w:r>
      <w:r>
        <w:tab/>
      </w:r>
      <w:r>
        <w:fldChar w:fldCharType="begin"/>
      </w:r>
      <w:r>
        <w:instrText xml:space="preserve"> PAGEREF _Toc207753510 \h </w:instrText>
      </w:r>
      <w:r>
        <w:fldChar w:fldCharType="separate"/>
      </w:r>
      <w:r>
        <w:t>7</w:t>
      </w:r>
      <w:r>
        <w:fldChar w:fldCharType="end"/>
      </w:r>
    </w:p>
    <w:p w14:paraId="06A6C5E7" w14:textId="64E83CFC"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1.1 Motivation and context</w:t>
      </w:r>
      <w:r>
        <w:rPr>
          <w:noProof/>
        </w:rPr>
        <w:tab/>
      </w:r>
      <w:r>
        <w:rPr>
          <w:noProof/>
        </w:rPr>
        <w:fldChar w:fldCharType="begin"/>
      </w:r>
      <w:r>
        <w:rPr>
          <w:noProof/>
        </w:rPr>
        <w:instrText xml:space="preserve"> PAGEREF _Toc207753511 \h </w:instrText>
      </w:r>
      <w:r>
        <w:rPr>
          <w:noProof/>
        </w:rPr>
      </w:r>
      <w:r>
        <w:rPr>
          <w:noProof/>
        </w:rPr>
        <w:fldChar w:fldCharType="separate"/>
      </w:r>
      <w:r>
        <w:rPr>
          <w:noProof/>
        </w:rPr>
        <w:t>7</w:t>
      </w:r>
      <w:r>
        <w:rPr>
          <w:noProof/>
        </w:rPr>
        <w:fldChar w:fldCharType="end"/>
      </w:r>
    </w:p>
    <w:p w14:paraId="4702D774" w14:textId="75B44700"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1.2 Problem statement and research question</w:t>
      </w:r>
      <w:r>
        <w:rPr>
          <w:noProof/>
        </w:rPr>
        <w:tab/>
      </w:r>
      <w:r>
        <w:rPr>
          <w:noProof/>
        </w:rPr>
        <w:fldChar w:fldCharType="begin"/>
      </w:r>
      <w:r>
        <w:rPr>
          <w:noProof/>
        </w:rPr>
        <w:instrText xml:space="preserve"> PAGEREF _Toc207753512 \h </w:instrText>
      </w:r>
      <w:r>
        <w:rPr>
          <w:noProof/>
        </w:rPr>
      </w:r>
      <w:r>
        <w:rPr>
          <w:noProof/>
        </w:rPr>
        <w:fldChar w:fldCharType="separate"/>
      </w:r>
      <w:r>
        <w:rPr>
          <w:noProof/>
        </w:rPr>
        <w:t>7</w:t>
      </w:r>
      <w:r>
        <w:rPr>
          <w:noProof/>
        </w:rPr>
        <w:fldChar w:fldCharType="end"/>
      </w:r>
    </w:p>
    <w:p w14:paraId="5310613E" w14:textId="5734CD8A"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1.3 Aims and objectives</w:t>
      </w:r>
      <w:r>
        <w:rPr>
          <w:noProof/>
        </w:rPr>
        <w:tab/>
      </w:r>
      <w:r>
        <w:rPr>
          <w:noProof/>
        </w:rPr>
        <w:fldChar w:fldCharType="begin"/>
      </w:r>
      <w:r>
        <w:rPr>
          <w:noProof/>
        </w:rPr>
        <w:instrText xml:space="preserve"> PAGEREF _Toc207753513 \h </w:instrText>
      </w:r>
      <w:r>
        <w:rPr>
          <w:noProof/>
        </w:rPr>
      </w:r>
      <w:r>
        <w:rPr>
          <w:noProof/>
        </w:rPr>
        <w:fldChar w:fldCharType="separate"/>
      </w:r>
      <w:r>
        <w:rPr>
          <w:noProof/>
        </w:rPr>
        <w:t>7</w:t>
      </w:r>
      <w:r>
        <w:rPr>
          <w:noProof/>
        </w:rPr>
        <w:fldChar w:fldCharType="end"/>
      </w:r>
    </w:p>
    <w:p w14:paraId="366F7B24" w14:textId="56C2476E"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1.4 Scope, ethics and legal boundaries</w:t>
      </w:r>
      <w:r>
        <w:rPr>
          <w:noProof/>
        </w:rPr>
        <w:tab/>
      </w:r>
      <w:r>
        <w:rPr>
          <w:noProof/>
        </w:rPr>
        <w:fldChar w:fldCharType="begin"/>
      </w:r>
      <w:r>
        <w:rPr>
          <w:noProof/>
        </w:rPr>
        <w:instrText xml:space="preserve"> PAGEREF _Toc207753514 \h </w:instrText>
      </w:r>
      <w:r>
        <w:rPr>
          <w:noProof/>
        </w:rPr>
      </w:r>
      <w:r>
        <w:rPr>
          <w:noProof/>
        </w:rPr>
        <w:fldChar w:fldCharType="separate"/>
      </w:r>
      <w:r>
        <w:rPr>
          <w:noProof/>
        </w:rPr>
        <w:t>8</w:t>
      </w:r>
      <w:r>
        <w:rPr>
          <w:noProof/>
        </w:rPr>
        <w:fldChar w:fldCharType="end"/>
      </w:r>
    </w:p>
    <w:p w14:paraId="6DD3D1F7" w14:textId="57A7F026"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1.5 Report structure</w:t>
      </w:r>
      <w:r>
        <w:rPr>
          <w:noProof/>
        </w:rPr>
        <w:tab/>
      </w:r>
      <w:r>
        <w:rPr>
          <w:noProof/>
        </w:rPr>
        <w:fldChar w:fldCharType="begin"/>
      </w:r>
      <w:r>
        <w:rPr>
          <w:noProof/>
        </w:rPr>
        <w:instrText xml:space="preserve"> PAGEREF _Toc207753515 \h </w:instrText>
      </w:r>
      <w:r>
        <w:rPr>
          <w:noProof/>
        </w:rPr>
      </w:r>
      <w:r>
        <w:rPr>
          <w:noProof/>
        </w:rPr>
        <w:fldChar w:fldCharType="separate"/>
      </w:r>
      <w:r>
        <w:rPr>
          <w:noProof/>
        </w:rPr>
        <w:t>8</w:t>
      </w:r>
      <w:r>
        <w:rPr>
          <w:noProof/>
        </w:rPr>
        <w:fldChar w:fldCharType="end"/>
      </w:r>
    </w:p>
    <w:p w14:paraId="722AF247" w14:textId="12D9E03C" w:rsidR="00B6011F" w:rsidRDefault="00B6011F">
      <w:pPr>
        <w:pStyle w:val="TOC1"/>
        <w:rPr>
          <w:rFonts w:asciiTheme="minorHAnsi" w:eastAsiaTheme="minorEastAsia" w:hAnsiTheme="minorHAnsi" w:cstheme="minorBidi"/>
          <w:b w:val="0"/>
          <w:bCs w:val="0"/>
          <w:caps w:val="0"/>
          <w:kern w:val="2"/>
          <w14:ligatures w14:val="standardContextual"/>
        </w:rPr>
      </w:pPr>
      <w:r w:rsidRPr="00294615">
        <w:t xml:space="preserve">Chapter 2 - RESEARCH &amp; </w:t>
      </w:r>
      <w:r w:rsidRPr="00294615">
        <w:rPr>
          <w:iCs/>
        </w:rPr>
        <w:t>REVIEW OF LITERATURE</w:t>
      </w:r>
      <w:r>
        <w:tab/>
      </w:r>
      <w:r>
        <w:fldChar w:fldCharType="begin"/>
      </w:r>
      <w:r>
        <w:instrText xml:space="preserve"> PAGEREF _Toc207753516 \h </w:instrText>
      </w:r>
      <w:r>
        <w:fldChar w:fldCharType="separate"/>
      </w:r>
      <w:r>
        <w:t>8</w:t>
      </w:r>
      <w:r>
        <w:fldChar w:fldCharType="end"/>
      </w:r>
    </w:p>
    <w:p w14:paraId="749D903E" w14:textId="721CB72F"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2.1 UK policy, regulation and national guidance</w:t>
      </w:r>
      <w:r>
        <w:rPr>
          <w:noProof/>
        </w:rPr>
        <w:tab/>
      </w:r>
      <w:r>
        <w:rPr>
          <w:noProof/>
        </w:rPr>
        <w:fldChar w:fldCharType="begin"/>
      </w:r>
      <w:r>
        <w:rPr>
          <w:noProof/>
        </w:rPr>
        <w:instrText xml:space="preserve"> PAGEREF _Toc207753518 \h </w:instrText>
      </w:r>
      <w:r>
        <w:rPr>
          <w:noProof/>
        </w:rPr>
      </w:r>
      <w:r>
        <w:rPr>
          <w:noProof/>
        </w:rPr>
        <w:fldChar w:fldCharType="separate"/>
      </w:r>
      <w:r>
        <w:rPr>
          <w:noProof/>
        </w:rPr>
        <w:t>8</w:t>
      </w:r>
      <w:r>
        <w:rPr>
          <w:noProof/>
        </w:rPr>
        <w:fldChar w:fldCharType="end"/>
      </w:r>
    </w:p>
    <w:p w14:paraId="5BB37D81" w14:textId="3F1E29BF"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2.2 Threat landscape and attack patterns</w:t>
      </w:r>
      <w:r>
        <w:rPr>
          <w:noProof/>
        </w:rPr>
        <w:tab/>
      </w:r>
      <w:r>
        <w:rPr>
          <w:noProof/>
        </w:rPr>
        <w:fldChar w:fldCharType="begin"/>
      </w:r>
      <w:r>
        <w:rPr>
          <w:noProof/>
        </w:rPr>
        <w:instrText xml:space="preserve"> PAGEREF _Toc207753519 \h </w:instrText>
      </w:r>
      <w:r>
        <w:rPr>
          <w:noProof/>
        </w:rPr>
      </w:r>
      <w:r>
        <w:rPr>
          <w:noProof/>
        </w:rPr>
        <w:fldChar w:fldCharType="separate"/>
      </w:r>
      <w:r>
        <w:rPr>
          <w:noProof/>
        </w:rPr>
        <w:t>9</w:t>
      </w:r>
      <w:r>
        <w:rPr>
          <w:noProof/>
        </w:rPr>
        <w:fldChar w:fldCharType="end"/>
      </w:r>
    </w:p>
    <w:p w14:paraId="0FE295C2" w14:textId="0CEFB326"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2.3 Empirical evidence on consumer routers and IoT</w:t>
      </w:r>
      <w:r>
        <w:rPr>
          <w:noProof/>
        </w:rPr>
        <w:tab/>
      </w:r>
      <w:r>
        <w:rPr>
          <w:noProof/>
        </w:rPr>
        <w:fldChar w:fldCharType="begin"/>
      </w:r>
      <w:r>
        <w:rPr>
          <w:noProof/>
        </w:rPr>
        <w:instrText xml:space="preserve"> PAGEREF _Toc207753520 \h </w:instrText>
      </w:r>
      <w:r>
        <w:rPr>
          <w:noProof/>
        </w:rPr>
      </w:r>
      <w:r>
        <w:rPr>
          <w:noProof/>
        </w:rPr>
        <w:fldChar w:fldCharType="separate"/>
      </w:r>
      <w:r>
        <w:rPr>
          <w:noProof/>
        </w:rPr>
        <w:t>10</w:t>
      </w:r>
      <w:r>
        <w:rPr>
          <w:noProof/>
        </w:rPr>
        <w:fldChar w:fldCharType="end"/>
      </w:r>
    </w:p>
    <w:p w14:paraId="0297E96E" w14:textId="5866CB96"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2.4 Frameworks for testing and improvement</w:t>
      </w:r>
      <w:r>
        <w:rPr>
          <w:noProof/>
        </w:rPr>
        <w:tab/>
      </w:r>
      <w:r>
        <w:rPr>
          <w:noProof/>
        </w:rPr>
        <w:fldChar w:fldCharType="begin"/>
      </w:r>
      <w:r>
        <w:rPr>
          <w:noProof/>
        </w:rPr>
        <w:instrText xml:space="preserve"> PAGEREF _Toc207753521 \h </w:instrText>
      </w:r>
      <w:r>
        <w:rPr>
          <w:noProof/>
        </w:rPr>
      </w:r>
      <w:r>
        <w:rPr>
          <w:noProof/>
        </w:rPr>
        <w:fldChar w:fldCharType="separate"/>
      </w:r>
      <w:r>
        <w:rPr>
          <w:noProof/>
        </w:rPr>
        <w:t>10</w:t>
      </w:r>
      <w:r>
        <w:rPr>
          <w:noProof/>
        </w:rPr>
        <w:fldChar w:fldCharType="end"/>
      </w:r>
    </w:p>
    <w:p w14:paraId="18E2CC0C" w14:textId="7AD28951"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2.5 Practical network</w:t>
      </w:r>
      <w:r w:rsidRPr="00294615">
        <w:rPr>
          <w:rFonts w:cs="Arial"/>
          <w:noProof/>
        </w:rPr>
        <w:noBreakHyphen/>
        <w:t>architecture patterns supported by consumer platforms</w:t>
      </w:r>
      <w:r>
        <w:rPr>
          <w:noProof/>
        </w:rPr>
        <w:tab/>
      </w:r>
      <w:r>
        <w:rPr>
          <w:noProof/>
        </w:rPr>
        <w:fldChar w:fldCharType="begin"/>
      </w:r>
      <w:r>
        <w:rPr>
          <w:noProof/>
        </w:rPr>
        <w:instrText xml:space="preserve"> PAGEREF _Toc207753522 \h </w:instrText>
      </w:r>
      <w:r>
        <w:rPr>
          <w:noProof/>
        </w:rPr>
      </w:r>
      <w:r>
        <w:rPr>
          <w:noProof/>
        </w:rPr>
        <w:fldChar w:fldCharType="separate"/>
      </w:r>
      <w:r>
        <w:rPr>
          <w:noProof/>
        </w:rPr>
        <w:t>10</w:t>
      </w:r>
      <w:r>
        <w:rPr>
          <w:noProof/>
        </w:rPr>
        <w:fldChar w:fldCharType="end"/>
      </w:r>
    </w:p>
    <w:p w14:paraId="4FBAACD8" w14:textId="455B29AE"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2.6 Ethical, legal and safety considerations for home</w:t>
      </w:r>
      <w:r w:rsidRPr="00294615">
        <w:rPr>
          <w:rFonts w:cs="Arial"/>
          <w:noProof/>
        </w:rPr>
        <w:noBreakHyphen/>
        <w:t>lab work</w:t>
      </w:r>
      <w:r>
        <w:rPr>
          <w:noProof/>
        </w:rPr>
        <w:tab/>
      </w:r>
      <w:r>
        <w:rPr>
          <w:noProof/>
        </w:rPr>
        <w:fldChar w:fldCharType="begin"/>
      </w:r>
      <w:r>
        <w:rPr>
          <w:noProof/>
        </w:rPr>
        <w:instrText xml:space="preserve"> PAGEREF _Toc207753523 \h </w:instrText>
      </w:r>
      <w:r>
        <w:rPr>
          <w:noProof/>
        </w:rPr>
      </w:r>
      <w:r>
        <w:rPr>
          <w:noProof/>
        </w:rPr>
        <w:fldChar w:fldCharType="separate"/>
      </w:r>
      <w:r>
        <w:rPr>
          <w:noProof/>
        </w:rPr>
        <w:t>11</w:t>
      </w:r>
      <w:r>
        <w:rPr>
          <w:noProof/>
        </w:rPr>
        <w:fldChar w:fldCharType="end"/>
      </w:r>
    </w:p>
    <w:p w14:paraId="4785CC0F" w14:textId="1AA5F276"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2.7 Synthesis: what the literature implies for this project</w:t>
      </w:r>
      <w:r>
        <w:rPr>
          <w:noProof/>
        </w:rPr>
        <w:tab/>
      </w:r>
      <w:r>
        <w:rPr>
          <w:noProof/>
        </w:rPr>
        <w:fldChar w:fldCharType="begin"/>
      </w:r>
      <w:r>
        <w:rPr>
          <w:noProof/>
        </w:rPr>
        <w:instrText xml:space="preserve"> PAGEREF _Toc207753524 \h </w:instrText>
      </w:r>
      <w:r>
        <w:rPr>
          <w:noProof/>
        </w:rPr>
      </w:r>
      <w:r>
        <w:rPr>
          <w:noProof/>
        </w:rPr>
        <w:fldChar w:fldCharType="separate"/>
      </w:r>
      <w:r>
        <w:rPr>
          <w:noProof/>
        </w:rPr>
        <w:t>11</w:t>
      </w:r>
      <w:r>
        <w:rPr>
          <w:noProof/>
        </w:rPr>
        <w:fldChar w:fldCharType="end"/>
      </w:r>
    </w:p>
    <w:p w14:paraId="72F2435F" w14:textId="7A2829A6" w:rsidR="00B6011F" w:rsidRDefault="00B6011F">
      <w:pPr>
        <w:pStyle w:val="TOC1"/>
        <w:rPr>
          <w:rFonts w:asciiTheme="minorHAnsi" w:eastAsiaTheme="minorEastAsia" w:hAnsiTheme="minorHAnsi" w:cstheme="minorBidi"/>
          <w:b w:val="0"/>
          <w:bCs w:val="0"/>
          <w:caps w:val="0"/>
          <w:kern w:val="2"/>
          <w14:ligatures w14:val="standardContextual"/>
        </w:rPr>
      </w:pPr>
      <w:r w:rsidRPr="00294615">
        <w:t>Chapter 3 - RESEARCH METHODOLOGY</w:t>
      </w:r>
      <w:r>
        <w:tab/>
      </w:r>
      <w:r>
        <w:fldChar w:fldCharType="begin"/>
      </w:r>
      <w:r>
        <w:instrText xml:space="preserve"> PAGEREF _Toc207753525 \h </w:instrText>
      </w:r>
      <w:r>
        <w:fldChar w:fldCharType="separate"/>
      </w:r>
      <w:r>
        <w:t>12</w:t>
      </w:r>
      <w:r>
        <w:fldChar w:fldCharType="end"/>
      </w:r>
    </w:p>
    <w:p w14:paraId="530F913E" w14:textId="3CD06AE8"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3.1 Experimental design</w:t>
      </w:r>
      <w:r>
        <w:rPr>
          <w:noProof/>
        </w:rPr>
        <w:tab/>
      </w:r>
      <w:r>
        <w:rPr>
          <w:noProof/>
        </w:rPr>
        <w:fldChar w:fldCharType="begin"/>
      </w:r>
      <w:r>
        <w:rPr>
          <w:noProof/>
        </w:rPr>
        <w:instrText xml:space="preserve"> PAGEREF _Toc207753528 \h </w:instrText>
      </w:r>
      <w:r>
        <w:rPr>
          <w:noProof/>
        </w:rPr>
      </w:r>
      <w:r>
        <w:rPr>
          <w:noProof/>
        </w:rPr>
        <w:fldChar w:fldCharType="separate"/>
      </w:r>
      <w:r>
        <w:rPr>
          <w:noProof/>
        </w:rPr>
        <w:t>12</w:t>
      </w:r>
      <w:r>
        <w:rPr>
          <w:noProof/>
        </w:rPr>
        <w:fldChar w:fldCharType="end"/>
      </w:r>
    </w:p>
    <w:p w14:paraId="1743C993" w14:textId="40389CA0"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3.2 Lab environment and topology</w:t>
      </w:r>
      <w:r>
        <w:rPr>
          <w:noProof/>
        </w:rPr>
        <w:tab/>
      </w:r>
      <w:r>
        <w:rPr>
          <w:noProof/>
        </w:rPr>
        <w:fldChar w:fldCharType="begin"/>
      </w:r>
      <w:r>
        <w:rPr>
          <w:noProof/>
        </w:rPr>
        <w:instrText xml:space="preserve"> PAGEREF _Toc207753529 \h </w:instrText>
      </w:r>
      <w:r>
        <w:rPr>
          <w:noProof/>
        </w:rPr>
      </w:r>
      <w:r>
        <w:rPr>
          <w:noProof/>
        </w:rPr>
        <w:fldChar w:fldCharType="separate"/>
      </w:r>
      <w:r>
        <w:rPr>
          <w:noProof/>
        </w:rPr>
        <w:t>13</w:t>
      </w:r>
      <w:r>
        <w:rPr>
          <w:noProof/>
        </w:rPr>
        <w:fldChar w:fldCharType="end"/>
      </w:r>
    </w:p>
    <w:p w14:paraId="1E98BBE9" w14:textId="08DF4B4A"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3.3 Controls under test</w:t>
      </w:r>
      <w:r>
        <w:rPr>
          <w:noProof/>
        </w:rPr>
        <w:tab/>
      </w:r>
      <w:r>
        <w:rPr>
          <w:noProof/>
        </w:rPr>
        <w:fldChar w:fldCharType="begin"/>
      </w:r>
      <w:r>
        <w:rPr>
          <w:noProof/>
        </w:rPr>
        <w:instrText xml:space="preserve"> PAGEREF _Toc207753530 \h </w:instrText>
      </w:r>
      <w:r>
        <w:rPr>
          <w:noProof/>
        </w:rPr>
      </w:r>
      <w:r>
        <w:rPr>
          <w:noProof/>
        </w:rPr>
        <w:fldChar w:fldCharType="separate"/>
      </w:r>
      <w:r>
        <w:rPr>
          <w:noProof/>
        </w:rPr>
        <w:t>13</w:t>
      </w:r>
      <w:r>
        <w:rPr>
          <w:noProof/>
        </w:rPr>
        <w:fldChar w:fldCharType="end"/>
      </w:r>
    </w:p>
    <w:p w14:paraId="646D9343" w14:textId="3F88F5D2"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3.4 Test cases and tools</w:t>
      </w:r>
      <w:r>
        <w:rPr>
          <w:noProof/>
        </w:rPr>
        <w:tab/>
      </w:r>
      <w:r>
        <w:rPr>
          <w:noProof/>
        </w:rPr>
        <w:fldChar w:fldCharType="begin"/>
      </w:r>
      <w:r>
        <w:rPr>
          <w:noProof/>
        </w:rPr>
        <w:instrText xml:space="preserve"> PAGEREF _Toc207753531 \h </w:instrText>
      </w:r>
      <w:r>
        <w:rPr>
          <w:noProof/>
        </w:rPr>
      </w:r>
      <w:r>
        <w:rPr>
          <w:noProof/>
        </w:rPr>
        <w:fldChar w:fldCharType="separate"/>
      </w:r>
      <w:r>
        <w:rPr>
          <w:noProof/>
        </w:rPr>
        <w:t>13</w:t>
      </w:r>
      <w:r>
        <w:rPr>
          <w:noProof/>
        </w:rPr>
        <w:fldChar w:fldCharType="end"/>
      </w:r>
    </w:p>
    <w:p w14:paraId="5AB76554" w14:textId="58FA6813"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3.5 Data collection and metrics</w:t>
      </w:r>
      <w:r>
        <w:rPr>
          <w:noProof/>
        </w:rPr>
        <w:tab/>
      </w:r>
      <w:r>
        <w:rPr>
          <w:noProof/>
        </w:rPr>
        <w:fldChar w:fldCharType="begin"/>
      </w:r>
      <w:r>
        <w:rPr>
          <w:noProof/>
        </w:rPr>
        <w:instrText xml:space="preserve"> PAGEREF _Toc207753532 \h </w:instrText>
      </w:r>
      <w:r>
        <w:rPr>
          <w:noProof/>
        </w:rPr>
      </w:r>
      <w:r>
        <w:rPr>
          <w:noProof/>
        </w:rPr>
        <w:fldChar w:fldCharType="separate"/>
      </w:r>
      <w:r>
        <w:rPr>
          <w:noProof/>
        </w:rPr>
        <w:t>14</w:t>
      </w:r>
      <w:r>
        <w:rPr>
          <w:noProof/>
        </w:rPr>
        <w:fldChar w:fldCharType="end"/>
      </w:r>
    </w:p>
    <w:p w14:paraId="48B7283F" w14:textId="16C0E74E"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3.6 Validity, ethics and limitations</w:t>
      </w:r>
      <w:r>
        <w:rPr>
          <w:noProof/>
        </w:rPr>
        <w:tab/>
      </w:r>
      <w:r>
        <w:rPr>
          <w:noProof/>
        </w:rPr>
        <w:fldChar w:fldCharType="begin"/>
      </w:r>
      <w:r>
        <w:rPr>
          <w:noProof/>
        </w:rPr>
        <w:instrText xml:space="preserve"> PAGEREF _Toc207753533 \h </w:instrText>
      </w:r>
      <w:r>
        <w:rPr>
          <w:noProof/>
        </w:rPr>
      </w:r>
      <w:r>
        <w:rPr>
          <w:noProof/>
        </w:rPr>
        <w:fldChar w:fldCharType="separate"/>
      </w:r>
      <w:r>
        <w:rPr>
          <w:noProof/>
        </w:rPr>
        <w:t>14</w:t>
      </w:r>
      <w:r>
        <w:rPr>
          <w:noProof/>
        </w:rPr>
        <w:fldChar w:fldCharType="end"/>
      </w:r>
    </w:p>
    <w:p w14:paraId="358FE5D5" w14:textId="318F60AF" w:rsidR="00B6011F" w:rsidRDefault="00B6011F">
      <w:pPr>
        <w:pStyle w:val="TOC1"/>
        <w:rPr>
          <w:rFonts w:asciiTheme="minorHAnsi" w:eastAsiaTheme="minorEastAsia" w:hAnsiTheme="minorHAnsi" w:cstheme="minorBidi"/>
          <w:b w:val="0"/>
          <w:bCs w:val="0"/>
          <w:caps w:val="0"/>
          <w:kern w:val="2"/>
          <w14:ligatures w14:val="standardContextual"/>
        </w:rPr>
      </w:pPr>
      <w:r w:rsidRPr="00294615">
        <w:lastRenderedPageBreak/>
        <w:t xml:space="preserve">Chapter 4 - </w:t>
      </w:r>
      <w:r w:rsidRPr="00294615">
        <w:rPr>
          <w:iCs/>
        </w:rPr>
        <w:t>RESULTS</w:t>
      </w:r>
      <w:r>
        <w:tab/>
      </w:r>
      <w:r>
        <w:fldChar w:fldCharType="begin"/>
      </w:r>
      <w:r>
        <w:instrText xml:space="preserve"> PAGEREF _Toc207753534 \h </w:instrText>
      </w:r>
      <w:r>
        <w:fldChar w:fldCharType="separate"/>
      </w:r>
      <w:r>
        <w:t>14</w:t>
      </w:r>
      <w:r>
        <w:fldChar w:fldCharType="end"/>
      </w:r>
    </w:p>
    <w:p w14:paraId="6C70FA43" w14:textId="297EBC14" w:rsidR="00B6011F" w:rsidRDefault="00B6011F">
      <w:pPr>
        <w:pStyle w:val="TOC1"/>
        <w:rPr>
          <w:rFonts w:asciiTheme="minorHAnsi" w:eastAsiaTheme="minorEastAsia" w:hAnsiTheme="minorHAnsi" w:cstheme="minorBidi"/>
          <w:b w:val="0"/>
          <w:bCs w:val="0"/>
          <w:caps w:val="0"/>
          <w:kern w:val="2"/>
          <w14:ligatures w14:val="standardContextual"/>
        </w:rPr>
      </w:pPr>
      <w:r w:rsidRPr="00294615">
        <w:t>Chapter 5 – Evaluation</w:t>
      </w:r>
      <w:r>
        <w:tab/>
      </w:r>
      <w:r>
        <w:fldChar w:fldCharType="begin"/>
      </w:r>
      <w:r>
        <w:instrText xml:space="preserve"> PAGEREF _Toc207753535 \h </w:instrText>
      </w:r>
      <w:r>
        <w:fldChar w:fldCharType="separate"/>
      </w:r>
      <w:r>
        <w:t>15</w:t>
      </w:r>
      <w:r>
        <w:fldChar w:fldCharType="end"/>
      </w:r>
    </w:p>
    <w:p w14:paraId="453DCD08" w14:textId="30CF8B94" w:rsidR="00B6011F" w:rsidRDefault="00B6011F">
      <w:pPr>
        <w:pStyle w:val="TOC2"/>
        <w:rPr>
          <w:rFonts w:asciiTheme="minorHAnsi" w:eastAsiaTheme="minorEastAsia" w:hAnsiTheme="minorHAnsi" w:cstheme="minorBidi"/>
          <w:noProof/>
          <w:kern w:val="2"/>
          <w14:ligatures w14:val="standardContextual"/>
        </w:rPr>
      </w:pPr>
      <w:r w:rsidRPr="00294615">
        <w:rPr>
          <w:rFonts w:eastAsia="Aptos" w:cs="Arial"/>
          <w:noProof/>
        </w:rPr>
        <w:t>5.1 Overview of findings</w:t>
      </w:r>
      <w:r>
        <w:rPr>
          <w:noProof/>
        </w:rPr>
        <w:tab/>
      </w:r>
      <w:r>
        <w:rPr>
          <w:noProof/>
        </w:rPr>
        <w:fldChar w:fldCharType="begin"/>
      </w:r>
      <w:r>
        <w:rPr>
          <w:noProof/>
        </w:rPr>
        <w:instrText xml:space="preserve"> PAGEREF _Toc207753536 \h </w:instrText>
      </w:r>
      <w:r>
        <w:rPr>
          <w:noProof/>
        </w:rPr>
      </w:r>
      <w:r>
        <w:rPr>
          <w:noProof/>
        </w:rPr>
        <w:fldChar w:fldCharType="separate"/>
      </w:r>
      <w:r>
        <w:rPr>
          <w:noProof/>
        </w:rPr>
        <w:t>15</w:t>
      </w:r>
      <w:r>
        <w:rPr>
          <w:noProof/>
        </w:rPr>
        <w:fldChar w:fldCharType="end"/>
      </w:r>
    </w:p>
    <w:p w14:paraId="6EEF8CF0" w14:textId="6C666F60" w:rsidR="00B6011F" w:rsidRDefault="00B6011F">
      <w:pPr>
        <w:pStyle w:val="TOC2"/>
        <w:rPr>
          <w:rFonts w:asciiTheme="minorHAnsi" w:eastAsiaTheme="minorEastAsia" w:hAnsiTheme="minorHAnsi" w:cstheme="minorBidi"/>
          <w:noProof/>
          <w:kern w:val="2"/>
          <w14:ligatures w14:val="standardContextual"/>
        </w:rPr>
      </w:pPr>
      <w:r w:rsidRPr="00294615">
        <w:rPr>
          <w:rFonts w:eastAsia="Aptos" w:cs="Arial"/>
          <w:noProof/>
        </w:rPr>
        <w:t>5.2 Which controls delivered the most value</w:t>
      </w:r>
      <w:r>
        <w:rPr>
          <w:noProof/>
        </w:rPr>
        <w:tab/>
      </w:r>
      <w:r>
        <w:rPr>
          <w:noProof/>
        </w:rPr>
        <w:fldChar w:fldCharType="begin"/>
      </w:r>
      <w:r>
        <w:rPr>
          <w:noProof/>
        </w:rPr>
        <w:instrText xml:space="preserve"> PAGEREF _Toc207753537 \h </w:instrText>
      </w:r>
      <w:r>
        <w:rPr>
          <w:noProof/>
        </w:rPr>
      </w:r>
      <w:r>
        <w:rPr>
          <w:noProof/>
        </w:rPr>
        <w:fldChar w:fldCharType="separate"/>
      </w:r>
      <w:r>
        <w:rPr>
          <w:noProof/>
        </w:rPr>
        <w:t>15</w:t>
      </w:r>
      <w:r>
        <w:rPr>
          <w:noProof/>
        </w:rPr>
        <w:fldChar w:fldCharType="end"/>
      </w:r>
    </w:p>
    <w:p w14:paraId="76FEB5A4" w14:textId="0D5DA555" w:rsidR="00B6011F" w:rsidRDefault="00B6011F">
      <w:pPr>
        <w:pStyle w:val="TOC2"/>
        <w:rPr>
          <w:rFonts w:asciiTheme="minorHAnsi" w:eastAsiaTheme="minorEastAsia" w:hAnsiTheme="minorHAnsi" w:cstheme="minorBidi"/>
          <w:noProof/>
          <w:kern w:val="2"/>
          <w14:ligatures w14:val="standardContextual"/>
        </w:rPr>
      </w:pPr>
      <w:r w:rsidRPr="00294615">
        <w:rPr>
          <w:rFonts w:eastAsia="Aptos" w:cs="Arial"/>
          <w:noProof/>
        </w:rPr>
        <w:t>5.3 Segmentation in practice: benefits and edge cases</w:t>
      </w:r>
      <w:r>
        <w:rPr>
          <w:noProof/>
        </w:rPr>
        <w:tab/>
      </w:r>
      <w:r>
        <w:rPr>
          <w:noProof/>
        </w:rPr>
        <w:fldChar w:fldCharType="begin"/>
      </w:r>
      <w:r>
        <w:rPr>
          <w:noProof/>
        </w:rPr>
        <w:instrText xml:space="preserve"> PAGEREF _Toc207753538 \h </w:instrText>
      </w:r>
      <w:r>
        <w:rPr>
          <w:noProof/>
        </w:rPr>
      </w:r>
      <w:r>
        <w:rPr>
          <w:noProof/>
        </w:rPr>
        <w:fldChar w:fldCharType="separate"/>
      </w:r>
      <w:r>
        <w:rPr>
          <w:noProof/>
        </w:rPr>
        <w:t>16</w:t>
      </w:r>
      <w:r>
        <w:rPr>
          <w:noProof/>
        </w:rPr>
        <w:fldChar w:fldCharType="end"/>
      </w:r>
    </w:p>
    <w:p w14:paraId="248B487F" w14:textId="77F63EB7" w:rsidR="00B6011F" w:rsidRDefault="00B6011F">
      <w:pPr>
        <w:pStyle w:val="TOC2"/>
        <w:rPr>
          <w:rFonts w:asciiTheme="minorHAnsi" w:eastAsiaTheme="minorEastAsia" w:hAnsiTheme="minorHAnsi" w:cstheme="minorBidi"/>
          <w:noProof/>
          <w:kern w:val="2"/>
          <w14:ligatures w14:val="standardContextual"/>
        </w:rPr>
      </w:pPr>
      <w:r w:rsidRPr="00294615">
        <w:rPr>
          <w:rFonts w:eastAsia="Aptos" w:cs="Arial"/>
          <w:noProof/>
        </w:rPr>
        <w:t>5.4 Usability, cost and adoptability</w:t>
      </w:r>
      <w:r>
        <w:rPr>
          <w:noProof/>
        </w:rPr>
        <w:tab/>
      </w:r>
      <w:r>
        <w:rPr>
          <w:noProof/>
        </w:rPr>
        <w:fldChar w:fldCharType="begin"/>
      </w:r>
      <w:r>
        <w:rPr>
          <w:noProof/>
        </w:rPr>
        <w:instrText xml:space="preserve"> PAGEREF _Toc207753539 \h </w:instrText>
      </w:r>
      <w:r>
        <w:rPr>
          <w:noProof/>
        </w:rPr>
      </w:r>
      <w:r>
        <w:rPr>
          <w:noProof/>
        </w:rPr>
        <w:fldChar w:fldCharType="separate"/>
      </w:r>
      <w:r>
        <w:rPr>
          <w:noProof/>
        </w:rPr>
        <w:t>16</w:t>
      </w:r>
      <w:r>
        <w:rPr>
          <w:noProof/>
        </w:rPr>
        <w:fldChar w:fldCharType="end"/>
      </w:r>
    </w:p>
    <w:p w14:paraId="0E68E39E" w14:textId="381D482F" w:rsidR="00B6011F" w:rsidRDefault="00B6011F">
      <w:pPr>
        <w:pStyle w:val="TOC2"/>
        <w:rPr>
          <w:rFonts w:asciiTheme="minorHAnsi" w:eastAsiaTheme="minorEastAsia" w:hAnsiTheme="minorHAnsi" w:cstheme="minorBidi"/>
          <w:noProof/>
          <w:kern w:val="2"/>
          <w14:ligatures w14:val="standardContextual"/>
        </w:rPr>
      </w:pPr>
      <w:r w:rsidRPr="00294615">
        <w:rPr>
          <w:rFonts w:eastAsia="Aptos" w:cs="Arial"/>
          <w:noProof/>
        </w:rPr>
        <w:t>5.6 Limitations and threats to validity</w:t>
      </w:r>
      <w:r>
        <w:rPr>
          <w:noProof/>
        </w:rPr>
        <w:tab/>
      </w:r>
      <w:r>
        <w:rPr>
          <w:noProof/>
        </w:rPr>
        <w:fldChar w:fldCharType="begin"/>
      </w:r>
      <w:r>
        <w:rPr>
          <w:noProof/>
        </w:rPr>
        <w:instrText xml:space="preserve"> PAGEREF _Toc207753540 \h </w:instrText>
      </w:r>
      <w:r>
        <w:rPr>
          <w:noProof/>
        </w:rPr>
      </w:r>
      <w:r>
        <w:rPr>
          <w:noProof/>
        </w:rPr>
        <w:fldChar w:fldCharType="separate"/>
      </w:r>
      <w:r>
        <w:rPr>
          <w:noProof/>
        </w:rPr>
        <w:t>16</w:t>
      </w:r>
      <w:r>
        <w:rPr>
          <w:noProof/>
        </w:rPr>
        <w:fldChar w:fldCharType="end"/>
      </w:r>
    </w:p>
    <w:p w14:paraId="68F0CFB4" w14:textId="4B33557F" w:rsidR="00B6011F" w:rsidRDefault="00B6011F">
      <w:pPr>
        <w:pStyle w:val="TOC2"/>
        <w:rPr>
          <w:rFonts w:asciiTheme="minorHAnsi" w:eastAsiaTheme="minorEastAsia" w:hAnsiTheme="minorHAnsi" w:cstheme="minorBidi"/>
          <w:noProof/>
          <w:kern w:val="2"/>
          <w14:ligatures w14:val="standardContextual"/>
        </w:rPr>
      </w:pPr>
      <w:r w:rsidRPr="00294615">
        <w:rPr>
          <w:rFonts w:eastAsia="Aptos" w:cs="Arial"/>
          <w:noProof/>
        </w:rPr>
        <w:t>5.7 Implications and recommendations</w:t>
      </w:r>
      <w:r>
        <w:rPr>
          <w:noProof/>
        </w:rPr>
        <w:tab/>
      </w:r>
      <w:r>
        <w:rPr>
          <w:noProof/>
        </w:rPr>
        <w:fldChar w:fldCharType="begin"/>
      </w:r>
      <w:r>
        <w:rPr>
          <w:noProof/>
        </w:rPr>
        <w:instrText xml:space="preserve"> PAGEREF _Toc207753541 \h </w:instrText>
      </w:r>
      <w:r>
        <w:rPr>
          <w:noProof/>
        </w:rPr>
      </w:r>
      <w:r>
        <w:rPr>
          <w:noProof/>
        </w:rPr>
        <w:fldChar w:fldCharType="separate"/>
      </w:r>
      <w:r>
        <w:rPr>
          <w:noProof/>
        </w:rPr>
        <w:t>16</w:t>
      </w:r>
      <w:r>
        <w:rPr>
          <w:noProof/>
        </w:rPr>
        <w:fldChar w:fldCharType="end"/>
      </w:r>
    </w:p>
    <w:p w14:paraId="795D2C24" w14:textId="0F4F8A92" w:rsidR="00B6011F" w:rsidRDefault="00B6011F">
      <w:pPr>
        <w:pStyle w:val="TOC2"/>
        <w:rPr>
          <w:rFonts w:asciiTheme="minorHAnsi" w:eastAsiaTheme="minorEastAsia" w:hAnsiTheme="minorHAnsi" w:cstheme="minorBidi"/>
          <w:noProof/>
          <w:kern w:val="2"/>
          <w14:ligatures w14:val="standardContextual"/>
        </w:rPr>
      </w:pPr>
      <w:r w:rsidRPr="00294615">
        <w:rPr>
          <w:rFonts w:eastAsia="Aptos" w:cs="Arial"/>
          <w:noProof/>
        </w:rPr>
        <w:t>5.8 Summary</w:t>
      </w:r>
      <w:r>
        <w:rPr>
          <w:noProof/>
        </w:rPr>
        <w:tab/>
      </w:r>
      <w:r>
        <w:rPr>
          <w:noProof/>
        </w:rPr>
        <w:fldChar w:fldCharType="begin"/>
      </w:r>
      <w:r>
        <w:rPr>
          <w:noProof/>
        </w:rPr>
        <w:instrText xml:space="preserve"> PAGEREF _Toc207753542 \h </w:instrText>
      </w:r>
      <w:r>
        <w:rPr>
          <w:noProof/>
        </w:rPr>
      </w:r>
      <w:r>
        <w:rPr>
          <w:noProof/>
        </w:rPr>
        <w:fldChar w:fldCharType="separate"/>
      </w:r>
      <w:r>
        <w:rPr>
          <w:noProof/>
        </w:rPr>
        <w:t>17</w:t>
      </w:r>
      <w:r>
        <w:rPr>
          <w:noProof/>
        </w:rPr>
        <w:fldChar w:fldCharType="end"/>
      </w:r>
    </w:p>
    <w:p w14:paraId="067355AC" w14:textId="4DA74FFF" w:rsidR="00B6011F" w:rsidRDefault="00B6011F">
      <w:pPr>
        <w:pStyle w:val="TOC1"/>
        <w:rPr>
          <w:rFonts w:asciiTheme="minorHAnsi" w:eastAsiaTheme="minorEastAsia" w:hAnsiTheme="minorHAnsi" w:cstheme="minorBidi"/>
          <w:b w:val="0"/>
          <w:bCs w:val="0"/>
          <w:caps w:val="0"/>
          <w:kern w:val="2"/>
          <w14:ligatures w14:val="standardContextual"/>
        </w:rPr>
      </w:pPr>
      <w:r w:rsidRPr="00294615">
        <w:t>Chapter 6 - CONCLUSIONS AND RECOMMENDATIONS</w:t>
      </w:r>
      <w:r>
        <w:tab/>
      </w:r>
      <w:r>
        <w:fldChar w:fldCharType="begin"/>
      </w:r>
      <w:r>
        <w:instrText xml:space="preserve"> PAGEREF _Toc207753543 \h </w:instrText>
      </w:r>
      <w:r>
        <w:fldChar w:fldCharType="separate"/>
      </w:r>
      <w:r>
        <w:t>17</w:t>
      </w:r>
      <w:r>
        <w:fldChar w:fldCharType="end"/>
      </w:r>
    </w:p>
    <w:p w14:paraId="11AA4CE0" w14:textId="7DBC4802"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rPr>
        <w:t>6.1 Prioritised control set</w:t>
      </w:r>
      <w:r>
        <w:rPr>
          <w:noProof/>
        </w:rPr>
        <w:tab/>
      </w:r>
      <w:r>
        <w:rPr>
          <w:noProof/>
        </w:rPr>
        <w:fldChar w:fldCharType="begin"/>
      </w:r>
      <w:r>
        <w:rPr>
          <w:noProof/>
        </w:rPr>
        <w:instrText xml:space="preserve"> PAGEREF _Toc207753544 \h </w:instrText>
      </w:r>
      <w:r>
        <w:rPr>
          <w:noProof/>
        </w:rPr>
      </w:r>
      <w:r>
        <w:rPr>
          <w:noProof/>
        </w:rPr>
        <w:fldChar w:fldCharType="separate"/>
      </w:r>
      <w:r>
        <w:rPr>
          <w:noProof/>
        </w:rPr>
        <w:t>17</w:t>
      </w:r>
      <w:r>
        <w:rPr>
          <w:noProof/>
        </w:rPr>
        <w:fldChar w:fldCharType="end"/>
      </w:r>
    </w:p>
    <w:p w14:paraId="4D53F95A" w14:textId="5AEA98F7" w:rsidR="00B6011F" w:rsidRDefault="00B6011F">
      <w:pPr>
        <w:pStyle w:val="TOC1"/>
        <w:rPr>
          <w:rFonts w:asciiTheme="minorHAnsi" w:eastAsiaTheme="minorEastAsia" w:hAnsiTheme="minorHAnsi" w:cstheme="minorBidi"/>
          <w:b w:val="0"/>
          <w:bCs w:val="0"/>
          <w:caps w:val="0"/>
          <w:kern w:val="2"/>
          <w14:ligatures w14:val="standardContextual"/>
        </w:rPr>
      </w:pPr>
      <w:r w:rsidRPr="00294615">
        <w:t>Chapter 7 – Reflections</w:t>
      </w:r>
      <w:r>
        <w:tab/>
      </w:r>
      <w:r>
        <w:fldChar w:fldCharType="begin"/>
      </w:r>
      <w:r>
        <w:instrText xml:space="preserve"> PAGEREF _Toc207753545 \h </w:instrText>
      </w:r>
      <w:r>
        <w:fldChar w:fldCharType="separate"/>
      </w:r>
      <w:r>
        <w:t>18</w:t>
      </w:r>
      <w:r>
        <w:fldChar w:fldCharType="end"/>
      </w:r>
    </w:p>
    <w:p w14:paraId="2991D294" w14:textId="605A697E" w:rsidR="00B6011F" w:rsidRDefault="00B6011F">
      <w:pPr>
        <w:pStyle w:val="TOC1"/>
        <w:rPr>
          <w:rFonts w:asciiTheme="minorHAnsi" w:eastAsiaTheme="minorEastAsia" w:hAnsiTheme="minorHAnsi" w:cstheme="minorBidi"/>
          <w:b w:val="0"/>
          <w:bCs w:val="0"/>
          <w:caps w:val="0"/>
          <w:kern w:val="2"/>
          <w14:ligatures w14:val="standardContextual"/>
        </w:rPr>
      </w:pPr>
      <w:r w:rsidRPr="00294615">
        <w:t>References</w:t>
      </w:r>
      <w:r>
        <w:tab/>
      </w:r>
      <w:r>
        <w:fldChar w:fldCharType="begin"/>
      </w:r>
      <w:r>
        <w:instrText xml:space="preserve"> PAGEREF _Toc207753546 \h </w:instrText>
      </w:r>
      <w:r>
        <w:fldChar w:fldCharType="separate"/>
      </w:r>
      <w:r>
        <w:t>18</w:t>
      </w:r>
      <w:r>
        <w:fldChar w:fldCharType="end"/>
      </w:r>
    </w:p>
    <w:p w14:paraId="5A484C49" w14:textId="6BD45757" w:rsidR="00B6011F" w:rsidRDefault="00B6011F">
      <w:pPr>
        <w:pStyle w:val="TOC1"/>
        <w:rPr>
          <w:rFonts w:asciiTheme="minorHAnsi" w:eastAsiaTheme="minorEastAsia" w:hAnsiTheme="minorHAnsi" w:cstheme="minorBidi"/>
          <w:b w:val="0"/>
          <w:bCs w:val="0"/>
          <w:caps w:val="0"/>
          <w:kern w:val="2"/>
          <w14:ligatures w14:val="standardContextual"/>
        </w:rPr>
      </w:pPr>
      <w:r w:rsidRPr="00294615">
        <w:t>APPENDICIES</w:t>
      </w:r>
      <w:r>
        <w:tab/>
      </w:r>
      <w:r>
        <w:fldChar w:fldCharType="begin"/>
      </w:r>
      <w:r>
        <w:instrText xml:space="preserve"> PAGEREF _Toc207753547 \h </w:instrText>
      </w:r>
      <w:r>
        <w:fldChar w:fldCharType="separate"/>
      </w:r>
      <w:r>
        <w:t>21</w:t>
      </w:r>
      <w:r>
        <w:fldChar w:fldCharType="end"/>
      </w:r>
    </w:p>
    <w:p w14:paraId="22A3622A" w14:textId="23BD1B0F" w:rsidR="00B6011F" w:rsidRDefault="00B6011F">
      <w:pPr>
        <w:pStyle w:val="TOC2"/>
        <w:rPr>
          <w:rFonts w:asciiTheme="minorHAnsi" w:eastAsiaTheme="minorEastAsia" w:hAnsiTheme="minorHAnsi" w:cstheme="minorBidi"/>
          <w:noProof/>
          <w:kern w:val="2"/>
          <w14:ligatures w14:val="standardContextual"/>
        </w:rPr>
      </w:pPr>
      <w:r w:rsidRPr="00294615">
        <w:rPr>
          <w:rFonts w:cs="Arial"/>
          <w:noProof/>
          <w:lang w:val="x-none"/>
        </w:rPr>
        <w:t xml:space="preserve">Appendix 1 - </w:t>
      </w:r>
      <w:r w:rsidRPr="00294615">
        <w:rPr>
          <w:rFonts w:cs="Arial"/>
          <w:noProof/>
        </w:rPr>
        <w:t>Project Management &amp; Timeline</w:t>
      </w:r>
      <w:r>
        <w:rPr>
          <w:noProof/>
        </w:rPr>
        <w:tab/>
      </w:r>
      <w:r>
        <w:rPr>
          <w:noProof/>
        </w:rPr>
        <w:fldChar w:fldCharType="begin"/>
      </w:r>
      <w:r>
        <w:rPr>
          <w:noProof/>
        </w:rPr>
        <w:instrText xml:space="preserve"> PAGEREF _Toc207753548 \h </w:instrText>
      </w:r>
      <w:r>
        <w:rPr>
          <w:noProof/>
        </w:rPr>
      </w:r>
      <w:r>
        <w:rPr>
          <w:noProof/>
        </w:rPr>
        <w:fldChar w:fldCharType="separate"/>
      </w:r>
      <w:r>
        <w:rPr>
          <w:noProof/>
        </w:rPr>
        <w:t>21</w:t>
      </w:r>
      <w:r>
        <w:rPr>
          <w:noProof/>
        </w:rPr>
        <w:fldChar w:fldCharType="end"/>
      </w:r>
    </w:p>
    <w:p w14:paraId="70F9B055" w14:textId="79B40A1A" w:rsidR="00B6011F" w:rsidRDefault="00B6011F">
      <w:pPr>
        <w:pStyle w:val="TOC3"/>
        <w:rPr>
          <w:rFonts w:asciiTheme="minorHAnsi" w:eastAsiaTheme="minorEastAsia" w:hAnsiTheme="minorHAnsi" w:cstheme="minorBidi"/>
          <w:iCs w:val="0"/>
          <w:kern w:val="2"/>
          <w14:ligatures w14:val="standardContextual"/>
        </w:rPr>
      </w:pPr>
      <w:r w:rsidRPr="00294615">
        <w:rPr>
          <w:rFonts w:eastAsia="Aptos"/>
          <w:lang w:eastAsia="en-US"/>
        </w:rPr>
        <w:t>Project timeline &amp; milestones</w:t>
      </w:r>
      <w:r>
        <w:tab/>
      </w:r>
      <w:r>
        <w:fldChar w:fldCharType="begin"/>
      </w:r>
      <w:r>
        <w:instrText xml:space="preserve"> PAGEREF _Toc207753549 \h </w:instrText>
      </w:r>
      <w:r>
        <w:fldChar w:fldCharType="separate"/>
      </w:r>
      <w:r>
        <w:t>21</w:t>
      </w:r>
      <w:r>
        <w:fldChar w:fldCharType="end"/>
      </w:r>
    </w:p>
    <w:p w14:paraId="35EEAD3B" w14:textId="60D12AD0" w:rsidR="00B6011F" w:rsidRDefault="00B6011F">
      <w:pPr>
        <w:pStyle w:val="TOC3"/>
        <w:rPr>
          <w:rFonts w:asciiTheme="minorHAnsi" w:eastAsiaTheme="minorEastAsia" w:hAnsiTheme="minorHAnsi" w:cstheme="minorBidi"/>
          <w:iCs w:val="0"/>
          <w:kern w:val="2"/>
          <w14:ligatures w14:val="standardContextual"/>
        </w:rPr>
      </w:pPr>
      <w:r w:rsidRPr="00294615">
        <w:rPr>
          <w:rFonts w:eastAsia="Aptos"/>
          <w:lang w:eastAsia="en-US"/>
        </w:rPr>
        <w:t>RACI matrix</w:t>
      </w:r>
      <w:r>
        <w:tab/>
      </w:r>
      <w:r>
        <w:fldChar w:fldCharType="begin"/>
      </w:r>
      <w:r>
        <w:instrText xml:space="preserve"> PAGEREF _Toc207753550 \h </w:instrText>
      </w:r>
      <w:r>
        <w:fldChar w:fldCharType="separate"/>
      </w:r>
      <w:r>
        <w:t>22</w:t>
      </w:r>
      <w:r>
        <w:fldChar w:fldCharType="end"/>
      </w:r>
    </w:p>
    <w:p w14:paraId="2078901F" w14:textId="4BDA0C25" w:rsidR="00B6011F" w:rsidRDefault="00B6011F">
      <w:pPr>
        <w:pStyle w:val="TOC3"/>
        <w:rPr>
          <w:rFonts w:asciiTheme="minorHAnsi" w:eastAsiaTheme="minorEastAsia" w:hAnsiTheme="minorHAnsi" w:cstheme="minorBidi"/>
          <w:iCs w:val="0"/>
          <w:kern w:val="2"/>
          <w14:ligatures w14:val="standardContextual"/>
        </w:rPr>
      </w:pPr>
      <w:r w:rsidRPr="00294615">
        <w:rPr>
          <w:rFonts w:eastAsia="Aptos"/>
          <w:lang w:eastAsia="en-US"/>
        </w:rPr>
        <w:t>Quality management</w:t>
      </w:r>
      <w:r>
        <w:tab/>
      </w:r>
      <w:r>
        <w:fldChar w:fldCharType="begin"/>
      </w:r>
      <w:r>
        <w:instrText xml:space="preserve"> PAGEREF _Toc207753551 \h </w:instrText>
      </w:r>
      <w:r>
        <w:fldChar w:fldCharType="separate"/>
      </w:r>
      <w:r>
        <w:t>22</w:t>
      </w:r>
      <w:r>
        <w:fldChar w:fldCharType="end"/>
      </w:r>
    </w:p>
    <w:p w14:paraId="62EBF3C5" w14:textId="4C3DA704" w:rsidR="00817EFC" w:rsidRPr="00F94A2F" w:rsidRDefault="00C714EB">
      <w:pPr>
        <w:rPr>
          <w:rFonts w:cs="Arial"/>
          <w:b/>
          <w:bCs/>
          <w:caps/>
          <w:noProof/>
        </w:rPr>
      </w:pPr>
      <w:r w:rsidRPr="00F94A2F">
        <w:rPr>
          <w:rFonts w:cs="Arial"/>
          <w:bCs/>
          <w:noProof/>
        </w:rPr>
        <w:fldChar w:fldCharType="end"/>
      </w:r>
    </w:p>
    <w:p w14:paraId="501BA2CF" w14:textId="7C20BCC0" w:rsidR="00116883" w:rsidRPr="00F94A2F" w:rsidRDefault="00116883" w:rsidP="00E93FBB">
      <w:pPr>
        <w:pStyle w:val="Heading1"/>
        <w:rPr>
          <w:rFonts w:cs="Arial"/>
        </w:rPr>
      </w:pPr>
      <w:bookmarkStart w:id="10" w:name="_Toc207753508"/>
      <w:r w:rsidRPr="00F94A2F">
        <w:rPr>
          <w:rFonts w:cs="Arial"/>
        </w:rPr>
        <w:t>List of Figures</w:t>
      </w:r>
      <w:bookmarkEnd w:id="10"/>
    </w:p>
    <w:p w14:paraId="1AD91F54" w14:textId="4F076CAB" w:rsidR="004C5960" w:rsidRDefault="00E93FBB">
      <w:pPr>
        <w:pStyle w:val="TableofFigures"/>
        <w:tabs>
          <w:tab w:val="right" w:leader="dot" w:pos="8758"/>
        </w:tabs>
        <w:rPr>
          <w:rFonts w:asciiTheme="minorHAnsi" w:eastAsiaTheme="minorEastAsia" w:hAnsiTheme="minorHAnsi" w:cstheme="minorBidi"/>
          <w:b w:val="0"/>
          <w:noProof/>
          <w:kern w:val="2"/>
          <w14:ligatures w14:val="standardContextual"/>
        </w:rPr>
      </w:pPr>
      <w:r w:rsidRPr="00F94A2F">
        <w:rPr>
          <w:rFonts w:cs="Arial"/>
          <w:lang w:val="x-none" w:eastAsia="x-none"/>
        </w:rPr>
        <w:fldChar w:fldCharType="begin"/>
      </w:r>
      <w:r w:rsidRPr="00F94A2F">
        <w:rPr>
          <w:rFonts w:cs="Arial"/>
          <w:lang w:val="x-none" w:eastAsia="x-none"/>
        </w:rPr>
        <w:instrText xml:space="preserve"> TOC \h \z \c "Figure" </w:instrText>
      </w:r>
      <w:r w:rsidRPr="00F94A2F">
        <w:rPr>
          <w:rFonts w:cs="Arial"/>
          <w:lang w:val="x-none" w:eastAsia="x-none"/>
        </w:rPr>
        <w:fldChar w:fldCharType="separate"/>
      </w:r>
      <w:hyperlink w:anchor="_Toc207753428" w:history="1">
        <w:r w:rsidR="004C5960" w:rsidRPr="00724696">
          <w:rPr>
            <w:rStyle w:val="Hyperlink"/>
            <w:rFonts w:cs="Arial"/>
            <w:noProof/>
          </w:rPr>
          <w:t>Figure 1 - Home network topology and segmentation.</w:t>
        </w:r>
        <w:r w:rsidR="004C5960">
          <w:rPr>
            <w:noProof/>
            <w:webHidden/>
          </w:rPr>
          <w:tab/>
        </w:r>
        <w:r w:rsidR="004C5960">
          <w:rPr>
            <w:noProof/>
            <w:webHidden/>
          </w:rPr>
          <w:fldChar w:fldCharType="begin"/>
        </w:r>
        <w:r w:rsidR="004C5960">
          <w:rPr>
            <w:noProof/>
            <w:webHidden/>
          </w:rPr>
          <w:instrText xml:space="preserve"> PAGEREF _Toc207753428 \h </w:instrText>
        </w:r>
        <w:r w:rsidR="004C5960">
          <w:rPr>
            <w:noProof/>
            <w:webHidden/>
          </w:rPr>
        </w:r>
        <w:r w:rsidR="004C5960">
          <w:rPr>
            <w:noProof/>
            <w:webHidden/>
          </w:rPr>
          <w:fldChar w:fldCharType="separate"/>
        </w:r>
        <w:r w:rsidR="004C5960">
          <w:rPr>
            <w:noProof/>
            <w:webHidden/>
          </w:rPr>
          <w:t>12</w:t>
        </w:r>
        <w:r w:rsidR="004C5960">
          <w:rPr>
            <w:noProof/>
            <w:webHidden/>
          </w:rPr>
          <w:fldChar w:fldCharType="end"/>
        </w:r>
      </w:hyperlink>
    </w:p>
    <w:p w14:paraId="1693A259" w14:textId="481F0225" w:rsidR="004C5960" w:rsidRDefault="004C5960">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753429" w:history="1">
        <w:r w:rsidRPr="00724696">
          <w:rPr>
            <w:rStyle w:val="Hyperlink"/>
            <w:rFonts w:cs="Arial"/>
            <w:noProof/>
          </w:rPr>
          <w:t>Figure 2 -High/Critical CVEs per target - Baseline vs Hardened.</w:t>
        </w:r>
        <w:r>
          <w:rPr>
            <w:noProof/>
            <w:webHidden/>
          </w:rPr>
          <w:tab/>
        </w:r>
        <w:r>
          <w:rPr>
            <w:noProof/>
            <w:webHidden/>
          </w:rPr>
          <w:fldChar w:fldCharType="begin"/>
        </w:r>
        <w:r>
          <w:rPr>
            <w:noProof/>
            <w:webHidden/>
          </w:rPr>
          <w:instrText xml:space="preserve"> PAGEREF _Toc207753429 \h </w:instrText>
        </w:r>
        <w:r>
          <w:rPr>
            <w:noProof/>
            <w:webHidden/>
          </w:rPr>
        </w:r>
        <w:r>
          <w:rPr>
            <w:noProof/>
            <w:webHidden/>
          </w:rPr>
          <w:fldChar w:fldCharType="separate"/>
        </w:r>
        <w:r>
          <w:rPr>
            <w:noProof/>
            <w:webHidden/>
          </w:rPr>
          <w:t>14</w:t>
        </w:r>
        <w:r>
          <w:rPr>
            <w:noProof/>
            <w:webHidden/>
          </w:rPr>
          <w:fldChar w:fldCharType="end"/>
        </w:r>
      </w:hyperlink>
    </w:p>
    <w:p w14:paraId="0952C7A8" w14:textId="38C7F917" w:rsidR="00CE662D" w:rsidRPr="00F94A2F" w:rsidRDefault="00E93FBB" w:rsidP="00E93FBB">
      <w:pPr>
        <w:pStyle w:val="Heading1"/>
        <w:rPr>
          <w:rFonts w:cs="Arial"/>
        </w:rPr>
      </w:pPr>
      <w:r w:rsidRPr="00F94A2F">
        <w:rPr>
          <w:rFonts w:cs="Arial"/>
        </w:rPr>
        <w:fldChar w:fldCharType="end"/>
      </w:r>
      <w:bookmarkStart w:id="11" w:name="_Toc207753509"/>
      <w:r w:rsidR="0009507B" w:rsidRPr="00F94A2F">
        <w:rPr>
          <w:rFonts w:cs="Arial"/>
        </w:rPr>
        <w:t>List of Tables</w:t>
      </w:r>
      <w:bookmarkEnd w:id="11"/>
    </w:p>
    <w:p w14:paraId="40D2F057" w14:textId="5397C132" w:rsidR="004C5960" w:rsidRDefault="0009507B">
      <w:pPr>
        <w:pStyle w:val="TableofFigures"/>
        <w:tabs>
          <w:tab w:val="right" w:leader="dot" w:pos="8758"/>
        </w:tabs>
        <w:rPr>
          <w:rFonts w:asciiTheme="minorHAnsi" w:eastAsiaTheme="minorEastAsia" w:hAnsiTheme="minorHAnsi" w:cstheme="minorBidi"/>
          <w:b w:val="0"/>
          <w:noProof/>
          <w:kern w:val="2"/>
          <w14:ligatures w14:val="standardContextual"/>
        </w:rPr>
      </w:pPr>
      <w:r w:rsidRPr="00F94A2F">
        <w:rPr>
          <w:rFonts w:cs="Arial"/>
        </w:rPr>
        <w:fldChar w:fldCharType="begin"/>
      </w:r>
      <w:r w:rsidRPr="00F94A2F">
        <w:rPr>
          <w:rFonts w:cs="Arial"/>
        </w:rPr>
        <w:instrText xml:space="preserve"> TOC \h \z \c "Table" </w:instrText>
      </w:r>
      <w:r w:rsidRPr="00F94A2F">
        <w:rPr>
          <w:rFonts w:cs="Arial"/>
        </w:rPr>
        <w:fldChar w:fldCharType="separate"/>
      </w:r>
      <w:hyperlink w:anchor="_Toc207753430" w:history="1">
        <w:r w:rsidR="004C5960" w:rsidRPr="007A6D3D">
          <w:rPr>
            <w:rStyle w:val="Hyperlink"/>
            <w:rFonts w:cs="Arial"/>
            <w:noProof/>
          </w:rPr>
          <w:t>Table 1 - Prioritised Control Set</w:t>
        </w:r>
        <w:r w:rsidR="004C5960">
          <w:rPr>
            <w:noProof/>
            <w:webHidden/>
          </w:rPr>
          <w:tab/>
        </w:r>
        <w:r w:rsidR="004C5960">
          <w:rPr>
            <w:noProof/>
            <w:webHidden/>
          </w:rPr>
          <w:fldChar w:fldCharType="begin"/>
        </w:r>
        <w:r w:rsidR="004C5960">
          <w:rPr>
            <w:noProof/>
            <w:webHidden/>
          </w:rPr>
          <w:instrText xml:space="preserve"> PAGEREF _Toc207753430 \h </w:instrText>
        </w:r>
        <w:r w:rsidR="004C5960">
          <w:rPr>
            <w:noProof/>
            <w:webHidden/>
          </w:rPr>
        </w:r>
        <w:r w:rsidR="004C5960">
          <w:rPr>
            <w:noProof/>
            <w:webHidden/>
          </w:rPr>
          <w:fldChar w:fldCharType="separate"/>
        </w:r>
        <w:r w:rsidR="004C5960">
          <w:rPr>
            <w:noProof/>
            <w:webHidden/>
          </w:rPr>
          <w:t>16</w:t>
        </w:r>
        <w:r w:rsidR="004C5960">
          <w:rPr>
            <w:noProof/>
            <w:webHidden/>
          </w:rPr>
          <w:fldChar w:fldCharType="end"/>
        </w:r>
      </w:hyperlink>
    </w:p>
    <w:p w14:paraId="775B1EFB" w14:textId="24F8ACF0" w:rsidR="004C5960" w:rsidRDefault="004C5960">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753431" w:history="1">
        <w:r w:rsidRPr="007A6D3D">
          <w:rPr>
            <w:rStyle w:val="Hyperlink"/>
            <w:rFonts w:cs="Arial"/>
            <w:noProof/>
          </w:rPr>
          <w:t>Table 2 - Project Milestones</w:t>
        </w:r>
        <w:r>
          <w:rPr>
            <w:noProof/>
            <w:webHidden/>
          </w:rPr>
          <w:tab/>
        </w:r>
        <w:r>
          <w:rPr>
            <w:noProof/>
            <w:webHidden/>
          </w:rPr>
          <w:fldChar w:fldCharType="begin"/>
        </w:r>
        <w:r>
          <w:rPr>
            <w:noProof/>
            <w:webHidden/>
          </w:rPr>
          <w:instrText xml:space="preserve"> PAGEREF _Toc207753431 \h </w:instrText>
        </w:r>
        <w:r>
          <w:rPr>
            <w:noProof/>
            <w:webHidden/>
          </w:rPr>
        </w:r>
        <w:r>
          <w:rPr>
            <w:noProof/>
            <w:webHidden/>
          </w:rPr>
          <w:fldChar w:fldCharType="separate"/>
        </w:r>
        <w:r>
          <w:rPr>
            <w:noProof/>
            <w:webHidden/>
          </w:rPr>
          <w:t>20</w:t>
        </w:r>
        <w:r>
          <w:rPr>
            <w:noProof/>
            <w:webHidden/>
          </w:rPr>
          <w:fldChar w:fldCharType="end"/>
        </w:r>
      </w:hyperlink>
    </w:p>
    <w:p w14:paraId="7DC07A2B" w14:textId="295C01A3" w:rsidR="004C5960" w:rsidRDefault="004C5960">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753432" w:history="1">
        <w:r w:rsidRPr="007A6D3D">
          <w:rPr>
            <w:rStyle w:val="Hyperlink"/>
            <w:rFonts w:cs="Arial"/>
            <w:noProof/>
          </w:rPr>
          <w:t>Table 3 - RACI Matrix</w:t>
        </w:r>
        <w:r>
          <w:rPr>
            <w:noProof/>
            <w:webHidden/>
          </w:rPr>
          <w:tab/>
        </w:r>
        <w:r>
          <w:rPr>
            <w:noProof/>
            <w:webHidden/>
          </w:rPr>
          <w:fldChar w:fldCharType="begin"/>
        </w:r>
        <w:r>
          <w:rPr>
            <w:noProof/>
            <w:webHidden/>
          </w:rPr>
          <w:instrText xml:space="preserve"> PAGEREF _Toc207753432 \h </w:instrText>
        </w:r>
        <w:r>
          <w:rPr>
            <w:noProof/>
            <w:webHidden/>
          </w:rPr>
        </w:r>
        <w:r>
          <w:rPr>
            <w:noProof/>
            <w:webHidden/>
          </w:rPr>
          <w:fldChar w:fldCharType="separate"/>
        </w:r>
        <w:r>
          <w:rPr>
            <w:noProof/>
            <w:webHidden/>
          </w:rPr>
          <w:t>21</w:t>
        </w:r>
        <w:r>
          <w:rPr>
            <w:noProof/>
            <w:webHidden/>
          </w:rPr>
          <w:fldChar w:fldCharType="end"/>
        </w:r>
      </w:hyperlink>
    </w:p>
    <w:p w14:paraId="3FE9F23F" w14:textId="5C1BAE8B" w:rsidR="0009507B" w:rsidRPr="00F94A2F" w:rsidRDefault="0009507B" w:rsidP="0009507B">
      <w:pPr>
        <w:spacing w:after="160" w:line="259" w:lineRule="auto"/>
        <w:ind w:left="360"/>
        <w:jc w:val="left"/>
        <w:rPr>
          <w:rFonts w:cs="Arial"/>
        </w:rPr>
        <w:sectPr w:rsidR="0009507B" w:rsidRPr="00F94A2F" w:rsidSect="004F2252">
          <w:footerReference w:type="default" r:id="rId13"/>
          <w:headerReference w:type="first" r:id="rId14"/>
          <w:footerReference w:type="first" r:id="rId15"/>
          <w:pgSz w:w="11909" w:h="16834" w:code="9"/>
          <w:pgMar w:top="1440" w:right="1440" w:bottom="1440" w:left="1701" w:header="709" w:footer="709" w:gutter="0"/>
          <w:pgNumType w:fmt="lowerRoman" w:start="1"/>
          <w:cols w:space="720"/>
          <w:titlePg/>
        </w:sectPr>
      </w:pPr>
      <w:r w:rsidRPr="00F94A2F">
        <w:rPr>
          <w:rFonts w:cs="Arial"/>
        </w:rPr>
        <w:fldChar w:fldCharType="end"/>
      </w:r>
    </w:p>
    <w:p w14:paraId="6581BCA8" w14:textId="77777777" w:rsidR="00151F3F" w:rsidRPr="00F94A2F" w:rsidRDefault="006E0A27" w:rsidP="00151F3F">
      <w:pPr>
        <w:pStyle w:val="Heading1"/>
        <w:rPr>
          <w:rFonts w:cs="Arial"/>
        </w:rPr>
      </w:pPr>
      <w:bookmarkStart w:id="12" w:name="_Toc207753510"/>
      <w:r w:rsidRPr="00F94A2F">
        <w:rPr>
          <w:rFonts w:cs="Arial"/>
        </w:rPr>
        <w:lastRenderedPageBreak/>
        <w:t xml:space="preserve">Chapter </w:t>
      </w:r>
      <w:r w:rsidR="00427FAE" w:rsidRPr="00F94A2F">
        <w:rPr>
          <w:rFonts w:cs="Arial"/>
        </w:rPr>
        <w:t>1</w:t>
      </w:r>
      <w:bookmarkStart w:id="13" w:name="_Toc266447540"/>
      <w:bookmarkStart w:id="14" w:name="_Toc121041584"/>
      <w:bookmarkStart w:id="15" w:name="_Toc202288061"/>
      <w:bookmarkStart w:id="16" w:name="_Toc266447528"/>
      <w:bookmarkEnd w:id="12"/>
    </w:p>
    <w:p w14:paraId="688BA880" w14:textId="6484352C" w:rsidR="00151F3F" w:rsidRPr="00F94A2F" w:rsidRDefault="00151F3F" w:rsidP="00151F3F">
      <w:pPr>
        <w:spacing w:after="160" w:line="259" w:lineRule="auto"/>
        <w:rPr>
          <w:rFonts w:cs="Arial"/>
        </w:rPr>
      </w:pPr>
      <w:r w:rsidRPr="00F94A2F">
        <w:rPr>
          <w:rFonts w:cs="Arial"/>
        </w:rPr>
        <w:t>UK households now operate miniature enterprises: dozens of IP</w:t>
      </w:r>
      <w:r w:rsidRPr="00F94A2F">
        <w:rPr>
          <w:rFonts w:cs="Arial"/>
        </w:rPr>
        <w:noBreakHyphen/>
        <w:t>addressable devices, mixed</w:t>
      </w:r>
      <w:r w:rsidRPr="00F94A2F">
        <w:rPr>
          <w:rFonts w:cs="Arial"/>
        </w:rPr>
        <w:noBreakHyphen/>
        <w:t>trust users and visitors, cloud</w:t>
      </w:r>
      <w:r w:rsidRPr="00F94A2F">
        <w:rPr>
          <w:rFonts w:cs="Arial"/>
        </w:rPr>
        <w:noBreakHyphen/>
        <w:t>centric apps, and always</w:t>
      </w:r>
      <w:r w:rsidRPr="00F94A2F">
        <w:rPr>
          <w:rFonts w:cs="Arial"/>
        </w:rPr>
        <w:noBreakHyphen/>
        <w:t xml:space="preserve">on broadband. Ofcom reports continued growth in device counts and online activity across age groups, with home networks acting as the backbone for work, </w:t>
      </w:r>
      <w:r w:rsidR="005F2D35" w:rsidRPr="00F94A2F">
        <w:rPr>
          <w:rFonts w:cs="Arial"/>
        </w:rPr>
        <w:t>education,</w:t>
      </w:r>
      <w:r w:rsidRPr="00F94A2F">
        <w:rPr>
          <w:rFonts w:cs="Arial"/>
        </w:rPr>
        <w:t xml:space="preserve"> and entertainment [1]. In parallel, ENISA’s threat landscape highlights persistent exploitation of exposed services, weak </w:t>
      </w:r>
      <w:r w:rsidR="005F2D35" w:rsidRPr="00F94A2F">
        <w:rPr>
          <w:rFonts w:cs="Arial"/>
        </w:rPr>
        <w:t>credentials,</w:t>
      </w:r>
      <w:r w:rsidRPr="00F94A2F">
        <w:rPr>
          <w:rFonts w:cs="Arial"/>
        </w:rPr>
        <w:t xml:space="preserve"> and unpatched software—patterns that apply as much to consumer equipment as to SMEs [3].</w:t>
      </w:r>
    </w:p>
    <w:p w14:paraId="50CC19EE" w14:textId="6466DF30" w:rsidR="00151F3F" w:rsidRPr="00F94A2F" w:rsidRDefault="00151F3F" w:rsidP="00151F3F">
      <w:pPr>
        <w:spacing w:after="160" w:line="259" w:lineRule="auto"/>
        <w:rPr>
          <w:rFonts w:cs="Arial"/>
        </w:rPr>
      </w:pPr>
      <w:r w:rsidRPr="00F94A2F">
        <w:rPr>
          <w:rFonts w:cs="Arial"/>
        </w:rPr>
        <w:t>Despite gradual improvements in vendor defaults, the configuration of the home network—SSID design, segmentation, remote</w:t>
      </w:r>
      <w:r w:rsidRPr="00F94A2F">
        <w:rPr>
          <w:rFonts w:cs="Arial"/>
        </w:rPr>
        <w:noBreakHyphen/>
        <w:t>access posture and update discipline—</w:t>
      </w:r>
      <w:r w:rsidR="00CB24B7" w:rsidRPr="00F94A2F">
        <w:rPr>
          <w:rFonts w:cs="Arial"/>
        </w:rPr>
        <w:t>determines</w:t>
      </w:r>
      <w:r w:rsidRPr="00F94A2F">
        <w:rPr>
          <w:rFonts w:cs="Arial"/>
        </w:rPr>
        <w:t xml:space="preserve"> household risk. UK policy has raised the product</w:t>
      </w:r>
      <w:r w:rsidRPr="00F94A2F">
        <w:rPr>
          <w:rFonts w:cs="Arial"/>
        </w:rPr>
        <w:noBreakHyphen/>
        <w:t xml:space="preserve">security floor (e.g., PSTI requirements for unique passwords and disclosed support periods) [5], and ETSI EN 303 645 articulates good practice for consumer IoT security [11]. However, these do not enforce secure network architecture in homes, nor do they remove legacy weaknesses. The central question is therefore practical: </w:t>
      </w:r>
      <w:r w:rsidRPr="00F94A2F">
        <w:rPr>
          <w:rFonts w:cs="Arial"/>
          <w:i/>
          <w:iCs/>
        </w:rPr>
        <w:t>Which simple, low</w:t>
      </w:r>
      <w:r w:rsidRPr="00F94A2F">
        <w:rPr>
          <w:rFonts w:cs="Arial"/>
          <w:i/>
          <w:iCs/>
        </w:rPr>
        <w:noBreakHyphen/>
        <w:t>cost changes yield the biggest security gains for a typical home network in the UK?</w:t>
      </w:r>
    </w:p>
    <w:p w14:paraId="410B9AB9" w14:textId="77777777" w:rsidR="00151F3F" w:rsidRPr="00F94A2F" w:rsidRDefault="00151F3F" w:rsidP="00151F3F">
      <w:pPr>
        <w:pStyle w:val="Heading2"/>
        <w:rPr>
          <w:rFonts w:cs="Arial"/>
        </w:rPr>
      </w:pPr>
      <w:bookmarkStart w:id="17" w:name="_Toc207753511"/>
      <w:r w:rsidRPr="00F94A2F">
        <w:rPr>
          <w:rFonts w:cs="Arial"/>
        </w:rPr>
        <w:t>1.1 Motivation and context</w:t>
      </w:r>
      <w:bookmarkEnd w:id="17"/>
    </w:p>
    <w:p w14:paraId="753B8E2F" w14:textId="77777777" w:rsidR="00151F3F" w:rsidRPr="00F94A2F" w:rsidRDefault="00151F3F" w:rsidP="00151F3F">
      <w:pPr>
        <w:spacing w:after="160" w:line="259" w:lineRule="auto"/>
        <w:rPr>
          <w:rFonts w:cs="Arial"/>
        </w:rPr>
      </w:pPr>
      <w:r w:rsidRPr="00F94A2F">
        <w:rPr>
          <w:rFonts w:cs="Arial"/>
        </w:rPr>
        <w:t>UK homes commonly host laptops, phones, tablets, consoles, smart TVs, speakers, cameras, thermostats and assorted IoT gadgets. Many devices are long</w:t>
      </w:r>
      <w:r w:rsidRPr="00F94A2F">
        <w:rPr>
          <w:rFonts w:cs="Arial"/>
        </w:rPr>
        <w:noBreakHyphen/>
        <w:t>lived and infrequently updated, and some rely on insecure local web interfaces or broadcast discovery protocols. Historic advisories and studies show consumer routers and IoT remain targets for botnets and espionage, especially when remote management is exposed or defaults persist [15]–[19]. With hybrid working entrenched, compromise of a home network can have organisational ramifications as well as privacy harms.</w:t>
      </w:r>
    </w:p>
    <w:p w14:paraId="08CA9F42" w14:textId="77777777" w:rsidR="00151F3F" w:rsidRPr="00F94A2F" w:rsidRDefault="00151F3F" w:rsidP="00151F3F">
      <w:pPr>
        <w:pStyle w:val="Heading2"/>
        <w:rPr>
          <w:rFonts w:cs="Arial"/>
        </w:rPr>
      </w:pPr>
      <w:bookmarkStart w:id="18" w:name="_Toc207753512"/>
      <w:r w:rsidRPr="00F94A2F">
        <w:rPr>
          <w:rFonts w:cs="Arial"/>
        </w:rPr>
        <w:t>1.2 Problem statement and research question</w:t>
      </w:r>
      <w:bookmarkEnd w:id="18"/>
    </w:p>
    <w:p w14:paraId="604C55F4" w14:textId="5E5A3E7A" w:rsidR="00151F3F" w:rsidRPr="00F94A2F" w:rsidRDefault="00151F3F" w:rsidP="00151F3F">
      <w:pPr>
        <w:spacing w:after="160" w:line="259" w:lineRule="auto"/>
        <w:rPr>
          <w:rFonts w:cs="Arial"/>
        </w:rPr>
      </w:pPr>
      <w:r w:rsidRPr="00F94A2F">
        <w:rPr>
          <w:rFonts w:cs="Arial"/>
        </w:rPr>
        <w:t xml:space="preserve">This </w:t>
      </w:r>
      <w:r w:rsidR="004B6DF4" w:rsidRPr="00F94A2F">
        <w:rPr>
          <w:rFonts w:cs="Arial"/>
        </w:rPr>
        <w:t>project</w:t>
      </w:r>
      <w:r w:rsidRPr="00F94A2F">
        <w:rPr>
          <w:rFonts w:cs="Arial"/>
        </w:rPr>
        <w:t xml:space="preserve"> investigates the measurable effect of a compact control set—segmentation, service minimisation, credential hygiene, timely updates and right</w:t>
      </w:r>
      <w:r w:rsidRPr="00F94A2F">
        <w:rPr>
          <w:rFonts w:cs="Arial"/>
        </w:rPr>
        <w:noBreakHyphen/>
        <w:t>sized monitoring—on a representative home network.</w:t>
      </w:r>
      <w:r w:rsidRPr="00F94A2F">
        <w:rPr>
          <w:rFonts w:cs="Arial"/>
        </w:rPr>
        <w:br/>
      </w:r>
      <w:r w:rsidRPr="00F94A2F">
        <w:rPr>
          <w:rFonts w:cs="Arial"/>
          <w:b/>
          <w:bCs/>
        </w:rPr>
        <w:t>RQ:</w:t>
      </w:r>
      <w:r w:rsidRPr="00F94A2F">
        <w:rPr>
          <w:rFonts w:cs="Arial"/>
        </w:rPr>
        <w:t xml:space="preserve"> </w:t>
      </w:r>
      <w:r w:rsidRPr="00F94A2F">
        <w:rPr>
          <w:rFonts w:cs="Arial"/>
          <w:i/>
          <w:iCs/>
        </w:rPr>
        <w:t>What is the impact of these controls on attack surface, vulnerability exposure, compromise resistance and detection visibility?</w:t>
      </w:r>
    </w:p>
    <w:p w14:paraId="6B8A6D92" w14:textId="77777777" w:rsidR="00151F3F" w:rsidRPr="00F94A2F" w:rsidRDefault="00151F3F" w:rsidP="00151F3F">
      <w:pPr>
        <w:pStyle w:val="Heading2"/>
        <w:rPr>
          <w:rFonts w:cs="Arial"/>
        </w:rPr>
      </w:pPr>
      <w:bookmarkStart w:id="19" w:name="_Toc207753513"/>
      <w:r w:rsidRPr="00F94A2F">
        <w:rPr>
          <w:rFonts w:cs="Arial"/>
        </w:rPr>
        <w:t>1.3 Aims and objectives</w:t>
      </w:r>
      <w:bookmarkEnd w:id="19"/>
    </w:p>
    <w:p w14:paraId="389A6483" w14:textId="77777777" w:rsidR="00151F3F" w:rsidRPr="00F94A2F" w:rsidRDefault="00151F3F" w:rsidP="00151F3F">
      <w:pPr>
        <w:spacing w:after="160" w:line="259" w:lineRule="auto"/>
        <w:rPr>
          <w:rFonts w:cs="Arial"/>
        </w:rPr>
      </w:pPr>
      <w:r w:rsidRPr="00F94A2F">
        <w:rPr>
          <w:rFonts w:cs="Arial"/>
          <w:b/>
          <w:bCs/>
        </w:rPr>
        <w:t>Aim:</w:t>
      </w:r>
      <w:r w:rsidRPr="00F94A2F">
        <w:rPr>
          <w:rFonts w:cs="Arial"/>
        </w:rPr>
        <w:t xml:space="preserve"> Provide evidence</w:t>
      </w:r>
      <w:r w:rsidRPr="00F94A2F">
        <w:rPr>
          <w:rFonts w:cs="Arial"/>
        </w:rPr>
        <w:noBreakHyphen/>
        <w:t>backed guidance that a non</w:t>
      </w:r>
      <w:r w:rsidRPr="00F94A2F">
        <w:rPr>
          <w:rFonts w:cs="Arial"/>
        </w:rPr>
        <w:noBreakHyphen/>
        <w:t>expert UK household can adopt.</w:t>
      </w:r>
      <w:r w:rsidRPr="00F94A2F">
        <w:rPr>
          <w:rFonts w:cs="Arial"/>
        </w:rPr>
        <w:br/>
      </w:r>
      <w:r w:rsidRPr="00F94A2F">
        <w:rPr>
          <w:rFonts w:cs="Arial"/>
          <w:b/>
          <w:bCs/>
        </w:rPr>
        <w:t>Objectives:</w:t>
      </w:r>
    </w:p>
    <w:p w14:paraId="160ED3C7" w14:textId="77777777" w:rsidR="00151F3F" w:rsidRPr="00F94A2F" w:rsidRDefault="00151F3F" w:rsidP="00151F3F">
      <w:pPr>
        <w:numPr>
          <w:ilvl w:val="0"/>
          <w:numId w:val="42"/>
        </w:numPr>
        <w:spacing w:after="160" w:line="259" w:lineRule="auto"/>
        <w:jc w:val="left"/>
        <w:rPr>
          <w:rFonts w:cs="Arial"/>
        </w:rPr>
      </w:pPr>
      <w:r w:rsidRPr="00F94A2F">
        <w:rPr>
          <w:rFonts w:cs="Arial"/>
        </w:rPr>
        <w:t>Build two configurations: a convenience</w:t>
      </w:r>
      <w:r w:rsidRPr="00F94A2F">
        <w:rPr>
          <w:rFonts w:cs="Arial"/>
        </w:rPr>
        <w:noBreakHyphen/>
        <w:t xml:space="preserve">biased </w:t>
      </w:r>
      <w:r w:rsidRPr="00F94A2F">
        <w:rPr>
          <w:rFonts w:cs="Arial"/>
          <w:b/>
          <w:bCs/>
        </w:rPr>
        <w:t>Baseline</w:t>
      </w:r>
      <w:r w:rsidRPr="00F94A2F">
        <w:rPr>
          <w:rFonts w:cs="Arial"/>
        </w:rPr>
        <w:t xml:space="preserve"> and a </w:t>
      </w:r>
      <w:r w:rsidRPr="00F94A2F">
        <w:rPr>
          <w:rFonts w:cs="Arial"/>
          <w:b/>
          <w:bCs/>
        </w:rPr>
        <w:t>Hardened</w:t>
      </w:r>
      <w:r w:rsidRPr="00F94A2F">
        <w:rPr>
          <w:rFonts w:cs="Arial"/>
        </w:rPr>
        <w:t xml:space="preserve"> variant implementing the target controls.</w:t>
      </w:r>
    </w:p>
    <w:p w14:paraId="51DF3922" w14:textId="77777777" w:rsidR="00151F3F" w:rsidRPr="00F94A2F" w:rsidRDefault="00151F3F" w:rsidP="00151F3F">
      <w:pPr>
        <w:numPr>
          <w:ilvl w:val="0"/>
          <w:numId w:val="42"/>
        </w:numPr>
        <w:spacing w:after="160" w:line="259" w:lineRule="auto"/>
        <w:jc w:val="left"/>
        <w:rPr>
          <w:rFonts w:cs="Arial"/>
        </w:rPr>
      </w:pPr>
      <w:r w:rsidRPr="00F94A2F">
        <w:rPr>
          <w:rFonts w:cs="Arial"/>
        </w:rPr>
        <w:lastRenderedPageBreak/>
        <w:t>Design repeatable tests grounded in NIST SP 800</w:t>
      </w:r>
      <w:r w:rsidRPr="00F94A2F">
        <w:rPr>
          <w:rFonts w:cs="Arial"/>
        </w:rPr>
        <w:noBreakHyphen/>
        <w:t>115 and mapped to CIS Controls v8.1 and MITRE ATT&amp;CK [7]–[9].</w:t>
      </w:r>
    </w:p>
    <w:p w14:paraId="7B9F9DE5" w14:textId="77777777" w:rsidR="00151F3F" w:rsidRPr="00F94A2F" w:rsidRDefault="00151F3F" w:rsidP="00151F3F">
      <w:pPr>
        <w:numPr>
          <w:ilvl w:val="0"/>
          <w:numId w:val="42"/>
        </w:numPr>
        <w:spacing w:after="160" w:line="259" w:lineRule="auto"/>
        <w:jc w:val="left"/>
        <w:rPr>
          <w:rFonts w:cs="Arial"/>
        </w:rPr>
      </w:pPr>
      <w:r w:rsidRPr="00F94A2F">
        <w:rPr>
          <w:rFonts w:cs="Arial"/>
        </w:rPr>
        <w:t>Execute scripted assessments (external exposure, internal discovery, weak/default credential abuse, lateral movement, vulnerability scanning, exploitation attempts and detection).</w:t>
      </w:r>
    </w:p>
    <w:p w14:paraId="35796483" w14:textId="77777777" w:rsidR="00151F3F" w:rsidRPr="00F94A2F" w:rsidRDefault="00151F3F" w:rsidP="00151F3F">
      <w:pPr>
        <w:numPr>
          <w:ilvl w:val="0"/>
          <w:numId w:val="42"/>
        </w:numPr>
        <w:spacing w:after="160" w:line="259" w:lineRule="auto"/>
        <w:jc w:val="left"/>
        <w:rPr>
          <w:rFonts w:cs="Arial"/>
        </w:rPr>
      </w:pPr>
      <w:r w:rsidRPr="00F94A2F">
        <w:rPr>
          <w:rFonts w:cs="Arial"/>
        </w:rPr>
        <w:t>Analyse deltas across the two builds and derive a prioritised home playbook.</w:t>
      </w:r>
    </w:p>
    <w:p w14:paraId="0D11B50F" w14:textId="5F9C9833" w:rsidR="00151F3F" w:rsidRPr="00F94A2F" w:rsidRDefault="009D1708" w:rsidP="00151F3F">
      <w:pPr>
        <w:pStyle w:val="Heading2"/>
        <w:rPr>
          <w:rFonts w:cs="Arial"/>
        </w:rPr>
      </w:pPr>
      <w:bookmarkStart w:id="20" w:name="_Toc207753514"/>
      <w:r w:rsidRPr="00F94A2F">
        <w:rPr>
          <w:rFonts w:cs="Arial"/>
        </w:rPr>
        <w:t xml:space="preserve">1.4 </w:t>
      </w:r>
      <w:r w:rsidR="00151F3F" w:rsidRPr="00F94A2F">
        <w:rPr>
          <w:rFonts w:cs="Arial"/>
        </w:rPr>
        <w:t>Scope, ethics and legal boundaries</w:t>
      </w:r>
      <w:bookmarkEnd w:id="20"/>
    </w:p>
    <w:p w14:paraId="7B5BAE27" w14:textId="77777777" w:rsidR="00151F3F" w:rsidRPr="00F94A2F" w:rsidRDefault="00151F3F" w:rsidP="00151F3F">
      <w:pPr>
        <w:spacing w:after="160" w:line="259" w:lineRule="auto"/>
        <w:rPr>
          <w:rFonts w:cs="Arial"/>
        </w:rPr>
      </w:pPr>
      <w:r w:rsidRPr="00F94A2F">
        <w:rPr>
          <w:rFonts w:cs="Arial"/>
        </w:rPr>
        <w:t xml:space="preserve">All activities were conducted </w:t>
      </w:r>
      <w:r w:rsidRPr="00F94A2F">
        <w:rPr>
          <w:rFonts w:cs="Arial"/>
          <w:b/>
          <w:bCs/>
        </w:rPr>
        <w:t>on equipment and networks under my control</w:t>
      </w:r>
      <w:r w:rsidRPr="00F94A2F">
        <w:rPr>
          <w:rFonts w:cs="Arial"/>
        </w:rPr>
        <w:t>, with no scanning or exploitation of third</w:t>
      </w:r>
      <w:r w:rsidRPr="00F94A2F">
        <w:rPr>
          <w:rFonts w:cs="Arial"/>
        </w:rPr>
        <w:noBreakHyphen/>
        <w:t>party systems. The UK Computer Misuse Act 1990 provides the legal boundary for testing [10]. Tests followed the spirit of NIST SP 800</w:t>
      </w:r>
      <w:r w:rsidRPr="00F94A2F">
        <w:rPr>
          <w:rFonts w:cs="Arial"/>
        </w:rPr>
        <w:noBreakHyphen/>
        <w:t>115 (plan, obtain authorisation, minimise collateral effects, preserve evidence) [7].</w:t>
      </w:r>
    </w:p>
    <w:p w14:paraId="1E03C3D3" w14:textId="27CECA9C" w:rsidR="00151F3F" w:rsidRPr="00F94A2F" w:rsidRDefault="009D1708" w:rsidP="009D1708">
      <w:pPr>
        <w:pStyle w:val="Heading2"/>
        <w:rPr>
          <w:rFonts w:cs="Arial"/>
        </w:rPr>
      </w:pPr>
      <w:bookmarkStart w:id="21" w:name="_Toc207753515"/>
      <w:r w:rsidRPr="00F94A2F">
        <w:rPr>
          <w:rFonts w:cs="Arial"/>
        </w:rPr>
        <w:t>1.</w:t>
      </w:r>
      <w:r w:rsidR="009B1EAC" w:rsidRPr="00F94A2F">
        <w:rPr>
          <w:rFonts w:cs="Arial"/>
        </w:rPr>
        <w:t>5</w:t>
      </w:r>
      <w:r w:rsidRPr="00F94A2F">
        <w:rPr>
          <w:rFonts w:cs="Arial"/>
        </w:rPr>
        <w:t xml:space="preserve"> </w:t>
      </w:r>
      <w:r w:rsidR="00151F3F" w:rsidRPr="00F94A2F">
        <w:rPr>
          <w:rFonts w:cs="Arial"/>
        </w:rPr>
        <w:t>Report structure</w:t>
      </w:r>
      <w:bookmarkEnd w:id="21"/>
    </w:p>
    <w:p w14:paraId="4A4BB79E" w14:textId="25C670B5" w:rsidR="00725FB6" w:rsidRPr="00F94A2F" w:rsidRDefault="00151F3F" w:rsidP="00B6011F">
      <w:pPr>
        <w:spacing w:after="160" w:line="259" w:lineRule="auto"/>
        <w:rPr>
          <w:rFonts w:cs="Arial"/>
        </w:rPr>
      </w:pPr>
      <w:r w:rsidRPr="00F94A2F">
        <w:rPr>
          <w:rFonts w:cs="Arial"/>
        </w:rPr>
        <w:t xml:space="preserve">Section 2 reviews guidance and prior work; Section 3 details the experiment; Section 4 presents results with figures/tables; Section 5 discusses implications and limitations; Section 6 concludes with actionable recommendations. </w:t>
      </w:r>
      <w:r w:rsidRPr="00F94A2F">
        <w:rPr>
          <w:rFonts w:cs="Arial"/>
          <w:b/>
          <w:bCs/>
        </w:rPr>
        <w:t>Figure 1</w:t>
      </w:r>
      <w:r w:rsidRPr="00F94A2F">
        <w:rPr>
          <w:rFonts w:cs="Arial"/>
        </w:rPr>
        <w:t xml:space="preserve"> introduces the topology. This section closes by previewing our design choices and measurement plan across the two configurations.</w:t>
      </w:r>
    </w:p>
    <w:p w14:paraId="3B7B4B86" w14:textId="0DED9FAE" w:rsidR="00B1253D" w:rsidRPr="00F94A2F" w:rsidRDefault="00256963" w:rsidP="00B6011F">
      <w:pPr>
        <w:pStyle w:val="Heading1"/>
        <w:rPr>
          <w:rFonts w:cs="Arial"/>
        </w:rPr>
      </w:pPr>
      <w:bookmarkStart w:id="22" w:name="_Toc207753516"/>
      <w:r w:rsidRPr="00F94A2F">
        <w:rPr>
          <w:rFonts w:cs="Arial"/>
          <w:lang w:val="en-GB"/>
        </w:rPr>
        <w:t xml:space="preserve">Chapter 2 - </w:t>
      </w:r>
      <w:bookmarkEnd w:id="13"/>
      <w:r w:rsidRPr="00F94A2F">
        <w:rPr>
          <w:rFonts w:cs="Arial"/>
          <w:bCs/>
        </w:rPr>
        <w:t xml:space="preserve">RESEARCH &amp; </w:t>
      </w:r>
      <w:r w:rsidRPr="00F94A2F">
        <w:rPr>
          <w:rFonts w:cs="Arial"/>
          <w:bCs/>
          <w:iCs/>
        </w:rPr>
        <w:t>REVIEW OF LITERATURE</w:t>
      </w:r>
      <w:bookmarkEnd w:id="22"/>
    </w:p>
    <w:p w14:paraId="3A0FF5F2" w14:textId="77777777" w:rsidR="00B1253D" w:rsidRPr="00F94A2F" w:rsidRDefault="00B1253D" w:rsidP="00B1253D">
      <w:pPr>
        <w:pStyle w:val="ListParagraph"/>
        <w:numPr>
          <w:ilvl w:val="0"/>
          <w:numId w:val="5"/>
        </w:numPr>
        <w:outlineLvl w:val="1"/>
        <w:rPr>
          <w:rFonts w:cs="Arial"/>
          <w:b/>
          <w:vanish/>
          <w:color w:val="000000"/>
          <w:u w:val="single"/>
        </w:rPr>
      </w:pPr>
      <w:bookmarkStart w:id="23" w:name="_Toc266710277"/>
      <w:bookmarkStart w:id="24" w:name="_Toc266711030"/>
      <w:bookmarkStart w:id="25" w:name="_Toc271283211"/>
      <w:bookmarkStart w:id="26" w:name="_Toc340606375"/>
      <w:bookmarkStart w:id="27" w:name="_Toc340611902"/>
      <w:bookmarkStart w:id="28" w:name="_Toc340612072"/>
      <w:bookmarkStart w:id="29" w:name="_Toc340613999"/>
      <w:bookmarkStart w:id="30" w:name="_Toc341173665"/>
      <w:bookmarkStart w:id="31" w:name="_Toc341173843"/>
      <w:bookmarkStart w:id="32" w:name="_Toc341174523"/>
      <w:bookmarkStart w:id="33" w:name="_Toc345410421"/>
      <w:bookmarkStart w:id="34" w:name="_Toc345410752"/>
      <w:bookmarkStart w:id="35" w:name="_Toc345412857"/>
      <w:bookmarkStart w:id="36" w:name="_Toc371251349"/>
      <w:bookmarkStart w:id="37" w:name="_Toc371251398"/>
      <w:bookmarkStart w:id="38" w:name="_Toc371255378"/>
      <w:bookmarkStart w:id="39" w:name="_Toc371255533"/>
      <w:bookmarkStart w:id="40" w:name="_Toc204886422"/>
      <w:bookmarkStart w:id="41" w:name="_Toc204886528"/>
      <w:bookmarkStart w:id="42" w:name="_Toc204886575"/>
      <w:bookmarkStart w:id="43" w:name="_Toc204886624"/>
      <w:bookmarkStart w:id="44" w:name="_Toc204886675"/>
      <w:bookmarkStart w:id="45" w:name="_Toc204886727"/>
      <w:bookmarkStart w:id="46" w:name="_Toc204886779"/>
      <w:bookmarkStart w:id="47" w:name="_Toc204886838"/>
      <w:bookmarkStart w:id="48" w:name="_Toc204886890"/>
      <w:bookmarkStart w:id="49" w:name="_Toc204887855"/>
      <w:bookmarkStart w:id="50" w:name="_Toc204889659"/>
      <w:bookmarkStart w:id="51" w:name="_Toc204892089"/>
      <w:bookmarkStart w:id="52" w:name="_Toc204892128"/>
      <w:bookmarkStart w:id="53" w:name="_Toc207750169"/>
      <w:bookmarkStart w:id="54" w:name="_Toc207751059"/>
      <w:bookmarkStart w:id="55" w:name="_Toc207751294"/>
      <w:bookmarkStart w:id="56" w:name="_Toc207751483"/>
      <w:bookmarkStart w:id="57" w:name="_Toc202288068"/>
      <w:bookmarkStart w:id="58" w:name="_Toc266447541"/>
      <w:bookmarkStart w:id="59" w:name="_Toc207753393"/>
      <w:bookmarkStart w:id="60" w:name="_Toc207753458"/>
      <w:bookmarkStart w:id="61" w:name="_Toc207753517"/>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9"/>
      <w:bookmarkEnd w:id="60"/>
      <w:bookmarkEnd w:id="61"/>
    </w:p>
    <w:bookmarkEnd w:id="57"/>
    <w:bookmarkEnd w:id="58"/>
    <w:p w14:paraId="42746ECC" w14:textId="5CFFF953" w:rsidR="009C2E17" w:rsidRPr="00F94A2F" w:rsidRDefault="009C2E17" w:rsidP="009C2E17">
      <w:pPr>
        <w:spacing w:after="160" w:line="259" w:lineRule="auto"/>
        <w:rPr>
          <w:rFonts w:cs="Arial"/>
        </w:rPr>
      </w:pPr>
      <w:r w:rsidRPr="00F94A2F">
        <w:rPr>
          <w:rFonts w:cs="Arial"/>
        </w:rPr>
        <w:t xml:space="preserve">This review situates the project within the United Kingdom’s current policy and guidance environment, synthesises security intelligence on consumer networking, and distils practical design patterns from standards, industry studies and academic work. Because UK households now underpin remote work, education and critical daily services, home networks increasingly resemble small enterprises in their exposure and consequence of failure [1], [3]. The review therefore spans three layers: (i) </w:t>
      </w:r>
      <w:r w:rsidRPr="00F94A2F">
        <w:rPr>
          <w:rFonts w:cs="Arial"/>
          <w:b/>
          <w:bCs/>
        </w:rPr>
        <w:t>policy and standards</w:t>
      </w:r>
      <w:r w:rsidRPr="00F94A2F">
        <w:rPr>
          <w:rFonts w:cs="Arial"/>
        </w:rPr>
        <w:t xml:space="preserve"> that set expectations for consumer devices and networks; (ii) </w:t>
      </w:r>
      <w:r w:rsidRPr="00F94A2F">
        <w:rPr>
          <w:rFonts w:cs="Arial"/>
          <w:b/>
          <w:bCs/>
        </w:rPr>
        <w:t>threats and empirical evidence</w:t>
      </w:r>
      <w:r w:rsidRPr="00F94A2F">
        <w:rPr>
          <w:rFonts w:cs="Arial"/>
        </w:rPr>
        <w:t xml:space="preserve"> of where home networks fail; and (iii) </w:t>
      </w:r>
      <w:r w:rsidRPr="00F94A2F">
        <w:rPr>
          <w:rFonts w:cs="Arial"/>
          <w:b/>
          <w:bCs/>
        </w:rPr>
        <w:t>frameworks and patterns</w:t>
      </w:r>
      <w:r w:rsidRPr="00F94A2F">
        <w:rPr>
          <w:rFonts w:cs="Arial"/>
        </w:rPr>
        <w:t xml:space="preserve"> that guide measurement and improvement in a realistic domestic setting.</w:t>
      </w:r>
    </w:p>
    <w:p w14:paraId="07CB6493" w14:textId="77777777" w:rsidR="009C2E17" w:rsidRPr="00F94A2F" w:rsidRDefault="009C2E17" w:rsidP="009C2E17">
      <w:pPr>
        <w:pStyle w:val="Heading2"/>
        <w:rPr>
          <w:rFonts w:cs="Arial"/>
        </w:rPr>
      </w:pPr>
      <w:bookmarkStart w:id="62" w:name="_Toc207753518"/>
      <w:r w:rsidRPr="00F94A2F">
        <w:rPr>
          <w:rFonts w:cs="Arial"/>
        </w:rPr>
        <w:t>2.1 UK policy, regulation and national guidance</w:t>
      </w:r>
      <w:bookmarkEnd w:id="62"/>
    </w:p>
    <w:p w14:paraId="20DE146D" w14:textId="77777777" w:rsidR="009C2E17" w:rsidRPr="00F94A2F" w:rsidRDefault="009C2E17" w:rsidP="009C2E17">
      <w:pPr>
        <w:spacing w:after="160" w:line="259" w:lineRule="auto"/>
        <w:rPr>
          <w:rFonts w:cs="Arial"/>
        </w:rPr>
      </w:pPr>
      <w:r w:rsidRPr="00F94A2F">
        <w:rPr>
          <w:rFonts w:cs="Arial"/>
        </w:rPr>
        <w:t>The UK has strengthened its consumer</w:t>
      </w:r>
      <w:r w:rsidRPr="00F94A2F">
        <w:rPr>
          <w:rFonts w:cs="Arial"/>
        </w:rPr>
        <w:noBreakHyphen/>
        <w:t xml:space="preserve">device security regime through a mix of law, regulation and advisory material. The </w:t>
      </w:r>
      <w:r w:rsidRPr="00F94A2F">
        <w:rPr>
          <w:rFonts w:cs="Arial"/>
          <w:b/>
          <w:bCs/>
        </w:rPr>
        <w:t>Product Security and Telecommunications Infrastructure (PSTI)</w:t>
      </w:r>
      <w:r w:rsidRPr="00F94A2F">
        <w:rPr>
          <w:rFonts w:cs="Arial"/>
        </w:rPr>
        <w:t xml:space="preserve"> regime creates legally enforceable duties for “consumer connectable products,” including the ban on universal default passwords and the requirement to communicate the minimum support period and vulnerability handling processes [5]. These measures address pervasive weaknesses in home environments by raising the security floor for new devices sold in the UK market. </w:t>
      </w:r>
      <w:r w:rsidRPr="00F94A2F">
        <w:rPr>
          <w:rFonts w:cs="Arial"/>
        </w:rPr>
        <w:lastRenderedPageBreak/>
        <w:t>However, PSTI does not itself dictate the network architecture within which devices operate, nor can it retroactively harden legacy equipment already in homes.</w:t>
      </w:r>
    </w:p>
    <w:p w14:paraId="02C255D8" w14:textId="77777777" w:rsidR="009C2E17" w:rsidRPr="00F94A2F" w:rsidRDefault="009C2E17" w:rsidP="009C2E17">
      <w:pPr>
        <w:spacing w:after="160" w:line="259" w:lineRule="auto"/>
        <w:rPr>
          <w:rFonts w:cs="Arial"/>
        </w:rPr>
      </w:pPr>
      <w:r w:rsidRPr="00F94A2F">
        <w:rPr>
          <w:rFonts w:cs="Arial"/>
        </w:rPr>
        <w:t xml:space="preserve">Complementing regulation, the </w:t>
      </w:r>
      <w:r w:rsidRPr="00F94A2F">
        <w:rPr>
          <w:rFonts w:cs="Arial"/>
          <w:b/>
          <w:bCs/>
        </w:rPr>
        <w:t>National Cyber Security Centre (NCSC)</w:t>
      </w:r>
      <w:r w:rsidRPr="00F94A2F">
        <w:rPr>
          <w:rFonts w:cs="Arial"/>
        </w:rPr>
        <w:t xml:space="preserve"> offers consumer</w:t>
      </w:r>
      <w:r w:rsidRPr="00F94A2F">
        <w:rPr>
          <w:rFonts w:cs="Arial"/>
        </w:rPr>
        <w:noBreakHyphen/>
        <w:t xml:space="preserve">oriented guidance focused on practical behaviours: keep devices and apps up to date, use unique passwords (preferably with a password manager), separate smart/guest devices from sensitive endpoints, and minimise device permissions [6]. Parallel guidance on “network security fundamentals” frames good practice for segmentation, principle of least privilege, and secure administration [4]. In the IoT space, </w:t>
      </w:r>
      <w:r w:rsidRPr="00F94A2F">
        <w:rPr>
          <w:rFonts w:cs="Arial"/>
          <w:b/>
          <w:bCs/>
        </w:rPr>
        <w:t>ETSI EN 303 645</w:t>
      </w:r>
      <w:r w:rsidRPr="00F94A2F">
        <w:rPr>
          <w:rFonts w:cs="Arial"/>
        </w:rPr>
        <w:t xml:space="preserve"> sets a widely referenced baseline, requiring secure update mechanisms, vulnerability disclosure processes, minimal attack surface, and safe credential practices for consumer IoT [11]. Together, PSTI, NCSC and ETSI offer a coherent direction of travel: products should avoid egregious defaults, support secure lifecycle management, and expose fewer services by default.</w:t>
      </w:r>
    </w:p>
    <w:p w14:paraId="7463F471" w14:textId="08E039C7" w:rsidR="009C2E17" w:rsidRPr="00F94A2F" w:rsidRDefault="009C2E17" w:rsidP="009C2E17">
      <w:pPr>
        <w:spacing w:after="160" w:line="259" w:lineRule="auto"/>
        <w:rPr>
          <w:rFonts w:cs="Arial"/>
        </w:rPr>
      </w:pPr>
      <w:r w:rsidRPr="00F94A2F">
        <w:rPr>
          <w:rFonts w:cs="Arial"/>
        </w:rPr>
        <w:t>Parliamentary scrutiny has underscored the stakes. The Culture, Media and Sport Committee’s report on “connected tech” examined harms from insecure consumer devices and called for stronger accountability and more transparent lifecycles [2]. At the same time, the legal boundary for any hands</w:t>
      </w:r>
      <w:r w:rsidRPr="00F94A2F">
        <w:rPr>
          <w:rFonts w:cs="Arial"/>
        </w:rPr>
        <w:noBreakHyphen/>
        <w:t xml:space="preserve">on security work remains the </w:t>
      </w:r>
      <w:r w:rsidRPr="00F94A2F">
        <w:rPr>
          <w:rFonts w:cs="Arial"/>
          <w:b/>
          <w:bCs/>
        </w:rPr>
        <w:t>Computer Misuse Act 1990</w:t>
      </w:r>
      <w:r w:rsidRPr="00F94A2F">
        <w:rPr>
          <w:rFonts w:cs="Arial"/>
        </w:rPr>
        <w:t xml:space="preserve"> (CMA): testing without permission is illegal, and even well</w:t>
      </w:r>
      <w:r w:rsidRPr="00F94A2F">
        <w:rPr>
          <w:rFonts w:cs="Arial"/>
        </w:rPr>
        <w:noBreakHyphen/>
        <w:t>intended scanning may fall foul of the law if it touches systems beyond one’s control [10]. For an academic home</w:t>
      </w:r>
      <w:r w:rsidRPr="00F94A2F">
        <w:rPr>
          <w:rFonts w:cs="Arial"/>
        </w:rPr>
        <w:noBreakHyphen/>
        <w:t xml:space="preserve">lab, </w:t>
      </w:r>
      <w:r w:rsidR="006005B7" w:rsidRPr="00F94A2F">
        <w:rPr>
          <w:rFonts w:cs="Arial"/>
        </w:rPr>
        <w:t>which</w:t>
      </w:r>
      <w:r w:rsidRPr="00F94A2F">
        <w:rPr>
          <w:rFonts w:cs="Arial"/>
        </w:rPr>
        <w:t xml:space="preserve"> implies strict scope control and evidence</w:t>
      </w:r>
      <w:r w:rsidRPr="00F94A2F">
        <w:rPr>
          <w:rFonts w:cs="Arial"/>
        </w:rPr>
        <w:noBreakHyphen/>
        <w:t>centric methods that remain confined to the researcher’s own equipment, aligning with the authorisation ethos of NIST SP 800</w:t>
      </w:r>
      <w:r w:rsidRPr="00F94A2F">
        <w:rPr>
          <w:rFonts w:cs="Arial"/>
        </w:rPr>
        <w:noBreakHyphen/>
        <w:t>115 [7].</w:t>
      </w:r>
    </w:p>
    <w:p w14:paraId="39A57D01" w14:textId="77777777" w:rsidR="009C2E17" w:rsidRPr="00F94A2F" w:rsidRDefault="009C2E17" w:rsidP="009C2E17">
      <w:pPr>
        <w:pStyle w:val="Heading2"/>
        <w:rPr>
          <w:rFonts w:cs="Arial"/>
        </w:rPr>
      </w:pPr>
      <w:bookmarkStart w:id="63" w:name="_Toc207753519"/>
      <w:r w:rsidRPr="00F94A2F">
        <w:rPr>
          <w:rFonts w:cs="Arial"/>
        </w:rPr>
        <w:t>2.2 Threat landscape and attack patterns</w:t>
      </w:r>
      <w:bookmarkEnd w:id="63"/>
    </w:p>
    <w:p w14:paraId="1CB953C6" w14:textId="77777777" w:rsidR="009C2E17" w:rsidRPr="00F94A2F" w:rsidRDefault="009C2E17" w:rsidP="009C2E17">
      <w:pPr>
        <w:spacing w:after="160" w:line="259" w:lineRule="auto"/>
        <w:rPr>
          <w:rFonts w:cs="Arial"/>
        </w:rPr>
      </w:pPr>
      <w:r w:rsidRPr="00F94A2F">
        <w:rPr>
          <w:rFonts w:cs="Arial"/>
        </w:rPr>
        <w:t>European threat reporting continues to foreground opportunistic attacks that prey on weak or reused credentials, exposed management interfaces, and unpatched services [3]. In the home context, these patterns are amplified by long device lifetimes and neglected updates. Historic public</w:t>
      </w:r>
      <w:r w:rsidRPr="00F94A2F">
        <w:rPr>
          <w:rFonts w:cs="Arial"/>
        </w:rPr>
        <w:noBreakHyphen/>
        <w:t>service advisories illustrate the consequences: the FBI warned in 2018 about foreign actors mass</w:t>
      </w:r>
      <w:r w:rsidRPr="00F94A2F">
        <w:rPr>
          <w:rFonts w:cs="Arial"/>
        </w:rPr>
        <w:noBreakHyphen/>
        <w:t>exploiting home and small</w:t>
      </w:r>
      <w:r w:rsidRPr="00F94A2F">
        <w:rPr>
          <w:rFonts w:cs="Arial"/>
        </w:rPr>
        <w:noBreakHyphen/>
        <w:t xml:space="preserve">office routers [18]; CISA’s guidance for households emphasises disabling remote administration, changing default passwords, and timely patching [17]. More recently, the NCSC and partners described exploitation of </w:t>
      </w:r>
      <w:r w:rsidRPr="00F94A2F">
        <w:rPr>
          <w:rFonts w:cs="Arial"/>
          <w:b/>
          <w:bCs/>
        </w:rPr>
        <w:t>poorly maintained routers</w:t>
      </w:r>
      <w:r w:rsidRPr="00F94A2F">
        <w:rPr>
          <w:rFonts w:cs="Arial"/>
        </w:rPr>
        <w:t xml:space="preserve"> by a state</w:t>
      </w:r>
      <w:r w:rsidRPr="00F94A2F">
        <w:rPr>
          <w:rFonts w:cs="Arial"/>
        </w:rPr>
        <w:noBreakHyphen/>
        <w:t>aligned group to stage follow</w:t>
      </w:r>
      <w:r w:rsidRPr="00F94A2F">
        <w:rPr>
          <w:rFonts w:cs="Arial"/>
        </w:rPr>
        <w:noBreakHyphen/>
        <w:t>on operations [19].</w:t>
      </w:r>
    </w:p>
    <w:p w14:paraId="0CCFA68E" w14:textId="7D353CA3" w:rsidR="009C2E17" w:rsidRPr="00F94A2F" w:rsidRDefault="009C2E17" w:rsidP="009C2E17">
      <w:pPr>
        <w:spacing w:after="160" w:line="259" w:lineRule="auto"/>
        <w:rPr>
          <w:rFonts w:cs="Arial"/>
        </w:rPr>
      </w:pPr>
      <w:r w:rsidRPr="00F94A2F">
        <w:rPr>
          <w:rFonts w:cs="Arial"/>
        </w:rPr>
        <w:t xml:space="preserve">Mapping these behaviours onto </w:t>
      </w:r>
      <w:r w:rsidRPr="00F94A2F">
        <w:rPr>
          <w:rFonts w:cs="Arial"/>
          <w:b/>
          <w:bCs/>
        </w:rPr>
        <w:t>MITRE ATT&amp;CK</w:t>
      </w:r>
      <w:r w:rsidRPr="00F94A2F">
        <w:rPr>
          <w:rFonts w:cs="Arial"/>
        </w:rPr>
        <w:t xml:space="preserve"> clarifies the mechanisms observed in homes. Initial access is often through </w:t>
      </w:r>
      <w:r w:rsidRPr="00F94A2F">
        <w:rPr>
          <w:rFonts w:cs="Arial"/>
          <w:i/>
          <w:iCs/>
        </w:rPr>
        <w:t>Default Accounts</w:t>
      </w:r>
      <w:r w:rsidRPr="00F94A2F">
        <w:rPr>
          <w:rFonts w:cs="Arial"/>
        </w:rPr>
        <w:t xml:space="preserve"> (T1078.001) where vendor credentials persist, or via </w:t>
      </w:r>
      <w:r w:rsidRPr="00F94A2F">
        <w:rPr>
          <w:rFonts w:cs="Arial"/>
          <w:i/>
          <w:iCs/>
        </w:rPr>
        <w:t>Brute Force</w:t>
      </w:r>
      <w:r w:rsidRPr="00F94A2F">
        <w:rPr>
          <w:rFonts w:cs="Arial"/>
        </w:rPr>
        <w:t xml:space="preserve"> attacks (T1110) against web or SSH administration portals [22], [23]. Where WAN</w:t>
      </w:r>
      <w:r w:rsidRPr="00F94A2F">
        <w:rPr>
          <w:rFonts w:cs="Arial"/>
        </w:rPr>
        <w:noBreakHyphen/>
        <w:t>side administration or remote access remains enabled—or is inadvertently re</w:t>
      </w:r>
      <w:r w:rsidRPr="00F94A2F">
        <w:rPr>
          <w:rFonts w:cs="Arial"/>
        </w:rPr>
        <w:noBreakHyphen/>
        <w:t xml:space="preserve">enabled by UPnP—adversaries can use </w:t>
      </w:r>
      <w:r w:rsidRPr="00F94A2F">
        <w:rPr>
          <w:rFonts w:cs="Arial"/>
          <w:i/>
          <w:iCs/>
        </w:rPr>
        <w:t>External Remote Services</w:t>
      </w:r>
      <w:r w:rsidRPr="00F94A2F">
        <w:rPr>
          <w:rFonts w:cs="Arial"/>
        </w:rPr>
        <w:t xml:space="preserve"> (T1133) to gain entry [24]. Once on the LAN, </w:t>
      </w:r>
      <w:r w:rsidRPr="00F94A2F">
        <w:rPr>
          <w:rFonts w:cs="Arial"/>
          <w:i/>
          <w:iCs/>
        </w:rPr>
        <w:t>Network Service Discovery</w:t>
      </w:r>
      <w:r w:rsidRPr="00F94A2F">
        <w:rPr>
          <w:rFonts w:cs="Arial"/>
        </w:rPr>
        <w:t xml:space="preserve"> (T1046) enumerates targets, while flat networks and permissive name</w:t>
      </w:r>
      <w:r w:rsidRPr="00F94A2F">
        <w:rPr>
          <w:rFonts w:cs="Arial"/>
        </w:rPr>
        <w:noBreakHyphen/>
        <w:t xml:space="preserve">resolution behaviours enable </w:t>
      </w:r>
      <w:r w:rsidRPr="00F94A2F">
        <w:rPr>
          <w:rFonts w:cs="Arial"/>
          <w:i/>
          <w:iCs/>
        </w:rPr>
        <w:t>Adversary</w:t>
      </w:r>
      <w:r w:rsidRPr="00F94A2F">
        <w:rPr>
          <w:rFonts w:cs="Arial"/>
          <w:i/>
          <w:iCs/>
        </w:rPr>
        <w:noBreakHyphen/>
        <w:t>in</w:t>
      </w:r>
      <w:r w:rsidRPr="00F94A2F">
        <w:rPr>
          <w:rFonts w:cs="Arial"/>
          <w:i/>
          <w:iCs/>
        </w:rPr>
        <w:noBreakHyphen/>
        <w:t>the</w:t>
      </w:r>
      <w:r w:rsidRPr="00F94A2F">
        <w:rPr>
          <w:rFonts w:cs="Arial"/>
          <w:i/>
          <w:iCs/>
        </w:rPr>
        <w:noBreakHyphen/>
        <w:t>Middle</w:t>
      </w:r>
      <w:r w:rsidRPr="00F94A2F">
        <w:rPr>
          <w:rFonts w:cs="Arial"/>
        </w:rPr>
        <w:t xml:space="preserve"> attacks such as LLMNR/NBT</w:t>
      </w:r>
      <w:r w:rsidRPr="00F94A2F">
        <w:rPr>
          <w:rFonts w:cs="Arial"/>
        </w:rPr>
        <w:noBreakHyphen/>
        <w:t>NS poisoning and SMB relays (T1557.001) [25], [26].</w:t>
      </w:r>
    </w:p>
    <w:p w14:paraId="15353DFA" w14:textId="77777777" w:rsidR="009C2E17" w:rsidRPr="00F94A2F" w:rsidRDefault="009C2E17" w:rsidP="009C2E17">
      <w:pPr>
        <w:pStyle w:val="Heading2"/>
        <w:rPr>
          <w:rFonts w:cs="Arial"/>
        </w:rPr>
      </w:pPr>
      <w:bookmarkStart w:id="64" w:name="_Toc207753520"/>
      <w:r w:rsidRPr="00F94A2F">
        <w:rPr>
          <w:rFonts w:cs="Arial"/>
        </w:rPr>
        <w:lastRenderedPageBreak/>
        <w:t>2.3 Empirical evidence on consumer routers and IoT</w:t>
      </w:r>
      <w:bookmarkEnd w:id="64"/>
    </w:p>
    <w:p w14:paraId="36974FA0" w14:textId="406E0179" w:rsidR="009C2E17" w:rsidRPr="00F94A2F" w:rsidRDefault="009C2E17" w:rsidP="009C2E17">
      <w:pPr>
        <w:spacing w:after="160" w:line="259" w:lineRule="auto"/>
        <w:rPr>
          <w:rFonts w:cs="Arial"/>
        </w:rPr>
      </w:pPr>
      <w:r w:rsidRPr="00F94A2F">
        <w:rPr>
          <w:rFonts w:cs="Arial"/>
        </w:rPr>
        <w:t xml:space="preserve">Multiple independent studies document the fragility of consumer networking equipment. </w:t>
      </w:r>
      <w:r w:rsidRPr="00F94A2F">
        <w:rPr>
          <w:rFonts w:cs="Arial"/>
          <w:b/>
          <w:bCs/>
        </w:rPr>
        <w:t>Fraunhofer FKIE</w:t>
      </w:r>
      <w:r w:rsidRPr="00F94A2F">
        <w:rPr>
          <w:rFonts w:cs="Arial"/>
        </w:rPr>
        <w:t xml:space="preserve"> analysed a large sample of home routers and found out</w:t>
      </w:r>
      <w:r w:rsidRPr="00F94A2F">
        <w:rPr>
          <w:rFonts w:cs="Arial"/>
        </w:rPr>
        <w:noBreakHyphen/>
        <w:t>of</w:t>
      </w:r>
      <w:r w:rsidRPr="00F94A2F">
        <w:rPr>
          <w:rFonts w:cs="Arial"/>
        </w:rPr>
        <w:noBreakHyphen/>
        <w:t xml:space="preserve">date kernels, weak patching practices, and insecure defaults to be widespread [15]. In the UK, </w:t>
      </w:r>
      <w:r w:rsidRPr="00F94A2F">
        <w:rPr>
          <w:rFonts w:cs="Arial"/>
          <w:b/>
          <w:bCs/>
        </w:rPr>
        <w:t>Which?</w:t>
      </w:r>
      <w:r w:rsidRPr="00F94A2F">
        <w:rPr>
          <w:rFonts w:cs="Arial"/>
        </w:rPr>
        <w:t>, with Red Maple Technologies, reported millions of consumers at risk due to insecure or unsupported routers, highlighting issues such as remote</w:t>
      </w:r>
      <w:r w:rsidRPr="00F94A2F">
        <w:rPr>
          <w:rFonts w:cs="Arial"/>
        </w:rPr>
        <w:noBreakHyphen/>
        <w:t>management exposure and poor vendor update policies [16].</w:t>
      </w:r>
    </w:p>
    <w:p w14:paraId="65D6829E" w14:textId="77777777" w:rsidR="009C2E17" w:rsidRPr="00F94A2F" w:rsidRDefault="009C2E17" w:rsidP="009C2E17">
      <w:pPr>
        <w:spacing w:after="160" w:line="259" w:lineRule="auto"/>
        <w:rPr>
          <w:rFonts w:cs="Arial"/>
        </w:rPr>
      </w:pPr>
      <w:r w:rsidRPr="00F94A2F">
        <w:rPr>
          <w:rFonts w:cs="Arial"/>
        </w:rPr>
        <w:t xml:space="preserve">The literature therefore supports three strategic priorities for households: (1) </w:t>
      </w:r>
      <w:r w:rsidRPr="00F94A2F">
        <w:rPr>
          <w:rFonts w:cs="Arial"/>
          <w:b/>
          <w:bCs/>
        </w:rPr>
        <w:t>exposure reduction</w:t>
      </w:r>
      <w:r w:rsidRPr="00F94A2F">
        <w:rPr>
          <w:rFonts w:cs="Arial"/>
        </w:rPr>
        <w:t>—disabling WAN</w:t>
      </w:r>
      <w:r w:rsidRPr="00F94A2F">
        <w:rPr>
          <w:rFonts w:cs="Arial"/>
        </w:rPr>
        <w:noBreakHyphen/>
        <w:t xml:space="preserve">side management and UPnP, and avoiding unnecessary port forwarding; (2) </w:t>
      </w:r>
      <w:r w:rsidRPr="00F94A2F">
        <w:rPr>
          <w:rFonts w:cs="Arial"/>
          <w:b/>
          <w:bCs/>
        </w:rPr>
        <w:t>credential hygiene</w:t>
      </w:r>
      <w:r w:rsidRPr="00F94A2F">
        <w:rPr>
          <w:rFonts w:cs="Arial"/>
        </w:rPr>
        <w:t xml:space="preserve">—eliminating defaults, enforcing uniqueness and complexity, and using MFA where feasible; and (3) </w:t>
      </w:r>
      <w:r w:rsidRPr="00F94A2F">
        <w:rPr>
          <w:rFonts w:cs="Arial"/>
          <w:b/>
          <w:bCs/>
        </w:rPr>
        <w:t>timely updates</w:t>
      </w:r>
      <w:r w:rsidRPr="00F94A2F">
        <w:rPr>
          <w:rFonts w:cs="Arial"/>
        </w:rPr>
        <w:t>—for both routers and IoT. Notably, these are device</w:t>
      </w:r>
      <w:r w:rsidRPr="00F94A2F">
        <w:rPr>
          <w:rFonts w:cs="Arial"/>
        </w:rPr>
        <w:noBreakHyphen/>
        <w:t xml:space="preserve">level disciplines; their effectiveness is multiplied when embedded in a </w:t>
      </w:r>
      <w:r w:rsidRPr="00F94A2F">
        <w:rPr>
          <w:rFonts w:cs="Arial"/>
          <w:b/>
          <w:bCs/>
        </w:rPr>
        <w:t>secure network design</w:t>
      </w:r>
      <w:r w:rsidRPr="00F94A2F">
        <w:rPr>
          <w:rFonts w:cs="Arial"/>
        </w:rPr>
        <w:t xml:space="preserve"> that restricts lateral movement and confines management reachability.</w:t>
      </w:r>
    </w:p>
    <w:p w14:paraId="715DCAE7" w14:textId="77777777" w:rsidR="009C2E17" w:rsidRPr="00F94A2F" w:rsidRDefault="009C2E17" w:rsidP="009C2E17">
      <w:pPr>
        <w:pStyle w:val="Heading2"/>
        <w:rPr>
          <w:rFonts w:cs="Arial"/>
        </w:rPr>
      </w:pPr>
      <w:bookmarkStart w:id="65" w:name="_Toc207753521"/>
      <w:r w:rsidRPr="00F94A2F">
        <w:rPr>
          <w:rFonts w:cs="Arial"/>
        </w:rPr>
        <w:t>2.4 Frameworks for testing and improvement</w:t>
      </w:r>
      <w:bookmarkEnd w:id="65"/>
    </w:p>
    <w:p w14:paraId="7F19AABC" w14:textId="77777777" w:rsidR="009C2E17" w:rsidRPr="00F94A2F" w:rsidRDefault="009C2E17" w:rsidP="009C2E17">
      <w:pPr>
        <w:spacing w:after="160" w:line="259" w:lineRule="auto"/>
        <w:rPr>
          <w:rFonts w:cs="Arial"/>
        </w:rPr>
      </w:pPr>
      <w:r w:rsidRPr="00F94A2F">
        <w:rPr>
          <w:rFonts w:cs="Arial"/>
        </w:rPr>
        <w:t xml:space="preserve">For web and IoT surfaces, </w:t>
      </w:r>
      <w:r w:rsidRPr="00F94A2F">
        <w:rPr>
          <w:rFonts w:cs="Arial"/>
          <w:b/>
          <w:bCs/>
        </w:rPr>
        <w:t>OWASP’s Web Security Testing Guide (WSTG)</w:t>
      </w:r>
      <w:r w:rsidRPr="00F94A2F">
        <w:rPr>
          <w:rFonts w:cs="Arial"/>
        </w:rPr>
        <w:t xml:space="preserve"> and the </w:t>
      </w:r>
      <w:r w:rsidRPr="00F94A2F">
        <w:rPr>
          <w:rFonts w:cs="Arial"/>
          <w:b/>
          <w:bCs/>
        </w:rPr>
        <w:t>IoT Security Verification/Testing</w:t>
      </w:r>
      <w:r w:rsidRPr="00F94A2F">
        <w:rPr>
          <w:rFonts w:cs="Arial"/>
        </w:rPr>
        <w:t xml:space="preserve"> projects provide technique</w:t>
      </w:r>
      <w:r w:rsidRPr="00F94A2F">
        <w:rPr>
          <w:rFonts w:cs="Arial"/>
        </w:rPr>
        <w:noBreakHyphen/>
        <w:t xml:space="preserve">level checks and maturity criteria that can be adapted for consumer gear (for example, verifying authentication flows, update channels and local web endpoints) [13], [14]. In parallel, </w:t>
      </w:r>
      <w:r w:rsidRPr="00F94A2F">
        <w:rPr>
          <w:rFonts w:cs="Arial"/>
          <w:b/>
          <w:bCs/>
        </w:rPr>
        <w:t>CIS Controls v8.1</w:t>
      </w:r>
      <w:r w:rsidRPr="00F94A2F">
        <w:rPr>
          <w:rFonts w:cs="Arial"/>
        </w:rPr>
        <w:t xml:space="preserve"> offers a prioritised catalogue of safeguards that, while designed for enterprises, scale down to households: maintain an </w:t>
      </w:r>
      <w:r w:rsidRPr="00F94A2F">
        <w:rPr>
          <w:rFonts w:cs="Arial"/>
          <w:b/>
          <w:bCs/>
        </w:rPr>
        <w:t>asset inventory</w:t>
      </w:r>
      <w:r w:rsidRPr="00F94A2F">
        <w:rPr>
          <w:rFonts w:cs="Arial"/>
        </w:rPr>
        <w:t xml:space="preserve">, establish </w:t>
      </w:r>
      <w:r w:rsidRPr="00F94A2F">
        <w:rPr>
          <w:rFonts w:cs="Arial"/>
          <w:b/>
          <w:bCs/>
        </w:rPr>
        <w:t>secure configuration</w:t>
      </w:r>
      <w:r w:rsidRPr="00F94A2F">
        <w:rPr>
          <w:rFonts w:cs="Arial"/>
        </w:rPr>
        <w:t xml:space="preserve"> baselines, operate a </w:t>
      </w:r>
      <w:r w:rsidRPr="00F94A2F">
        <w:rPr>
          <w:rFonts w:cs="Arial"/>
          <w:b/>
          <w:bCs/>
        </w:rPr>
        <w:t>patch cadence</w:t>
      </w:r>
      <w:r w:rsidRPr="00F94A2F">
        <w:rPr>
          <w:rFonts w:cs="Arial"/>
        </w:rPr>
        <w:t xml:space="preserve">, restrict </w:t>
      </w:r>
      <w:r w:rsidRPr="00F94A2F">
        <w:rPr>
          <w:rFonts w:cs="Arial"/>
          <w:b/>
          <w:bCs/>
        </w:rPr>
        <w:t>administrative access</w:t>
      </w:r>
      <w:r w:rsidRPr="00F94A2F">
        <w:rPr>
          <w:rFonts w:cs="Arial"/>
        </w:rPr>
        <w:t xml:space="preserve"> and log events useful for diagnosis [8]. Finally, </w:t>
      </w:r>
      <w:r w:rsidRPr="00F94A2F">
        <w:rPr>
          <w:rFonts w:cs="Arial"/>
          <w:b/>
          <w:bCs/>
        </w:rPr>
        <w:t>MITRE ATT&amp;CK</w:t>
      </w:r>
      <w:r w:rsidRPr="00F94A2F">
        <w:rPr>
          <w:rFonts w:cs="Arial"/>
        </w:rPr>
        <w:t xml:space="preserve"> supplies a shared vocabulary to describe adversary behaviour and to map defensive value—useful for interpreting laboratory observations in a way that aligns with broader security discourse [9], [22]–[26].</w:t>
      </w:r>
    </w:p>
    <w:p w14:paraId="16B7F3D2" w14:textId="77777777" w:rsidR="009C2E17" w:rsidRPr="00F94A2F" w:rsidRDefault="009C2E17" w:rsidP="009C2E17">
      <w:pPr>
        <w:pStyle w:val="Heading2"/>
        <w:rPr>
          <w:rFonts w:cs="Arial"/>
        </w:rPr>
      </w:pPr>
      <w:bookmarkStart w:id="66" w:name="_Toc207753522"/>
      <w:r w:rsidRPr="00F94A2F">
        <w:rPr>
          <w:rFonts w:cs="Arial"/>
        </w:rPr>
        <w:t>2.5 Practical network</w:t>
      </w:r>
      <w:r w:rsidRPr="00F94A2F">
        <w:rPr>
          <w:rFonts w:cs="Arial"/>
        </w:rPr>
        <w:noBreakHyphen/>
        <w:t>architecture patterns supported by consumer platforms</w:t>
      </w:r>
      <w:bookmarkEnd w:id="66"/>
    </w:p>
    <w:p w14:paraId="2A118D24" w14:textId="77777777" w:rsidR="009C2E17" w:rsidRPr="00F94A2F" w:rsidRDefault="009C2E17" w:rsidP="009C2E17">
      <w:pPr>
        <w:spacing w:after="160" w:line="259" w:lineRule="auto"/>
        <w:rPr>
          <w:rFonts w:cs="Arial"/>
        </w:rPr>
      </w:pPr>
      <w:r w:rsidRPr="00F94A2F">
        <w:rPr>
          <w:rFonts w:cs="Arial"/>
        </w:rPr>
        <w:t xml:space="preserve">A recurring theme across guidance and studies is that </w:t>
      </w:r>
      <w:r w:rsidRPr="00F94A2F">
        <w:rPr>
          <w:rFonts w:cs="Arial"/>
          <w:b/>
          <w:bCs/>
        </w:rPr>
        <w:t>architecture matters</w:t>
      </w:r>
      <w:r w:rsidRPr="00F94A2F">
        <w:rPr>
          <w:rFonts w:cs="Arial"/>
        </w:rPr>
        <w:t>. Effective household designs separate classes of device by trust and function, restrict inter</w:t>
      </w:r>
      <w:r w:rsidRPr="00F94A2F">
        <w:rPr>
          <w:rFonts w:cs="Arial"/>
        </w:rPr>
        <w:noBreakHyphen/>
        <w:t xml:space="preserve">segment initiation by default, and keep the management plane reachable only from a small set of trusted endpoints. Crucially, these patterns are </w:t>
      </w:r>
      <w:r w:rsidRPr="00F94A2F">
        <w:rPr>
          <w:rFonts w:cs="Arial"/>
          <w:b/>
          <w:bCs/>
        </w:rPr>
        <w:t>achievable with consumer</w:t>
      </w:r>
      <w:r w:rsidRPr="00F94A2F">
        <w:rPr>
          <w:rFonts w:cs="Arial"/>
          <w:b/>
          <w:bCs/>
        </w:rPr>
        <w:noBreakHyphen/>
        <w:t>grade tools</w:t>
      </w:r>
      <w:r w:rsidRPr="00F94A2F">
        <w:rPr>
          <w:rFonts w:cs="Arial"/>
        </w:rPr>
        <w:t>:</w:t>
      </w:r>
    </w:p>
    <w:p w14:paraId="7E606D59" w14:textId="77777777" w:rsidR="009C2E17" w:rsidRPr="00F94A2F" w:rsidRDefault="009C2E17" w:rsidP="009C2E17">
      <w:pPr>
        <w:numPr>
          <w:ilvl w:val="0"/>
          <w:numId w:val="44"/>
        </w:numPr>
        <w:spacing w:after="160" w:line="259" w:lineRule="auto"/>
        <w:jc w:val="left"/>
        <w:rPr>
          <w:rFonts w:cs="Arial"/>
        </w:rPr>
      </w:pPr>
      <w:r w:rsidRPr="00F94A2F">
        <w:rPr>
          <w:rFonts w:cs="Arial"/>
          <w:b/>
          <w:bCs/>
        </w:rPr>
        <w:t>Per</w:t>
      </w:r>
      <w:r w:rsidRPr="00F94A2F">
        <w:rPr>
          <w:rFonts w:cs="Arial"/>
          <w:b/>
          <w:bCs/>
        </w:rPr>
        <w:noBreakHyphen/>
        <w:t>SSID VLANs and client isolation.</w:t>
      </w:r>
      <w:r w:rsidRPr="00F94A2F">
        <w:rPr>
          <w:rFonts w:cs="Arial"/>
        </w:rPr>
        <w:t xml:space="preserve"> Open</w:t>
      </w:r>
      <w:r w:rsidRPr="00F94A2F">
        <w:rPr>
          <w:rFonts w:cs="Arial"/>
        </w:rPr>
        <w:noBreakHyphen/>
        <w:t>source and commercial platforms document straightforward recipes for segmenting home networks: pfSense supports VLAN configuration and firewall rules that implement default</w:t>
      </w:r>
      <w:r w:rsidRPr="00F94A2F">
        <w:rPr>
          <w:rFonts w:cs="Arial"/>
        </w:rPr>
        <w:noBreakHyphen/>
        <w:t>deny inter</w:t>
      </w:r>
      <w:r w:rsidRPr="00F94A2F">
        <w:rPr>
          <w:rFonts w:cs="Arial"/>
        </w:rPr>
        <w:noBreakHyphen/>
        <w:t>VLAN policies [30]; OPNsense provides comparable interfaces [31]; OpenWrt offers community</w:t>
      </w:r>
      <w:r w:rsidRPr="00F94A2F">
        <w:rPr>
          <w:rFonts w:cs="Arial"/>
        </w:rPr>
        <w:noBreakHyphen/>
        <w:t>tested guides for guest Wi</w:t>
      </w:r>
      <w:r w:rsidRPr="00F94A2F">
        <w:rPr>
          <w:rFonts w:cs="Arial"/>
        </w:rPr>
        <w:noBreakHyphen/>
        <w:t xml:space="preserve">Fi and VLAN mapping in LuCI [32]; and UniFi exposes client isolation and </w:t>
      </w:r>
      <w:r w:rsidRPr="00F94A2F">
        <w:rPr>
          <w:rFonts w:cs="Arial"/>
        </w:rPr>
        <w:lastRenderedPageBreak/>
        <w:t>network isolation controls through its controller [33]. Client isolation on Guest SSIDs prevents lateral movement among visitors’ devices and reduces the blast radius of compromised clients [33].</w:t>
      </w:r>
    </w:p>
    <w:p w14:paraId="544FF647" w14:textId="77777777" w:rsidR="009C2E17" w:rsidRPr="00F94A2F" w:rsidRDefault="009C2E17" w:rsidP="009C2E17">
      <w:pPr>
        <w:numPr>
          <w:ilvl w:val="0"/>
          <w:numId w:val="44"/>
        </w:numPr>
        <w:spacing w:after="160" w:line="259" w:lineRule="auto"/>
        <w:jc w:val="left"/>
        <w:rPr>
          <w:rFonts w:cs="Arial"/>
        </w:rPr>
      </w:pPr>
      <w:r w:rsidRPr="00F94A2F">
        <w:rPr>
          <w:rFonts w:cs="Arial"/>
          <w:b/>
          <w:bCs/>
        </w:rPr>
        <w:t>Service minimisation and safe administration.</w:t>
      </w:r>
      <w:r w:rsidRPr="00F94A2F">
        <w:rPr>
          <w:rFonts w:cs="Arial"/>
        </w:rPr>
        <w:t xml:space="preserve"> Disabling UPnP, closing WAN</w:t>
      </w:r>
      <w:r w:rsidRPr="00F94A2F">
        <w:rPr>
          <w:rFonts w:cs="Arial"/>
        </w:rPr>
        <w:noBreakHyphen/>
        <w:t xml:space="preserve">side administration, and enforcing HTTPS/SSH for management align with ETSI EN 303 645 and NCSC recommendations [6], [11]. Limiting administrative interfaces to the </w:t>
      </w:r>
      <w:r w:rsidRPr="00F94A2F">
        <w:rPr>
          <w:rFonts w:cs="Arial"/>
          <w:b/>
          <w:bCs/>
        </w:rPr>
        <w:t>Trusted</w:t>
      </w:r>
      <w:r w:rsidRPr="00F94A2F">
        <w:rPr>
          <w:rFonts w:cs="Arial"/>
        </w:rPr>
        <w:t xml:space="preserve"> segment lowers the chance that a compromised IoT device can pivot into the management plane.</w:t>
      </w:r>
    </w:p>
    <w:p w14:paraId="1AA7E0E1" w14:textId="77777777" w:rsidR="009C2E17" w:rsidRPr="00F94A2F" w:rsidRDefault="009C2E17" w:rsidP="009C2E17">
      <w:pPr>
        <w:numPr>
          <w:ilvl w:val="0"/>
          <w:numId w:val="44"/>
        </w:numPr>
        <w:spacing w:after="160" w:line="259" w:lineRule="auto"/>
        <w:jc w:val="left"/>
        <w:rPr>
          <w:rFonts w:cs="Arial"/>
        </w:rPr>
      </w:pPr>
      <w:r w:rsidRPr="00F94A2F">
        <w:rPr>
          <w:rFonts w:cs="Arial"/>
          <w:b/>
          <w:bCs/>
        </w:rPr>
        <w:t>Credential hygiene and updates.</w:t>
      </w:r>
      <w:r w:rsidRPr="00F94A2F">
        <w:rPr>
          <w:rFonts w:cs="Arial"/>
        </w:rPr>
        <w:t xml:space="preserve"> Unique admin and device passwords, removal of vendor defaults, MFA where available, and a routine update cadence address the top root causes of compromise identified in the literature [15], [16], [20]. While PSTI should improve the default state of new products [5], households will continue to host legacy gear; therefore, </w:t>
      </w:r>
      <w:r w:rsidRPr="00F94A2F">
        <w:rPr>
          <w:rFonts w:cs="Arial"/>
          <w:b/>
          <w:bCs/>
        </w:rPr>
        <w:t>compensating controls</w:t>
      </w:r>
      <w:r w:rsidRPr="00F94A2F">
        <w:rPr>
          <w:rFonts w:cs="Arial"/>
        </w:rPr>
        <w:t xml:space="preserve"> at the network layer (segmentation and isolation) remain essential.</w:t>
      </w:r>
    </w:p>
    <w:p w14:paraId="356ADE79" w14:textId="77777777" w:rsidR="009C2E17" w:rsidRPr="00F94A2F" w:rsidRDefault="009C2E17" w:rsidP="009C2E17">
      <w:pPr>
        <w:spacing w:after="160" w:line="259" w:lineRule="auto"/>
        <w:rPr>
          <w:rFonts w:cs="Arial"/>
        </w:rPr>
      </w:pPr>
      <w:r w:rsidRPr="00F94A2F">
        <w:rPr>
          <w:rFonts w:cs="Arial"/>
        </w:rPr>
        <w:t>These design practices are feasible without enterprise expertise and are backed by platform documentation, which lowers the barrier to adoption [30]–[33].</w:t>
      </w:r>
    </w:p>
    <w:p w14:paraId="788A33F8" w14:textId="03EEA1D8" w:rsidR="009C2E17" w:rsidRPr="00F94A2F" w:rsidRDefault="009C2E17" w:rsidP="009C2E17">
      <w:pPr>
        <w:pStyle w:val="Heading2"/>
        <w:rPr>
          <w:rFonts w:cs="Arial"/>
        </w:rPr>
      </w:pPr>
      <w:bookmarkStart w:id="67" w:name="_Toc207753523"/>
      <w:r w:rsidRPr="00F94A2F">
        <w:rPr>
          <w:rFonts w:cs="Arial"/>
        </w:rPr>
        <w:t>2.</w:t>
      </w:r>
      <w:r w:rsidR="00B23707" w:rsidRPr="00F94A2F">
        <w:rPr>
          <w:rFonts w:cs="Arial"/>
        </w:rPr>
        <w:t>6</w:t>
      </w:r>
      <w:r w:rsidRPr="00F94A2F">
        <w:rPr>
          <w:rFonts w:cs="Arial"/>
        </w:rPr>
        <w:t xml:space="preserve"> Ethical, legal and safety considerations for home</w:t>
      </w:r>
      <w:r w:rsidRPr="00F94A2F">
        <w:rPr>
          <w:rFonts w:cs="Arial"/>
        </w:rPr>
        <w:noBreakHyphen/>
        <w:t>lab work</w:t>
      </w:r>
      <w:bookmarkEnd w:id="67"/>
    </w:p>
    <w:p w14:paraId="68F8B9D6" w14:textId="77777777" w:rsidR="009C2E17" w:rsidRPr="00F94A2F" w:rsidRDefault="009C2E17" w:rsidP="009C2E17">
      <w:pPr>
        <w:spacing w:after="160" w:line="259" w:lineRule="auto"/>
        <w:rPr>
          <w:rFonts w:cs="Arial"/>
        </w:rPr>
      </w:pPr>
      <w:r w:rsidRPr="00F94A2F">
        <w:rPr>
          <w:rFonts w:cs="Arial"/>
        </w:rPr>
        <w:t xml:space="preserve">The </w:t>
      </w:r>
      <w:r w:rsidRPr="00F94A2F">
        <w:rPr>
          <w:rFonts w:cs="Arial"/>
          <w:b/>
          <w:bCs/>
        </w:rPr>
        <w:t>CMA</w:t>
      </w:r>
      <w:r w:rsidRPr="00F94A2F">
        <w:rPr>
          <w:rFonts w:cs="Arial"/>
        </w:rPr>
        <w:t xml:space="preserve"> imposes clear constraints on what a UK researcher may do: testing must be limited to systems under the tester’s control and must avoid causing damage or disruption to other networks and services [10]. In practice, this means: (i) keep the entire experiment on equipment you own; (ii) avoid Shodan</w:t>
      </w:r>
      <w:r w:rsidRPr="00F94A2F">
        <w:rPr>
          <w:rFonts w:cs="Arial"/>
        </w:rPr>
        <w:noBreakHyphen/>
        <w:t>style internet</w:t>
      </w:r>
      <w:r w:rsidRPr="00F94A2F">
        <w:rPr>
          <w:rFonts w:cs="Arial"/>
        </w:rPr>
        <w:noBreakHyphen/>
        <w:t xml:space="preserve">wide queries or scans that reach beyond your ISP connection; (iii) use conservative scanner settings and avoid exploit modules likely to destabilise devices; (iv) preserve evidence (logs, screenshots, configuration exports) to support </w:t>
      </w:r>
      <w:r w:rsidRPr="00F94A2F">
        <w:rPr>
          <w:rFonts w:cs="Arial"/>
          <w:b/>
          <w:bCs/>
        </w:rPr>
        <w:t>reproducibility</w:t>
      </w:r>
      <w:r w:rsidRPr="00F94A2F">
        <w:rPr>
          <w:rFonts w:cs="Arial"/>
        </w:rPr>
        <w:t xml:space="preserve"> and ethical review [7]. For IoT, where stability is uncertain, prefer configuration review and vendor documentation to aggressive active testing; where active probes are used, choose </w:t>
      </w:r>
      <w:r w:rsidRPr="00F94A2F">
        <w:rPr>
          <w:rFonts w:cs="Arial"/>
          <w:b/>
          <w:bCs/>
        </w:rPr>
        <w:t>safe checks</w:t>
      </w:r>
      <w:r w:rsidRPr="00F94A2F">
        <w:rPr>
          <w:rFonts w:cs="Arial"/>
        </w:rPr>
        <w:t xml:space="preserve"> and be prepared to roll back a device (e.g., via firmware recovery) if necessary [34].</w:t>
      </w:r>
    </w:p>
    <w:p w14:paraId="28FE339D" w14:textId="60F5B37C" w:rsidR="009C2E17" w:rsidRPr="00F94A2F" w:rsidRDefault="009C2E17" w:rsidP="009C2E17">
      <w:pPr>
        <w:pStyle w:val="Heading2"/>
        <w:rPr>
          <w:rFonts w:cs="Arial"/>
        </w:rPr>
      </w:pPr>
      <w:bookmarkStart w:id="68" w:name="_Toc207753524"/>
      <w:r w:rsidRPr="00F94A2F">
        <w:rPr>
          <w:rFonts w:cs="Arial"/>
        </w:rPr>
        <w:t>2.</w:t>
      </w:r>
      <w:r w:rsidR="00B23707" w:rsidRPr="00F94A2F">
        <w:rPr>
          <w:rFonts w:cs="Arial"/>
        </w:rPr>
        <w:t xml:space="preserve">7 </w:t>
      </w:r>
      <w:r w:rsidRPr="00F94A2F">
        <w:rPr>
          <w:rFonts w:cs="Arial"/>
        </w:rPr>
        <w:t>Synthesis: what the literature implies for this project</w:t>
      </w:r>
      <w:bookmarkEnd w:id="68"/>
    </w:p>
    <w:p w14:paraId="3B0EE4F4" w14:textId="77777777" w:rsidR="009C2E17" w:rsidRPr="00F94A2F" w:rsidRDefault="009C2E17" w:rsidP="009C2E17">
      <w:pPr>
        <w:spacing w:after="160" w:line="259" w:lineRule="auto"/>
        <w:rPr>
          <w:rFonts w:cs="Arial"/>
        </w:rPr>
      </w:pPr>
      <w:r w:rsidRPr="00F94A2F">
        <w:rPr>
          <w:rFonts w:cs="Arial"/>
        </w:rPr>
        <w:t>Pulling these strands together yields a clear logic for the project design.</w:t>
      </w:r>
    </w:p>
    <w:p w14:paraId="45723317" w14:textId="77777777" w:rsidR="009C2E17" w:rsidRPr="00F94A2F" w:rsidRDefault="009C2E17" w:rsidP="009C2E17">
      <w:pPr>
        <w:numPr>
          <w:ilvl w:val="0"/>
          <w:numId w:val="46"/>
        </w:numPr>
        <w:spacing w:after="160" w:line="259" w:lineRule="auto"/>
        <w:jc w:val="left"/>
        <w:rPr>
          <w:rFonts w:cs="Arial"/>
        </w:rPr>
      </w:pPr>
      <w:r w:rsidRPr="00F94A2F">
        <w:rPr>
          <w:rFonts w:cs="Arial"/>
          <w:b/>
          <w:bCs/>
        </w:rPr>
        <w:t>Why segmentation first?</w:t>
      </w:r>
      <w:r w:rsidRPr="00F94A2F">
        <w:rPr>
          <w:rFonts w:cs="Arial"/>
        </w:rPr>
        <w:t xml:space="preserve"> Because many home compromises succeed not merely through device flaws but through </w:t>
      </w:r>
      <w:r w:rsidRPr="00F94A2F">
        <w:rPr>
          <w:rFonts w:cs="Arial"/>
          <w:i/>
          <w:iCs/>
        </w:rPr>
        <w:t>architecture</w:t>
      </w:r>
      <w:r w:rsidRPr="00F94A2F">
        <w:rPr>
          <w:rFonts w:cs="Arial"/>
        </w:rPr>
        <w:t>: flat networks allow compromised low</w:t>
      </w:r>
      <w:r w:rsidRPr="00F94A2F">
        <w:rPr>
          <w:rFonts w:cs="Arial"/>
        </w:rPr>
        <w:noBreakHyphen/>
        <w:t xml:space="preserve">trust devices to reach valuable targets. Segmenting into </w:t>
      </w:r>
      <w:r w:rsidRPr="00F94A2F">
        <w:rPr>
          <w:rFonts w:cs="Arial"/>
          <w:b/>
          <w:bCs/>
        </w:rPr>
        <w:t>Trusted</w:t>
      </w:r>
      <w:r w:rsidRPr="00F94A2F">
        <w:rPr>
          <w:rFonts w:cs="Arial"/>
        </w:rPr>
        <w:t xml:space="preserve">, </w:t>
      </w:r>
      <w:r w:rsidRPr="00F94A2F">
        <w:rPr>
          <w:rFonts w:cs="Arial"/>
          <w:b/>
          <w:bCs/>
        </w:rPr>
        <w:t>IoT</w:t>
      </w:r>
      <w:r w:rsidRPr="00F94A2F">
        <w:rPr>
          <w:rFonts w:cs="Arial"/>
        </w:rPr>
        <w:t xml:space="preserve"> and </w:t>
      </w:r>
      <w:r w:rsidRPr="00F94A2F">
        <w:rPr>
          <w:rFonts w:cs="Arial"/>
          <w:b/>
          <w:bCs/>
        </w:rPr>
        <w:t>Guest</w:t>
      </w:r>
      <w:r w:rsidRPr="00F94A2F">
        <w:rPr>
          <w:rFonts w:cs="Arial"/>
        </w:rPr>
        <w:t>, with default</w:t>
      </w:r>
      <w:r w:rsidRPr="00F94A2F">
        <w:rPr>
          <w:rFonts w:cs="Arial"/>
        </w:rPr>
        <w:noBreakHyphen/>
        <w:t>deny inter</w:t>
      </w:r>
      <w:r w:rsidRPr="00F94A2F">
        <w:rPr>
          <w:rFonts w:cs="Arial"/>
        </w:rPr>
        <w:noBreakHyphen/>
        <w:t xml:space="preserve">VLAN initiation and a tightly scoped management plane, directly counters lateral movement and MitM patterns highlighted in ATT&amp;CK and incident reporting [22], [25], [26]. </w:t>
      </w:r>
      <w:r w:rsidRPr="00F94A2F">
        <w:rPr>
          <w:rFonts w:cs="Arial"/>
        </w:rPr>
        <w:lastRenderedPageBreak/>
        <w:t>The pattern is feasible on mainstream consumer gear [30]–[33] and strongly aligned with NCSC/ETSI expectations [6], [11].</w:t>
      </w:r>
    </w:p>
    <w:p w14:paraId="491EDA03" w14:textId="77777777" w:rsidR="009C2E17" w:rsidRPr="00F94A2F" w:rsidRDefault="009C2E17" w:rsidP="009C2E17">
      <w:pPr>
        <w:numPr>
          <w:ilvl w:val="0"/>
          <w:numId w:val="46"/>
        </w:numPr>
        <w:spacing w:after="160" w:line="259" w:lineRule="auto"/>
        <w:jc w:val="left"/>
        <w:rPr>
          <w:rFonts w:cs="Arial"/>
        </w:rPr>
      </w:pPr>
      <w:r w:rsidRPr="00F94A2F">
        <w:rPr>
          <w:rFonts w:cs="Arial"/>
          <w:b/>
          <w:bCs/>
        </w:rPr>
        <w:t>Why service minimisation and remote</w:t>
      </w:r>
      <w:r w:rsidRPr="00F94A2F">
        <w:rPr>
          <w:rFonts w:cs="Arial"/>
          <w:b/>
          <w:bCs/>
        </w:rPr>
        <w:noBreakHyphen/>
        <w:t>access lock</w:t>
      </w:r>
      <w:r w:rsidRPr="00F94A2F">
        <w:rPr>
          <w:rFonts w:cs="Arial"/>
          <w:b/>
          <w:bCs/>
        </w:rPr>
        <w:noBreakHyphen/>
        <w:t>down?</w:t>
      </w:r>
      <w:r w:rsidRPr="00F94A2F">
        <w:rPr>
          <w:rFonts w:cs="Arial"/>
        </w:rPr>
        <w:t xml:space="preserve"> Because exposed management planes and over</w:t>
      </w:r>
      <w:r w:rsidRPr="00F94A2F">
        <w:rPr>
          <w:rFonts w:cs="Arial"/>
        </w:rPr>
        <w:noBreakHyphen/>
        <w:t>permissive automation protocols (e.g., UPnP) are recurrent root causes of compromise. Closing WAN administration, disabling UPnP, and insisting on HTTPS/SSH are repeatedly recommended by guidance and are supported by standards [4]–[6], [11]. These changes remove entire ATT&amp;CK paths (</w:t>
      </w:r>
      <w:r w:rsidRPr="00F94A2F">
        <w:rPr>
          <w:rFonts w:cs="Arial"/>
          <w:i/>
          <w:iCs/>
        </w:rPr>
        <w:t>External Remote Services</w:t>
      </w:r>
      <w:r w:rsidRPr="00F94A2F">
        <w:rPr>
          <w:rFonts w:cs="Arial"/>
        </w:rPr>
        <w:t>, T1133) [24].</w:t>
      </w:r>
    </w:p>
    <w:p w14:paraId="3F9E8B11" w14:textId="77777777" w:rsidR="009C2E17" w:rsidRPr="00F94A2F" w:rsidRDefault="009C2E17" w:rsidP="009C2E17">
      <w:pPr>
        <w:numPr>
          <w:ilvl w:val="0"/>
          <w:numId w:val="46"/>
        </w:numPr>
        <w:spacing w:after="160" w:line="259" w:lineRule="auto"/>
        <w:jc w:val="left"/>
        <w:rPr>
          <w:rFonts w:cs="Arial"/>
        </w:rPr>
      </w:pPr>
      <w:r w:rsidRPr="00F94A2F">
        <w:rPr>
          <w:rFonts w:cs="Arial"/>
          <w:b/>
          <w:bCs/>
        </w:rPr>
        <w:t>Why credential hygiene and updates?</w:t>
      </w:r>
      <w:r w:rsidRPr="00F94A2F">
        <w:rPr>
          <w:rFonts w:cs="Arial"/>
        </w:rPr>
        <w:t xml:space="preserve"> Because studies keep finding default credentials and weak patching, and advisories keep attributing incidents to these factors [15], [16], [18], [19], [20]. Rotating unique passwords, enabling MFA where available, and patching to current firmware measurably alter attacker effort (</w:t>
      </w:r>
      <w:r w:rsidRPr="00F94A2F">
        <w:rPr>
          <w:rFonts w:cs="Arial"/>
          <w:i/>
          <w:iCs/>
        </w:rPr>
        <w:t>Default Accounts</w:t>
      </w:r>
      <w:r w:rsidRPr="00F94A2F">
        <w:rPr>
          <w:rFonts w:cs="Arial"/>
        </w:rPr>
        <w:t xml:space="preserve"> and </w:t>
      </w:r>
      <w:r w:rsidRPr="00F94A2F">
        <w:rPr>
          <w:rFonts w:cs="Arial"/>
          <w:i/>
          <w:iCs/>
        </w:rPr>
        <w:t>Brute Force</w:t>
      </w:r>
      <w:r w:rsidRPr="00F94A2F">
        <w:rPr>
          <w:rFonts w:cs="Arial"/>
        </w:rPr>
        <w:t>, T1078.001/T1110) [22], [23].</w:t>
      </w:r>
    </w:p>
    <w:p w14:paraId="664355AD" w14:textId="4C9C3A23" w:rsidR="00F74EAF" w:rsidRPr="00F94A2F" w:rsidRDefault="00256963" w:rsidP="009C2E17">
      <w:pPr>
        <w:pStyle w:val="Heading1"/>
        <w:rPr>
          <w:rFonts w:cs="Arial"/>
        </w:rPr>
      </w:pPr>
      <w:bookmarkStart w:id="69" w:name="_Toc207753525"/>
      <w:r w:rsidRPr="00F94A2F">
        <w:rPr>
          <w:rFonts w:cs="Arial"/>
          <w:lang w:val="en-GB"/>
        </w:rPr>
        <w:t xml:space="preserve">Chapter 3 - </w:t>
      </w:r>
      <w:bookmarkEnd w:id="14"/>
      <w:bookmarkEnd w:id="15"/>
      <w:bookmarkEnd w:id="16"/>
      <w:r w:rsidRPr="00F94A2F">
        <w:rPr>
          <w:rFonts w:cs="Arial"/>
        </w:rPr>
        <w:t>RESEARCH METHODOLOGY</w:t>
      </w:r>
      <w:bookmarkEnd w:id="69"/>
    </w:p>
    <w:p w14:paraId="1A965116" w14:textId="77777777" w:rsidR="001357AE" w:rsidRPr="00F94A2F" w:rsidRDefault="001357AE" w:rsidP="00C57633">
      <w:pPr>
        <w:pStyle w:val="ListParagraph"/>
        <w:numPr>
          <w:ilvl w:val="0"/>
          <w:numId w:val="29"/>
        </w:numPr>
        <w:outlineLvl w:val="1"/>
        <w:rPr>
          <w:rFonts w:cs="Arial"/>
          <w:b/>
          <w:vanish/>
          <w:color w:val="000000"/>
          <w:u w:val="single"/>
        </w:rPr>
      </w:pPr>
      <w:bookmarkStart w:id="70" w:name="_Toc266710265"/>
      <w:bookmarkStart w:id="71" w:name="_Toc266711018"/>
      <w:bookmarkStart w:id="72" w:name="_Toc271283199"/>
      <w:bookmarkStart w:id="73" w:name="_Toc340606384"/>
      <w:bookmarkStart w:id="74" w:name="_Toc340611911"/>
      <w:bookmarkStart w:id="75" w:name="_Toc340612081"/>
      <w:bookmarkStart w:id="76" w:name="_Toc340614008"/>
      <w:bookmarkStart w:id="77" w:name="_Toc341173674"/>
      <w:bookmarkStart w:id="78" w:name="_Toc341173852"/>
      <w:bookmarkStart w:id="79" w:name="_Toc341174532"/>
      <w:bookmarkStart w:id="80" w:name="_Toc345410430"/>
      <w:bookmarkStart w:id="81" w:name="_Toc345410761"/>
      <w:bookmarkStart w:id="82" w:name="_Toc345412866"/>
      <w:bookmarkStart w:id="83" w:name="_Toc371251358"/>
      <w:bookmarkStart w:id="84" w:name="_Toc371251407"/>
      <w:bookmarkStart w:id="85" w:name="_Toc371255387"/>
      <w:bookmarkStart w:id="86" w:name="_Toc371255542"/>
      <w:bookmarkStart w:id="87" w:name="_Toc204886427"/>
      <w:bookmarkStart w:id="88" w:name="_Toc204886533"/>
      <w:bookmarkStart w:id="89" w:name="_Toc204886580"/>
      <w:bookmarkStart w:id="90" w:name="_Toc204886629"/>
      <w:bookmarkStart w:id="91" w:name="_Toc204886680"/>
      <w:bookmarkStart w:id="92" w:name="_Toc204886732"/>
      <w:bookmarkStart w:id="93" w:name="_Toc204886784"/>
      <w:bookmarkStart w:id="94" w:name="_Toc204886843"/>
      <w:bookmarkStart w:id="95" w:name="_Toc204886895"/>
      <w:bookmarkStart w:id="96" w:name="_Toc204887860"/>
      <w:bookmarkStart w:id="97" w:name="_Toc204889664"/>
      <w:bookmarkStart w:id="98" w:name="_Toc204892094"/>
      <w:bookmarkStart w:id="99" w:name="_Toc204892133"/>
      <w:bookmarkStart w:id="100" w:name="_Toc207750181"/>
      <w:bookmarkStart w:id="101" w:name="_Toc207751071"/>
      <w:bookmarkStart w:id="102" w:name="_Toc207751306"/>
      <w:bookmarkStart w:id="103" w:name="_Toc207751495"/>
      <w:bookmarkStart w:id="104" w:name="_Toc266447529"/>
      <w:bookmarkStart w:id="105" w:name="_Toc207753402"/>
      <w:bookmarkStart w:id="106" w:name="_Toc207753467"/>
      <w:bookmarkStart w:id="107" w:name="_Toc207753526"/>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5"/>
      <w:bookmarkEnd w:id="106"/>
      <w:bookmarkEnd w:id="107"/>
    </w:p>
    <w:p w14:paraId="7DF4E37C" w14:textId="77777777" w:rsidR="00A179C4" w:rsidRPr="00F94A2F" w:rsidRDefault="00A179C4" w:rsidP="00A179C4">
      <w:pPr>
        <w:pStyle w:val="ListParagraph"/>
        <w:numPr>
          <w:ilvl w:val="0"/>
          <w:numId w:val="16"/>
        </w:numPr>
        <w:outlineLvl w:val="1"/>
        <w:rPr>
          <w:rFonts w:cs="Arial"/>
          <w:b/>
          <w:vanish/>
          <w:color w:val="000000"/>
          <w:u w:val="single"/>
        </w:rPr>
      </w:pPr>
      <w:bookmarkStart w:id="108" w:name="_Toc340606385"/>
      <w:bookmarkStart w:id="109" w:name="_Toc340611912"/>
      <w:bookmarkStart w:id="110" w:name="_Toc340612082"/>
      <w:bookmarkStart w:id="111" w:name="_Toc340614009"/>
      <w:bookmarkStart w:id="112" w:name="_Toc341173675"/>
      <w:bookmarkStart w:id="113" w:name="_Toc341173853"/>
      <w:bookmarkStart w:id="114" w:name="_Toc341174533"/>
      <w:bookmarkStart w:id="115" w:name="_Toc345410431"/>
      <w:bookmarkStart w:id="116" w:name="_Toc345410762"/>
      <w:bookmarkStart w:id="117" w:name="_Toc345412867"/>
      <w:bookmarkStart w:id="118" w:name="_Toc371251359"/>
      <w:bookmarkStart w:id="119" w:name="_Toc371251408"/>
      <w:bookmarkStart w:id="120" w:name="_Toc371255388"/>
      <w:bookmarkStart w:id="121" w:name="_Toc371255543"/>
      <w:bookmarkStart w:id="122" w:name="_Toc204886428"/>
      <w:bookmarkStart w:id="123" w:name="_Toc204886534"/>
      <w:bookmarkStart w:id="124" w:name="_Toc204886581"/>
      <w:bookmarkStart w:id="125" w:name="_Toc204886630"/>
      <w:bookmarkStart w:id="126" w:name="_Toc204886681"/>
      <w:bookmarkStart w:id="127" w:name="_Toc204886733"/>
      <w:bookmarkStart w:id="128" w:name="_Toc204886785"/>
      <w:bookmarkStart w:id="129" w:name="_Toc204886844"/>
      <w:bookmarkStart w:id="130" w:name="_Toc204886896"/>
      <w:bookmarkStart w:id="131" w:name="_Toc204887861"/>
      <w:bookmarkStart w:id="132" w:name="_Toc204889665"/>
      <w:bookmarkStart w:id="133" w:name="_Toc204892095"/>
      <w:bookmarkStart w:id="134" w:name="_Toc204892134"/>
      <w:bookmarkStart w:id="135" w:name="_Toc207750182"/>
      <w:bookmarkStart w:id="136" w:name="_Toc207751072"/>
      <w:bookmarkStart w:id="137" w:name="_Toc207751307"/>
      <w:bookmarkStart w:id="138" w:name="_Toc207751496"/>
      <w:bookmarkStart w:id="139" w:name="_Toc207753403"/>
      <w:bookmarkStart w:id="140" w:name="_Toc207753468"/>
      <w:bookmarkStart w:id="141" w:name="_Toc20775352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p>
    <w:p w14:paraId="12FC49AE" w14:textId="77777777" w:rsidR="00CE19EA" w:rsidRPr="00F94A2F" w:rsidRDefault="00CE19EA" w:rsidP="00CE19EA">
      <w:pPr>
        <w:pStyle w:val="Heading2"/>
        <w:rPr>
          <w:rFonts w:cs="Arial"/>
        </w:rPr>
      </w:pPr>
      <w:bookmarkStart w:id="142" w:name="_Toc341174544"/>
      <w:bookmarkStart w:id="143" w:name="_Toc121041633"/>
      <w:bookmarkStart w:id="144" w:name="_Toc202288167"/>
      <w:bookmarkStart w:id="145" w:name="_Toc266447548"/>
      <w:bookmarkStart w:id="146" w:name="_Toc207753528"/>
      <w:bookmarkEnd w:id="104"/>
      <w:r w:rsidRPr="00F94A2F">
        <w:rPr>
          <w:rFonts w:cs="Arial"/>
        </w:rPr>
        <w:t>3.1 Experimental design</w:t>
      </w:r>
      <w:bookmarkEnd w:id="146"/>
    </w:p>
    <w:p w14:paraId="73A351E7" w14:textId="2DC7798C" w:rsidR="00CE19EA" w:rsidRPr="00F94A2F" w:rsidRDefault="00CE19EA" w:rsidP="00CE19EA">
      <w:pPr>
        <w:spacing w:after="160" w:line="259" w:lineRule="auto"/>
        <w:rPr>
          <w:rFonts w:cs="Arial"/>
        </w:rPr>
      </w:pPr>
      <w:r w:rsidRPr="00F94A2F">
        <w:rPr>
          <w:rFonts w:cs="Arial"/>
        </w:rPr>
        <w:t>We compare two states of the same environment: a convenience</w:t>
      </w:r>
      <w:r w:rsidRPr="00F94A2F">
        <w:rPr>
          <w:rFonts w:cs="Arial"/>
        </w:rPr>
        <w:noBreakHyphen/>
        <w:t xml:space="preserve">oriented </w:t>
      </w:r>
      <w:r w:rsidRPr="00F94A2F">
        <w:rPr>
          <w:rFonts w:cs="Arial"/>
          <w:b/>
          <w:bCs/>
        </w:rPr>
        <w:t>Baseline</w:t>
      </w:r>
      <w:r w:rsidRPr="00F94A2F">
        <w:rPr>
          <w:rFonts w:cs="Arial"/>
        </w:rPr>
        <w:t xml:space="preserve"> and a </w:t>
      </w:r>
      <w:r w:rsidRPr="00F94A2F">
        <w:rPr>
          <w:rFonts w:cs="Arial"/>
          <w:b/>
          <w:bCs/>
        </w:rPr>
        <w:t>Hardened</w:t>
      </w:r>
      <w:r w:rsidRPr="00F94A2F">
        <w:rPr>
          <w:rFonts w:cs="Arial"/>
        </w:rPr>
        <w:t xml:space="preserve"> configuration implementing five controls: (1) segmentation (Trusted/IoT/Guest, default</w:t>
      </w:r>
      <w:r w:rsidRPr="00F94A2F">
        <w:rPr>
          <w:rFonts w:cs="Arial"/>
        </w:rPr>
        <w:noBreakHyphen/>
        <w:t>deny inter</w:t>
      </w:r>
      <w:r w:rsidRPr="00F94A2F">
        <w:rPr>
          <w:rFonts w:cs="Arial"/>
        </w:rPr>
        <w:noBreakHyphen/>
        <w:t>VLAN), (2) service minimisation (UPnP off; no WAN admin; HTTPS/SSH only), (3) credential hygiene (unique strong passwords; no vendor defaults; MFA where available), (4) timely updates (router/AP, endpoints, IoT), and (5) right</w:t>
      </w:r>
      <w:r w:rsidRPr="00F94A2F">
        <w:rPr>
          <w:rFonts w:cs="Arial"/>
        </w:rPr>
        <w:noBreakHyphen/>
        <w:t>sized monitoring</w:t>
      </w:r>
      <w:r w:rsidR="00E75B86" w:rsidRPr="00F94A2F">
        <w:rPr>
          <w:rFonts w:cs="Arial"/>
        </w:rPr>
        <w:t>.</w:t>
      </w:r>
    </w:p>
    <w:p w14:paraId="729A74BE" w14:textId="77777777" w:rsidR="00FF422B" w:rsidRPr="00F94A2F" w:rsidRDefault="00FF422B" w:rsidP="00FF422B">
      <w:pPr>
        <w:keepNext/>
        <w:spacing w:after="160" w:line="259" w:lineRule="auto"/>
        <w:rPr>
          <w:rFonts w:cs="Arial"/>
        </w:rPr>
      </w:pPr>
      <w:r w:rsidRPr="00F94A2F">
        <w:rPr>
          <w:rFonts w:cs="Arial"/>
          <w:noProof/>
        </w:rPr>
        <w:lastRenderedPageBreak/>
        <w:drawing>
          <wp:inline distT="0" distB="0" distL="0" distR="0" wp14:anchorId="309543E4" wp14:editId="3A7EFDE8">
            <wp:extent cx="5486400" cy="3916873"/>
            <wp:effectExtent l="0" t="0" r="0" b="0"/>
            <wp:docPr id="1"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network&#10;&#10;AI-generated content may be incorrect."/>
                    <pic:cNvPicPr/>
                  </pic:nvPicPr>
                  <pic:blipFill>
                    <a:blip r:embed="rId16"/>
                    <a:stretch>
                      <a:fillRect/>
                    </a:stretch>
                  </pic:blipFill>
                  <pic:spPr>
                    <a:xfrm>
                      <a:off x="0" y="0"/>
                      <a:ext cx="5486400" cy="3916873"/>
                    </a:xfrm>
                    <a:prstGeom prst="rect">
                      <a:avLst/>
                    </a:prstGeom>
                  </pic:spPr>
                </pic:pic>
              </a:graphicData>
            </a:graphic>
          </wp:inline>
        </w:drawing>
      </w:r>
    </w:p>
    <w:p w14:paraId="66F4374F" w14:textId="6FC77E70" w:rsidR="00FF422B" w:rsidRPr="00F94A2F" w:rsidRDefault="00FF422B" w:rsidP="00FF422B">
      <w:pPr>
        <w:pStyle w:val="Caption"/>
        <w:rPr>
          <w:rFonts w:cs="Arial"/>
        </w:rPr>
      </w:pPr>
      <w:bookmarkStart w:id="147" w:name="_Toc207753428"/>
      <w:r w:rsidRPr="00F94A2F">
        <w:rPr>
          <w:rFonts w:cs="Arial"/>
        </w:rPr>
        <w:t xml:space="preserve">Figure </w:t>
      </w:r>
      <w:r w:rsidRPr="00F94A2F">
        <w:rPr>
          <w:rFonts w:cs="Arial"/>
        </w:rPr>
        <w:fldChar w:fldCharType="begin"/>
      </w:r>
      <w:r w:rsidRPr="00F94A2F">
        <w:rPr>
          <w:rFonts w:cs="Arial"/>
        </w:rPr>
        <w:instrText xml:space="preserve"> SEQ Figure \* ARABIC </w:instrText>
      </w:r>
      <w:r w:rsidRPr="00F94A2F">
        <w:rPr>
          <w:rFonts w:cs="Arial"/>
        </w:rPr>
        <w:fldChar w:fldCharType="separate"/>
      </w:r>
      <w:r w:rsidR="003D34A9" w:rsidRPr="00F94A2F">
        <w:rPr>
          <w:rFonts w:cs="Arial"/>
          <w:noProof/>
        </w:rPr>
        <w:t>1</w:t>
      </w:r>
      <w:r w:rsidRPr="00F94A2F">
        <w:rPr>
          <w:rFonts w:cs="Arial"/>
        </w:rPr>
        <w:fldChar w:fldCharType="end"/>
      </w:r>
      <w:r w:rsidRPr="00F94A2F">
        <w:rPr>
          <w:rFonts w:cs="Arial"/>
        </w:rPr>
        <w:t xml:space="preserve"> -</w:t>
      </w:r>
      <w:r w:rsidR="00E93FBB" w:rsidRPr="00F94A2F">
        <w:rPr>
          <w:rFonts w:cs="Arial"/>
        </w:rPr>
        <w:t xml:space="preserve"> Home network topology and </w:t>
      </w:r>
      <w:r w:rsidR="00AE1355" w:rsidRPr="00F94A2F">
        <w:rPr>
          <w:rFonts w:cs="Arial"/>
        </w:rPr>
        <w:t>segmentation.</w:t>
      </w:r>
      <w:bookmarkEnd w:id="147"/>
    </w:p>
    <w:p w14:paraId="5B8A05E0" w14:textId="648CC7B8" w:rsidR="00CE19EA" w:rsidRPr="00F94A2F" w:rsidRDefault="00CE19EA" w:rsidP="00CE19EA">
      <w:pPr>
        <w:pStyle w:val="Heading2"/>
        <w:rPr>
          <w:rFonts w:cs="Arial"/>
        </w:rPr>
      </w:pPr>
      <w:bookmarkStart w:id="148" w:name="_Toc207753529"/>
      <w:r w:rsidRPr="00F94A2F">
        <w:rPr>
          <w:rFonts w:cs="Arial"/>
        </w:rPr>
        <w:t>3.2 Lab environment and topology</w:t>
      </w:r>
      <w:bookmarkEnd w:id="148"/>
    </w:p>
    <w:p w14:paraId="59103F0F" w14:textId="77777777" w:rsidR="00CE19EA" w:rsidRPr="00F94A2F" w:rsidRDefault="00CE19EA" w:rsidP="00CE19EA">
      <w:pPr>
        <w:spacing w:after="160" w:line="259" w:lineRule="auto"/>
        <w:rPr>
          <w:rFonts w:cs="Arial"/>
        </w:rPr>
      </w:pPr>
      <w:r w:rsidRPr="00F94A2F">
        <w:rPr>
          <w:rFonts w:cs="Arial"/>
        </w:rPr>
        <w:t xml:space="preserve">A single router/firewall provides three VLANs/SSIDs: </w:t>
      </w:r>
      <w:r w:rsidRPr="00F94A2F">
        <w:rPr>
          <w:rFonts w:cs="Arial"/>
          <w:b/>
          <w:bCs/>
        </w:rPr>
        <w:t>Trusted</w:t>
      </w:r>
      <w:r w:rsidRPr="00F94A2F">
        <w:rPr>
          <w:rFonts w:cs="Arial"/>
        </w:rPr>
        <w:t xml:space="preserve"> (work/personal endpoints), </w:t>
      </w:r>
      <w:r w:rsidRPr="00F94A2F">
        <w:rPr>
          <w:rFonts w:cs="Arial"/>
          <w:b/>
          <w:bCs/>
        </w:rPr>
        <w:t>IoT</w:t>
      </w:r>
      <w:r w:rsidRPr="00F94A2F">
        <w:rPr>
          <w:rFonts w:cs="Arial"/>
        </w:rPr>
        <w:t xml:space="preserve"> (low</w:t>
      </w:r>
      <w:r w:rsidRPr="00F94A2F">
        <w:rPr>
          <w:rFonts w:cs="Arial"/>
        </w:rPr>
        <w:noBreakHyphen/>
        <w:t xml:space="preserve">trust devices) and </w:t>
      </w:r>
      <w:r w:rsidRPr="00F94A2F">
        <w:rPr>
          <w:rFonts w:cs="Arial"/>
          <w:b/>
          <w:bCs/>
        </w:rPr>
        <w:t>Guest</w:t>
      </w:r>
      <w:r w:rsidRPr="00F94A2F">
        <w:rPr>
          <w:rFonts w:cs="Arial"/>
        </w:rPr>
        <w:t xml:space="preserve"> (visitors). Inter</w:t>
      </w:r>
      <w:r w:rsidRPr="00F94A2F">
        <w:rPr>
          <w:rFonts w:cs="Arial"/>
        </w:rPr>
        <w:noBreakHyphen/>
        <w:t xml:space="preserve">VLAN initiation is </w:t>
      </w:r>
      <w:r w:rsidRPr="00F94A2F">
        <w:rPr>
          <w:rFonts w:cs="Arial"/>
          <w:b/>
          <w:bCs/>
        </w:rPr>
        <w:t>default</w:t>
      </w:r>
      <w:r w:rsidRPr="00F94A2F">
        <w:rPr>
          <w:rFonts w:cs="Arial"/>
          <w:b/>
          <w:bCs/>
        </w:rPr>
        <w:noBreakHyphen/>
        <w:t>deny</w:t>
      </w:r>
      <w:r w:rsidRPr="00F94A2F">
        <w:rPr>
          <w:rFonts w:cs="Arial"/>
        </w:rPr>
        <w:t xml:space="preserve">; DNS/NTP and internet egress are allowed. The </w:t>
      </w:r>
      <w:r w:rsidRPr="00F94A2F">
        <w:rPr>
          <w:rFonts w:cs="Arial"/>
          <w:b/>
          <w:bCs/>
        </w:rPr>
        <w:t>management plane</w:t>
      </w:r>
      <w:r w:rsidRPr="00F94A2F">
        <w:rPr>
          <w:rFonts w:cs="Arial"/>
        </w:rPr>
        <w:t xml:space="preserve"> (HTTPS/SSH) is reachable only from the Trusted segment. </w:t>
      </w:r>
      <w:r w:rsidRPr="00F94A2F">
        <w:rPr>
          <w:rFonts w:cs="Arial"/>
          <w:b/>
          <w:bCs/>
        </w:rPr>
        <w:t>Figure 1</w:t>
      </w:r>
      <w:r w:rsidRPr="00F94A2F">
        <w:rPr>
          <w:rFonts w:cs="Arial"/>
        </w:rPr>
        <w:t xml:space="preserve"> shows the layout and management boundaries.</w:t>
      </w:r>
    </w:p>
    <w:p w14:paraId="5F5016BD" w14:textId="7AE34ACD" w:rsidR="00CE19EA" w:rsidRPr="00F94A2F" w:rsidRDefault="00CE19EA" w:rsidP="00CE19EA">
      <w:pPr>
        <w:pStyle w:val="Heading2"/>
        <w:rPr>
          <w:rFonts w:cs="Arial"/>
        </w:rPr>
      </w:pPr>
      <w:bookmarkStart w:id="149" w:name="_Toc207753530"/>
      <w:r w:rsidRPr="00F94A2F">
        <w:rPr>
          <w:rFonts w:cs="Arial"/>
        </w:rPr>
        <w:t>3.3 Controls under test</w:t>
      </w:r>
      <w:bookmarkEnd w:id="149"/>
    </w:p>
    <w:p w14:paraId="1E8526E8" w14:textId="77777777" w:rsidR="00CE19EA" w:rsidRPr="00F94A2F" w:rsidRDefault="00CE19EA" w:rsidP="00CE19EA">
      <w:pPr>
        <w:numPr>
          <w:ilvl w:val="0"/>
          <w:numId w:val="47"/>
        </w:numPr>
        <w:spacing w:after="160" w:line="259" w:lineRule="auto"/>
        <w:jc w:val="left"/>
        <w:rPr>
          <w:rFonts w:cs="Arial"/>
        </w:rPr>
      </w:pPr>
      <w:r w:rsidRPr="00F94A2F">
        <w:rPr>
          <w:rFonts w:cs="Arial"/>
          <w:b/>
          <w:bCs/>
        </w:rPr>
        <w:t>Segmentation &amp; policy:</w:t>
      </w:r>
      <w:r w:rsidRPr="00F94A2F">
        <w:rPr>
          <w:rFonts w:cs="Arial"/>
        </w:rPr>
        <w:t xml:space="preserve"> per</w:t>
      </w:r>
      <w:r w:rsidRPr="00F94A2F">
        <w:rPr>
          <w:rFonts w:cs="Arial"/>
        </w:rPr>
        <w:noBreakHyphen/>
        <w:t>SSID VLANs; client isolation on Guest; minimal exceptions for device control (narrow Trusted→IoT rules).</w:t>
      </w:r>
    </w:p>
    <w:p w14:paraId="75324860" w14:textId="77777777" w:rsidR="00CE19EA" w:rsidRPr="00F94A2F" w:rsidRDefault="00CE19EA" w:rsidP="00CE19EA">
      <w:pPr>
        <w:numPr>
          <w:ilvl w:val="0"/>
          <w:numId w:val="47"/>
        </w:numPr>
        <w:spacing w:after="160" w:line="259" w:lineRule="auto"/>
        <w:jc w:val="left"/>
        <w:rPr>
          <w:rFonts w:cs="Arial"/>
        </w:rPr>
      </w:pPr>
      <w:r w:rsidRPr="00F94A2F">
        <w:rPr>
          <w:rFonts w:cs="Arial"/>
          <w:b/>
          <w:bCs/>
        </w:rPr>
        <w:t>Exposure reduction:</w:t>
      </w:r>
      <w:r w:rsidRPr="00F94A2F">
        <w:rPr>
          <w:rFonts w:cs="Arial"/>
        </w:rPr>
        <w:t xml:space="preserve"> UPnP disabled; WAN</w:t>
      </w:r>
      <w:r w:rsidRPr="00F94A2F">
        <w:rPr>
          <w:rFonts w:cs="Arial"/>
        </w:rPr>
        <w:noBreakHyphen/>
        <w:t>side admin closed; TLS or SSH for management only.</w:t>
      </w:r>
    </w:p>
    <w:p w14:paraId="250F90A0" w14:textId="77777777" w:rsidR="00CE19EA" w:rsidRPr="00F94A2F" w:rsidRDefault="00CE19EA" w:rsidP="00CE19EA">
      <w:pPr>
        <w:numPr>
          <w:ilvl w:val="0"/>
          <w:numId w:val="47"/>
        </w:numPr>
        <w:spacing w:after="160" w:line="259" w:lineRule="auto"/>
        <w:jc w:val="left"/>
        <w:rPr>
          <w:rFonts w:cs="Arial"/>
        </w:rPr>
      </w:pPr>
      <w:r w:rsidRPr="00F94A2F">
        <w:rPr>
          <w:rFonts w:cs="Arial"/>
          <w:b/>
          <w:bCs/>
        </w:rPr>
        <w:t>Credentials:</w:t>
      </w:r>
      <w:r w:rsidRPr="00F94A2F">
        <w:rPr>
          <w:rFonts w:cs="Arial"/>
        </w:rPr>
        <w:t xml:space="preserve"> unique admin/device passwords; remove defaults; enable MFA if supported.</w:t>
      </w:r>
    </w:p>
    <w:p w14:paraId="612C0671" w14:textId="77777777" w:rsidR="00CE19EA" w:rsidRPr="00F94A2F" w:rsidRDefault="00CE19EA" w:rsidP="00CE19EA">
      <w:pPr>
        <w:numPr>
          <w:ilvl w:val="0"/>
          <w:numId w:val="47"/>
        </w:numPr>
        <w:spacing w:after="160" w:line="259" w:lineRule="auto"/>
        <w:jc w:val="left"/>
        <w:rPr>
          <w:rFonts w:cs="Arial"/>
        </w:rPr>
      </w:pPr>
      <w:r w:rsidRPr="00F94A2F">
        <w:rPr>
          <w:rFonts w:cs="Arial"/>
          <w:b/>
          <w:bCs/>
        </w:rPr>
        <w:t>Updates:</w:t>
      </w:r>
      <w:r w:rsidRPr="00F94A2F">
        <w:rPr>
          <w:rFonts w:cs="Arial"/>
        </w:rPr>
        <w:t xml:space="preserve"> firmware/OS patched to latest available; schedule checks monthly.</w:t>
      </w:r>
    </w:p>
    <w:p w14:paraId="27F42BE3" w14:textId="77777777" w:rsidR="00CE19EA" w:rsidRPr="00F94A2F" w:rsidRDefault="00CE19EA" w:rsidP="00CE19EA">
      <w:pPr>
        <w:pStyle w:val="Heading2"/>
        <w:rPr>
          <w:rFonts w:cs="Arial"/>
        </w:rPr>
      </w:pPr>
      <w:bookmarkStart w:id="150" w:name="_Toc207753531"/>
      <w:r w:rsidRPr="00F94A2F">
        <w:rPr>
          <w:rFonts w:cs="Arial"/>
        </w:rPr>
        <w:t>3.4 Test cases and tools</w:t>
      </w:r>
      <w:bookmarkEnd w:id="150"/>
    </w:p>
    <w:p w14:paraId="5D44779C" w14:textId="77777777" w:rsidR="00CE19EA" w:rsidRPr="00F94A2F" w:rsidRDefault="00CE19EA" w:rsidP="00CE19EA">
      <w:pPr>
        <w:numPr>
          <w:ilvl w:val="0"/>
          <w:numId w:val="48"/>
        </w:numPr>
        <w:spacing w:after="160" w:line="259" w:lineRule="auto"/>
        <w:jc w:val="left"/>
        <w:rPr>
          <w:rFonts w:cs="Arial"/>
        </w:rPr>
      </w:pPr>
      <w:r w:rsidRPr="00F94A2F">
        <w:rPr>
          <w:rFonts w:cs="Arial"/>
          <w:b/>
          <w:bCs/>
        </w:rPr>
        <w:lastRenderedPageBreak/>
        <w:t>TC1 External exposure:</w:t>
      </w:r>
      <w:r w:rsidRPr="00F94A2F">
        <w:rPr>
          <w:rFonts w:cs="Arial"/>
        </w:rPr>
        <w:t xml:space="preserve"> validate WAN</w:t>
      </w:r>
      <w:r w:rsidRPr="00F94A2F">
        <w:rPr>
          <w:rFonts w:cs="Arial"/>
        </w:rPr>
        <w:noBreakHyphen/>
        <w:t>side closures (local verification only).</w:t>
      </w:r>
    </w:p>
    <w:p w14:paraId="26AD74D7" w14:textId="77777777" w:rsidR="00CE19EA" w:rsidRPr="00F94A2F" w:rsidRDefault="00CE19EA" w:rsidP="00CE19EA">
      <w:pPr>
        <w:numPr>
          <w:ilvl w:val="0"/>
          <w:numId w:val="48"/>
        </w:numPr>
        <w:spacing w:after="160" w:line="259" w:lineRule="auto"/>
        <w:jc w:val="left"/>
        <w:rPr>
          <w:rFonts w:cs="Arial"/>
        </w:rPr>
      </w:pPr>
      <w:r w:rsidRPr="00F94A2F">
        <w:rPr>
          <w:rFonts w:cs="Arial"/>
          <w:b/>
          <w:bCs/>
        </w:rPr>
        <w:t>TC2 Internal discovery:</w:t>
      </w:r>
      <w:r w:rsidRPr="00F94A2F">
        <w:rPr>
          <w:rFonts w:cs="Arial"/>
        </w:rPr>
        <w:t xml:space="preserve"> Nmap host/service discovery within each segment [35].</w:t>
      </w:r>
    </w:p>
    <w:p w14:paraId="6768156C" w14:textId="77777777" w:rsidR="00CE19EA" w:rsidRPr="00F94A2F" w:rsidRDefault="00CE19EA" w:rsidP="00CE19EA">
      <w:pPr>
        <w:numPr>
          <w:ilvl w:val="0"/>
          <w:numId w:val="48"/>
        </w:numPr>
        <w:spacing w:after="160" w:line="259" w:lineRule="auto"/>
        <w:jc w:val="left"/>
        <w:rPr>
          <w:rFonts w:cs="Arial"/>
        </w:rPr>
      </w:pPr>
      <w:r w:rsidRPr="00F94A2F">
        <w:rPr>
          <w:rFonts w:cs="Arial"/>
          <w:b/>
          <w:bCs/>
        </w:rPr>
        <w:t>TC3 Weak/default credentials:</w:t>
      </w:r>
      <w:r w:rsidRPr="00F94A2F">
        <w:rPr>
          <w:rFonts w:cs="Arial"/>
        </w:rPr>
        <w:t xml:space="preserve"> dictionary attempts with Hydra; observe lockouts and attempt limits [36].</w:t>
      </w:r>
    </w:p>
    <w:p w14:paraId="1F0ACEB7" w14:textId="77777777" w:rsidR="00CE19EA" w:rsidRPr="00F94A2F" w:rsidRDefault="00CE19EA" w:rsidP="00CE19EA">
      <w:pPr>
        <w:numPr>
          <w:ilvl w:val="0"/>
          <w:numId w:val="48"/>
        </w:numPr>
        <w:spacing w:after="160" w:line="259" w:lineRule="auto"/>
        <w:jc w:val="left"/>
        <w:rPr>
          <w:rFonts w:cs="Arial"/>
        </w:rPr>
      </w:pPr>
      <w:r w:rsidRPr="00F94A2F">
        <w:rPr>
          <w:rFonts w:cs="Arial"/>
          <w:b/>
          <w:bCs/>
        </w:rPr>
        <w:t>TC4 Lateral movement:</w:t>
      </w:r>
      <w:r w:rsidRPr="00F94A2F">
        <w:rPr>
          <w:rFonts w:cs="Arial"/>
        </w:rPr>
        <w:t xml:space="preserve"> attempt pivots from IoT/Guest to Trusted targets; verify policy via reachability tests.</w:t>
      </w:r>
    </w:p>
    <w:p w14:paraId="7CA90D55" w14:textId="77777777" w:rsidR="00CE19EA" w:rsidRPr="00F94A2F" w:rsidRDefault="00CE19EA" w:rsidP="00CE19EA">
      <w:pPr>
        <w:numPr>
          <w:ilvl w:val="0"/>
          <w:numId w:val="48"/>
        </w:numPr>
        <w:spacing w:after="160" w:line="259" w:lineRule="auto"/>
        <w:jc w:val="left"/>
        <w:rPr>
          <w:rFonts w:cs="Arial"/>
        </w:rPr>
      </w:pPr>
      <w:r w:rsidRPr="00F94A2F">
        <w:rPr>
          <w:rFonts w:cs="Arial"/>
          <w:b/>
          <w:bCs/>
        </w:rPr>
        <w:t>TC5 UPnP/remote</w:t>
      </w:r>
      <w:r w:rsidRPr="00F94A2F">
        <w:rPr>
          <w:rFonts w:cs="Arial"/>
          <w:b/>
          <w:bCs/>
        </w:rPr>
        <w:noBreakHyphen/>
        <w:t>admin exposure:</w:t>
      </w:r>
      <w:r w:rsidRPr="00F94A2F">
        <w:rPr>
          <w:rFonts w:cs="Arial"/>
        </w:rPr>
        <w:t xml:space="preserve"> verify protocol/services state under both builds.</w:t>
      </w:r>
    </w:p>
    <w:p w14:paraId="7C716153" w14:textId="77777777" w:rsidR="00CE19EA" w:rsidRPr="00F94A2F" w:rsidRDefault="00CE19EA" w:rsidP="00CE19EA">
      <w:pPr>
        <w:numPr>
          <w:ilvl w:val="0"/>
          <w:numId w:val="48"/>
        </w:numPr>
        <w:spacing w:after="160" w:line="259" w:lineRule="auto"/>
        <w:jc w:val="left"/>
        <w:rPr>
          <w:rFonts w:cs="Arial"/>
        </w:rPr>
      </w:pPr>
      <w:r w:rsidRPr="00F94A2F">
        <w:rPr>
          <w:rFonts w:cs="Arial"/>
          <w:b/>
          <w:bCs/>
        </w:rPr>
        <w:t>TC6 Vulnerability scanning:</w:t>
      </w:r>
      <w:r w:rsidRPr="00F94A2F">
        <w:rPr>
          <w:rFonts w:cs="Arial"/>
        </w:rPr>
        <w:t xml:space="preserve"> Greenbone (OpenVAS) authenticated/unauthenticated where safe to do so [34].</w:t>
      </w:r>
    </w:p>
    <w:p w14:paraId="24AF9947" w14:textId="77777777" w:rsidR="00CE19EA" w:rsidRPr="00F94A2F" w:rsidRDefault="00CE19EA" w:rsidP="00CE19EA">
      <w:pPr>
        <w:numPr>
          <w:ilvl w:val="0"/>
          <w:numId w:val="48"/>
        </w:numPr>
        <w:spacing w:after="160" w:line="259" w:lineRule="auto"/>
        <w:jc w:val="left"/>
        <w:rPr>
          <w:rFonts w:cs="Arial"/>
        </w:rPr>
      </w:pPr>
      <w:r w:rsidRPr="00F94A2F">
        <w:rPr>
          <w:rFonts w:cs="Arial"/>
          <w:b/>
          <w:bCs/>
        </w:rPr>
        <w:t>TC7 Detection quality:</w:t>
      </w:r>
      <w:r w:rsidRPr="00F94A2F">
        <w:rPr>
          <w:rFonts w:cs="Arial"/>
        </w:rPr>
        <w:t xml:space="preserve"> provoke Suricata/router events and measure alert latency [21], [27]–[29].</w:t>
      </w:r>
    </w:p>
    <w:p w14:paraId="7F97F076" w14:textId="77777777" w:rsidR="00CE19EA" w:rsidRPr="00F94A2F" w:rsidRDefault="00CE19EA" w:rsidP="00CE19EA">
      <w:pPr>
        <w:numPr>
          <w:ilvl w:val="0"/>
          <w:numId w:val="48"/>
        </w:numPr>
        <w:spacing w:after="160" w:line="259" w:lineRule="auto"/>
        <w:jc w:val="left"/>
        <w:rPr>
          <w:rFonts w:cs="Arial"/>
        </w:rPr>
      </w:pPr>
      <w:r w:rsidRPr="00F94A2F">
        <w:rPr>
          <w:rFonts w:cs="Arial"/>
          <w:b/>
          <w:bCs/>
        </w:rPr>
        <w:t>TC8 Name</w:t>
      </w:r>
      <w:r w:rsidRPr="00F94A2F">
        <w:rPr>
          <w:rFonts w:cs="Arial"/>
          <w:b/>
          <w:bCs/>
        </w:rPr>
        <w:noBreakHyphen/>
        <w:t>resolution abuse:</w:t>
      </w:r>
      <w:r w:rsidRPr="00F94A2F">
        <w:rPr>
          <w:rFonts w:cs="Arial"/>
        </w:rPr>
        <w:t xml:space="preserve"> attempt LLMNR/NBT</w:t>
      </w:r>
      <w:r w:rsidRPr="00F94A2F">
        <w:rPr>
          <w:rFonts w:cs="Arial"/>
        </w:rPr>
        <w:noBreakHyphen/>
        <w:t>NS poisoning/relay and observe Hardened behaviour [26].</w:t>
      </w:r>
    </w:p>
    <w:p w14:paraId="02F0DD80" w14:textId="77777777" w:rsidR="00CE19EA" w:rsidRPr="00F94A2F" w:rsidRDefault="00CE19EA" w:rsidP="00A56527">
      <w:pPr>
        <w:pStyle w:val="Heading2"/>
        <w:rPr>
          <w:rFonts w:cs="Arial"/>
        </w:rPr>
      </w:pPr>
      <w:bookmarkStart w:id="151" w:name="_Toc207753532"/>
      <w:r w:rsidRPr="00F94A2F">
        <w:rPr>
          <w:rFonts w:cs="Arial"/>
        </w:rPr>
        <w:t>3.5 Data collection and metrics</w:t>
      </w:r>
      <w:bookmarkEnd w:id="151"/>
    </w:p>
    <w:p w14:paraId="6D6E2A13" w14:textId="161E8766" w:rsidR="00CE19EA" w:rsidRPr="00F94A2F" w:rsidRDefault="00CE19EA" w:rsidP="00CE19EA">
      <w:pPr>
        <w:spacing w:after="160" w:line="259" w:lineRule="auto"/>
        <w:rPr>
          <w:rFonts w:cs="Arial"/>
        </w:rPr>
      </w:pPr>
      <w:r w:rsidRPr="00F94A2F">
        <w:rPr>
          <w:rFonts w:cs="Arial"/>
        </w:rPr>
        <w:t xml:space="preserve">For each test we capture </w:t>
      </w:r>
      <w:r w:rsidRPr="00F94A2F">
        <w:rPr>
          <w:rFonts w:cs="Arial"/>
          <w:b/>
          <w:bCs/>
        </w:rPr>
        <w:t>success</w:t>
      </w:r>
      <w:r w:rsidRPr="00F94A2F">
        <w:rPr>
          <w:rFonts w:cs="Arial"/>
        </w:rPr>
        <w:t xml:space="preserve">, </w:t>
      </w:r>
      <w:r w:rsidRPr="00F94A2F">
        <w:rPr>
          <w:rFonts w:cs="Arial"/>
          <w:b/>
          <w:bCs/>
        </w:rPr>
        <w:t>attempts</w:t>
      </w:r>
      <w:r w:rsidRPr="00F94A2F">
        <w:rPr>
          <w:rFonts w:cs="Arial"/>
        </w:rPr>
        <w:t xml:space="preserve">, </w:t>
      </w:r>
      <w:r w:rsidRPr="00F94A2F">
        <w:rPr>
          <w:rFonts w:cs="Arial"/>
          <w:b/>
          <w:bCs/>
        </w:rPr>
        <w:t>time</w:t>
      </w:r>
      <w:r w:rsidRPr="00F94A2F">
        <w:rPr>
          <w:rFonts w:cs="Arial"/>
          <w:b/>
          <w:bCs/>
        </w:rPr>
        <w:noBreakHyphen/>
        <w:t>to</w:t>
      </w:r>
      <w:r w:rsidRPr="00F94A2F">
        <w:rPr>
          <w:rFonts w:cs="Arial"/>
          <w:b/>
          <w:bCs/>
        </w:rPr>
        <w:noBreakHyphen/>
        <w:t>success</w:t>
      </w:r>
      <w:r w:rsidRPr="00F94A2F">
        <w:rPr>
          <w:rFonts w:cs="Arial"/>
        </w:rPr>
        <w:t xml:space="preserve"> and </w:t>
      </w:r>
      <w:r w:rsidRPr="00F94A2F">
        <w:rPr>
          <w:rFonts w:cs="Arial"/>
          <w:b/>
          <w:bCs/>
        </w:rPr>
        <w:t>alert latency</w:t>
      </w:r>
      <w:r w:rsidRPr="00F94A2F">
        <w:rPr>
          <w:rFonts w:cs="Arial"/>
        </w:rPr>
        <w:t>. Scanner outputs are summarised as counts of High/Critical findings and maximum CVSS per target. Results are mapped to CIS Controls and ATT&amp;CK techniques [8], [22]–[26]. Evidence is archived.</w:t>
      </w:r>
    </w:p>
    <w:p w14:paraId="36510C0C" w14:textId="77777777" w:rsidR="00CE19EA" w:rsidRPr="00F94A2F" w:rsidRDefault="00CE19EA" w:rsidP="00A56527">
      <w:pPr>
        <w:pStyle w:val="Heading2"/>
        <w:rPr>
          <w:rFonts w:cs="Arial"/>
        </w:rPr>
      </w:pPr>
      <w:bookmarkStart w:id="152" w:name="_Toc207753533"/>
      <w:r w:rsidRPr="00F94A2F">
        <w:rPr>
          <w:rFonts w:cs="Arial"/>
        </w:rPr>
        <w:t>3.6 Validity, ethics and limitations</w:t>
      </w:r>
      <w:bookmarkEnd w:id="152"/>
    </w:p>
    <w:p w14:paraId="5E47FD8D" w14:textId="77777777" w:rsidR="00CE19EA" w:rsidRPr="00F94A2F" w:rsidRDefault="00CE19EA" w:rsidP="00CE19EA">
      <w:pPr>
        <w:spacing w:after="160" w:line="259" w:lineRule="auto"/>
        <w:rPr>
          <w:rFonts w:cs="Arial"/>
        </w:rPr>
      </w:pPr>
      <w:r w:rsidRPr="00F94A2F">
        <w:rPr>
          <w:rFonts w:cs="Arial"/>
        </w:rPr>
        <w:t>We restrict testing to our own environment (CMA compliance) [10]. Measurement variance is reduced via scripting and repeated runs; medians are reported where applicable. External validity is constrained by hardware diversity and vendor feature sets, but the principles transfer broadly.</w:t>
      </w:r>
    </w:p>
    <w:p w14:paraId="0C3143D0" w14:textId="70D3290A" w:rsidR="005C3FA5" w:rsidRPr="00F94A2F" w:rsidRDefault="003C63F6" w:rsidP="00057836">
      <w:pPr>
        <w:pStyle w:val="Heading1"/>
        <w:rPr>
          <w:rFonts w:cs="Arial"/>
        </w:rPr>
      </w:pPr>
      <w:bookmarkStart w:id="153" w:name="_Toc207753534"/>
      <w:r w:rsidRPr="00F94A2F">
        <w:rPr>
          <w:rFonts w:cs="Arial"/>
          <w:lang w:val="en-GB"/>
        </w:rPr>
        <w:t xml:space="preserve">Chapter 4 - </w:t>
      </w:r>
      <w:bookmarkEnd w:id="142"/>
      <w:r w:rsidR="00A56527" w:rsidRPr="00F94A2F">
        <w:rPr>
          <w:rFonts w:cs="Arial"/>
          <w:bCs/>
          <w:iCs/>
        </w:rPr>
        <w:t>RESULTS</w:t>
      </w:r>
      <w:bookmarkStart w:id="154" w:name="_Toc341174561"/>
      <w:bookmarkEnd w:id="153"/>
    </w:p>
    <w:p w14:paraId="590326FA" w14:textId="500D7786" w:rsidR="005C3FA5" w:rsidRPr="00F94A2F" w:rsidRDefault="005C3FA5" w:rsidP="005C3FA5">
      <w:pPr>
        <w:spacing w:after="160" w:line="259" w:lineRule="auto"/>
        <w:jc w:val="left"/>
        <w:rPr>
          <w:rFonts w:eastAsia="Aptos" w:cs="Arial"/>
          <w:sz w:val="22"/>
          <w:szCs w:val="22"/>
          <w:lang w:eastAsia="en-US"/>
        </w:rPr>
      </w:pPr>
      <w:r w:rsidRPr="00F94A2F">
        <w:rPr>
          <w:rFonts w:eastAsia="Aptos" w:cs="Arial"/>
          <w:sz w:val="22"/>
          <w:szCs w:val="22"/>
          <w:lang w:eastAsia="en-US"/>
        </w:rPr>
        <w:t>Default/weak</w:t>
      </w:r>
      <w:r w:rsidRPr="00F94A2F">
        <w:rPr>
          <w:rFonts w:eastAsia="Aptos" w:cs="Arial"/>
          <w:sz w:val="22"/>
          <w:szCs w:val="22"/>
          <w:lang w:eastAsia="en-US"/>
        </w:rPr>
        <w:noBreakHyphen/>
        <w:t>credential abuse (TC3) typically succeeds quickly in Baseline if vendor defaults persist; Hardened should fail within configured limits (lockouts, unique passwords, MFA). Lateral movement from IoT/Guest (TC4) should be blocked by default</w:t>
      </w:r>
      <w:r w:rsidRPr="00F94A2F">
        <w:rPr>
          <w:rFonts w:eastAsia="Aptos" w:cs="Arial"/>
          <w:sz w:val="22"/>
          <w:szCs w:val="22"/>
          <w:lang w:eastAsia="en-US"/>
        </w:rPr>
        <w:noBreakHyphen/>
        <w:t>deny policy, with narrow exceptions only where justified.</w:t>
      </w:r>
    </w:p>
    <w:p w14:paraId="2A95ADA8" w14:textId="77777777" w:rsidR="003D34A9" w:rsidRPr="00F94A2F" w:rsidRDefault="00EE476B" w:rsidP="003D34A9">
      <w:pPr>
        <w:keepNext/>
        <w:spacing w:after="160" w:line="259" w:lineRule="auto"/>
        <w:jc w:val="left"/>
        <w:rPr>
          <w:rFonts w:cs="Arial"/>
        </w:rPr>
      </w:pPr>
      <w:r w:rsidRPr="00F94A2F">
        <w:rPr>
          <w:rFonts w:cs="Arial"/>
          <w:noProof/>
        </w:rPr>
        <w:lastRenderedPageBreak/>
        <w:drawing>
          <wp:inline distT="0" distB="0" distL="0" distR="0" wp14:anchorId="023F9957" wp14:editId="37D89901">
            <wp:extent cx="5486400" cy="3402957"/>
            <wp:effectExtent l="0" t="0" r="0" b="0"/>
            <wp:docPr id="3" name="Picture 3"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different colored squares&#10;&#10;AI-generated content may be incorrect."/>
                    <pic:cNvPicPr/>
                  </pic:nvPicPr>
                  <pic:blipFill>
                    <a:blip r:embed="rId17"/>
                    <a:stretch>
                      <a:fillRect/>
                    </a:stretch>
                  </pic:blipFill>
                  <pic:spPr>
                    <a:xfrm>
                      <a:off x="0" y="0"/>
                      <a:ext cx="5486400" cy="3402957"/>
                    </a:xfrm>
                    <a:prstGeom prst="rect">
                      <a:avLst/>
                    </a:prstGeom>
                  </pic:spPr>
                </pic:pic>
              </a:graphicData>
            </a:graphic>
          </wp:inline>
        </w:drawing>
      </w:r>
    </w:p>
    <w:p w14:paraId="70D82275" w14:textId="725BDCC9" w:rsidR="00EE476B" w:rsidRPr="00F94A2F" w:rsidRDefault="003D34A9" w:rsidP="003D34A9">
      <w:pPr>
        <w:pStyle w:val="Caption"/>
        <w:jc w:val="left"/>
        <w:rPr>
          <w:rFonts w:eastAsia="Aptos" w:cs="Arial"/>
          <w:sz w:val="22"/>
          <w:szCs w:val="22"/>
          <w:lang w:eastAsia="en-US"/>
        </w:rPr>
      </w:pPr>
      <w:bookmarkStart w:id="155" w:name="_Toc207753429"/>
      <w:r w:rsidRPr="00F94A2F">
        <w:rPr>
          <w:rFonts w:cs="Arial"/>
        </w:rPr>
        <w:t xml:space="preserve">Figure </w:t>
      </w:r>
      <w:r w:rsidRPr="00F94A2F">
        <w:rPr>
          <w:rFonts w:cs="Arial"/>
        </w:rPr>
        <w:fldChar w:fldCharType="begin"/>
      </w:r>
      <w:r w:rsidRPr="00F94A2F">
        <w:rPr>
          <w:rFonts w:cs="Arial"/>
        </w:rPr>
        <w:instrText xml:space="preserve"> SEQ Figure \* ARABIC </w:instrText>
      </w:r>
      <w:r w:rsidRPr="00F94A2F">
        <w:rPr>
          <w:rFonts w:cs="Arial"/>
        </w:rPr>
        <w:fldChar w:fldCharType="separate"/>
      </w:r>
      <w:r w:rsidRPr="00F94A2F">
        <w:rPr>
          <w:rFonts w:cs="Arial"/>
          <w:noProof/>
        </w:rPr>
        <w:t>2</w:t>
      </w:r>
      <w:r w:rsidRPr="00F94A2F">
        <w:rPr>
          <w:rFonts w:cs="Arial"/>
        </w:rPr>
        <w:fldChar w:fldCharType="end"/>
      </w:r>
      <w:r w:rsidRPr="00F94A2F">
        <w:rPr>
          <w:rFonts w:cs="Arial"/>
        </w:rPr>
        <w:t xml:space="preserve"> -High/Critical CVEs per target - Baseline vs Hardened.</w:t>
      </w:r>
      <w:bookmarkEnd w:id="155"/>
    </w:p>
    <w:p w14:paraId="568C698B" w14:textId="1311B49D" w:rsidR="005A4364" w:rsidRPr="00F94A2F" w:rsidRDefault="00B86CE0" w:rsidP="00C923AE">
      <w:pPr>
        <w:pStyle w:val="Heading1"/>
        <w:rPr>
          <w:rFonts w:cs="Arial"/>
        </w:rPr>
      </w:pPr>
      <w:bookmarkStart w:id="156" w:name="_Toc207753535"/>
      <w:r w:rsidRPr="00F94A2F">
        <w:rPr>
          <w:rFonts w:cs="Arial"/>
          <w:lang w:val="en-GB"/>
        </w:rPr>
        <w:t>Chapter 5 –</w:t>
      </w:r>
      <w:r w:rsidR="00683FC0" w:rsidRPr="00F94A2F">
        <w:rPr>
          <w:rFonts w:cs="Arial"/>
          <w:lang w:val="en-GB"/>
        </w:rPr>
        <w:t xml:space="preserve"> </w:t>
      </w:r>
      <w:r w:rsidRPr="00F94A2F">
        <w:rPr>
          <w:rFonts w:cs="Arial"/>
          <w:lang w:val="en-GB"/>
        </w:rPr>
        <w:t>Evaluation</w:t>
      </w:r>
      <w:bookmarkEnd w:id="156"/>
      <w:r w:rsidRPr="00F94A2F">
        <w:rPr>
          <w:rFonts w:cs="Arial"/>
          <w:lang w:val="en-GB"/>
        </w:rPr>
        <w:t xml:space="preserve"> </w:t>
      </w:r>
      <w:bookmarkEnd w:id="154"/>
      <w:r w:rsidR="005A4364" w:rsidRPr="00F94A2F">
        <w:rPr>
          <w:rFonts w:cs="Arial"/>
        </w:rPr>
        <w:t xml:space="preserve"> </w:t>
      </w:r>
    </w:p>
    <w:p w14:paraId="43EB07A8" w14:textId="3F58F20C" w:rsidR="00683FC0" w:rsidRPr="00F94A2F" w:rsidRDefault="00683FC0" w:rsidP="00683FC0">
      <w:pPr>
        <w:pStyle w:val="Heading2"/>
        <w:rPr>
          <w:rFonts w:eastAsia="Aptos" w:cs="Arial"/>
        </w:rPr>
      </w:pPr>
      <w:bookmarkStart w:id="157" w:name="_Toc341174562"/>
      <w:bookmarkStart w:id="158" w:name="_Toc207753536"/>
      <w:r w:rsidRPr="00F94A2F">
        <w:rPr>
          <w:rFonts w:eastAsia="Aptos" w:cs="Arial"/>
        </w:rPr>
        <w:t>5.1 Overview of findings</w:t>
      </w:r>
      <w:bookmarkEnd w:id="158"/>
    </w:p>
    <w:p w14:paraId="2A918CA0" w14:textId="6DFF7682"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The experiment demonstrates that a compact set of hardening actions—credential hygiene, timely updates, service minimisation, </w:t>
      </w:r>
      <w:r w:rsidRPr="00F94A2F">
        <w:rPr>
          <w:rFonts w:eastAsia="Aptos" w:cs="Arial"/>
          <w:b/>
          <w:bCs/>
          <w:sz w:val="22"/>
          <w:szCs w:val="22"/>
          <w:lang w:eastAsia="en-US"/>
        </w:rPr>
        <w:t>segmentation</w:t>
      </w:r>
      <w:r w:rsidRPr="00F94A2F">
        <w:rPr>
          <w:rFonts w:eastAsia="Aptos" w:cs="Arial"/>
          <w:sz w:val="22"/>
          <w:szCs w:val="22"/>
          <w:lang w:eastAsia="en-US"/>
        </w:rPr>
        <w:t xml:space="preserve"> and right</w:t>
      </w:r>
      <w:r w:rsidRPr="00F94A2F">
        <w:rPr>
          <w:rFonts w:eastAsia="Aptos" w:cs="Arial"/>
          <w:sz w:val="22"/>
          <w:szCs w:val="22"/>
          <w:lang w:eastAsia="en-US"/>
        </w:rPr>
        <w:noBreakHyphen/>
        <w:t>sized monitoring—can materially reduce risk in a typical home network. Across all hosts, the count of open services fell markedly in the Hardened build</w:t>
      </w:r>
      <w:r w:rsidR="00D16E2C" w:rsidRPr="00F94A2F">
        <w:rPr>
          <w:rFonts w:eastAsia="Aptos" w:cs="Arial"/>
          <w:sz w:val="22"/>
          <w:szCs w:val="22"/>
          <w:lang w:eastAsia="en-US"/>
        </w:rPr>
        <w:t xml:space="preserve">, </w:t>
      </w:r>
      <w:r w:rsidRPr="00F94A2F">
        <w:rPr>
          <w:rFonts w:eastAsia="Aptos" w:cs="Arial"/>
          <w:sz w:val="22"/>
          <w:szCs w:val="22"/>
          <w:lang w:eastAsia="en-US"/>
        </w:rPr>
        <w:t>with perimeter</w:t>
      </w:r>
      <w:r w:rsidRPr="00F94A2F">
        <w:rPr>
          <w:rFonts w:eastAsia="Aptos" w:cs="Arial"/>
          <w:sz w:val="22"/>
          <w:szCs w:val="22"/>
          <w:lang w:eastAsia="en-US"/>
        </w:rPr>
        <w:noBreakHyphen/>
        <w:t xml:space="preserve">facing administration restricted to encrypted protocols and the management plane reachable only from the Trusted segment. High/critical vulnerabilities reported by the scanner were </w:t>
      </w:r>
      <w:r w:rsidR="00AE1355" w:rsidRPr="00F94A2F">
        <w:rPr>
          <w:rFonts w:eastAsia="Aptos" w:cs="Arial"/>
          <w:sz w:val="22"/>
          <w:szCs w:val="22"/>
          <w:lang w:eastAsia="en-US"/>
        </w:rPr>
        <w:t>reduced</w:t>
      </w:r>
      <w:r w:rsidRPr="00F94A2F">
        <w:rPr>
          <w:rFonts w:eastAsia="Aptos" w:cs="Arial"/>
          <w:sz w:val="22"/>
          <w:szCs w:val="22"/>
          <w:lang w:eastAsia="en-US"/>
        </w:rPr>
        <w:t xml:space="preserve"> or eliminated on network infrastructur</w:t>
      </w:r>
      <w:r w:rsidR="00D16E2C" w:rsidRPr="00F94A2F">
        <w:rPr>
          <w:rFonts w:eastAsia="Aptos" w:cs="Arial"/>
          <w:sz w:val="22"/>
          <w:szCs w:val="22"/>
          <w:lang w:eastAsia="en-US"/>
        </w:rPr>
        <w:t>e</w:t>
      </w:r>
      <w:r w:rsidRPr="00F94A2F">
        <w:rPr>
          <w:rFonts w:eastAsia="Aptos" w:cs="Arial"/>
          <w:sz w:val="22"/>
          <w:szCs w:val="22"/>
          <w:lang w:eastAsia="en-US"/>
        </w:rPr>
        <w:t>.</w:t>
      </w:r>
    </w:p>
    <w:p w14:paraId="2CCCB2BD" w14:textId="7D69393F" w:rsidR="00683FC0" w:rsidRPr="00F94A2F" w:rsidRDefault="00683FC0" w:rsidP="00683FC0">
      <w:pPr>
        <w:pStyle w:val="Heading2"/>
        <w:rPr>
          <w:rFonts w:eastAsia="Aptos" w:cs="Arial"/>
        </w:rPr>
      </w:pPr>
      <w:bookmarkStart w:id="159" w:name="_Toc207753537"/>
      <w:r w:rsidRPr="00F94A2F">
        <w:rPr>
          <w:rFonts w:eastAsia="Aptos" w:cs="Arial"/>
        </w:rPr>
        <w:t>5.2 Which controls delivered the most value</w:t>
      </w:r>
      <w:bookmarkEnd w:id="159"/>
    </w:p>
    <w:p w14:paraId="43F1C39E" w14:textId="1AC656A6"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Segmentation</w:t>
      </w:r>
      <w:r w:rsidRPr="00F94A2F">
        <w:rPr>
          <w:rFonts w:eastAsia="Aptos" w:cs="Arial"/>
          <w:sz w:val="22"/>
          <w:szCs w:val="22"/>
          <w:lang w:eastAsia="en-US"/>
        </w:rPr>
        <w:t xml:space="preserve"> produced the largest structural change: default</w:t>
      </w:r>
      <w:r w:rsidRPr="00F94A2F">
        <w:rPr>
          <w:rFonts w:eastAsia="Aptos" w:cs="Arial"/>
          <w:sz w:val="22"/>
          <w:szCs w:val="22"/>
          <w:lang w:eastAsia="en-US"/>
        </w:rPr>
        <w:noBreakHyphen/>
        <w:t xml:space="preserve">deny policies between </w:t>
      </w:r>
      <w:r w:rsidRPr="00F94A2F">
        <w:rPr>
          <w:rFonts w:eastAsia="Aptos" w:cs="Arial"/>
          <w:b/>
          <w:bCs/>
          <w:sz w:val="22"/>
          <w:szCs w:val="22"/>
          <w:lang w:eastAsia="en-US"/>
        </w:rPr>
        <w:t>Trusted</w:t>
      </w:r>
      <w:r w:rsidRPr="00F94A2F">
        <w:rPr>
          <w:rFonts w:eastAsia="Aptos" w:cs="Arial"/>
          <w:sz w:val="22"/>
          <w:szCs w:val="22"/>
          <w:lang w:eastAsia="en-US"/>
        </w:rPr>
        <w:t xml:space="preserve">, </w:t>
      </w:r>
      <w:r w:rsidRPr="00F94A2F">
        <w:rPr>
          <w:rFonts w:eastAsia="Aptos" w:cs="Arial"/>
          <w:b/>
          <w:bCs/>
          <w:sz w:val="22"/>
          <w:szCs w:val="22"/>
          <w:lang w:eastAsia="en-US"/>
        </w:rPr>
        <w:t>IoT</w:t>
      </w:r>
      <w:r w:rsidRPr="00F94A2F">
        <w:rPr>
          <w:rFonts w:eastAsia="Aptos" w:cs="Arial"/>
          <w:sz w:val="22"/>
          <w:szCs w:val="22"/>
          <w:lang w:eastAsia="en-US"/>
        </w:rPr>
        <w:t xml:space="preserve"> and </w:t>
      </w:r>
      <w:r w:rsidRPr="00F94A2F">
        <w:rPr>
          <w:rFonts w:eastAsia="Aptos" w:cs="Arial"/>
          <w:b/>
          <w:bCs/>
          <w:sz w:val="22"/>
          <w:szCs w:val="22"/>
          <w:lang w:eastAsia="en-US"/>
        </w:rPr>
        <w:t>Guest</w:t>
      </w:r>
      <w:r w:rsidRPr="00F94A2F">
        <w:rPr>
          <w:rFonts w:eastAsia="Aptos" w:cs="Arial"/>
          <w:sz w:val="22"/>
          <w:szCs w:val="22"/>
          <w:lang w:eastAsia="en-US"/>
        </w:rPr>
        <w:t xml:space="preserve"> transformed the lateral</w:t>
      </w:r>
      <w:r w:rsidRPr="00F94A2F">
        <w:rPr>
          <w:rFonts w:eastAsia="Aptos" w:cs="Arial"/>
          <w:sz w:val="22"/>
          <w:szCs w:val="22"/>
          <w:lang w:eastAsia="en-US"/>
        </w:rPr>
        <w:noBreakHyphen/>
        <w:t>movement problem into a narrow, explicitly allowed set of flows (DNS/NTP, internet egress), shrinking the blast radius of any IoT compromise</w:t>
      </w:r>
      <w:r w:rsidR="00D16E2C" w:rsidRPr="00F94A2F">
        <w:rPr>
          <w:rFonts w:eastAsia="Aptos" w:cs="Arial"/>
          <w:sz w:val="22"/>
          <w:szCs w:val="22"/>
          <w:lang w:eastAsia="en-US"/>
        </w:rPr>
        <w:t xml:space="preserve">. </w:t>
      </w:r>
      <w:r w:rsidRPr="00F94A2F">
        <w:rPr>
          <w:rFonts w:eastAsia="Aptos" w:cs="Arial"/>
          <w:sz w:val="22"/>
          <w:szCs w:val="22"/>
          <w:lang w:eastAsia="en-US"/>
        </w:rPr>
        <w:t>This aligns with NCSC consumer advice to isolate smart/guest devices and avoid universal trust on the LAN [6], and with the intent of ETSI EN 303 645 to limit device capabilities and exposure by default [11].</w:t>
      </w:r>
    </w:p>
    <w:p w14:paraId="2CEA5EC3"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Service minimisation</w:t>
      </w:r>
      <w:r w:rsidRPr="00F94A2F">
        <w:rPr>
          <w:rFonts w:eastAsia="Aptos" w:cs="Arial"/>
          <w:sz w:val="22"/>
          <w:szCs w:val="22"/>
          <w:lang w:eastAsia="en-US"/>
        </w:rPr>
        <w:t xml:space="preserve"> and </w:t>
      </w:r>
      <w:r w:rsidRPr="00F94A2F">
        <w:rPr>
          <w:rFonts w:eastAsia="Aptos" w:cs="Arial"/>
          <w:b/>
          <w:bCs/>
          <w:sz w:val="22"/>
          <w:szCs w:val="22"/>
          <w:lang w:eastAsia="en-US"/>
        </w:rPr>
        <w:t>remote</w:t>
      </w:r>
      <w:r w:rsidRPr="00F94A2F">
        <w:rPr>
          <w:rFonts w:eastAsia="Aptos" w:cs="Arial"/>
          <w:b/>
          <w:bCs/>
          <w:sz w:val="22"/>
          <w:szCs w:val="22"/>
          <w:lang w:eastAsia="en-US"/>
        </w:rPr>
        <w:noBreakHyphen/>
        <w:t>access lock</w:t>
      </w:r>
      <w:r w:rsidRPr="00F94A2F">
        <w:rPr>
          <w:rFonts w:eastAsia="Aptos" w:cs="Arial"/>
          <w:b/>
          <w:bCs/>
          <w:sz w:val="22"/>
          <w:szCs w:val="22"/>
          <w:lang w:eastAsia="en-US"/>
        </w:rPr>
        <w:noBreakHyphen/>
        <w:t>down</w:t>
      </w:r>
      <w:r w:rsidRPr="00F94A2F">
        <w:rPr>
          <w:rFonts w:eastAsia="Aptos" w:cs="Arial"/>
          <w:sz w:val="22"/>
          <w:szCs w:val="22"/>
          <w:lang w:eastAsia="en-US"/>
        </w:rPr>
        <w:t xml:space="preserve"> (UPnP off; no WAN management; HTTPS/SSH only) removed entire attack paths. This directly addresses ATT&amp;CK’s </w:t>
      </w:r>
      <w:r w:rsidRPr="00F94A2F">
        <w:rPr>
          <w:rFonts w:eastAsia="Aptos" w:cs="Arial"/>
          <w:i/>
          <w:iCs/>
          <w:sz w:val="22"/>
          <w:szCs w:val="22"/>
          <w:lang w:eastAsia="en-US"/>
        </w:rPr>
        <w:t>External Remote Services</w:t>
      </w:r>
      <w:r w:rsidRPr="00F94A2F">
        <w:rPr>
          <w:rFonts w:eastAsia="Aptos" w:cs="Arial"/>
          <w:sz w:val="22"/>
          <w:szCs w:val="22"/>
          <w:lang w:eastAsia="en-US"/>
        </w:rPr>
        <w:t xml:space="preserve"> (T1133) technique and is consistent with guidance from NCSC/CISA to disable UPnP and unnecessary remote features on consumer routers [6], [17].</w:t>
      </w:r>
    </w:p>
    <w:p w14:paraId="36423AED" w14:textId="4C45BDED"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lastRenderedPageBreak/>
        <w:t>Credential hygiene</w:t>
      </w:r>
      <w:r w:rsidRPr="00F94A2F">
        <w:rPr>
          <w:rFonts w:eastAsia="Aptos" w:cs="Arial"/>
          <w:sz w:val="22"/>
          <w:szCs w:val="22"/>
          <w:lang w:eastAsia="en-US"/>
        </w:rPr>
        <w:t xml:space="preserve"> (unique strong passwords, no vendor defaults, MFA where available) neutralised trivial takeover of routers and IoT web consoles, closing off </w:t>
      </w:r>
      <w:r w:rsidRPr="00F94A2F">
        <w:rPr>
          <w:rFonts w:eastAsia="Aptos" w:cs="Arial"/>
          <w:i/>
          <w:iCs/>
          <w:sz w:val="22"/>
          <w:szCs w:val="22"/>
          <w:lang w:eastAsia="en-US"/>
        </w:rPr>
        <w:t>Default Accounts</w:t>
      </w:r>
      <w:r w:rsidRPr="00F94A2F">
        <w:rPr>
          <w:rFonts w:eastAsia="Aptos" w:cs="Arial"/>
          <w:sz w:val="22"/>
          <w:szCs w:val="22"/>
          <w:lang w:eastAsia="en-US"/>
        </w:rPr>
        <w:t xml:space="preserve"> and </w:t>
      </w:r>
      <w:r w:rsidRPr="00F94A2F">
        <w:rPr>
          <w:rFonts w:eastAsia="Aptos" w:cs="Arial"/>
          <w:i/>
          <w:iCs/>
          <w:sz w:val="22"/>
          <w:szCs w:val="22"/>
          <w:lang w:eastAsia="en-US"/>
        </w:rPr>
        <w:t>Brute Force</w:t>
      </w:r>
      <w:r w:rsidRPr="00F94A2F">
        <w:rPr>
          <w:rFonts w:eastAsia="Aptos" w:cs="Arial"/>
          <w:sz w:val="22"/>
          <w:szCs w:val="22"/>
          <w:lang w:eastAsia="en-US"/>
        </w:rPr>
        <w:t xml:space="preserve"> avenues (T1078.001, T1110) [22], [23]. In Baseline, even small wordlists were sufficient to gain access on at least one target; in Hardened, attacks failed</w:t>
      </w:r>
      <w:r w:rsidR="00D16E2C" w:rsidRPr="00F94A2F">
        <w:rPr>
          <w:rFonts w:eastAsia="Aptos" w:cs="Arial"/>
          <w:sz w:val="22"/>
          <w:szCs w:val="22"/>
          <w:lang w:eastAsia="en-US"/>
        </w:rPr>
        <w:t>.</w:t>
      </w:r>
    </w:p>
    <w:p w14:paraId="25DB7901" w14:textId="00BC5E38"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Patching/firmware updates</w:t>
      </w:r>
      <w:r w:rsidRPr="00F94A2F">
        <w:rPr>
          <w:rFonts w:eastAsia="Aptos" w:cs="Arial"/>
          <w:sz w:val="22"/>
          <w:szCs w:val="22"/>
          <w:lang w:eastAsia="en-US"/>
        </w:rPr>
        <w:t xml:space="preserve"> reduced scanner</w:t>
      </w:r>
      <w:r w:rsidRPr="00F94A2F">
        <w:rPr>
          <w:rFonts w:eastAsia="Aptos" w:cs="Arial"/>
          <w:sz w:val="22"/>
          <w:szCs w:val="22"/>
          <w:lang w:eastAsia="en-US"/>
        </w:rPr>
        <w:noBreakHyphen/>
        <w:t xml:space="preserve">visible risk (fewer High/Critical findings and lower maximum </w:t>
      </w:r>
      <w:r w:rsidR="00AE1355" w:rsidRPr="00F94A2F">
        <w:rPr>
          <w:rFonts w:eastAsia="Aptos" w:cs="Arial"/>
          <w:sz w:val="22"/>
          <w:szCs w:val="22"/>
          <w:lang w:eastAsia="en-US"/>
        </w:rPr>
        <w:t>CVSs</w:t>
      </w:r>
      <w:r w:rsidRPr="00F94A2F">
        <w:rPr>
          <w:rFonts w:eastAsia="Aptos" w:cs="Arial"/>
          <w:sz w:val="22"/>
          <w:szCs w:val="22"/>
          <w:lang w:eastAsia="en-US"/>
        </w:rPr>
        <w:t xml:space="preserve"> per asset), which is expected given the long tail of known flaws in consumer firmware [15], [20]. Updates cannot fix architectural exposure alone, but in combination with segmentation and service minimisation they provide a strong defence</w:t>
      </w:r>
      <w:r w:rsidRPr="00F94A2F">
        <w:rPr>
          <w:rFonts w:eastAsia="Aptos" w:cs="Arial"/>
          <w:sz w:val="22"/>
          <w:szCs w:val="22"/>
          <w:lang w:eastAsia="en-US"/>
        </w:rPr>
        <w:noBreakHyphen/>
        <w:t>in</w:t>
      </w:r>
      <w:r w:rsidRPr="00F94A2F">
        <w:rPr>
          <w:rFonts w:eastAsia="Aptos" w:cs="Arial"/>
          <w:sz w:val="22"/>
          <w:szCs w:val="22"/>
          <w:lang w:eastAsia="en-US"/>
        </w:rPr>
        <w:noBreakHyphen/>
        <w:t>depth posture.</w:t>
      </w:r>
    </w:p>
    <w:p w14:paraId="6FBDEC35" w14:textId="77777777" w:rsidR="00683FC0" w:rsidRPr="00F94A2F" w:rsidRDefault="00683FC0" w:rsidP="00683FC0">
      <w:pPr>
        <w:pStyle w:val="Heading2"/>
        <w:rPr>
          <w:rFonts w:eastAsia="Aptos" w:cs="Arial"/>
        </w:rPr>
      </w:pPr>
      <w:bookmarkStart w:id="160" w:name="_Toc207753538"/>
      <w:r w:rsidRPr="00F94A2F">
        <w:rPr>
          <w:rFonts w:eastAsia="Aptos" w:cs="Arial"/>
        </w:rPr>
        <w:t>5.3 Segmentation in practice: benefits and edge cases</w:t>
      </w:r>
      <w:bookmarkEnd w:id="160"/>
    </w:p>
    <w:p w14:paraId="641BAD14" w14:textId="50DC8D4F"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The inter</w:t>
      </w:r>
      <w:r w:rsidRPr="00F94A2F">
        <w:rPr>
          <w:rFonts w:eastAsia="Aptos" w:cs="Arial"/>
          <w:sz w:val="22"/>
          <w:szCs w:val="22"/>
          <w:lang w:eastAsia="en-US"/>
        </w:rPr>
        <w:noBreakHyphen/>
        <w:t>segment matrices capture the effect of policy: under Baseline, a flat LAN left all paths reachable; under Hardened, cross</w:t>
      </w:r>
      <w:r w:rsidRPr="00F94A2F">
        <w:rPr>
          <w:rFonts w:eastAsia="Aptos" w:cs="Arial"/>
          <w:sz w:val="22"/>
          <w:szCs w:val="22"/>
          <w:lang w:eastAsia="en-US"/>
        </w:rPr>
        <w:noBreakHyphen/>
        <w:t xml:space="preserve">segment initiation was blocked by default. A practical complication is </w:t>
      </w:r>
      <w:r w:rsidRPr="00F94A2F">
        <w:rPr>
          <w:rFonts w:eastAsia="Aptos" w:cs="Arial"/>
          <w:b/>
          <w:bCs/>
          <w:sz w:val="22"/>
          <w:szCs w:val="22"/>
          <w:lang w:eastAsia="en-US"/>
        </w:rPr>
        <w:t>legacy IoT</w:t>
      </w:r>
      <w:r w:rsidRPr="00F94A2F">
        <w:rPr>
          <w:rFonts w:eastAsia="Aptos" w:cs="Arial"/>
          <w:sz w:val="22"/>
          <w:szCs w:val="22"/>
          <w:lang w:eastAsia="en-US"/>
        </w:rPr>
        <w:t xml:space="preserve"> that requires limited, stateful access to a controller application (e.g., smartphone on Trusted controlling a device on IoT).</w:t>
      </w:r>
    </w:p>
    <w:p w14:paraId="29B949A8" w14:textId="382B1C0A" w:rsidR="00683FC0" w:rsidRPr="00F94A2F" w:rsidRDefault="00683FC0" w:rsidP="00683FC0">
      <w:pPr>
        <w:pStyle w:val="Heading2"/>
        <w:rPr>
          <w:rFonts w:eastAsia="Aptos" w:cs="Arial"/>
        </w:rPr>
      </w:pPr>
      <w:bookmarkStart w:id="161" w:name="_Toc207753539"/>
      <w:r w:rsidRPr="00F94A2F">
        <w:rPr>
          <w:rFonts w:eastAsia="Aptos" w:cs="Arial"/>
        </w:rPr>
        <w:t>5.</w:t>
      </w:r>
      <w:r w:rsidR="00135DC8" w:rsidRPr="00F94A2F">
        <w:rPr>
          <w:rFonts w:eastAsia="Aptos" w:cs="Arial"/>
        </w:rPr>
        <w:t>4</w:t>
      </w:r>
      <w:r w:rsidRPr="00F94A2F">
        <w:rPr>
          <w:rFonts w:eastAsia="Aptos" w:cs="Arial"/>
        </w:rPr>
        <w:t xml:space="preserve"> Usability, cost and adoptability</w:t>
      </w:r>
      <w:bookmarkEnd w:id="161"/>
    </w:p>
    <w:p w14:paraId="444B69C7" w14:textId="3578E713"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The controls under test were intentionally </w:t>
      </w:r>
      <w:r w:rsidRPr="00F94A2F">
        <w:rPr>
          <w:rFonts w:eastAsia="Aptos" w:cs="Arial"/>
          <w:b/>
          <w:bCs/>
          <w:sz w:val="22"/>
          <w:szCs w:val="22"/>
          <w:lang w:eastAsia="en-US"/>
        </w:rPr>
        <w:t>budget</w:t>
      </w:r>
      <w:r w:rsidRPr="00F94A2F">
        <w:rPr>
          <w:rFonts w:eastAsia="Aptos" w:cs="Arial"/>
          <w:b/>
          <w:bCs/>
          <w:sz w:val="22"/>
          <w:szCs w:val="22"/>
          <w:lang w:eastAsia="en-US"/>
        </w:rPr>
        <w:noBreakHyphen/>
        <w:t>aware</w:t>
      </w:r>
      <w:r w:rsidRPr="00F94A2F">
        <w:rPr>
          <w:rFonts w:eastAsia="Aptos" w:cs="Arial"/>
          <w:sz w:val="22"/>
          <w:szCs w:val="22"/>
          <w:lang w:eastAsia="en-US"/>
        </w:rPr>
        <w:t xml:space="preserve"> and feasible on common platforms (OpenWrt, pfSense/OPNsense, UniFi). Effort concentrated on one</w:t>
      </w:r>
      <w:r w:rsidRPr="00F94A2F">
        <w:rPr>
          <w:rFonts w:eastAsia="Aptos" w:cs="Arial"/>
          <w:sz w:val="22"/>
          <w:szCs w:val="22"/>
          <w:lang w:eastAsia="en-US"/>
        </w:rPr>
        <w:noBreakHyphen/>
        <w:t>time configuration: defining VLANs/SSIDs, setting firewall rules, disabling UPnP/WAN admin and rotating credentials. Day</w:t>
      </w:r>
      <w:r w:rsidRPr="00F94A2F">
        <w:rPr>
          <w:rFonts w:eastAsia="Aptos" w:cs="Arial"/>
          <w:sz w:val="22"/>
          <w:szCs w:val="22"/>
          <w:lang w:eastAsia="en-US"/>
        </w:rPr>
        <w:noBreakHyphen/>
        <w:t>to</w:t>
      </w:r>
      <w:r w:rsidRPr="00F94A2F">
        <w:rPr>
          <w:rFonts w:eastAsia="Aptos" w:cs="Arial"/>
          <w:sz w:val="22"/>
          <w:szCs w:val="22"/>
          <w:lang w:eastAsia="en-US"/>
        </w:rPr>
        <w:noBreakHyphen/>
        <w:t>day overhead was low; the main user</w:t>
      </w:r>
      <w:r w:rsidRPr="00F94A2F">
        <w:rPr>
          <w:rFonts w:eastAsia="Aptos" w:cs="Arial"/>
          <w:sz w:val="22"/>
          <w:szCs w:val="22"/>
          <w:lang w:eastAsia="en-US"/>
        </w:rPr>
        <w:noBreakHyphen/>
        <w:t>experience impact was that some IoT provisioning tasks required temporarily joining the IoT SSID or adding a narrow allow</w:t>
      </w:r>
      <w:r w:rsidRPr="00F94A2F">
        <w:rPr>
          <w:rFonts w:eastAsia="Aptos" w:cs="Arial"/>
          <w:sz w:val="22"/>
          <w:szCs w:val="22"/>
          <w:lang w:eastAsia="en-US"/>
        </w:rPr>
        <w:noBreakHyphen/>
        <w:t>rule from Trusted → IoT. The trade</w:t>
      </w:r>
      <w:r w:rsidRPr="00F94A2F">
        <w:rPr>
          <w:rFonts w:eastAsia="Aptos" w:cs="Arial"/>
          <w:sz w:val="22"/>
          <w:szCs w:val="22"/>
          <w:lang w:eastAsia="en-US"/>
        </w:rPr>
        <w:noBreakHyphen/>
        <w:t>off is acceptable in exchange for a large reduction in reachable attack surface</w:t>
      </w:r>
      <w:r w:rsidR="00135DC8" w:rsidRPr="00F94A2F">
        <w:rPr>
          <w:rFonts w:eastAsia="Aptos" w:cs="Arial"/>
          <w:sz w:val="22"/>
          <w:szCs w:val="22"/>
          <w:lang w:eastAsia="en-US"/>
        </w:rPr>
        <w:t>.</w:t>
      </w:r>
    </w:p>
    <w:p w14:paraId="1C25D688" w14:textId="77777777" w:rsidR="00683FC0" w:rsidRPr="00F94A2F" w:rsidRDefault="00683FC0" w:rsidP="00683FC0">
      <w:pPr>
        <w:pStyle w:val="Heading2"/>
        <w:rPr>
          <w:rFonts w:eastAsia="Aptos" w:cs="Arial"/>
        </w:rPr>
      </w:pPr>
      <w:bookmarkStart w:id="162" w:name="_Toc207753540"/>
      <w:r w:rsidRPr="00F94A2F">
        <w:rPr>
          <w:rFonts w:eastAsia="Aptos" w:cs="Arial"/>
        </w:rPr>
        <w:t>5.6 Limitations and threats to validity</w:t>
      </w:r>
      <w:bookmarkEnd w:id="162"/>
    </w:p>
    <w:p w14:paraId="72A3CDB6"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Hardware diversity.</w:t>
      </w:r>
      <w:r w:rsidRPr="00F94A2F">
        <w:rPr>
          <w:rFonts w:eastAsia="Aptos" w:cs="Arial"/>
          <w:sz w:val="22"/>
          <w:szCs w:val="22"/>
          <w:lang w:eastAsia="en-US"/>
        </w:rPr>
        <w:t xml:space="preserve"> Results reflect a specific set of devices and firmware. Consumer ecosystems are fragmented; some models lack WPA3 or per</w:t>
      </w:r>
      <w:r w:rsidRPr="00F94A2F">
        <w:rPr>
          <w:rFonts w:eastAsia="Aptos" w:cs="Arial"/>
          <w:sz w:val="22"/>
          <w:szCs w:val="22"/>
          <w:lang w:eastAsia="en-US"/>
        </w:rPr>
        <w:noBreakHyphen/>
        <w:t>SSID VLAN mapping, and ISP</w:t>
      </w:r>
      <w:r w:rsidRPr="00F94A2F">
        <w:rPr>
          <w:rFonts w:eastAsia="Aptos" w:cs="Arial"/>
          <w:sz w:val="22"/>
          <w:szCs w:val="22"/>
          <w:lang w:eastAsia="en-US"/>
        </w:rPr>
        <w:noBreakHyphen/>
        <w:t>locked routers may restrict configuration. We mitigated by choosing widely used, well</w:t>
      </w:r>
      <w:r w:rsidRPr="00F94A2F">
        <w:rPr>
          <w:rFonts w:eastAsia="Aptos" w:cs="Arial"/>
          <w:sz w:val="22"/>
          <w:szCs w:val="22"/>
          <w:lang w:eastAsia="en-US"/>
        </w:rPr>
        <w:noBreakHyphen/>
        <w:t>documented platforms and focusing on controls that transfer across vendors, but external validity is not universal.</w:t>
      </w:r>
    </w:p>
    <w:p w14:paraId="1117A2B3" w14:textId="5B87D648"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Scanner coverage and false positives.</w:t>
      </w:r>
      <w:r w:rsidRPr="00F94A2F">
        <w:rPr>
          <w:rFonts w:eastAsia="Aptos" w:cs="Arial"/>
          <w:sz w:val="22"/>
          <w:szCs w:val="22"/>
          <w:lang w:eastAsia="en-US"/>
        </w:rPr>
        <w:t xml:space="preserve"> Vulnerability findings depend on plugin coverage and authenticated access. Some IoT web interfaces lack documented credentials or APIs for safe authenticated scans.</w:t>
      </w:r>
    </w:p>
    <w:p w14:paraId="52C96FF0" w14:textId="1F2AA93C"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Attacker model scope.</w:t>
      </w:r>
      <w:r w:rsidRPr="00F94A2F">
        <w:rPr>
          <w:rFonts w:eastAsia="Aptos" w:cs="Arial"/>
          <w:sz w:val="22"/>
          <w:szCs w:val="22"/>
          <w:lang w:eastAsia="en-US"/>
        </w:rPr>
        <w:t xml:space="preserve"> The study targets prevalent consumer threats (opportunistic external actors, local pivot from compromised IoT/guest). It does not address sophisticated supply</w:t>
      </w:r>
      <w:r w:rsidRPr="00F94A2F">
        <w:rPr>
          <w:rFonts w:eastAsia="Aptos" w:cs="Arial"/>
          <w:sz w:val="22"/>
          <w:szCs w:val="22"/>
          <w:lang w:eastAsia="en-US"/>
        </w:rPr>
        <w:noBreakHyphen/>
        <w:t>chain compromise or endpoint phishing/social engineering. Endpoint protection and user education remain essential.</w:t>
      </w:r>
    </w:p>
    <w:p w14:paraId="4418C4A3" w14:textId="77777777" w:rsidR="00683FC0" w:rsidRPr="00F94A2F" w:rsidRDefault="00683FC0" w:rsidP="00683FC0">
      <w:pPr>
        <w:pStyle w:val="Heading2"/>
        <w:rPr>
          <w:rFonts w:eastAsia="Aptos" w:cs="Arial"/>
        </w:rPr>
      </w:pPr>
      <w:bookmarkStart w:id="163" w:name="_Toc207753541"/>
      <w:r w:rsidRPr="00F94A2F">
        <w:rPr>
          <w:rFonts w:eastAsia="Aptos" w:cs="Arial"/>
        </w:rPr>
        <w:t>5.7 Implications and recommendations</w:t>
      </w:r>
      <w:bookmarkEnd w:id="163"/>
    </w:p>
    <w:p w14:paraId="053C6FE5" w14:textId="1DB36E2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For </w:t>
      </w:r>
      <w:r w:rsidRPr="00786CB6">
        <w:rPr>
          <w:rFonts w:eastAsia="Aptos" w:cs="Arial"/>
          <w:sz w:val="22"/>
          <w:szCs w:val="22"/>
          <w:lang w:eastAsia="en-US"/>
        </w:rPr>
        <w:t>home users</w:t>
      </w:r>
      <w:r w:rsidRPr="00F94A2F">
        <w:rPr>
          <w:rFonts w:eastAsia="Aptos" w:cs="Arial"/>
          <w:sz w:val="22"/>
          <w:szCs w:val="22"/>
          <w:lang w:eastAsia="en-US"/>
        </w:rPr>
        <w:t>: adopt a three</w:t>
      </w:r>
      <w:r w:rsidRPr="00F94A2F">
        <w:rPr>
          <w:rFonts w:eastAsia="Aptos" w:cs="Arial"/>
          <w:sz w:val="22"/>
          <w:szCs w:val="22"/>
          <w:lang w:eastAsia="en-US"/>
        </w:rPr>
        <w:noBreakHyphen/>
        <w:t>segment pattern (Trusted / IoT / Guest), default</w:t>
      </w:r>
      <w:r w:rsidRPr="00F94A2F">
        <w:rPr>
          <w:rFonts w:eastAsia="Aptos" w:cs="Arial"/>
          <w:sz w:val="22"/>
          <w:szCs w:val="22"/>
          <w:lang w:eastAsia="en-US"/>
        </w:rPr>
        <w:noBreakHyphen/>
        <w:t>deny inter</w:t>
      </w:r>
      <w:r w:rsidRPr="00F94A2F">
        <w:rPr>
          <w:rFonts w:eastAsia="Aptos" w:cs="Arial"/>
          <w:sz w:val="22"/>
          <w:szCs w:val="22"/>
          <w:lang w:eastAsia="en-US"/>
        </w:rPr>
        <w:noBreakHyphen/>
        <w:t>VLAN initiation, and keep the management plane pinned to Trusted. Disable UPnP and WAN</w:t>
      </w:r>
      <w:r w:rsidRPr="00F94A2F">
        <w:rPr>
          <w:rFonts w:eastAsia="Aptos" w:cs="Arial"/>
          <w:sz w:val="22"/>
          <w:szCs w:val="22"/>
          <w:lang w:eastAsia="en-US"/>
        </w:rPr>
        <w:noBreakHyphen/>
        <w:t xml:space="preserve">side management; rotate unique admin passwords and apply updates </w:t>
      </w:r>
      <w:r w:rsidRPr="00F94A2F">
        <w:rPr>
          <w:rFonts w:eastAsia="Aptos" w:cs="Arial"/>
          <w:sz w:val="22"/>
          <w:szCs w:val="22"/>
          <w:lang w:eastAsia="en-US"/>
        </w:rPr>
        <w:lastRenderedPageBreak/>
        <w:t>promptly. Where WPA3</w:t>
      </w:r>
      <w:r w:rsidRPr="00F94A2F">
        <w:rPr>
          <w:rFonts w:eastAsia="Aptos" w:cs="Arial"/>
          <w:sz w:val="22"/>
          <w:szCs w:val="22"/>
          <w:lang w:eastAsia="en-US"/>
        </w:rPr>
        <w:noBreakHyphen/>
        <w:t>SAE is unavailable, use long unique WPA2</w:t>
      </w:r>
      <w:r w:rsidRPr="00F94A2F">
        <w:rPr>
          <w:rFonts w:eastAsia="Aptos" w:cs="Arial"/>
          <w:sz w:val="22"/>
          <w:szCs w:val="22"/>
          <w:lang w:eastAsia="en-US"/>
        </w:rPr>
        <w:noBreakHyphen/>
        <w:t>PSK passphrases and disable WPS.</w:t>
      </w:r>
    </w:p>
    <w:p w14:paraId="7A9D4D06"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For </w:t>
      </w:r>
      <w:r w:rsidRPr="00F94A2F">
        <w:rPr>
          <w:rFonts w:eastAsia="Aptos" w:cs="Arial"/>
          <w:b/>
          <w:bCs/>
          <w:sz w:val="22"/>
          <w:szCs w:val="22"/>
          <w:lang w:eastAsia="en-US"/>
        </w:rPr>
        <w:t>vendors and ISPs</w:t>
      </w:r>
      <w:r w:rsidRPr="00F94A2F">
        <w:rPr>
          <w:rFonts w:eastAsia="Aptos" w:cs="Arial"/>
          <w:sz w:val="22"/>
          <w:szCs w:val="22"/>
          <w:lang w:eastAsia="en-US"/>
        </w:rPr>
        <w:t xml:space="preserve">: ship </w:t>
      </w:r>
      <w:r w:rsidRPr="00F94A2F">
        <w:rPr>
          <w:rFonts w:eastAsia="Aptos" w:cs="Arial"/>
          <w:b/>
          <w:bCs/>
          <w:sz w:val="22"/>
          <w:szCs w:val="22"/>
          <w:lang w:eastAsia="en-US"/>
        </w:rPr>
        <w:t>secure</w:t>
      </w:r>
      <w:r w:rsidRPr="00F94A2F">
        <w:rPr>
          <w:rFonts w:eastAsia="Aptos" w:cs="Arial"/>
          <w:b/>
          <w:bCs/>
          <w:sz w:val="22"/>
          <w:szCs w:val="22"/>
          <w:lang w:eastAsia="en-US"/>
        </w:rPr>
        <w:noBreakHyphen/>
        <w:t>by</w:t>
      </w:r>
      <w:r w:rsidRPr="00F94A2F">
        <w:rPr>
          <w:rFonts w:eastAsia="Aptos" w:cs="Arial"/>
          <w:b/>
          <w:bCs/>
          <w:sz w:val="22"/>
          <w:szCs w:val="22"/>
          <w:lang w:eastAsia="en-US"/>
        </w:rPr>
        <w:noBreakHyphen/>
        <w:t>default</w:t>
      </w:r>
      <w:r w:rsidRPr="00F94A2F">
        <w:rPr>
          <w:rFonts w:eastAsia="Aptos" w:cs="Arial"/>
          <w:sz w:val="22"/>
          <w:szCs w:val="22"/>
          <w:lang w:eastAsia="en-US"/>
        </w:rPr>
        <w:t xml:space="preserve"> configurations aligned with PSTI/ETSI—e.g., unique credentials, UPnP off by default, easy wizard</w:t>
      </w:r>
      <w:r w:rsidRPr="00F94A2F">
        <w:rPr>
          <w:rFonts w:eastAsia="Aptos" w:cs="Arial"/>
          <w:sz w:val="22"/>
          <w:szCs w:val="22"/>
          <w:lang w:eastAsia="en-US"/>
        </w:rPr>
        <w:noBreakHyphen/>
        <w:t>driven segmentation (separate SSIDs with client isolation), and clear update policies. Provide simple, auditable export of firewall rules and logs to empower informed users.</w:t>
      </w:r>
    </w:p>
    <w:p w14:paraId="599DE4A9" w14:textId="77777777" w:rsidR="00683FC0" w:rsidRPr="00F94A2F" w:rsidRDefault="00683FC0" w:rsidP="00683FC0">
      <w:pPr>
        <w:pStyle w:val="Heading2"/>
        <w:rPr>
          <w:rFonts w:eastAsia="Aptos" w:cs="Arial"/>
        </w:rPr>
      </w:pPr>
      <w:bookmarkStart w:id="164" w:name="_Toc207753542"/>
      <w:r w:rsidRPr="00F94A2F">
        <w:rPr>
          <w:rFonts w:eastAsia="Aptos" w:cs="Arial"/>
        </w:rPr>
        <w:t>5.8 Summary</w:t>
      </w:r>
      <w:bookmarkEnd w:id="164"/>
    </w:p>
    <w:p w14:paraId="195A0D3A"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The results indicate that </w:t>
      </w:r>
      <w:r w:rsidRPr="00F94A2F">
        <w:rPr>
          <w:rFonts w:eastAsia="Aptos" w:cs="Arial"/>
          <w:b/>
          <w:bCs/>
          <w:sz w:val="22"/>
          <w:szCs w:val="22"/>
          <w:lang w:eastAsia="en-US"/>
        </w:rPr>
        <w:t>simple, teachable configuration changes</w:t>
      </w:r>
      <w:r w:rsidRPr="00F94A2F">
        <w:rPr>
          <w:rFonts w:eastAsia="Aptos" w:cs="Arial"/>
          <w:sz w:val="22"/>
          <w:szCs w:val="22"/>
          <w:lang w:eastAsia="en-US"/>
        </w:rPr>
        <w:t xml:space="preserve"> deliver disproportionate security gains in home networks. Segmentation curtails lateral movement; service minimisation and credential hygiene erase low</w:t>
      </w:r>
      <w:r w:rsidRPr="00F94A2F">
        <w:rPr>
          <w:rFonts w:eastAsia="Aptos" w:cs="Arial"/>
          <w:sz w:val="22"/>
          <w:szCs w:val="22"/>
          <w:lang w:eastAsia="en-US"/>
        </w:rPr>
        <w:noBreakHyphen/>
        <w:t>effort compromise paths; updates dampen known</w:t>
      </w:r>
      <w:r w:rsidRPr="00F94A2F">
        <w:rPr>
          <w:rFonts w:eastAsia="Aptos" w:cs="Arial"/>
          <w:sz w:val="22"/>
          <w:szCs w:val="22"/>
          <w:lang w:eastAsia="en-US"/>
        </w:rPr>
        <w:noBreakHyphen/>
        <w:t>vulnerability risk; and lightweight monitoring provides useful visibility. These outcomes cohere with the direction of UK guidance and regulation while remaining practical for non</w:t>
      </w:r>
      <w:r w:rsidRPr="00F94A2F">
        <w:rPr>
          <w:rFonts w:eastAsia="Aptos" w:cs="Arial"/>
          <w:sz w:val="22"/>
          <w:szCs w:val="22"/>
          <w:lang w:eastAsia="en-US"/>
        </w:rPr>
        <w:noBreakHyphen/>
        <w:t>expert households.</w:t>
      </w:r>
    </w:p>
    <w:p w14:paraId="10C5742F" w14:textId="79E81B5F" w:rsidR="00B86CE0" w:rsidRPr="00F94A2F" w:rsidRDefault="00B86CE0" w:rsidP="00B86CE0">
      <w:pPr>
        <w:pStyle w:val="Heading1"/>
        <w:rPr>
          <w:rFonts w:cs="Arial"/>
        </w:rPr>
      </w:pPr>
      <w:bookmarkStart w:id="165" w:name="_Toc207753543"/>
      <w:r w:rsidRPr="00F94A2F">
        <w:rPr>
          <w:rFonts w:cs="Arial"/>
          <w:lang w:val="en-GB"/>
        </w:rPr>
        <w:t xml:space="preserve">Chapter 6 - </w:t>
      </w:r>
      <w:bookmarkEnd w:id="157"/>
      <w:r w:rsidRPr="00F94A2F">
        <w:rPr>
          <w:rFonts w:cs="Arial"/>
        </w:rPr>
        <w:t>CONCLUSIONS AND RECOMMENDATIONS</w:t>
      </w:r>
      <w:bookmarkEnd w:id="165"/>
    </w:p>
    <w:p w14:paraId="2DC43513" w14:textId="7129AED2" w:rsidR="003C0977" w:rsidRPr="00F94A2F" w:rsidRDefault="005A4364" w:rsidP="003C0977">
      <w:pPr>
        <w:spacing w:after="160" w:line="259" w:lineRule="auto"/>
        <w:rPr>
          <w:rFonts w:cs="Arial"/>
        </w:rPr>
      </w:pPr>
      <w:r w:rsidRPr="00F94A2F">
        <w:rPr>
          <w:rFonts w:cs="Arial"/>
        </w:rPr>
        <w:t xml:space="preserve"> </w:t>
      </w:r>
      <w:bookmarkStart w:id="166" w:name="_Toc341174563"/>
      <w:r w:rsidR="003C0977" w:rsidRPr="00F94A2F">
        <w:rPr>
          <w:rFonts w:cs="Arial"/>
        </w:rPr>
        <w:t>Compared to Baseline, the Hardened build reduced attack surface</w:t>
      </w:r>
      <w:r w:rsidR="00241A41" w:rsidRPr="00F94A2F">
        <w:rPr>
          <w:rFonts w:cs="Arial"/>
        </w:rPr>
        <w:t xml:space="preserve">, </w:t>
      </w:r>
      <w:r w:rsidR="003C0977" w:rsidRPr="00F94A2F">
        <w:rPr>
          <w:rFonts w:cs="Arial"/>
        </w:rPr>
        <w:t>lowered high/critical vulnerabilities</w:t>
      </w:r>
      <w:r w:rsidR="00241A41" w:rsidRPr="00F94A2F">
        <w:rPr>
          <w:rFonts w:cs="Arial"/>
        </w:rPr>
        <w:t xml:space="preserve">, </w:t>
      </w:r>
      <w:r w:rsidR="003C0977" w:rsidRPr="00F94A2F">
        <w:rPr>
          <w:rFonts w:cs="Arial"/>
        </w:rPr>
        <w:t xml:space="preserve">prevented common compromises, and provided timely detection. The most impactful control was </w:t>
      </w:r>
      <w:r w:rsidR="003C0977" w:rsidRPr="00F94A2F">
        <w:rPr>
          <w:rFonts w:cs="Arial"/>
          <w:b/>
          <w:bCs/>
        </w:rPr>
        <w:t>segmentation</w:t>
      </w:r>
      <w:r w:rsidR="003C0977" w:rsidRPr="00F94A2F">
        <w:rPr>
          <w:rFonts w:cs="Arial"/>
        </w:rPr>
        <w:t>, supported by service minimisation, credential hygiene, and updates [6]–[8], [11].</w:t>
      </w:r>
    </w:p>
    <w:p w14:paraId="5B34E115" w14:textId="0EDFC52F" w:rsidR="003C0977" w:rsidRPr="00F94A2F" w:rsidRDefault="003C0977" w:rsidP="003C0977">
      <w:pPr>
        <w:pStyle w:val="Heading2"/>
        <w:rPr>
          <w:rFonts w:cs="Arial"/>
        </w:rPr>
      </w:pPr>
      <w:bookmarkStart w:id="167" w:name="_Toc207753544"/>
      <w:r w:rsidRPr="00F94A2F">
        <w:rPr>
          <w:rFonts w:cs="Arial"/>
        </w:rPr>
        <w:t>6.1 Prioritised</w:t>
      </w:r>
      <w:r w:rsidR="00241A41" w:rsidRPr="00F94A2F">
        <w:rPr>
          <w:rFonts w:cs="Arial"/>
        </w:rPr>
        <w:t xml:space="preserve"> </w:t>
      </w:r>
      <w:r w:rsidRPr="00F94A2F">
        <w:rPr>
          <w:rFonts w:cs="Arial"/>
        </w:rPr>
        <w:t>control set</w:t>
      </w:r>
      <w:bookmarkEnd w:id="16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36"/>
        <w:gridCol w:w="3303"/>
        <w:gridCol w:w="802"/>
        <w:gridCol w:w="1320"/>
        <w:gridCol w:w="2397"/>
      </w:tblGrid>
      <w:tr w:rsidR="003C0977" w:rsidRPr="00F94A2F" w14:paraId="6C904F57" w14:textId="77777777" w:rsidTr="00241A41">
        <w:trPr>
          <w:tblHeader/>
          <w:tblCellSpacing w:w="15" w:type="dxa"/>
        </w:trPr>
        <w:tc>
          <w:tcPr>
            <w:tcW w:w="0" w:type="auto"/>
            <w:vAlign w:val="center"/>
            <w:hideMark/>
          </w:tcPr>
          <w:p w14:paraId="16ABD1E6" w14:textId="77777777" w:rsidR="003C0977" w:rsidRPr="00F94A2F" w:rsidRDefault="003C0977" w:rsidP="003E766F">
            <w:pPr>
              <w:spacing w:after="160" w:line="259" w:lineRule="auto"/>
              <w:jc w:val="left"/>
              <w:rPr>
                <w:rFonts w:cs="Arial"/>
                <w:b/>
                <w:bCs/>
              </w:rPr>
            </w:pPr>
            <w:r w:rsidRPr="00F94A2F">
              <w:rPr>
                <w:rFonts w:cs="Arial"/>
                <w:b/>
                <w:bCs/>
              </w:rPr>
              <w:t>Priority</w:t>
            </w:r>
          </w:p>
        </w:tc>
        <w:tc>
          <w:tcPr>
            <w:tcW w:w="0" w:type="auto"/>
            <w:vAlign w:val="center"/>
            <w:hideMark/>
          </w:tcPr>
          <w:p w14:paraId="58A03447" w14:textId="77777777" w:rsidR="003C0977" w:rsidRPr="00F94A2F" w:rsidRDefault="003C0977" w:rsidP="003E766F">
            <w:pPr>
              <w:spacing w:after="160" w:line="259" w:lineRule="auto"/>
              <w:jc w:val="left"/>
              <w:rPr>
                <w:rFonts w:cs="Arial"/>
                <w:b/>
                <w:bCs/>
              </w:rPr>
            </w:pPr>
            <w:r w:rsidRPr="00F94A2F">
              <w:rPr>
                <w:rFonts w:cs="Arial"/>
                <w:b/>
                <w:bCs/>
              </w:rPr>
              <w:t>Control</w:t>
            </w:r>
          </w:p>
        </w:tc>
        <w:tc>
          <w:tcPr>
            <w:tcW w:w="0" w:type="auto"/>
            <w:vAlign w:val="center"/>
            <w:hideMark/>
          </w:tcPr>
          <w:p w14:paraId="15026BD3" w14:textId="77777777" w:rsidR="003C0977" w:rsidRPr="00F94A2F" w:rsidRDefault="003C0977" w:rsidP="003E766F">
            <w:pPr>
              <w:spacing w:after="160" w:line="259" w:lineRule="auto"/>
              <w:jc w:val="left"/>
              <w:rPr>
                <w:rFonts w:cs="Arial"/>
                <w:b/>
                <w:bCs/>
              </w:rPr>
            </w:pPr>
            <w:r w:rsidRPr="00F94A2F">
              <w:rPr>
                <w:rFonts w:cs="Arial"/>
                <w:b/>
                <w:bCs/>
              </w:rPr>
              <w:t>Effort</w:t>
            </w:r>
          </w:p>
        </w:tc>
        <w:tc>
          <w:tcPr>
            <w:tcW w:w="0" w:type="auto"/>
            <w:vAlign w:val="center"/>
            <w:hideMark/>
          </w:tcPr>
          <w:p w14:paraId="18EF43F0" w14:textId="77777777" w:rsidR="003C0977" w:rsidRPr="00F94A2F" w:rsidRDefault="003C0977" w:rsidP="003E766F">
            <w:pPr>
              <w:spacing w:after="160" w:line="259" w:lineRule="auto"/>
              <w:jc w:val="left"/>
              <w:rPr>
                <w:rFonts w:cs="Arial"/>
                <w:b/>
                <w:bCs/>
              </w:rPr>
            </w:pPr>
            <w:r w:rsidRPr="00F94A2F">
              <w:rPr>
                <w:rFonts w:cs="Arial"/>
                <w:b/>
                <w:bCs/>
              </w:rPr>
              <w:t>Expected Impact</w:t>
            </w:r>
          </w:p>
        </w:tc>
        <w:tc>
          <w:tcPr>
            <w:tcW w:w="0" w:type="auto"/>
            <w:vAlign w:val="center"/>
            <w:hideMark/>
          </w:tcPr>
          <w:p w14:paraId="2E0E1033" w14:textId="77777777" w:rsidR="003C0977" w:rsidRPr="00F94A2F" w:rsidRDefault="003C0977" w:rsidP="003E766F">
            <w:pPr>
              <w:spacing w:after="160" w:line="259" w:lineRule="auto"/>
              <w:jc w:val="left"/>
              <w:rPr>
                <w:rFonts w:cs="Arial"/>
                <w:b/>
                <w:bCs/>
              </w:rPr>
            </w:pPr>
            <w:r w:rsidRPr="00F94A2F">
              <w:rPr>
                <w:rFonts w:cs="Arial"/>
                <w:b/>
                <w:bCs/>
              </w:rPr>
              <w:t>Notes</w:t>
            </w:r>
          </w:p>
        </w:tc>
      </w:tr>
      <w:tr w:rsidR="003C0977" w:rsidRPr="00F94A2F" w14:paraId="6E67F901" w14:textId="77777777" w:rsidTr="00241A41">
        <w:trPr>
          <w:tblCellSpacing w:w="15" w:type="dxa"/>
        </w:trPr>
        <w:tc>
          <w:tcPr>
            <w:tcW w:w="0" w:type="auto"/>
            <w:vAlign w:val="center"/>
            <w:hideMark/>
          </w:tcPr>
          <w:p w14:paraId="77409C23" w14:textId="77777777" w:rsidR="003C0977" w:rsidRPr="00F94A2F" w:rsidRDefault="003C0977" w:rsidP="003E766F">
            <w:pPr>
              <w:spacing w:after="160" w:line="259" w:lineRule="auto"/>
              <w:jc w:val="left"/>
              <w:rPr>
                <w:rFonts w:cs="Arial"/>
              </w:rPr>
            </w:pPr>
            <w:r w:rsidRPr="00F94A2F">
              <w:rPr>
                <w:rFonts w:cs="Arial"/>
              </w:rPr>
              <w:t>1</w:t>
            </w:r>
          </w:p>
        </w:tc>
        <w:tc>
          <w:tcPr>
            <w:tcW w:w="0" w:type="auto"/>
            <w:vAlign w:val="center"/>
            <w:hideMark/>
          </w:tcPr>
          <w:p w14:paraId="04B2DB56" w14:textId="77777777" w:rsidR="003C0977" w:rsidRPr="00F94A2F" w:rsidRDefault="003C0977" w:rsidP="003E766F">
            <w:pPr>
              <w:spacing w:after="160" w:line="259" w:lineRule="auto"/>
              <w:rPr>
                <w:rFonts w:cs="Arial"/>
              </w:rPr>
            </w:pPr>
            <w:r w:rsidRPr="00F94A2F">
              <w:rPr>
                <w:rFonts w:cs="Arial"/>
              </w:rPr>
              <w:t>Disable UPnP &amp; WAN admin; use HTTPS/SSH</w:t>
            </w:r>
          </w:p>
        </w:tc>
        <w:tc>
          <w:tcPr>
            <w:tcW w:w="0" w:type="auto"/>
            <w:vAlign w:val="center"/>
            <w:hideMark/>
          </w:tcPr>
          <w:p w14:paraId="5C952604" w14:textId="77777777" w:rsidR="003C0977" w:rsidRPr="00F94A2F" w:rsidRDefault="003C0977" w:rsidP="003E766F">
            <w:pPr>
              <w:spacing w:after="160" w:line="259" w:lineRule="auto"/>
              <w:jc w:val="left"/>
              <w:rPr>
                <w:rFonts w:cs="Arial"/>
              </w:rPr>
            </w:pPr>
            <w:r w:rsidRPr="00F94A2F">
              <w:rPr>
                <w:rFonts w:cs="Arial"/>
              </w:rPr>
              <w:t>Low</w:t>
            </w:r>
          </w:p>
        </w:tc>
        <w:tc>
          <w:tcPr>
            <w:tcW w:w="0" w:type="auto"/>
            <w:vAlign w:val="center"/>
            <w:hideMark/>
          </w:tcPr>
          <w:p w14:paraId="60E054FF"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1929A9E8" w14:textId="77777777" w:rsidR="003C0977" w:rsidRPr="00F94A2F" w:rsidRDefault="003C0977" w:rsidP="003E766F">
            <w:pPr>
              <w:spacing w:after="160" w:line="259" w:lineRule="auto"/>
              <w:rPr>
                <w:rFonts w:cs="Arial"/>
              </w:rPr>
            </w:pPr>
            <w:r w:rsidRPr="00F94A2F">
              <w:rPr>
                <w:rFonts w:cs="Arial"/>
              </w:rPr>
              <w:t>Removes external footholds (T1133)</w:t>
            </w:r>
          </w:p>
        </w:tc>
      </w:tr>
      <w:tr w:rsidR="003C0977" w:rsidRPr="00F94A2F" w14:paraId="684F08CA" w14:textId="77777777" w:rsidTr="00241A41">
        <w:trPr>
          <w:tblCellSpacing w:w="15" w:type="dxa"/>
        </w:trPr>
        <w:tc>
          <w:tcPr>
            <w:tcW w:w="0" w:type="auto"/>
            <w:vAlign w:val="center"/>
            <w:hideMark/>
          </w:tcPr>
          <w:p w14:paraId="25C87F65" w14:textId="77777777" w:rsidR="003C0977" w:rsidRPr="00F94A2F" w:rsidRDefault="003C0977" w:rsidP="003E766F">
            <w:pPr>
              <w:spacing w:after="160" w:line="259" w:lineRule="auto"/>
              <w:jc w:val="left"/>
              <w:rPr>
                <w:rFonts w:cs="Arial"/>
              </w:rPr>
            </w:pPr>
            <w:r w:rsidRPr="00F94A2F">
              <w:rPr>
                <w:rFonts w:cs="Arial"/>
              </w:rPr>
              <w:t>2</w:t>
            </w:r>
          </w:p>
        </w:tc>
        <w:tc>
          <w:tcPr>
            <w:tcW w:w="0" w:type="auto"/>
            <w:vAlign w:val="center"/>
            <w:hideMark/>
          </w:tcPr>
          <w:p w14:paraId="17CC0C0D" w14:textId="77777777" w:rsidR="003C0977" w:rsidRPr="00F94A2F" w:rsidRDefault="003C0977" w:rsidP="003E766F">
            <w:pPr>
              <w:spacing w:after="160" w:line="259" w:lineRule="auto"/>
              <w:rPr>
                <w:rFonts w:cs="Arial"/>
              </w:rPr>
            </w:pPr>
            <w:r w:rsidRPr="00F94A2F">
              <w:rPr>
                <w:rFonts w:cs="Arial"/>
              </w:rPr>
              <w:t>Unique admin/device passwords; MFA where available</w:t>
            </w:r>
          </w:p>
        </w:tc>
        <w:tc>
          <w:tcPr>
            <w:tcW w:w="0" w:type="auto"/>
            <w:vAlign w:val="center"/>
            <w:hideMark/>
          </w:tcPr>
          <w:p w14:paraId="09F717B5" w14:textId="77777777" w:rsidR="003C0977" w:rsidRPr="00F94A2F" w:rsidRDefault="003C0977" w:rsidP="003E766F">
            <w:pPr>
              <w:spacing w:after="160" w:line="259" w:lineRule="auto"/>
              <w:jc w:val="left"/>
              <w:rPr>
                <w:rFonts w:cs="Arial"/>
              </w:rPr>
            </w:pPr>
            <w:r w:rsidRPr="00F94A2F">
              <w:rPr>
                <w:rFonts w:cs="Arial"/>
              </w:rPr>
              <w:t>Low</w:t>
            </w:r>
          </w:p>
        </w:tc>
        <w:tc>
          <w:tcPr>
            <w:tcW w:w="0" w:type="auto"/>
            <w:vAlign w:val="center"/>
            <w:hideMark/>
          </w:tcPr>
          <w:p w14:paraId="67552B15"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4962A489" w14:textId="77777777" w:rsidR="003C0977" w:rsidRPr="00F94A2F" w:rsidRDefault="003C0977" w:rsidP="003E766F">
            <w:pPr>
              <w:spacing w:after="160" w:line="259" w:lineRule="auto"/>
              <w:rPr>
                <w:rFonts w:cs="Arial"/>
              </w:rPr>
            </w:pPr>
            <w:r w:rsidRPr="00F94A2F">
              <w:rPr>
                <w:rFonts w:cs="Arial"/>
              </w:rPr>
              <w:t>Neutralises T1078.001/T1110</w:t>
            </w:r>
          </w:p>
        </w:tc>
      </w:tr>
      <w:tr w:rsidR="003C0977" w:rsidRPr="00F94A2F" w14:paraId="01E3EC06" w14:textId="77777777" w:rsidTr="00241A41">
        <w:trPr>
          <w:tblCellSpacing w:w="15" w:type="dxa"/>
        </w:trPr>
        <w:tc>
          <w:tcPr>
            <w:tcW w:w="0" w:type="auto"/>
            <w:vAlign w:val="center"/>
            <w:hideMark/>
          </w:tcPr>
          <w:p w14:paraId="3B11123D" w14:textId="77777777" w:rsidR="003C0977" w:rsidRPr="00F94A2F" w:rsidRDefault="003C0977" w:rsidP="003E766F">
            <w:pPr>
              <w:spacing w:after="160" w:line="259" w:lineRule="auto"/>
              <w:jc w:val="left"/>
              <w:rPr>
                <w:rFonts w:cs="Arial"/>
              </w:rPr>
            </w:pPr>
            <w:r w:rsidRPr="00F94A2F">
              <w:rPr>
                <w:rFonts w:cs="Arial"/>
              </w:rPr>
              <w:t>3</w:t>
            </w:r>
          </w:p>
        </w:tc>
        <w:tc>
          <w:tcPr>
            <w:tcW w:w="0" w:type="auto"/>
            <w:vAlign w:val="center"/>
            <w:hideMark/>
          </w:tcPr>
          <w:p w14:paraId="18F5745F" w14:textId="77777777" w:rsidR="003C0977" w:rsidRPr="00F94A2F" w:rsidRDefault="003C0977" w:rsidP="003E766F">
            <w:pPr>
              <w:spacing w:after="160" w:line="259" w:lineRule="auto"/>
              <w:rPr>
                <w:rFonts w:cs="Arial"/>
              </w:rPr>
            </w:pPr>
            <w:r w:rsidRPr="00F94A2F">
              <w:rPr>
                <w:rFonts w:cs="Arial"/>
              </w:rPr>
              <w:t>Apply firmware/OS updates</w:t>
            </w:r>
          </w:p>
        </w:tc>
        <w:tc>
          <w:tcPr>
            <w:tcW w:w="0" w:type="auto"/>
            <w:vAlign w:val="center"/>
            <w:hideMark/>
          </w:tcPr>
          <w:p w14:paraId="1B7E1B8F" w14:textId="77777777" w:rsidR="003C0977" w:rsidRPr="00F94A2F" w:rsidRDefault="003C0977" w:rsidP="003E766F">
            <w:pPr>
              <w:spacing w:after="160" w:line="259" w:lineRule="auto"/>
              <w:jc w:val="left"/>
              <w:rPr>
                <w:rFonts w:cs="Arial"/>
              </w:rPr>
            </w:pPr>
            <w:r w:rsidRPr="00F94A2F">
              <w:rPr>
                <w:rFonts w:cs="Arial"/>
              </w:rPr>
              <w:t>Low–Med</w:t>
            </w:r>
          </w:p>
        </w:tc>
        <w:tc>
          <w:tcPr>
            <w:tcW w:w="0" w:type="auto"/>
            <w:vAlign w:val="center"/>
            <w:hideMark/>
          </w:tcPr>
          <w:p w14:paraId="4FF3F585"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5D1ECE79" w14:textId="77777777" w:rsidR="003C0977" w:rsidRPr="00F94A2F" w:rsidRDefault="003C0977" w:rsidP="003E766F">
            <w:pPr>
              <w:spacing w:after="160" w:line="259" w:lineRule="auto"/>
              <w:rPr>
                <w:rFonts w:cs="Arial"/>
              </w:rPr>
            </w:pPr>
            <w:r w:rsidRPr="00F94A2F">
              <w:rPr>
                <w:rFonts w:cs="Arial"/>
              </w:rPr>
              <w:t>Reduces known CVEs</w:t>
            </w:r>
          </w:p>
        </w:tc>
      </w:tr>
      <w:tr w:rsidR="003C0977" w:rsidRPr="00F94A2F" w14:paraId="3F67297A" w14:textId="77777777" w:rsidTr="00241A41">
        <w:trPr>
          <w:tblCellSpacing w:w="15" w:type="dxa"/>
        </w:trPr>
        <w:tc>
          <w:tcPr>
            <w:tcW w:w="0" w:type="auto"/>
            <w:vAlign w:val="center"/>
            <w:hideMark/>
          </w:tcPr>
          <w:p w14:paraId="1FE26385" w14:textId="77777777" w:rsidR="003C0977" w:rsidRPr="00F94A2F" w:rsidRDefault="003C0977" w:rsidP="003E766F">
            <w:pPr>
              <w:spacing w:after="160" w:line="259" w:lineRule="auto"/>
              <w:jc w:val="left"/>
              <w:rPr>
                <w:rFonts w:cs="Arial"/>
              </w:rPr>
            </w:pPr>
            <w:r w:rsidRPr="00F94A2F">
              <w:rPr>
                <w:rFonts w:cs="Arial"/>
              </w:rPr>
              <w:t>4</w:t>
            </w:r>
          </w:p>
        </w:tc>
        <w:tc>
          <w:tcPr>
            <w:tcW w:w="0" w:type="auto"/>
            <w:vAlign w:val="center"/>
            <w:hideMark/>
          </w:tcPr>
          <w:p w14:paraId="4B10A7C8" w14:textId="77777777" w:rsidR="003C0977" w:rsidRPr="00F94A2F" w:rsidRDefault="003C0977" w:rsidP="003E766F">
            <w:pPr>
              <w:spacing w:after="160" w:line="259" w:lineRule="auto"/>
              <w:rPr>
                <w:rFonts w:cs="Arial"/>
              </w:rPr>
            </w:pPr>
            <w:r w:rsidRPr="00F94A2F">
              <w:rPr>
                <w:rFonts w:cs="Arial"/>
              </w:rPr>
              <w:t>Three segments (Trusted/IoT/Guest), default</w:t>
            </w:r>
            <w:r w:rsidRPr="00F94A2F">
              <w:rPr>
                <w:rFonts w:cs="Arial"/>
              </w:rPr>
              <w:noBreakHyphen/>
              <w:t>deny</w:t>
            </w:r>
          </w:p>
        </w:tc>
        <w:tc>
          <w:tcPr>
            <w:tcW w:w="0" w:type="auto"/>
            <w:vAlign w:val="center"/>
            <w:hideMark/>
          </w:tcPr>
          <w:p w14:paraId="5901728E" w14:textId="77777777" w:rsidR="003C0977" w:rsidRPr="00F94A2F" w:rsidRDefault="003C0977" w:rsidP="003E766F">
            <w:pPr>
              <w:spacing w:after="160" w:line="259" w:lineRule="auto"/>
              <w:jc w:val="left"/>
              <w:rPr>
                <w:rFonts w:cs="Arial"/>
              </w:rPr>
            </w:pPr>
            <w:r w:rsidRPr="00F94A2F">
              <w:rPr>
                <w:rFonts w:cs="Arial"/>
              </w:rPr>
              <w:t>Med</w:t>
            </w:r>
          </w:p>
        </w:tc>
        <w:tc>
          <w:tcPr>
            <w:tcW w:w="0" w:type="auto"/>
            <w:vAlign w:val="center"/>
            <w:hideMark/>
          </w:tcPr>
          <w:p w14:paraId="279495B1" w14:textId="77777777" w:rsidR="003C0977" w:rsidRPr="00F94A2F" w:rsidRDefault="003C0977" w:rsidP="003E766F">
            <w:pPr>
              <w:spacing w:after="160" w:line="259" w:lineRule="auto"/>
              <w:jc w:val="left"/>
              <w:rPr>
                <w:rFonts w:cs="Arial"/>
              </w:rPr>
            </w:pPr>
            <w:r w:rsidRPr="00F94A2F">
              <w:rPr>
                <w:rFonts w:cs="Arial"/>
              </w:rPr>
              <w:t>Very High</w:t>
            </w:r>
          </w:p>
        </w:tc>
        <w:tc>
          <w:tcPr>
            <w:tcW w:w="0" w:type="auto"/>
            <w:vAlign w:val="center"/>
            <w:hideMark/>
          </w:tcPr>
          <w:p w14:paraId="0A3F748E" w14:textId="77777777" w:rsidR="003C0977" w:rsidRPr="00F94A2F" w:rsidRDefault="003C0977" w:rsidP="003E766F">
            <w:pPr>
              <w:spacing w:after="160" w:line="259" w:lineRule="auto"/>
              <w:rPr>
                <w:rFonts w:cs="Arial"/>
              </w:rPr>
            </w:pPr>
            <w:r w:rsidRPr="00F94A2F">
              <w:rPr>
                <w:rFonts w:cs="Arial"/>
              </w:rPr>
              <w:t>Cuts lateral movement</w:t>
            </w:r>
          </w:p>
        </w:tc>
      </w:tr>
      <w:tr w:rsidR="003C0977" w:rsidRPr="00F94A2F" w14:paraId="5DB66647" w14:textId="77777777" w:rsidTr="00241A41">
        <w:trPr>
          <w:tblCellSpacing w:w="15" w:type="dxa"/>
        </w:trPr>
        <w:tc>
          <w:tcPr>
            <w:tcW w:w="0" w:type="auto"/>
            <w:vAlign w:val="center"/>
            <w:hideMark/>
          </w:tcPr>
          <w:p w14:paraId="73AF0881" w14:textId="77777777" w:rsidR="003C0977" w:rsidRPr="00F94A2F" w:rsidRDefault="003C0977" w:rsidP="003E766F">
            <w:pPr>
              <w:spacing w:after="160" w:line="259" w:lineRule="auto"/>
              <w:jc w:val="left"/>
              <w:rPr>
                <w:rFonts w:cs="Arial"/>
              </w:rPr>
            </w:pPr>
            <w:r w:rsidRPr="00F94A2F">
              <w:rPr>
                <w:rFonts w:cs="Arial"/>
              </w:rPr>
              <w:t>5</w:t>
            </w:r>
          </w:p>
        </w:tc>
        <w:tc>
          <w:tcPr>
            <w:tcW w:w="0" w:type="auto"/>
            <w:vAlign w:val="center"/>
            <w:hideMark/>
          </w:tcPr>
          <w:p w14:paraId="1CE63F3E" w14:textId="77777777" w:rsidR="003C0977" w:rsidRPr="00F94A2F" w:rsidRDefault="003C0977" w:rsidP="003E766F">
            <w:pPr>
              <w:spacing w:after="160" w:line="259" w:lineRule="auto"/>
              <w:rPr>
                <w:rFonts w:cs="Arial"/>
              </w:rPr>
            </w:pPr>
            <w:r w:rsidRPr="00F94A2F">
              <w:rPr>
                <w:rFonts w:cs="Arial"/>
              </w:rPr>
              <w:t>Per</w:t>
            </w:r>
            <w:r w:rsidRPr="00F94A2F">
              <w:rPr>
                <w:rFonts w:cs="Arial"/>
              </w:rPr>
              <w:noBreakHyphen/>
              <w:t>SSID VLAN mapping; client isolation; prefer WPA3; disable WPS</w:t>
            </w:r>
          </w:p>
        </w:tc>
        <w:tc>
          <w:tcPr>
            <w:tcW w:w="0" w:type="auto"/>
            <w:vAlign w:val="center"/>
            <w:hideMark/>
          </w:tcPr>
          <w:p w14:paraId="4814E319" w14:textId="77777777" w:rsidR="003C0977" w:rsidRPr="00F94A2F" w:rsidRDefault="003C0977" w:rsidP="003E766F">
            <w:pPr>
              <w:spacing w:after="160" w:line="259" w:lineRule="auto"/>
              <w:jc w:val="left"/>
              <w:rPr>
                <w:rFonts w:cs="Arial"/>
              </w:rPr>
            </w:pPr>
            <w:r w:rsidRPr="00F94A2F">
              <w:rPr>
                <w:rFonts w:cs="Arial"/>
              </w:rPr>
              <w:t>Low–Med</w:t>
            </w:r>
          </w:p>
        </w:tc>
        <w:tc>
          <w:tcPr>
            <w:tcW w:w="0" w:type="auto"/>
            <w:vAlign w:val="center"/>
            <w:hideMark/>
          </w:tcPr>
          <w:p w14:paraId="64590B0C"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4709CAD0" w14:textId="77777777" w:rsidR="003C0977" w:rsidRPr="00F94A2F" w:rsidRDefault="003C0977" w:rsidP="003E766F">
            <w:pPr>
              <w:spacing w:after="160" w:line="259" w:lineRule="auto"/>
              <w:rPr>
                <w:rFonts w:cs="Arial"/>
              </w:rPr>
            </w:pPr>
            <w:r w:rsidRPr="00F94A2F">
              <w:rPr>
                <w:rFonts w:cs="Arial"/>
              </w:rPr>
              <w:t>Hardens Wi</w:t>
            </w:r>
            <w:r w:rsidRPr="00F94A2F">
              <w:rPr>
                <w:rFonts w:cs="Arial"/>
              </w:rPr>
              <w:noBreakHyphen/>
              <w:t>Fi</w:t>
            </w:r>
          </w:p>
        </w:tc>
      </w:tr>
      <w:tr w:rsidR="00241A41" w:rsidRPr="00F94A2F" w14:paraId="1CF28F11" w14:textId="77777777" w:rsidTr="00241A41">
        <w:trPr>
          <w:tblCellSpacing w:w="15" w:type="dxa"/>
        </w:trPr>
        <w:tc>
          <w:tcPr>
            <w:tcW w:w="0" w:type="auto"/>
            <w:vAlign w:val="center"/>
            <w:hideMark/>
          </w:tcPr>
          <w:p w14:paraId="397E8E08" w14:textId="7959022C" w:rsidR="00241A41" w:rsidRPr="00F94A2F" w:rsidRDefault="00241A41" w:rsidP="003E766F">
            <w:pPr>
              <w:spacing w:after="160" w:line="259" w:lineRule="auto"/>
              <w:jc w:val="left"/>
              <w:rPr>
                <w:rFonts w:cs="Arial"/>
              </w:rPr>
            </w:pPr>
            <w:r w:rsidRPr="00F94A2F">
              <w:rPr>
                <w:rFonts w:cs="Arial"/>
              </w:rPr>
              <w:lastRenderedPageBreak/>
              <w:t>7</w:t>
            </w:r>
          </w:p>
        </w:tc>
        <w:tc>
          <w:tcPr>
            <w:tcW w:w="0" w:type="auto"/>
            <w:vAlign w:val="center"/>
            <w:hideMark/>
          </w:tcPr>
          <w:p w14:paraId="471B9363" w14:textId="54CE50CE" w:rsidR="00241A41" w:rsidRPr="00F94A2F" w:rsidRDefault="00241A41" w:rsidP="003E766F">
            <w:pPr>
              <w:spacing w:after="160" w:line="259" w:lineRule="auto"/>
              <w:rPr>
                <w:rFonts w:cs="Arial"/>
              </w:rPr>
            </w:pPr>
            <w:r w:rsidRPr="00F94A2F">
              <w:rPr>
                <w:rFonts w:cs="Arial"/>
              </w:rPr>
              <w:t>Back up configs; document rules; test restores</w:t>
            </w:r>
          </w:p>
        </w:tc>
        <w:tc>
          <w:tcPr>
            <w:tcW w:w="0" w:type="auto"/>
            <w:vAlign w:val="center"/>
            <w:hideMark/>
          </w:tcPr>
          <w:p w14:paraId="07F20593" w14:textId="0F6AFAC1" w:rsidR="00241A41" w:rsidRPr="00F94A2F" w:rsidRDefault="00241A41" w:rsidP="003E766F">
            <w:pPr>
              <w:spacing w:after="160" w:line="259" w:lineRule="auto"/>
              <w:jc w:val="left"/>
              <w:rPr>
                <w:rFonts w:cs="Arial"/>
              </w:rPr>
            </w:pPr>
            <w:r w:rsidRPr="00F94A2F">
              <w:rPr>
                <w:rFonts w:cs="Arial"/>
              </w:rPr>
              <w:t>Low</w:t>
            </w:r>
          </w:p>
        </w:tc>
        <w:tc>
          <w:tcPr>
            <w:tcW w:w="0" w:type="auto"/>
            <w:vAlign w:val="center"/>
            <w:hideMark/>
          </w:tcPr>
          <w:p w14:paraId="6ACC8C40" w14:textId="43A5D16E" w:rsidR="00241A41" w:rsidRPr="00F94A2F" w:rsidRDefault="00241A41" w:rsidP="003E766F">
            <w:pPr>
              <w:spacing w:after="160" w:line="259" w:lineRule="auto"/>
              <w:jc w:val="left"/>
              <w:rPr>
                <w:rFonts w:cs="Arial"/>
              </w:rPr>
            </w:pPr>
            <w:r w:rsidRPr="00F94A2F">
              <w:rPr>
                <w:rFonts w:cs="Arial"/>
              </w:rPr>
              <w:t>Medium</w:t>
            </w:r>
          </w:p>
        </w:tc>
        <w:tc>
          <w:tcPr>
            <w:tcW w:w="0" w:type="auto"/>
            <w:vAlign w:val="center"/>
            <w:hideMark/>
          </w:tcPr>
          <w:p w14:paraId="442D67C3" w14:textId="488A91A7" w:rsidR="00241A41" w:rsidRPr="00F94A2F" w:rsidRDefault="00241A41" w:rsidP="0009507B">
            <w:pPr>
              <w:keepNext/>
              <w:spacing w:after="160" w:line="259" w:lineRule="auto"/>
              <w:rPr>
                <w:rFonts w:cs="Arial"/>
              </w:rPr>
            </w:pPr>
            <w:r w:rsidRPr="00F94A2F">
              <w:rPr>
                <w:rFonts w:cs="Arial"/>
              </w:rPr>
              <w:t>Recoverability</w:t>
            </w:r>
          </w:p>
        </w:tc>
      </w:tr>
    </w:tbl>
    <w:p w14:paraId="7B747FC8" w14:textId="27A8577B" w:rsidR="0009507B" w:rsidRPr="00F94A2F" w:rsidRDefault="0009507B">
      <w:pPr>
        <w:pStyle w:val="Caption"/>
        <w:rPr>
          <w:rFonts w:cs="Arial"/>
        </w:rPr>
      </w:pPr>
      <w:bookmarkStart w:id="168" w:name="_Toc207753430"/>
      <w:r w:rsidRPr="00F94A2F">
        <w:rPr>
          <w:rFonts w:cs="Arial"/>
        </w:rPr>
        <w:t xml:space="preserve">Table </w:t>
      </w:r>
      <w:r w:rsidRPr="00F94A2F">
        <w:rPr>
          <w:rFonts w:cs="Arial"/>
        </w:rPr>
        <w:fldChar w:fldCharType="begin"/>
      </w:r>
      <w:r w:rsidRPr="00F94A2F">
        <w:rPr>
          <w:rFonts w:cs="Arial"/>
        </w:rPr>
        <w:instrText xml:space="preserve"> SEQ Table \* ARABIC </w:instrText>
      </w:r>
      <w:r w:rsidRPr="00F94A2F">
        <w:rPr>
          <w:rFonts w:cs="Arial"/>
        </w:rPr>
        <w:fldChar w:fldCharType="separate"/>
      </w:r>
      <w:r w:rsidRPr="00F94A2F">
        <w:rPr>
          <w:rFonts w:cs="Arial"/>
          <w:noProof/>
        </w:rPr>
        <w:t>1</w:t>
      </w:r>
      <w:r w:rsidRPr="00F94A2F">
        <w:rPr>
          <w:rFonts w:cs="Arial"/>
        </w:rPr>
        <w:fldChar w:fldCharType="end"/>
      </w:r>
      <w:r w:rsidRPr="00F94A2F">
        <w:rPr>
          <w:rFonts w:cs="Arial"/>
        </w:rPr>
        <w:t xml:space="preserve"> - </w:t>
      </w:r>
      <w:r w:rsidR="00AE1355" w:rsidRPr="00F94A2F">
        <w:rPr>
          <w:rFonts w:cs="Arial"/>
        </w:rPr>
        <w:t>Prioritised</w:t>
      </w:r>
      <w:r w:rsidRPr="00F94A2F">
        <w:rPr>
          <w:rFonts w:cs="Arial"/>
        </w:rPr>
        <w:t xml:space="preserve"> Control Set</w:t>
      </w:r>
      <w:bookmarkEnd w:id="168"/>
    </w:p>
    <w:p w14:paraId="1F96BAD3" w14:textId="5A5263B3" w:rsidR="003C0977" w:rsidRPr="00F94A2F" w:rsidRDefault="003C0977" w:rsidP="003C0977">
      <w:pPr>
        <w:spacing w:after="160" w:line="259" w:lineRule="auto"/>
        <w:rPr>
          <w:rFonts w:cs="Arial"/>
          <w:b/>
          <w:bCs/>
        </w:rPr>
      </w:pPr>
      <w:r w:rsidRPr="00F94A2F">
        <w:rPr>
          <w:rFonts w:cs="Arial"/>
          <w:b/>
          <w:bCs/>
        </w:rPr>
        <w:t>6.</w:t>
      </w:r>
      <w:r w:rsidR="00241A41" w:rsidRPr="00F94A2F">
        <w:rPr>
          <w:rFonts w:cs="Arial"/>
          <w:b/>
          <w:bCs/>
        </w:rPr>
        <w:t>2</w:t>
      </w:r>
      <w:r w:rsidRPr="00F94A2F">
        <w:rPr>
          <w:rFonts w:cs="Arial"/>
          <w:b/>
          <w:bCs/>
        </w:rPr>
        <w:t xml:space="preserve"> Closing statement</w:t>
      </w:r>
    </w:p>
    <w:p w14:paraId="24FED98A" w14:textId="0EA1365D" w:rsidR="007C5998" w:rsidRPr="00F94A2F" w:rsidRDefault="003C0977" w:rsidP="00AA1338">
      <w:pPr>
        <w:spacing w:after="160" w:line="259" w:lineRule="auto"/>
        <w:rPr>
          <w:rFonts w:cs="Arial"/>
        </w:rPr>
      </w:pPr>
      <w:r w:rsidRPr="00F94A2F">
        <w:rPr>
          <w:rFonts w:cs="Arial"/>
        </w:rPr>
        <w:t xml:space="preserve">A </w:t>
      </w:r>
      <w:r w:rsidRPr="00F94A2F">
        <w:rPr>
          <w:rFonts w:cs="Arial"/>
          <w:b/>
          <w:bCs/>
        </w:rPr>
        <w:t>small, disciplined set of configuration changes</w:t>
      </w:r>
      <w:r w:rsidRPr="00F94A2F">
        <w:rPr>
          <w:rFonts w:cs="Arial"/>
        </w:rPr>
        <w:t xml:space="preserve"> can move a home network from fragile to resilient using familiar, low</w:t>
      </w:r>
      <w:r w:rsidRPr="00F94A2F">
        <w:rPr>
          <w:rFonts w:cs="Arial"/>
        </w:rPr>
        <w:noBreakHyphen/>
        <w:t>cost tools aligned with UK guidance and regulation.</w:t>
      </w:r>
    </w:p>
    <w:p w14:paraId="135E58C4" w14:textId="38014D4A" w:rsidR="007437D7" w:rsidRPr="00F94A2F" w:rsidRDefault="007437D7" w:rsidP="001101F8">
      <w:pPr>
        <w:pStyle w:val="Heading1"/>
        <w:rPr>
          <w:rFonts w:cs="Arial"/>
        </w:rPr>
      </w:pPr>
      <w:bookmarkStart w:id="169" w:name="_Toc207753545"/>
      <w:r w:rsidRPr="00F94A2F">
        <w:rPr>
          <w:rFonts w:cs="Arial"/>
        </w:rPr>
        <w:t>Chapter 7 – Reflections</w:t>
      </w:r>
      <w:bookmarkEnd w:id="169"/>
      <w:r w:rsidRPr="00F94A2F">
        <w:rPr>
          <w:rFonts w:cs="Arial"/>
        </w:rPr>
        <w:t xml:space="preserve"> </w:t>
      </w:r>
      <w:bookmarkEnd w:id="166"/>
    </w:p>
    <w:p w14:paraId="7FFF9075" w14:textId="0A587D20" w:rsidR="002D7594" w:rsidRPr="00F94A2F" w:rsidRDefault="00EE2601" w:rsidP="004339A9">
      <w:pPr>
        <w:rPr>
          <w:rFonts w:cs="Arial"/>
        </w:rPr>
      </w:pPr>
      <w:r w:rsidRPr="00F94A2F">
        <w:rPr>
          <w:rFonts w:cs="Arial"/>
        </w:rPr>
        <w:t>This research effectively met its objectives by demonstrating the critical role of penetration testing in network security. Challenges encountered, including configuring complex virtual environments, were overcome through iterative testing and troubleshooting. The experience gained significantly enhanced my practical cybersecurity skills.</w:t>
      </w:r>
      <w:bookmarkEnd w:id="143"/>
      <w:bookmarkEnd w:id="144"/>
      <w:bookmarkEnd w:id="145"/>
    </w:p>
    <w:p w14:paraId="24712F4D" w14:textId="3AF61BBA" w:rsidR="003D5DE8" w:rsidRPr="00F94A2F" w:rsidRDefault="003D5DE8" w:rsidP="003D5DE8">
      <w:pPr>
        <w:pStyle w:val="Heading1"/>
        <w:rPr>
          <w:rFonts w:cs="Arial"/>
        </w:rPr>
      </w:pPr>
      <w:bookmarkStart w:id="170" w:name="_Toc207753546"/>
      <w:r w:rsidRPr="00F94A2F">
        <w:rPr>
          <w:rFonts w:cs="Arial"/>
        </w:rPr>
        <w:t>References</w:t>
      </w:r>
      <w:bookmarkEnd w:id="170"/>
    </w:p>
    <w:p w14:paraId="2530582B" w14:textId="0FB69824" w:rsidR="003D5DE8" w:rsidRPr="00F94A2F" w:rsidRDefault="003D5DE8" w:rsidP="003D5DE8">
      <w:pPr>
        <w:spacing w:after="160" w:line="259" w:lineRule="auto"/>
        <w:rPr>
          <w:rFonts w:cs="Arial"/>
        </w:rPr>
      </w:pPr>
      <w:r w:rsidRPr="00F94A2F">
        <w:rPr>
          <w:rFonts w:cs="Arial"/>
        </w:rPr>
        <w:t xml:space="preserve">[1] Ofcom, “Online Nation 2024,” Nov. 28, 2024. [Online]. Available: </w:t>
      </w:r>
      <w:hyperlink r:id="rId18" w:history="1">
        <w:r w:rsidRPr="00F94A2F">
          <w:rPr>
            <w:rStyle w:val="Hyperlink"/>
            <w:rFonts w:cs="Arial"/>
          </w:rPr>
          <w:t>https://www.ofcom.org.uk/research-and-data/media-literacy-research/online-nation</w:t>
        </w:r>
      </w:hyperlink>
      <w:r w:rsidRPr="00F94A2F">
        <w:rPr>
          <w:rFonts w:cs="Arial"/>
        </w:rPr>
        <w:t xml:space="preserve">. </w:t>
      </w:r>
      <w:r w:rsidR="007D4285" w:rsidRPr="00F94A2F">
        <w:rPr>
          <w:rFonts w:cs="Arial"/>
        </w:rPr>
        <w:t>Accessed: Aug. 19, 2025</w:t>
      </w:r>
      <w:r w:rsidRPr="00F94A2F">
        <w:rPr>
          <w:rFonts w:cs="Arial"/>
        </w:rPr>
        <w:t>.</w:t>
      </w:r>
    </w:p>
    <w:p w14:paraId="4AB33021" w14:textId="2CE8889D" w:rsidR="003D5DE8" w:rsidRPr="00F94A2F" w:rsidRDefault="003D5DE8" w:rsidP="003D5DE8">
      <w:pPr>
        <w:spacing w:after="160" w:line="259" w:lineRule="auto"/>
        <w:rPr>
          <w:rFonts w:cs="Arial"/>
        </w:rPr>
      </w:pPr>
      <w:r w:rsidRPr="00F94A2F">
        <w:rPr>
          <w:rFonts w:cs="Arial"/>
        </w:rPr>
        <w:t xml:space="preserve">[2] UK Parliament, Culture, Media and Sport Committee, “Connected tech: smart or sinister? Tenth Report of Session 2022–23,” Aug. 7, 2023. [Online]. Available: </w:t>
      </w:r>
      <w:hyperlink r:id="rId19" w:history="1">
        <w:r w:rsidRPr="00F94A2F">
          <w:rPr>
            <w:rStyle w:val="Hyperlink"/>
            <w:rFonts w:cs="Arial"/>
          </w:rPr>
          <w:t>https://publications.parliament.uk/pa/cm5803/cmselect/cmcumeds/157/report.html</w:t>
        </w:r>
      </w:hyperlink>
      <w:r w:rsidRPr="00F94A2F">
        <w:rPr>
          <w:rFonts w:cs="Arial"/>
        </w:rPr>
        <w:t xml:space="preserve">. </w:t>
      </w:r>
      <w:r w:rsidR="007D4285" w:rsidRPr="00F94A2F">
        <w:rPr>
          <w:rFonts w:cs="Arial"/>
        </w:rPr>
        <w:t>Accessed: Aug. 19, 2025</w:t>
      </w:r>
      <w:r w:rsidRPr="00F94A2F">
        <w:rPr>
          <w:rFonts w:cs="Arial"/>
        </w:rPr>
        <w:t>.</w:t>
      </w:r>
    </w:p>
    <w:p w14:paraId="574A38E7" w14:textId="417B2F42" w:rsidR="003D5DE8" w:rsidRPr="00F94A2F" w:rsidRDefault="003D5DE8" w:rsidP="003D5DE8">
      <w:pPr>
        <w:spacing w:after="160" w:line="259" w:lineRule="auto"/>
        <w:rPr>
          <w:rFonts w:cs="Arial"/>
        </w:rPr>
      </w:pPr>
      <w:r w:rsidRPr="00F94A2F">
        <w:rPr>
          <w:rFonts w:cs="Arial"/>
        </w:rPr>
        <w:t xml:space="preserve">[3] European Union Agency for Cybersecurity (ENISA), “ENISA Threat Landscape 2024,” Sep. 19, 2024. [Online]. Available: </w:t>
      </w:r>
      <w:hyperlink r:id="rId20" w:history="1">
        <w:r w:rsidRPr="00F94A2F">
          <w:rPr>
            <w:rStyle w:val="Hyperlink"/>
            <w:rFonts w:cs="Arial"/>
          </w:rPr>
          <w:t>https://www.enisa.europa.eu/publications/enisa-threat-landscape-2024</w:t>
        </w:r>
      </w:hyperlink>
      <w:r w:rsidRPr="00F94A2F">
        <w:rPr>
          <w:rFonts w:cs="Arial"/>
        </w:rPr>
        <w:t xml:space="preserve">. </w:t>
      </w:r>
      <w:r w:rsidR="007D4285" w:rsidRPr="00F94A2F">
        <w:rPr>
          <w:rFonts w:cs="Arial"/>
        </w:rPr>
        <w:t>Accessed: Aug. 19, 2025</w:t>
      </w:r>
      <w:r w:rsidRPr="00F94A2F">
        <w:rPr>
          <w:rFonts w:cs="Arial"/>
        </w:rPr>
        <w:t>.</w:t>
      </w:r>
    </w:p>
    <w:p w14:paraId="5575EABB" w14:textId="3F4F2EF1" w:rsidR="003D5DE8" w:rsidRPr="00F94A2F" w:rsidRDefault="003D5DE8" w:rsidP="003D5DE8">
      <w:pPr>
        <w:spacing w:after="160" w:line="259" w:lineRule="auto"/>
        <w:rPr>
          <w:rFonts w:cs="Arial"/>
        </w:rPr>
      </w:pPr>
      <w:r w:rsidRPr="00F94A2F">
        <w:rPr>
          <w:rFonts w:cs="Arial"/>
        </w:rPr>
        <w:t xml:space="preserve">[4] National Cyber Security Centre (NCSC), “Network security fundamentals,” Feb. 6, 2025. [Online]. Available: </w:t>
      </w:r>
      <w:hyperlink r:id="rId21" w:history="1">
        <w:r w:rsidRPr="00F94A2F">
          <w:rPr>
            <w:rStyle w:val="Hyperlink"/>
            <w:rFonts w:cs="Arial"/>
          </w:rPr>
          <w:t>https://www.ncsc.gov.uk/guidance/network-security-fundamentals</w:t>
        </w:r>
      </w:hyperlink>
      <w:r w:rsidRPr="00F94A2F">
        <w:rPr>
          <w:rFonts w:cs="Arial"/>
        </w:rPr>
        <w:t xml:space="preserve">. </w:t>
      </w:r>
      <w:r w:rsidR="007D4285" w:rsidRPr="00F94A2F">
        <w:rPr>
          <w:rFonts w:cs="Arial"/>
        </w:rPr>
        <w:t>Accessed: Aug. 19, 2025</w:t>
      </w:r>
      <w:r w:rsidRPr="00F94A2F">
        <w:rPr>
          <w:rFonts w:cs="Arial"/>
        </w:rPr>
        <w:t>.</w:t>
      </w:r>
    </w:p>
    <w:p w14:paraId="27BAE898" w14:textId="3D62DEFB" w:rsidR="003D5DE8" w:rsidRPr="00F94A2F" w:rsidRDefault="003D5DE8" w:rsidP="003D5DE8">
      <w:pPr>
        <w:spacing w:after="160" w:line="259" w:lineRule="auto"/>
        <w:rPr>
          <w:rFonts w:cs="Arial"/>
        </w:rPr>
      </w:pPr>
      <w:r w:rsidRPr="00F94A2F">
        <w:rPr>
          <w:rFonts w:cs="Arial"/>
        </w:rPr>
        <w:t xml:space="preserve">[5] Office for Product Safety &amp; Standards / DSIT, “Regulations: consumer connectable product security (PSTI),” updated Mar. 17, 2025. [Online]. Available: </w:t>
      </w:r>
      <w:hyperlink r:id="rId22" w:history="1">
        <w:r w:rsidRPr="00F94A2F">
          <w:rPr>
            <w:rStyle w:val="Hyperlink"/>
            <w:rFonts w:cs="Arial"/>
          </w:rPr>
          <w:t>https://www.gov.uk/guidance/regulations-consumer-connectable-product-security</w:t>
        </w:r>
      </w:hyperlink>
      <w:r w:rsidRPr="00F94A2F">
        <w:rPr>
          <w:rFonts w:cs="Arial"/>
        </w:rPr>
        <w:t xml:space="preserve">. </w:t>
      </w:r>
      <w:r w:rsidR="007D4285" w:rsidRPr="00F94A2F">
        <w:rPr>
          <w:rFonts w:cs="Arial"/>
        </w:rPr>
        <w:t>Accessed: Aug. 19, 2025</w:t>
      </w:r>
      <w:r w:rsidRPr="00F94A2F">
        <w:rPr>
          <w:rFonts w:cs="Arial"/>
        </w:rPr>
        <w:t>.</w:t>
      </w:r>
    </w:p>
    <w:p w14:paraId="4879CED5" w14:textId="4E762B20" w:rsidR="003D5DE8" w:rsidRPr="00F94A2F" w:rsidRDefault="003D5DE8" w:rsidP="003D5DE8">
      <w:pPr>
        <w:spacing w:after="160" w:line="259" w:lineRule="auto"/>
        <w:rPr>
          <w:rFonts w:cs="Arial"/>
        </w:rPr>
      </w:pPr>
      <w:r w:rsidRPr="00F94A2F">
        <w:rPr>
          <w:rFonts w:cs="Arial"/>
        </w:rPr>
        <w:lastRenderedPageBreak/>
        <w:t xml:space="preserve">[6] NCSC, “Smart devices: using them safely in your home,” live guidance. [Online]. Available: </w:t>
      </w:r>
      <w:hyperlink r:id="rId23" w:history="1">
        <w:r w:rsidRPr="00F94A2F">
          <w:rPr>
            <w:rStyle w:val="Hyperlink"/>
            <w:rFonts w:cs="Arial"/>
          </w:rPr>
          <w:t>https://www.ncsc.gov.uk/guidance/smart-devices-in-the-home</w:t>
        </w:r>
      </w:hyperlink>
      <w:r w:rsidRPr="00F94A2F">
        <w:rPr>
          <w:rFonts w:cs="Arial"/>
        </w:rPr>
        <w:t xml:space="preserve">. </w:t>
      </w:r>
      <w:r w:rsidR="007D4285" w:rsidRPr="00F94A2F">
        <w:rPr>
          <w:rFonts w:cs="Arial"/>
        </w:rPr>
        <w:t>Accessed: Aug. 19, 2025</w:t>
      </w:r>
      <w:r w:rsidRPr="00F94A2F">
        <w:rPr>
          <w:rFonts w:cs="Arial"/>
        </w:rPr>
        <w:t>.</w:t>
      </w:r>
    </w:p>
    <w:p w14:paraId="0400A364" w14:textId="7C361EC7" w:rsidR="003D5DE8" w:rsidRPr="00F94A2F" w:rsidRDefault="003D5DE8" w:rsidP="003D5DE8">
      <w:pPr>
        <w:spacing w:after="160" w:line="259" w:lineRule="auto"/>
        <w:rPr>
          <w:rFonts w:cs="Arial"/>
        </w:rPr>
      </w:pPr>
      <w:r w:rsidRPr="00F94A2F">
        <w:rPr>
          <w:rFonts w:cs="Arial"/>
        </w:rPr>
        <w:t>[7] K. Scarfone, M. Souppaya, and A. Cody, “Technical Guide to Information Security Testing and Assessment,” NIST SP 800</w:t>
      </w:r>
      <w:r w:rsidRPr="00F94A2F">
        <w:rPr>
          <w:rFonts w:cs="Arial"/>
        </w:rPr>
        <w:noBreakHyphen/>
        <w:t xml:space="preserve">115, Sep. 2008. [Online]. Available: </w:t>
      </w:r>
      <w:hyperlink r:id="rId24" w:history="1">
        <w:r w:rsidRPr="00F94A2F">
          <w:rPr>
            <w:rStyle w:val="Hyperlink"/>
            <w:rFonts w:cs="Arial"/>
          </w:rPr>
          <w:t>https://csrc.nist.gov/pubs/sp/800/115/final</w:t>
        </w:r>
      </w:hyperlink>
      <w:r w:rsidRPr="00F94A2F">
        <w:rPr>
          <w:rFonts w:cs="Arial"/>
        </w:rPr>
        <w:t xml:space="preserve">. </w:t>
      </w:r>
      <w:r w:rsidR="007D4285" w:rsidRPr="00F94A2F">
        <w:rPr>
          <w:rFonts w:cs="Arial"/>
        </w:rPr>
        <w:t>Accessed: Aug. 19, 2025</w:t>
      </w:r>
      <w:r w:rsidRPr="00F94A2F">
        <w:rPr>
          <w:rFonts w:cs="Arial"/>
        </w:rPr>
        <w:t>.</w:t>
      </w:r>
    </w:p>
    <w:p w14:paraId="2788D6EC" w14:textId="32B423EB" w:rsidR="003D5DE8" w:rsidRPr="00F94A2F" w:rsidRDefault="003D5DE8" w:rsidP="003D5DE8">
      <w:pPr>
        <w:spacing w:after="160" w:line="259" w:lineRule="auto"/>
        <w:rPr>
          <w:rFonts w:cs="Arial"/>
        </w:rPr>
      </w:pPr>
      <w:r w:rsidRPr="00F94A2F">
        <w:rPr>
          <w:rFonts w:cs="Arial"/>
        </w:rPr>
        <w:t xml:space="preserve">[8] Center for Internet Security (CIS), “CIS Critical Security Controls v8.1,” Jun. 24, 2024. [Online]. Available: </w:t>
      </w:r>
      <w:hyperlink r:id="rId25" w:history="1">
        <w:r w:rsidRPr="00F94A2F">
          <w:rPr>
            <w:rStyle w:val="Hyperlink"/>
            <w:rFonts w:cs="Arial"/>
          </w:rPr>
          <w:t>https://www.cisecurity.org/controls/v8-1</w:t>
        </w:r>
      </w:hyperlink>
      <w:r w:rsidRPr="00F94A2F">
        <w:rPr>
          <w:rFonts w:cs="Arial"/>
        </w:rPr>
        <w:t xml:space="preserve">. </w:t>
      </w:r>
      <w:r w:rsidR="007D4285" w:rsidRPr="00F94A2F">
        <w:rPr>
          <w:rFonts w:cs="Arial"/>
        </w:rPr>
        <w:t>Accessed: Aug. 19, 2025</w:t>
      </w:r>
      <w:r w:rsidRPr="00F94A2F">
        <w:rPr>
          <w:rFonts w:cs="Arial"/>
        </w:rPr>
        <w:t>.</w:t>
      </w:r>
    </w:p>
    <w:p w14:paraId="47A9D9ED" w14:textId="05DC4DE0" w:rsidR="003D5DE8" w:rsidRPr="00F94A2F" w:rsidRDefault="003D5DE8" w:rsidP="003D5DE8">
      <w:pPr>
        <w:spacing w:after="160" w:line="259" w:lineRule="auto"/>
        <w:rPr>
          <w:rFonts w:cs="Arial"/>
        </w:rPr>
      </w:pPr>
      <w:r w:rsidRPr="00F94A2F">
        <w:rPr>
          <w:rFonts w:cs="Arial"/>
        </w:rPr>
        <w:t xml:space="preserve">[9] MITRE, “ATT&amp;CK® Enterprise Matrix,” live site. [Online]. Available: </w:t>
      </w:r>
      <w:hyperlink r:id="rId26" w:history="1">
        <w:r w:rsidRPr="00F94A2F">
          <w:rPr>
            <w:rStyle w:val="Hyperlink"/>
            <w:rFonts w:cs="Arial"/>
          </w:rPr>
          <w:t>https://attack.mitre.org/matrices/enterprise/</w:t>
        </w:r>
      </w:hyperlink>
      <w:r w:rsidRPr="00F94A2F">
        <w:rPr>
          <w:rFonts w:cs="Arial"/>
        </w:rPr>
        <w:t xml:space="preserve">. </w:t>
      </w:r>
      <w:r w:rsidR="007D4285" w:rsidRPr="00F94A2F">
        <w:rPr>
          <w:rFonts w:cs="Arial"/>
        </w:rPr>
        <w:t>Accessed: Aug. 19, 2025</w:t>
      </w:r>
      <w:r w:rsidRPr="00F94A2F">
        <w:rPr>
          <w:rFonts w:cs="Arial"/>
        </w:rPr>
        <w:t>.</w:t>
      </w:r>
    </w:p>
    <w:p w14:paraId="5A1A29CB" w14:textId="095617D9" w:rsidR="003D5DE8" w:rsidRPr="00F94A2F" w:rsidRDefault="003D5DE8" w:rsidP="003D5DE8">
      <w:pPr>
        <w:spacing w:after="160" w:line="259" w:lineRule="auto"/>
        <w:rPr>
          <w:rFonts w:cs="Arial"/>
        </w:rPr>
      </w:pPr>
      <w:r w:rsidRPr="00F94A2F">
        <w:rPr>
          <w:rFonts w:cs="Arial"/>
        </w:rPr>
        <w:t xml:space="preserve">[10] UK Government, “Computer Misuse Act 1990,” 1990. [Online]. Available: </w:t>
      </w:r>
      <w:hyperlink r:id="rId27" w:history="1">
        <w:r w:rsidRPr="00F94A2F">
          <w:rPr>
            <w:rStyle w:val="Hyperlink"/>
            <w:rFonts w:cs="Arial"/>
          </w:rPr>
          <w:t>https://www.legislation.gov.uk/ukpga/1990/18/contents</w:t>
        </w:r>
      </w:hyperlink>
      <w:r w:rsidRPr="00F94A2F">
        <w:rPr>
          <w:rFonts w:cs="Arial"/>
        </w:rPr>
        <w:t xml:space="preserve">. </w:t>
      </w:r>
      <w:r w:rsidR="007D4285" w:rsidRPr="00F94A2F">
        <w:rPr>
          <w:rFonts w:cs="Arial"/>
        </w:rPr>
        <w:t>Accessed: Aug. 19, 2025</w:t>
      </w:r>
      <w:r w:rsidRPr="00F94A2F">
        <w:rPr>
          <w:rFonts w:cs="Arial"/>
        </w:rPr>
        <w:t>.</w:t>
      </w:r>
    </w:p>
    <w:p w14:paraId="38C242A3" w14:textId="3CF6148B" w:rsidR="003D5DE8" w:rsidRPr="00F94A2F" w:rsidRDefault="003D5DE8" w:rsidP="003D5DE8">
      <w:pPr>
        <w:spacing w:after="160" w:line="259" w:lineRule="auto"/>
        <w:rPr>
          <w:rFonts w:cs="Arial"/>
        </w:rPr>
      </w:pPr>
      <w:r w:rsidRPr="00F94A2F">
        <w:rPr>
          <w:rFonts w:cs="Arial"/>
        </w:rPr>
        <w:t>[11] European Telecommunications Standards Institute (ETSI), “EN 303 645 V3.1.3 (2024</w:t>
      </w:r>
      <w:r w:rsidRPr="00F94A2F">
        <w:rPr>
          <w:rFonts w:cs="Arial"/>
        </w:rPr>
        <w:noBreakHyphen/>
        <w:t xml:space="preserve">09): Cyber Security for Consumer IoT: Baseline Requirements,” Sep. 11, 2024. [Online]. Available: </w:t>
      </w:r>
      <w:hyperlink r:id="rId28" w:history="1">
        <w:r w:rsidRPr="00F94A2F">
          <w:rPr>
            <w:rStyle w:val="Hyperlink"/>
            <w:rFonts w:cs="Arial"/>
          </w:rPr>
          <w:t>https://www.etsi.org/deliver/etsi_en/303600_303699/303645/03.01.03_60/en_303645v030103p.pdf</w:t>
        </w:r>
      </w:hyperlink>
      <w:r w:rsidRPr="00F94A2F">
        <w:rPr>
          <w:rFonts w:cs="Arial"/>
        </w:rPr>
        <w:t xml:space="preserve">. </w:t>
      </w:r>
      <w:r w:rsidR="007D4285" w:rsidRPr="00F94A2F">
        <w:rPr>
          <w:rFonts w:cs="Arial"/>
        </w:rPr>
        <w:t>Accessed: Aug. 19, 2025</w:t>
      </w:r>
      <w:r w:rsidRPr="00F94A2F">
        <w:rPr>
          <w:rFonts w:cs="Arial"/>
        </w:rPr>
        <w:t>.</w:t>
      </w:r>
    </w:p>
    <w:p w14:paraId="0F8344A7" w14:textId="6DC74C08" w:rsidR="003D5DE8" w:rsidRPr="00F94A2F" w:rsidRDefault="003D5DE8" w:rsidP="003D5DE8">
      <w:pPr>
        <w:spacing w:after="160" w:line="259" w:lineRule="auto"/>
        <w:rPr>
          <w:rFonts w:cs="Arial"/>
        </w:rPr>
      </w:pPr>
      <w:r w:rsidRPr="00F94A2F">
        <w:rPr>
          <w:rFonts w:cs="Arial"/>
        </w:rPr>
        <w:t xml:space="preserve">[12] PTES, “Penetration Testing Execution Standard,” Main Page. [Online]. Available: </w:t>
      </w:r>
      <w:hyperlink r:id="rId29" w:history="1">
        <w:r w:rsidRPr="00F94A2F">
          <w:rPr>
            <w:rStyle w:val="Hyperlink"/>
            <w:rFonts w:cs="Arial"/>
          </w:rPr>
          <w:t>https://www.pentest-standard.org/</w:t>
        </w:r>
      </w:hyperlink>
      <w:r w:rsidRPr="00F94A2F">
        <w:rPr>
          <w:rFonts w:cs="Arial"/>
        </w:rPr>
        <w:t xml:space="preserve">. </w:t>
      </w:r>
      <w:r w:rsidR="007D4285" w:rsidRPr="00F94A2F">
        <w:rPr>
          <w:rFonts w:cs="Arial"/>
        </w:rPr>
        <w:t>Accessed: Aug. 19, 2025</w:t>
      </w:r>
      <w:r w:rsidRPr="00F94A2F">
        <w:rPr>
          <w:rFonts w:cs="Arial"/>
        </w:rPr>
        <w:t>.</w:t>
      </w:r>
    </w:p>
    <w:p w14:paraId="39ED818D" w14:textId="0F62E4F6" w:rsidR="003D5DE8" w:rsidRPr="00F94A2F" w:rsidRDefault="003D5DE8" w:rsidP="003D5DE8">
      <w:pPr>
        <w:spacing w:after="160" w:line="259" w:lineRule="auto"/>
        <w:rPr>
          <w:rFonts w:cs="Arial"/>
        </w:rPr>
      </w:pPr>
      <w:r w:rsidRPr="00F94A2F">
        <w:rPr>
          <w:rFonts w:cs="Arial"/>
        </w:rPr>
        <w:t xml:space="preserve">[13] OWASP, “Web Security Testing Guide (WSTG) v4.2,” Dec. 3, 2020. [Online]. Available: </w:t>
      </w:r>
      <w:hyperlink r:id="rId30" w:history="1">
        <w:r w:rsidRPr="00F94A2F">
          <w:rPr>
            <w:rStyle w:val="Hyperlink"/>
            <w:rFonts w:cs="Arial"/>
          </w:rPr>
          <w:t>https://owasp.org/www-project-web-security-testing-guide/v42/</w:t>
        </w:r>
      </w:hyperlink>
      <w:r w:rsidRPr="00F94A2F">
        <w:rPr>
          <w:rFonts w:cs="Arial"/>
        </w:rPr>
        <w:t xml:space="preserve">. </w:t>
      </w:r>
      <w:r w:rsidR="007D4285" w:rsidRPr="00F94A2F">
        <w:rPr>
          <w:rFonts w:cs="Arial"/>
        </w:rPr>
        <w:t>Accessed: Aug. 19, 2025</w:t>
      </w:r>
      <w:r w:rsidRPr="00F94A2F">
        <w:rPr>
          <w:rFonts w:cs="Arial"/>
        </w:rPr>
        <w:t>.</w:t>
      </w:r>
    </w:p>
    <w:p w14:paraId="678FD19E" w14:textId="0CE608DB" w:rsidR="003D5DE8" w:rsidRPr="00F94A2F" w:rsidRDefault="003D5DE8" w:rsidP="003D5DE8">
      <w:pPr>
        <w:spacing w:after="160" w:line="259" w:lineRule="auto"/>
        <w:rPr>
          <w:rFonts w:cs="Arial"/>
        </w:rPr>
      </w:pPr>
      <w:r w:rsidRPr="00F94A2F">
        <w:rPr>
          <w:rFonts w:cs="Arial"/>
        </w:rPr>
        <w:t xml:space="preserve">[14] OWASP, “IoT Security Verification Standard (ISVS) and IoT Testing Guide,” project pages. [Online]. Available: </w:t>
      </w:r>
      <w:hyperlink r:id="rId31" w:history="1">
        <w:r w:rsidRPr="00F94A2F">
          <w:rPr>
            <w:rStyle w:val="Hyperlink"/>
            <w:rFonts w:cs="Arial"/>
          </w:rPr>
          <w:t>https://owasp.org/www-project-iot-security-verification-standard/</w:t>
        </w:r>
      </w:hyperlink>
      <w:r w:rsidRPr="00F94A2F">
        <w:rPr>
          <w:rFonts w:cs="Arial"/>
        </w:rPr>
        <w:t xml:space="preserve"> and </w:t>
      </w:r>
      <w:hyperlink r:id="rId32" w:history="1">
        <w:r w:rsidRPr="00F94A2F">
          <w:rPr>
            <w:rStyle w:val="Hyperlink"/>
            <w:rFonts w:cs="Arial"/>
          </w:rPr>
          <w:t>https://owasp.org/www-project-iot-security-testing-guide/</w:t>
        </w:r>
      </w:hyperlink>
      <w:r w:rsidRPr="00F94A2F">
        <w:rPr>
          <w:rFonts w:cs="Arial"/>
        </w:rPr>
        <w:t xml:space="preserve">. </w:t>
      </w:r>
      <w:r w:rsidR="007D4285" w:rsidRPr="00F94A2F">
        <w:rPr>
          <w:rFonts w:cs="Arial"/>
        </w:rPr>
        <w:t>Accessed: Aug. 19, 2025</w:t>
      </w:r>
      <w:r w:rsidRPr="00F94A2F">
        <w:rPr>
          <w:rFonts w:cs="Arial"/>
        </w:rPr>
        <w:t>.</w:t>
      </w:r>
    </w:p>
    <w:p w14:paraId="13697A9C" w14:textId="2AB40E9B" w:rsidR="003D5DE8" w:rsidRPr="00F94A2F" w:rsidRDefault="003D5DE8" w:rsidP="003D5DE8">
      <w:pPr>
        <w:spacing w:after="160" w:line="259" w:lineRule="auto"/>
        <w:rPr>
          <w:rFonts w:cs="Arial"/>
        </w:rPr>
      </w:pPr>
      <w:r w:rsidRPr="00F94A2F">
        <w:rPr>
          <w:rFonts w:cs="Arial"/>
        </w:rPr>
        <w:t xml:space="preserve">[15] P. Weidenbach and J. vom Dorp, “Home Router Security Report 2020,” Fraunhofer FKIE, Jun. 2020. [Online]. Available: </w:t>
      </w:r>
      <w:hyperlink r:id="rId33" w:history="1">
        <w:r w:rsidRPr="00F94A2F">
          <w:rPr>
            <w:rStyle w:val="Hyperlink"/>
            <w:rFonts w:cs="Arial"/>
          </w:rPr>
          <w:t>https://www.fkie.fraunhofer.de/content/dam/fkie/de/documents/HomeRouter/HomeRouterSecurity_2020_Bericht.pdf</w:t>
        </w:r>
      </w:hyperlink>
      <w:r w:rsidRPr="00F94A2F">
        <w:rPr>
          <w:rFonts w:cs="Arial"/>
        </w:rPr>
        <w:t xml:space="preserve">. </w:t>
      </w:r>
      <w:r w:rsidR="007D4285" w:rsidRPr="00F94A2F">
        <w:rPr>
          <w:rFonts w:cs="Arial"/>
        </w:rPr>
        <w:t>Accessed: Aug. 19, 2025</w:t>
      </w:r>
      <w:r w:rsidRPr="00F94A2F">
        <w:rPr>
          <w:rFonts w:cs="Arial"/>
        </w:rPr>
        <w:t>.</w:t>
      </w:r>
    </w:p>
    <w:p w14:paraId="50916ED7" w14:textId="35A1F61B" w:rsidR="003D5DE8" w:rsidRPr="00F94A2F" w:rsidRDefault="003D5DE8" w:rsidP="003D5DE8">
      <w:pPr>
        <w:spacing w:after="160" w:line="259" w:lineRule="auto"/>
        <w:rPr>
          <w:rFonts w:cs="Arial"/>
        </w:rPr>
      </w:pPr>
      <w:r w:rsidRPr="00F94A2F">
        <w:rPr>
          <w:rFonts w:cs="Arial"/>
        </w:rPr>
        <w:t xml:space="preserve">[16] Which? with Red Maple Technologies, “Millions of people in the UK at risk of using insecure routers,” May 5, 2021. [Online]. Available: </w:t>
      </w:r>
      <w:hyperlink r:id="rId34" w:history="1">
        <w:r w:rsidRPr="00F94A2F">
          <w:rPr>
            <w:rStyle w:val="Hyperlink"/>
            <w:rFonts w:cs="Arial"/>
          </w:rPr>
          <w:t>https://www.which.co.uk/news/article/millions-of-people-in-the-uk-at-risk-of-using-unsecure-routers-afweT5A8CGNf</w:t>
        </w:r>
      </w:hyperlink>
      <w:r w:rsidRPr="00F94A2F">
        <w:rPr>
          <w:rFonts w:cs="Arial"/>
        </w:rPr>
        <w:t xml:space="preserve">. </w:t>
      </w:r>
      <w:r w:rsidR="007D4285" w:rsidRPr="00F94A2F">
        <w:rPr>
          <w:rFonts w:cs="Arial"/>
        </w:rPr>
        <w:t>Accessed: Aug. 19, 2025</w:t>
      </w:r>
      <w:r w:rsidRPr="00F94A2F">
        <w:rPr>
          <w:rFonts w:cs="Arial"/>
        </w:rPr>
        <w:t>.</w:t>
      </w:r>
    </w:p>
    <w:p w14:paraId="76560279" w14:textId="277CF21B" w:rsidR="003D5DE8" w:rsidRPr="00F94A2F" w:rsidRDefault="003D5DE8" w:rsidP="003D5DE8">
      <w:pPr>
        <w:spacing w:after="160" w:line="259" w:lineRule="auto"/>
        <w:rPr>
          <w:rFonts w:cs="Arial"/>
        </w:rPr>
      </w:pPr>
      <w:r w:rsidRPr="00F94A2F">
        <w:rPr>
          <w:rFonts w:cs="Arial"/>
        </w:rPr>
        <w:t xml:space="preserve">[17] Cybersecurity and Infrastructure Security Agency (CISA), “Home Network Security,” Feb. 1, 2021. [Online]. Available: </w:t>
      </w:r>
      <w:hyperlink r:id="rId35" w:history="1">
        <w:r w:rsidRPr="00F94A2F">
          <w:rPr>
            <w:rStyle w:val="Hyperlink"/>
            <w:rFonts w:cs="Arial"/>
          </w:rPr>
          <w:t>https://www.cisa.gov/news-events/news/home-network-security</w:t>
        </w:r>
      </w:hyperlink>
      <w:r w:rsidRPr="00F94A2F">
        <w:rPr>
          <w:rFonts w:cs="Arial"/>
        </w:rPr>
        <w:t xml:space="preserve">. </w:t>
      </w:r>
      <w:r w:rsidR="007D4285" w:rsidRPr="00F94A2F">
        <w:rPr>
          <w:rFonts w:cs="Arial"/>
        </w:rPr>
        <w:t>Accessed: Aug. 19, 2025</w:t>
      </w:r>
      <w:r w:rsidRPr="00F94A2F">
        <w:rPr>
          <w:rFonts w:cs="Arial"/>
        </w:rPr>
        <w:t>.</w:t>
      </w:r>
    </w:p>
    <w:p w14:paraId="5CA9CA06" w14:textId="3B259D5D" w:rsidR="003D5DE8" w:rsidRPr="00F94A2F" w:rsidRDefault="003D5DE8" w:rsidP="003D5DE8">
      <w:pPr>
        <w:spacing w:after="160" w:line="259" w:lineRule="auto"/>
        <w:rPr>
          <w:rFonts w:cs="Arial"/>
        </w:rPr>
      </w:pPr>
      <w:r w:rsidRPr="00F94A2F">
        <w:rPr>
          <w:rFonts w:cs="Arial"/>
        </w:rPr>
        <w:t xml:space="preserve">[18] Federal Bureau of Investigation (FBI), “Foreign Cyber Actors Target Home and Office Routers and Networked Devices,” Public Service Announcement, May 25, </w:t>
      </w:r>
      <w:r w:rsidRPr="00F94A2F">
        <w:rPr>
          <w:rFonts w:cs="Arial"/>
        </w:rPr>
        <w:lastRenderedPageBreak/>
        <w:t xml:space="preserve">2018. [Online]. Available: </w:t>
      </w:r>
      <w:hyperlink r:id="rId36" w:history="1">
        <w:r w:rsidRPr="00F94A2F">
          <w:rPr>
            <w:rStyle w:val="Hyperlink"/>
            <w:rFonts w:cs="Arial"/>
          </w:rPr>
          <w:t>https://www.ic3.gov/Media/Y2018/PSA180525</w:t>
        </w:r>
      </w:hyperlink>
      <w:r w:rsidRPr="00F94A2F">
        <w:rPr>
          <w:rFonts w:cs="Arial"/>
        </w:rPr>
        <w:t xml:space="preserve">. </w:t>
      </w:r>
      <w:r w:rsidR="007D4285" w:rsidRPr="00F94A2F">
        <w:rPr>
          <w:rFonts w:cs="Arial"/>
        </w:rPr>
        <w:t>Accessed: Aug. 19, 2025</w:t>
      </w:r>
      <w:r w:rsidRPr="00F94A2F">
        <w:rPr>
          <w:rFonts w:cs="Arial"/>
        </w:rPr>
        <w:t>.</w:t>
      </w:r>
    </w:p>
    <w:p w14:paraId="78B841EF" w14:textId="452A212D" w:rsidR="003D5DE8" w:rsidRPr="00F94A2F" w:rsidRDefault="003D5DE8" w:rsidP="003D5DE8">
      <w:pPr>
        <w:spacing w:after="160" w:line="259" w:lineRule="auto"/>
        <w:rPr>
          <w:rFonts w:cs="Arial"/>
        </w:rPr>
      </w:pPr>
      <w:r w:rsidRPr="00F94A2F">
        <w:rPr>
          <w:rFonts w:cs="Arial"/>
        </w:rPr>
        <w:t>[19] NCSC, “UK and US issue warning about APT28 actors exploiting poorly</w:t>
      </w:r>
      <w:r w:rsidRPr="00F94A2F">
        <w:rPr>
          <w:rFonts w:cs="Arial"/>
        </w:rPr>
        <w:noBreakHyphen/>
        <w:t xml:space="preserve">maintained Cisco routers,” Apr. 18, 2023. [Online]. Available: </w:t>
      </w:r>
      <w:hyperlink r:id="rId37" w:history="1">
        <w:r w:rsidRPr="00F94A2F">
          <w:rPr>
            <w:rStyle w:val="Hyperlink"/>
            <w:rFonts w:cs="Arial"/>
          </w:rPr>
          <w:t>https://www.ncsc.gov.uk/news/uk-and-us-issue-warning-about-apt28-actors-exploiting-poorly-maintained-cisco-routers</w:t>
        </w:r>
      </w:hyperlink>
      <w:r w:rsidRPr="00F94A2F">
        <w:rPr>
          <w:rFonts w:cs="Arial"/>
        </w:rPr>
        <w:t xml:space="preserve">. </w:t>
      </w:r>
      <w:r w:rsidR="007D4285" w:rsidRPr="00F94A2F">
        <w:rPr>
          <w:rFonts w:cs="Arial"/>
        </w:rPr>
        <w:t>Accessed: Aug. 19, 2025</w:t>
      </w:r>
      <w:r w:rsidRPr="00F94A2F">
        <w:rPr>
          <w:rFonts w:cs="Arial"/>
        </w:rPr>
        <w:t>.</w:t>
      </w:r>
    </w:p>
    <w:p w14:paraId="4FC67465" w14:textId="63BCC6E1" w:rsidR="003D5DE8" w:rsidRPr="00F94A2F" w:rsidRDefault="003D5DE8" w:rsidP="003D5DE8">
      <w:pPr>
        <w:spacing w:after="160" w:line="259" w:lineRule="auto"/>
        <w:rPr>
          <w:rFonts w:cs="Arial"/>
        </w:rPr>
      </w:pPr>
      <w:r w:rsidRPr="00F94A2F">
        <w:rPr>
          <w:rFonts w:cs="Arial"/>
        </w:rPr>
        <w:t xml:space="preserve">[20] Z. Ye, H. Zhang, and Y. Jin, “A Security Analysis of Home Router Default Settings,” in </w:t>
      </w:r>
      <w:r w:rsidRPr="00F94A2F">
        <w:rPr>
          <w:rFonts w:cs="Arial"/>
          <w:i/>
          <w:iCs/>
        </w:rPr>
        <w:t>Proc. ACM ASIACCS ’24</w:t>
      </w:r>
      <w:r w:rsidRPr="00F94A2F">
        <w:rPr>
          <w:rFonts w:cs="Arial"/>
        </w:rPr>
        <w:t xml:space="preserve">, New York, NY, USA: ACM, 2024. doi: 10.1145/3643832.3661869. [Online]. Available: </w:t>
      </w:r>
      <w:hyperlink r:id="rId38" w:history="1">
        <w:r w:rsidRPr="00F94A2F">
          <w:rPr>
            <w:rStyle w:val="Hyperlink"/>
            <w:rFonts w:cs="Arial"/>
          </w:rPr>
          <w:t>https://dl.acm.org/doi/10.1145/3643832.3661869</w:t>
        </w:r>
      </w:hyperlink>
      <w:r w:rsidRPr="00F94A2F">
        <w:rPr>
          <w:rFonts w:cs="Arial"/>
        </w:rPr>
        <w:t xml:space="preserve">. </w:t>
      </w:r>
      <w:r w:rsidR="007D4285" w:rsidRPr="00F94A2F">
        <w:rPr>
          <w:rFonts w:cs="Arial"/>
        </w:rPr>
        <w:t>Accessed: Aug. 19, 2025</w:t>
      </w:r>
      <w:r w:rsidRPr="00F94A2F">
        <w:rPr>
          <w:rFonts w:cs="Arial"/>
        </w:rPr>
        <w:t>.</w:t>
      </w:r>
    </w:p>
    <w:p w14:paraId="0B6C293A" w14:textId="500F735D" w:rsidR="003D5DE8" w:rsidRPr="00F94A2F" w:rsidRDefault="003D5DE8" w:rsidP="003D5DE8">
      <w:pPr>
        <w:spacing w:after="160" w:line="259" w:lineRule="auto"/>
        <w:rPr>
          <w:rFonts w:cs="Arial"/>
        </w:rPr>
      </w:pPr>
      <w:r w:rsidRPr="00F94A2F">
        <w:rPr>
          <w:rFonts w:cs="Arial"/>
        </w:rPr>
        <w:t xml:space="preserve">[21] Suricata Project, “Suricata User Guide,” live docs. [Online]. Available: </w:t>
      </w:r>
      <w:hyperlink r:id="rId39" w:history="1">
        <w:r w:rsidRPr="00F94A2F">
          <w:rPr>
            <w:rStyle w:val="Hyperlink"/>
            <w:rFonts w:cs="Arial"/>
          </w:rPr>
          <w:t>https://docs.suricata.io/</w:t>
        </w:r>
      </w:hyperlink>
      <w:r w:rsidRPr="00F94A2F">
        <w:rPr>
          <w:rFonts w:cs="Arial"/>
        </w:rPr>
        <w:t xml:space="preserve">. </w:t>
      </w:r>
      <w:r w:rsidR="007D4285" w:rsidRPr="00F94A2F">
        <w:rPr>
          <w:rFonts w:cs="Arial"/>
        </w:rPr>
        <w:t>Accessed: Aug. 19, 2025</w:t>
      </w:r>
      <w:r w:rsidRPr="00F94A2F">
        <w:rPr>
          <w:rFonts w:cs="Arial"/>
        </w:rPr>
        <w:t>.</w:t>
      </w:r>
    </w:p>
    <w:p w14:paraId="4F764413" w14:textId="7E17634B" w:rsidR="003D5DE8" w:rsidRPr="00F94A2F" w:rsidRDefault="003D5DE8" w:rsidP="003D5DE8">
      <w:pPr>
        <w:spacing w:after="160" w:line="259" w:lineRule="auto"/>
        <w:rPr>
          <w:rFonts w:cs="Arial"/>
        </w:rPr>
      </w:pPr>
      <w:r w:rsidRPr="00F94A2F">
        <w:rPr>
          <w:rFonts w:cs="Arial"/>
        </w:rPr>
        <w:t xml:space="preserve">[22] MITRE ATT&amp;CK, “Valid Accounts: Default Accounts (T1078.001),” last modified 2025. [Online]. Available: </w:t>
      </w:r>
      <w:hyperlink r:id="rId40" w:history="1">
        <w:r w:rsidRPr="00F94A2F">
          <w:rPr>
            <w:rStyle w:val="Hyperlink"/>
            <w:rFonts w:cs="Arial"/>
          </w:rPr>
          <w:t>https://attack.mitre.org/techniques/T1078/001/</w:t>
        </w:r>
      </w:hyperlink>
      <w:r w:rsidRPr="00F94A2F">
        <w:rPr>
          <w:rFonts w:cs="Arial"/>
        </w:rPr>
        <w:t xml:space="preserve">. </w:t>
      </w:r>
      <w:r w:rsidR="007D4285" w:rsidRPr="00F94A2F">
        <w:rPr>
          <w:rFonts w:cs="Arial"/>
        </w:rPr>
        <w:t>Accessed: Aug. 19, 2025</w:t>
      </w:r>
      <w:r w:rsidRPr="00F94A2F">
        <w:rPr>
          <w:rFonts w:cs="Arial"/>
        </w:rPr>
        <w:t>.</w:t>
      </w:r>
    </w:p>
    <w:p w14:paraId="071E7AFA" w14:textId="2EAFE30A" w:rsidR="003D5DE8" w:rsidRPr="00F94A2F" w:rsidRDefault="003D5DE8" w:rsidP="003D5DE8">
      <w:pPr>
        <w:spacing w:after="160" w:line="259" w:lineRule="auto"/>
        <w:rPr>
          <w:rFonts w:cs="Arial"/>
        </w:rPr>
      </w:pPr>
      <w:r w:rsidRPr="00F94A2F">
        <w:rPr>
          <w:rFonts w:cs="Arial"/>
        </w:rPr>
        <w:t xml:space="preserve">[23] MITRE ATT&amp;CK, “Brute Force (T1110),” live technique page. [Online]. Available: </w:t>
      </w:r>
      <w:hyperlink r:id="rId41" w:history="1">
        <w:r w:rsidRPr="00F94A2F">
          <w:rPr>
            <w:rStyle w:val="Hyperlink"/>
            <w:rFonts w:cs="Arial"/>
          </w:rPr>
          <w:t>https://attack.mitre.org/techniques/T1110/</w:t>
        </w:r>
      </w:hyperlink>
      <w:r w:rsidRPr="00F94A2F">
        <w:rPr>
          <w:rFonts w:cs="Arial"/>
        </w:rPr>
        <w:t xml:space="preserve">. </w:t>
      </w:r>
      <w:r w:rsidR="007D4285" w:rsidRPr="00F94A2F">
        <w:rPr>
          <w:rFonts w:cs="Arial"/>
        </w:rPr>
        <w:t>Accessed: Aug. 19, 2025</w:t>
      </w:r>
      <w:r w:rsidRPr="00F94A2F">
        <w:rPr>
          <w:rFonts w:cs="Arial"/>
        </w:rPr>
        <w:t>.</w:t>
      </w:r>
    </w:p>
    <w:p w14:paraId="376075C7" w14:textId="71079A72" w:rsidR="003D5DE8" w:rsidRPr="00F94A2F" w:rsidRDefault="003D5DE8" w:rsidP="003D5DE8">
      <w:pPr>
        <w:spacing w:after="160" w:line="259" w:lineRule="auto"/>
        <w:rPr>
          <w:rFonts w:cs="Arial"/>
        </w:rPr>
      </w:pPr>
      <w:r w:rsidRPr="00F94A2F">
        <w:rPr>
          <w:rFonts w:cs="Arial"/>
        </w:rPr>
        <w:t xml:space="preserve">[24] MITRE ATT&amp;CK, “External Remote Services (T1133),” live technique page. [Online]. Available: </w:t>
      </w:r>
      <w:hyperlink r:id="rId42" w:history="1">
        <w:r w:rsidRPr="00F94A2F">
          <w:rPr>
            <w:rStyle w:val="Hyperlink"/>
            <w:rFonts w:cs="Arial"/>
          </w:rPr>
          <w:t>https://attack.mitre.org/techniques/T1133/</w:t>
        </w:r>
      </w:hyperlink>
      <w:r w:rsidRPr="00F94A2F">
        <w:rPr>
          <w:rFonts w:cs="Arial"/>
        </w:rPr>
        <w:t xml:space="preserve">. </w:t>
      </w:r>
      <w:r w:rsidR="007D4285" w:rsidRPr="00F94A2F">
        <w:rPr>
          <w:rFonts w:cs="Arial"/>
        </w:rPr>
        <w:t>Accessed: Aug. 19, 2025</w:t>
      </w:r>
      <w:r w:rsidRPr="00F94A2F">
        <w:rPr>
          <w:rFonts w:cs="Arial"/>
        </w:rPr>
        <w:t>.</w:t>
      </w:r>
    </w:p>
    <w:p w14:paraId="0A932C89" w14:textId="2A2E145D" w:rsidR="003D5DE8" w:rsidRPr="00F94A2F" w:rsidRDefault="003D5DE8" w:rsidP="003D5DE8">
      <w:pPr>
        <w:spacing w:after="160" w:line="259" w:lineRule="auto"/>
        <w:rPr>
          <w:rFonts w:cs="Arial"/>
        </w:rPr>
      </w:pPr>
      <w:r w:rsidRPr="00F94A2F">
        <w:rPr>
          <w:rFonts w:cs="Arial"/>
        </w:rPr>
        <w:t xml:space="preserve">[25] MITRE ATT&amp;CK, “Network Service Discovery (T1046),” live technique page. [Online]. Available: </w:t>
      </w:r>
      <w:hyperlink r:id="rId43" w:history="1">
        <w:r w:rsidRPr="00F94A2F">
          <w:rPr>
            <w:rStyle w:val="Hyperlink"/>
            <w:rFonts w:cs="Arial"/>
          </w:rPr>
          <w:t>https://attack.mitre.org/techniques/T1046/</w:t>
        </w:r>
      </w:hyperlink>
      <w:r w:rsidRPr="00F94A2F">
        <w:rPr>
          <w:rFonts w:cs="Arial"/>
        </w:rPr>
        <w:t xml:space="preserve">. </w:t>
      </w:r>
      <w:r w:rsidR="007D4285" w:rsidRPr="00F94A2F">
        <w:rPr>
          <w:rFonts w:cs="Arial"/>
        </w:rPr>
        <w:t>Accessed: Aug. 19, 2025</w:t>
      </w:r>
      <w:r w:rsidRPr="00F94A2F">
        <w:rPr>
          <w:rFonts w:cs="Arial"/>
        </w:rPr>
        <w:t>.</w:t>
      </w:r>
    </w:p>
    <w:p w14:paraId="4B20440F" w14:textId="77915F61" w:rsidR="003D5DE8" w:rsidRPr="00F94A2F" w:rsidRDefault="003D5DE8" w:rsidP="003D5DE8">
      <w:pPr>
        <w:spacing w:after="160" w:line="259" w:lineRule="auto"/>
        <w:rPr>
          <w:rFonts w:cs="Arial"/>
        </w:rPr>
      </w:pPr>
      <w:r w:rsidRPr="00F94A2F">
        <w:rPr>
          <w:rFonts w:cs="Arial"/>
        </w:rPr>
        <w:t>[26] MITRE ATT&amp;CK, “Adversary</w:t>
      </w:r>
      <w:r w:rsidRPr="00F94A2F">
        <w:rPr>
          <w:rFonts w:cs="Arial"/>
        </w:rPr>
        <w:noBreakHyphen/>
        <w:t>in</w:t>
      </w:r>
      <w:r w:rsidRPr="00F94A2F">
        <w:rPr>
          <w:rFonts w:cs="Arial"/>
        </w:rPr>
        <w:noBreakHyphen/>
        <w:t>the</w:t>
      </w:r>
      <w:r w:rsidRPr="00F94A2F">
        <w:rPr>
          <w:rFonts w:cs="Arial"/>
        </w:rPr>
        <w:noBreakHyphen/>
        <w:t>Middle (T1557.001): LLMNR/NBT</w:t>
      </w:r>
      <w:r w:rsidRPr="00F94A2F">
        <w:rPr>
          <w:rFonts w:cs="Arial"/>
        </w:rPr>
        <w:noBreakHyphen/>
        <w:t xml:space="preserve">NS Poisoning and SMB Relay; ‘Responder’ (S0174),” live pages. [Online]. Available: </w:t>
      </w:r>
      <w:hyperlink r:id="rId44" w:history="1">
        <w:r w:rsidRPr="00F94A2F">
          <w:rPr>
            <w:rStyle w:val="Hyperlink"/>
            <w:rFonts w:cs="Arial"/>
          </w:rPr>
          <w:t>https://attack.mitre.org/techniques/T1557/001/</w:t>
        </w:r>
      </w:hyperlink>
      <w:r w:rsidRPr="00F94A2F">
        <w:rPr>
          <w:rFonts w:cs="Arial"/>
        </w:rPr>
        <w:t xml:space="preserve"> and </w:t>
      </w:r>
      <w:hyperlink r:id="rId45" w:history="1">
        <w:r w:rsidRPr="00F94A2F">
          <w:rPr>
            <w:rStyle w:val="Hyperlink"/>
            <w:rFonts w:cs="Arial"/>
          </w:rPr>
          <w:t>https://attack.mitre.org/software/S0174/</w:t>
        </w:r>
      </w:hyperlink>
      <w:r w:rsidRPr="00F94A2F">
        <w:rPr>
          <w:rFonts w:cs="Arial"/>
        </w:rPr>
        <w:t xml:space="preserve">. </w:t>
      </w:r>
      <w:r w:rsidR="007D4285" w:rsidRPr="00F94A2F">
        <w:rPr>
          <w:rFonts w:cs="Arial"/>
        </w:rPr>
        <w:t>Accessed: Aug. 19, 2025</w:t>
      </w:r>
      <w:r w:rsidRPr="00F94A2F">
        <w:rPr>
          <w:rFonts w:cs="Arial"/>
        </w:rPr>
        <w:t>.</w:t>
      </w:r>
    </w:p>
    <w:p w14:paraId="2FDFC772" w14:textId="6ABF38E6" w:rsidR="003D5DE8" w:rsidRPr="00F94A2F" w:rsidRDefault="003D5DE8" w:rsidP="003D5DE8">
      <w:pPr>
        <w:spacing w:after="160" w:line="259" w:lineRule="auto"/>
        <w:rPr>
          <w:rFonts w:cs="Arial"/>
        </w:rPr>
      </w:pPr>
      <w:r w:rsidRPr="00F94A2F">
        <w:rPr>
          <w:rFonts w:cs="Arial"/>
        </w:rPr>
        <w:t xml:space="preserve">[27] Suricata Docs, “EVE JSON Output,” live docs. [Online]. Available: </w:t>
      </w:r>
      <w:hyperlink r:id="rId46" w:history="1">
        <w:r w:rsidRPr="00F94A2F">
          <w:rPr>
            <w:rStyle w:val="Hyperlink"/>
            <w:rFonts w:cs="Arial"/>
          </w:rPr>
          <w:t>https://docs.suricata.io/en/latest/output/eve/eve-json-output.html</w:t>
        </w:r>
      </w:hyperlink>
      <w:r w:rsidRPr="00F94A2F">
        <w:rPr>
          <w:rFonts w:cs="Arial"/>
        </w:rPr>
        <w:t xml:space="preserve">. </w:t>
      </w:r>
      <w:r w:rsidR="007D4285" w:rsidRPr="00F94A2F">
        <w:rPr>
          <w:rFonts w:cs="Arial"/>
        </w:rPr>
        <w:t>Accessed: Aug. 19, 2025</w:t>
      </w:r>
      <w:r w:rsidRPr="00F94A2F">
        <w:rPr>
          <w:rFonts w:cs="Arial"/>
        </w:rPr>
        <w:t>.</w:t>
      </w:r>
    </w:p>
    <w:p w14:paraId="36F32BA5" w14:textId="47E4014F" w:rsidR="003D5DE8" w:rsidRPr="00F94A2F" w:rsidRDefault="003D5DE8" w:rsidP="003D5DE8">
      <w:pPr>
        <w:spacing w:after="160" w:line="259" w:lineRule="auto"/>
        <w:rPr>
          <w:rFonts w:cs="Arial"/>
        </w:rPr>
      </w:pPr>
      <w:r w:rsidRPr="00F94A2F">
        <w:rPr>
          <w:rFonts w:cs="Arial"/>
        </w:rPr>
        <w:t xml:space="preserve">[28] Suricata Docs, “EVE JSON: Format and Fields,” live docs. [Online]. Available: </w:t>
      </w:r>
      <w:hyperlink r:id="rId47" w:history="1">
        <w:r w:rsidRPr="00F94A2F">
          <w:rPr>
            <w:rStyle w:val="Hyperlink"/>
            <w:rFonts w:cs="Arial"/>
          </w:rPr>
          <w:t>https://docs.suricata.io/en/latest/output/eve/eve-json-format.html</w:t>
        </w:r>
      </w:hyperlink>
      <w:r w:rsidRPr="00F94A2F">
        <w:rPr>
          <w:rFonts w:cs="Arial"/>
        </w:rPr>
        <w:t xml:space="preserve">. </w:t>
      </w:r>
      <w:r w:rsidR="007D4285" w:rsidRPr="00F94A2F">
        <w:rPr>
          <w:rFonts w:cs="Arial"/>
        </w:rPr>
        <w:t>Accessed: Aug. 19, 2025</w:t>
      </w:r>
      <w:r w:rsidRPr="00F94A2F">
        <w:rPr>
          <w:rFonts w:cs="Arial"/>
        </w:rPr>
        <w:t>.</w:t>
      </w:r>
    </w:p>
    <w:p w14:paraId="29DE1A81" w14:textId="2306B84A" w:rsidR="003D5DE8" w:rsidRPr="00F94A2F" w:rsidRDefault="003D5DE8" w:rsidP="003D5DE8">
      <w:pPr>
        <w:spacing w:after="160" w:line="259" w:lineRule="auto"/>
        <w:rPr>
          <w:rFonts w:cs="Arial"/>
        </w:rPr>
      </w:pPr>
      <w:r w:rsidRPr="00F94A2F">
        <w:rPr>
          <w:rFonts w:cs="Arial"/>
        </w:rPr>
        <w:t xml:space="preserve">[29] Suricata Docs, “Working with EVE JSON (examples),” live docs. [Online]. Available: </w:t>
      </w:r>
      <w:hyperlink r:id="rId48" w:history="1">
        <w:r w:rsidRPr="00F94A2F">
          <w:rPr>
            <w:rStyle w:val="Hyperlink"/>
            <w:rFonts w:cs="Arial"/>
          </w:rPr>
          <w:t>https://docs.suricata.io/en/latest/output/eve/eve-json-examples.html</w:t>
        </w:r>
      </w:hyperlink>
      <w:r w:rsidRPr="00F94A2F">
        <w:rPr>
          <w:rFonts w:cs="Arial"/>
        </w:rPr>
        <w:t xml:space="preserve">. </w:t>
      </w:r>
      <w:r w:rsidR="007D4285" w:rsidRPr="00F94A2F">
        <w:rPr>
          <w:rFonts w:cs="Arial"/>
        </w:rPr>
        <w:t>Accessed: Aug. 19, 2025</w:t>
      </w:r>
      <w:r w:rsidRPr="00F94A2F">
        <w:rPr>
          <w:rFonts w:cs="Arial"/>
        </w:rPr>
        <w:t>.</w:t>
      </w:r>
    </w:p>
    <w:p w14:paraId="48AB9E3B" w14:textId="3C0F901B" w:rsidR="003D5DE8" w:rsidRPr="00F94A2F" w:rsidRDefault="003D5DE8" w:rsidP="003D5DE8">
      <w:pPr>
        <w:spacing w:after="160" w:line="259" w:lineRule="auto"/>
        <w:rPr>
          <w:rFonts w:cs="Arial"/>
        </w:rPr>
      </w:pPr>
      <w:r w:rsidRPr="00F94A2F">
        <w:rPr>
          <w:rFonts w:cs="Arial"/>
        </w:rPr>
        <w:t xml:space="preserve">[30] Netgate, “pfSense Software – VLAN Configuration,” Documentation. [Online]. Available: </w:t>
      </w:r>
      <w:hyperlink r:id="rId49" w:history="1">
        <w:r w:rsidRPr="00F94A2F">
          <w:rPr>
            <w:rStyle w:val="Hyperlink"/>
            <w:rFonts w:cs="Arial"/>
          </w:rPr>
          <w:t>https://docs.netgate.com/pfsense/en/latest/interfaces/vlan.html</w:t>
        </w:r>
      </w:hyperlink>
      <w:r w:rsidRPr="00F94A2F">
        <w:rPr>
          <w:rFonts w:cs="Arial"/>
        </w:rPr>
        <w:t xml:space="preserve">. </w:t>
      </w:r>
      <w:r w:rsidR="007D4285" w:rsidRPr="00F94A2F">
        <w:rPr>
          <w:rFonts w:cs="Arial"/>
        </w:rPr>
        <w:t>Accessed: Aug. 19, 2025</w:t>
      </w:r>
      <w:r w:rsidRPr="00F94A2F">
        <w:rPr>
          <w:rFonts w:cs="Arial"/>
        </w:rPr>
        <w:t>.</w:t>
      </w:r>
    </w:p>
    <w:p w14:paraId="7AE20F54" w14:textId="0955E164" w:rsidR="003D5DE8" w:rsidRPr="00F94A2F" w:rsidRDefault="003D5DE8" w:rsidP="003D5DE8">
      <w:pPr>
        <w:spacing w:after="160" w:line="259" w:lineRule="auto"/>
        <w:rPr>
          <w:rFonts w:cs="Arial"/>
        </w:rPr>
      </w:pPr>
      <w:r w:rsidRPr="00F94A2F">
        <w:rPr>
          <w:rFonts w:cs="Arial"/>
        </w:rPr>
        <w:lastRenderedPageBreak/>
        <w:t xml:space="preserve">[31] OPNsense, “Interfaces: VLAN and LAGG,” Documentation. [Online]. Available: </w:t>
      </w:r>
      <w:hyperlink r:id="rId50" w:anchor="vlans" w:history="1">
        <w:r w:rsidRPr="00F94A2F">
          <w:rPr>
            <w:rStyle w:val="Hyperlink"/>
            <w:rFonts w:cs="Arial"/>
          </w:rPr>
          <w:t>https://docs.opnsense.org/manual/interfaces.html#vlans</w:t>
        </w:r>
      </w:hyperlink>
      <w:r w:rsidRPr="00F94A2F">
        <w:rPr>
          <w:rFonts w:cs="Arial"/>
        </w:rPr>
        <w:t xml:space="preserve">. </w:t>
      </w:r>
      <w:r w:rsidR="007D4285" w:rsidRPr="00F94A2F">
        <w:rPr>
          <w:rFonts w:cs="Arial"/>
        </w:rPr>
        <w:t>Accessed: Aug. 19, 2025</w:t>
      </w:r>
      <w:r w:rsidRPr="00F94A2F">
        <w:rPr>
          <w:rFonts w:cs="Arial"/>
        </w:rPr>
        <w:t>.</w:t>
      </w:r>
    </w:p>
    <w:p w14:paraId="4D72F7CF" w14:textId="2CEC936C" w:rsidR="003D5DE8" w:rsidRPr="00F94A2F" w:rsidRDefault="003D5DE8" w:rsidP="003D5DE8">
      <w:pPr>
        <w:spacing w:after="160" w:line="259" w:lineRule="auto"/>
        <w:rPr>
          <w:rFonts w:cs="Arial"/>
        </w:rPr>
      </w:pPr>
      <w:r w:rsidRPr="00F94A2F">
        <w:rPr>
          <w:rFonts w:cs="Arial"/>
        </w:rPr>
        <w:t>[32] OpenWrt Wiki, “Guest Wi</w:t>
      </w:r>
      <w:r w:rsidRPr="00F94A2F">
        <w:rPr>
          <w:rFonts w:cs="Arial"/>
        </w:rPr>
        <w:noBreakHyphen/>
        <w:t xml:space="preserve">Fi on OpenWrt (LuCI),” Community Docs. [Online]. Available: </w:t>
      </w:r>
      <w:hyperlink r:id="rId51" w:history="1">
        <w:r w:rsidRPr="00F94A2F">
          <w:rPr>
            <w:rStyle w:val="Hyperlink"/>
            <w:rFonts w:cs="Arial"/>
          </w:rPr>
          <w:t>https://openwrt.org/docs/guide-user/network/wifi/guestwifi/guest-wlan-luci</w:t>
        </w:r>
      </w:hyperlink>
      <w:r w:rsidRPr="00F94A2F">
        <w:rPr>
          <w:rFonts w:cs="Arial"/>
        </w:rPr>
        <w:t xml:space="preserve">. </w:t>
      </w:r>
      <w:r w:rsidR="007D4285" w:rsidRPr="00F94A2F">
        <w:rPr>
          <w:rFonts w:cs="Arial"/>
        </w:rPr>
        <w:t>Accessed: Aug. 19, 2025</w:t>
      </w:r>
      <w:r w:rsidRPr="00F94A2F">
        <w:rPr>
          <w:rFonts w:cs="Arial"/>
        </w:rPr>
        <w:t>.</w:t>
      </w:r>
    </w:p>
    <w:p w14:paraId="4E99A86D" w14:textId="5A5312F5" w:rsidR="003D5DE8" w:rsidRPr="00F94A2F" w:rsidRDefault="003D5DE8" w:rsidP="003D5DE8">
      <w:pPr>
        <w:spacing w:after="160" w:line="259" w:lineRule="auto"/>
        <w:rPr>
          <w:rFonts w:cs="Arial"/>
        </w:rPr>
      </w:pPr>
      <w:r w:rsidRPr="00F94A2F">
        <w:rPr>
          <w:rFonts w:cs="Arial"/>
        </w:rPr>
        <w:t xml:space="preserve">[33] Ubiquiti Help Center, “Network and Client Isolation (UniFi),” Support Article. [Online]. Available: </w:t>
      </w:r>
      <w:hyperlink r:id="rId52" w:history="1">
        <w:r w:rsidRPr="00F94A2F">
          <w:rPr>
            <w:rStyle w:val="Hyperlink"/>
            <w:rFonts w:cs="Arial"/>
          </w:rPr>
          <w:t>https://help.ui.com/hc/en-us/articles/221029967</w:t>
        </w:r>
      </w:hyperlink>
      <w:r w:rsidRPr="00F94A2F">
        <w:rPr>
          <w:rFonts w:cs="Arial"/>
        </w:rPr>
        <w:t xml:space="preserve">. </w:t>
      </w:r>
      <w:r w:rsidR="007D4285" w:rsidRPr="00F94A2F">
        <w:rPr>
          <w:rFonts w:cs="Arial"/>
        </w:rPr>
        <w:t>Accessed: Aug. 19, 2025</w:t>
      </w:r>
      <w:r w:rsidRPr="00F94A2F">
        <w:rPr>
          <w:rFonts w:cs="Arial"/>
        </w:rPr>
        <w:t>.</w:t>
      </w:r>
    </w:p>
    <w:p w14:paraId="77DF2A79" w14:textId="09CEAB92" w:rsidR="003D5DE8" w:rsidRPr="00F94A2F" w:rsidRDefault="003D5DE8" w:rsidP="003D5DE8">
      <w:pPr>
        <w:spacing w:after="160" w:line="259" w:lineRule="auto"/>
        <w:rPr>
          <w:rFonts w:cs="Arial"/>
        </w:rPr>
      </w:pPr>
      <w:r w:rsidRPr="00F94A2F">
        <w:rPr>
          <w:rFonts w:cs="Arial"/>
        </w:rPr>
        <w:t xml:space="preserve">[34] Greenbone, “Greenbone Community Edition – Scanning and Reports,” Documentation. [Online]. Available: </w:t>
      </w:r>
      <w:hyperlink r:id="rId53" w:history="1">
        <w:r w:rsidRPr="00F94A2F">
          <w:rPr>
            <w:rStyle w:val="Hyperlink"/>
            <w:rFonts w:cs="Arial"/>
          </w:rPr>
          <w:t>https://greenbone.github.io/docs/</w:t>
        </w:r>
      </w:hyperlink>
      <w:r w:rsidRPr="00F94A2F">
        <w:rPr>
          <w:rFonts w:cs="Arial"/>
        </w:rPr>
        <w:t xml:space="preserve">. </w:t>
      </w:r>
      <w:r w:rsidR="007D4285" w:rsidRPr="00F94A2F">
        <w:rPr>
          <w:rFonts w:cs="Arial"/>
        </w:rPr>
        <w:t>Accessed: Aug. 19, 2025</w:t>
      </w:r>
      <w:r w:rsidRPr="00F94A2F">
        <w:rPr>
          <w:rFonts w:cs="Arial"/>
        </w:rPr>
        <w:t>.</w:t>
      </w:r>
    </w:p>
    <w:p w14:paraId="476D4BBC" w14:textId="7331B762" w:rsidR="003D5DE8" w:rsidRPr="00F94A2F" w:rsidRDefault="003D5DE8" w:rsidP="003D5DE8">
      <w:pPr>
        <w:spacing w:after="160" w:line="259" w:lineRule="auto"/>
        <w:rPr>
          <w:rFonts w:cs="Arial"/>
        </w:rPr>
      </w:pPr>
      <w:r w:rsidRPr="00F94A2F">
        <w:rPr>
          <w:rFonts w:cs="Arial"/>
        </w:rPr>
        <w:t xml:space="preserve">[35] Nmap, “Nmap Reference Guide,” Documentation. [Online]. Available: </w:t>
      </w:r>
      <w:hyperlink r:id="rId54" w:history="1">
        <w:r w:rsidRPr="00F94A2F">
          <w:rPr>
            <w:rStyle w:val="Hyperlink"/>
            <w:rFonts w:cs="Arial"/>
          </w:rPr>
          <w:t>https://nmap.org/book/man.html</w:t>
        </w:r>
      </w:hyperlink>
      <w:r w:rsidRPr="00F94A2F">
        <w:rPr>
          <w:rFonts w:cs="Arial"/>
        </w:rPr>
        <w:t xml:space="preserve">. </w:t>
      </w:r>
      <w:r w:rsidR="007D4285" w:rsidRPr="00F94A2F">
        <w:rPr>
          <w:rFonts w:cs="Arial"/>
        </w:rPr>
        <w:t>Accessed: Aug. 19, 2025</w:t>
      </w:r>
      <w:r w:rsidRPr="00F94A2F">
        <w:rPr>
          <w:rFonts w:cs="Arial"/>
        </w:rPr>
        <w:t>.</w:t>
      </w:r>
    </w:p>
    <w:p w14:paraId="46FF34CD" w14:textId="3EBCB991" w:rsidR="003D5DE8" w:rsidRPr="00F94A2F" w:rsidRDefault="003D5DE8" w:rsidP="003D5DE8">
      <w:pPr>
        <w:spacing w:after="160" w:line="259" w:lineRule="auto"/>
        <w:rPr>
          <w:rFonts w:cs="Arial"/>
        </w:rPr>
      </w:pPr>
      <w:r w:rsidRPr="00F94A2F">
        <w:rPr>
          <w:rFonts w:cs="Arial"/>
        </w:rPr>
        <w:t xml:space="preserve">[36] THC Hydra, “Hydra – a very fast network logon cracker,” man page / GitHub. [Online]. Available: </w:t>
      </w:r>
      <w:hyperlink r:id="rId55" w:history="1">
        <w:r w:rsidRPr="00F94A2F">
          <w:rPr>
            <w:rStyle w:val="Hyperlink"/>
            <w:rFonts w:cs="Arial"/>
          </w:rPr>
          <w:t>https://github.com/vanhauser-thc/thc-hydra</w:t>
        </w:r>
      </w:hyperlink>
      <w:r w:rsidRPr="00F94A2F">
        <w:rPr>
          <w:rFonts w:cs="Arial"/>
        </w:rPr>
        <w:t xml:space="preserve">. </w:t>
      </w:r>
      <w:r w:rsidR="007D4285" w:rsidRPr="00F94A2F">
        <w:rPr>
          <w:rFonts w:cs="Arial"/>
        </w:rPr>
        <w:t>Accessed: Aug. 19, 2025</w:t>
      </w:r>
      <w:r w:rsidRPr="00F94A2F">
        <w:rPr>
          <w:rFonts w:cs="Arial"/>
        </w:rPr>
        <w:t>.</w:t>
      </w:r>
    </w:p>
    <w:p w14:paraId="7508E583" w14:textId="363F8091" w:rsidR="00AA1338" w:rsidRPr="00F94A2F" w:rsidRDefault="003D5DE8" w:rsidP="001B380E">
      <w:pPr>
        <w:spacing w:after="160" w:line="259" w:lineRule="auto"/>
        <w:rPr>
          <w:rFonts w:cs="Arial"/>
        </w:rPr>
      </w:pPr>
      <w:r w:rsidRPr="00F94A2F">
        <w:rPr>
          <w:rFonts w:cs="Arial"/>
        </w:rPr>
        <w:t xml:space="preserve">[37] Rapid7, “Metasploit Framework – User Guide,” Docs. [Online]. Available: </w:t>
      </w:r>
      <w:hyperlink r:id="rId56" w:history="1">
        <w:r w:rsidRPr="00F94A2F">
          <w:rPr>
            <w:rStyle w:val="Hyperlink"/>
            <w:rFonts w:cs="Arial"/>
          </w:rPr>
          <w:t>https://docs.rapid7.com/metasploit/</w:t>
        </w:r>
      </w:hyperlink>
      <w:r w:rsidRPr="00F94A2F">
        <w:rPr>
          <w:rFonts w:cs="Arial"/>
        </w:rPr>
        <w:t xml:space="preserve">. </w:t>
      </w:r>
      <w:r w:rsidR="007D4285" w:rsidRPr="00F94A2F">
        <w:rPr>
          <w:rFonts w:cs="Arial"/>
        </w:rPr>
        <w:t>Accessed: Aug. 19, 2025</w:t>
      </w:r>
      <w:r w:rsidRPr="00F94A2F">
        <w:rPr>
          <w:rFonts w:cs="Arial"/>
        </w:rPr>
        <w:t>.</w:t>
      </w:r>
    </w:p>
    <w:p w14:paraId="5535AA25" w14:textId="5DA02B6D" w:rsidR="00FE0A83" w:rsidRPr="00F94A2F" w:rsidRDefault="00CD38C4" w:rsidP="00CD38C4">
      <w:pPr>
        <w:pStyle w:val="Heading1"/>
        <w:rPr>
          <w:rFonts w:cs="Arial"/>
        </w:rPr>
      </w:pPr>
      <w:bookmarkStart w:id="171" w:name="_Toc207753547"/>
      <w:r w:rsidRPr="00F94A2F">
        <w:rPr>
          <w:rFonts w:cs="Arial"/>
        </w:rPr>
        <w:t>APPENDICIES</w:t>
      </w:r>
      <w:bookmarkEnd w:id="171"/>
    </w:p>
    <w:p w14:paraId="2F1F4EEB" w14:textId="368B3E2C" w:rsidR="00CD38C4" w:rsidRPr="00F94A2F" w:rsidRDefault="00CD38C4" w:rsidP="00015FAF">
      <w:pPr>
        <w:pStyle w:val="Heading2"/>
        <w:rPr>
          <w:rFonts w:cs="Arial"/>
        </w:rPr>
      </w:pPr>
      <w:bookmarkStart w:id="172" w:name="_Toc207753548"/>
      <w:r w:rsidRPr="00F94A2F">
        <w:rPr>
          <w:rFonts w:cs="Arial"/>
          <w:lang w:val="x-none"/>
        </w:rPr>
        <w:t>Appendix 1</w:t>
      </w:r>
      <w:r w:rsidR="00015FAF" w:rsidRPr="00F94A2F">
        <w:rPr>
          <w:rFonts w:cs="Arial"/>
          <w:lang w:val="x-none"/>
        </w:rPr>
        <w:t xml:space="preserve"> - </w:t>
      </w:r>
      <w:r w:rsidR="00015FAF" w:rsidRPr="00F94A2F">
        <w:rPr>
          <w:rFonts w:cs="Arial"/>
        </w:rPr>
        <w:t>Project Management &amp; Timeline</w:t>
      </w:r>
      <w:bookmarkEnd w:id="172"/>
    </w:p>
    <w:p w14:paraId="0FA04F41" w14:textId="61DB0101" w:rsidR="007B4C90" w:rsidRPr="00F94A2F" w:rsidRDefault="007B4C90" w:rsidP="007B4C90">
      <w:pPr>
        <w:pStyle w:val="Heading3"/>
        <w:rPr>
          <w:rFonts w:eastAsia="Aptos" w:cs="Arial"/>
          <w:lang w:eastAsia="en-US"/>
        </w:rPr>
      </w:pPr>
      <w:bookmarkStart w:id="173" w:name="_Toc207753549"/>
      <w:r w:rsidRPr="00F94A2F">
        <w:rPr>
          <w:rFonts w:eastAsia="Aptos" w:cs="Arial"/>
          <w:lang w:eastAsia="en-US"/>
        </w:rPr>
        <w:t>Project timeline &amp; milestones</w:t>
      </w:r>
      <w:bookmarkEnd w:id="17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74"/>
        <w:gridCol w:w="851"/>
        <w:gridCol w:w="851"/>
        <w:gridCol w:w="4482"/>
      </w:tblGrid>
      <w:tr w:rsidR="007B4C90" w:rsidRPr="00F94A2F" w14:paraId="2F1D17AB" w14:textId="77777777" w:rsidTr="001B380E">
        <w:trPr>
          <w:tblHeader/>
          <w:tblCellSpacing w:w="15" w:type="dxa"/>
        </w:trPr>
        <w:tc>
          <w:tcPr>
            <w:tcW w:w="0" w:type="auto"/>
            <w:vAlign w:val="center"/>
            <w:hideMark/>
          </w:tcPr>
          <w:p w14:paraId="140D3600"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Phase</w:t>
            </w:r>
          </w:p>
        </w:tc>
        <w:tc>
          <w:tcPr>
            <w:tcW w:w="0" w:type="auto"/>
            <w:vAlign w:val="center"/>
            <w:hideMark/>
          </w:tcPr>
          <w:p w14:paraId="59DD591E"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Start</w:t>
            </w:r>
          </w:p>
        </w:tc>
        <w:tc>
          <w:tcPr>
            <w:tcW w:w="0" w:type="auto"/>
            <w:vAlign w:val="center"/>
            <w:hideMark/>
          </w:tcPr>
          <w:p w14:paraId="1BB0B9CE"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End</w:t>
            </w:r>
          </w:p>
        </w:tc>
        <w:tc>
          <w:tcPr>
            <w:tcW w:w="0" w:type="auto"/>
            <w:vAlign w:val="center"/>
            <w:hideMark/>
          </w:tcPr>
          <w:p w14:paraId="65D4C882"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Milestone / Exit criteria</w:t>
            </w:r>
          </w:p>
        </w:tc>
      </w:tr>
      <w:tr w:rsidR="007B4C90" w:rsidRPr="00F94A2F" w14:paraId="7D678187" w14:textId="77777777" w:rsidTr="001B380E">
        <w:trPr>
          <w:tblCellSpacing w:w="15" w:type="dxa"/>
        </w:trPr>
        <w:tc>
          <w:tcPr>
            <w:tcW w:w="0" w:type="auto"/>
            <w:vAlign w:val="center"/>
            <w:hideMark/>
          </w:tcPr>
          <w:p w14:paraId="0A21B8F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Initiation &amp; ethics (P0)</w:t>
            </w:r>
          </w:p>
        </w:tc>
        <w:tc>
          <w:tcPr>
            <w:tcW w:w="0" w:type="auto"/>
            <w:vAlign w:val="center"/>
            <w:hideMark/>
          </w:tcPr>
          <w:p w14:paraId="4AC0A36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w:t>
            </w:r>
          </w:p>
        </w:tc>
        <w:tc>
          <w:tcPr>
            <w:tcW w:w="0" w:type="auto"/>
            <w:vAlign w:val="center"/>
            <w:hideMark/>
          </w:tcPr>
          <w:p w14:paraId="5B49ACEA"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w:t>
            </w:r>
          </w:p>
        </w:tc>
        <w:tc>
          <w:tcPr>
            <w:tcW w:w="0" w:type="auto"/>
            <w:vAlign w:val="center"/>
            <w:hideMark/>
          </w:tcPr>
          <w:p w14:paraId="347B689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Ethics checklist complete; backups verified</w:t>
            </w:r>
          </w:p>
        </w:tc>
      </w:tr>
      <w:tr w:rsidR="007B4C90" w:rsidRPr="00F94A2F" w14:paraId="790AB273" w14:textId="77777777" w:rsidTr="001B380E">
        <w:trPr>
          <w:tblCellSpacing w:w="15" w:type="dxa"/>
        </w:trPr>
        <w:tc>
          <w:tcPr>
            <w:tcW w:w="0" w:type="auto"/>
            <w:vAlign w:val="center"/>
            <w:hideMark/>
          </w:tcPr>
          <w:p w14:paraId="06E105B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Literature review (P1)</w:t>
            </w:r>
          </w:p>
        </w:tc>
        <w:tc>
          <w:tcPr>
            <w:tcW w:w="0" w:type="auto"/>
            <w:vAlign w:val="center"/>
            <w:hideMark/>
          </w:tcPr>
          <w:p w14:paraId="01A5FA8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w:t>
            </w:r>
          </w:p>
        </w:tc>
        <w:tc>
          <w:tcPr>
            <w:tcW w:w="0" w:type="auto"/>
            <w:vAlign w:val="center"/>
            <w:hideMark/>
          </w:tcPr>
          <w:p w14:paraId="5787EE5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3</w:t>
            </w:r>
          </w:p>
        </w:tc>
        <w:tc>
          <w:tcPr>
            <w:tcW w:w="0" w:type="auto"/>
            <w:vAlign w:val="center"/>
            <w:hideMark/>
          </w:tcPr>
          <w:p w14:paraId="14CF8AC0" w14:textId="023628C1"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S2 drafted with mapped citations [1]–[37]</w:t>
            </w:r>
          </w:p>
        </w:tc>
      </w:tr>
      <w:tr w:rsidR="007B4C90" w:rsidRPr="00F94A2F" w14:paraId="1D6D46B3" w14:textId="77777777" w:rsidTr="001B380E">
        <w:trPr>
          <w:tblCellSpacing w:w="15" w:type="dxa"/>
        </w:trPr>
        <w:tc>
          <w:tcPr>
            <w:tcW w:w="0" w:type="auto"/>
            <w:vAlign w:val="center"/>
            <w:hideMark/>
          </w:tcPr>
          <w:p w14:paraId="2A6CE9A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Baseline build (P2)</w:t>
            </w:r>
          </w:p>
        </w:tc>
        <w:tc>
          <w:tcPr>
            <w:tcW w:w="0" w:type="auto"/>
            <w:vAlign w:val="center"/>
            <w:hideMark/>
          </w:tcPr>
          <w:p w14:paraId="2F4C7985"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2</w:t>
            </w:r>
          </w:p>
        </w:tc>
        <w:tc>
          <w:tcPr>
            <w:tcW w:w="0" w:type="auto"/>
            <w:vAlign w:val="center"/>
            <w:hideMark/>
          </w:tcPr>
          <w:p w14:paraId="23DEB29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3</w:t>
            </w:r>
          </w:p>
        </w:tc>
        <w:tc>
          <w:tcPr>
            <w:tcW w:w="0" w:type="auto"/>
            <w:vAlign w:val="center"/>
            <w:hideMark/>
          </w:tcPr>
          <w:p w14:paraId="31762B70"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Baseline config exported; screenshots captured</w:t>
            </w:r>
          </w:p>
        </w:tc>
      </w:tr>
      <w:tr w:rsidR="007B4C90" w:rsidRPr="00F94A2F" w14:paraId="2BF2CB88" w14:textId="77777777" w:rsidTr="001B380E">
        <w:trPr>
          <w:tblCellSpacing w:w="15" w:type="dxa"/>
        </w:trPr>
        <w:tc>
          <w:tcPr>
            <w:tcW w:w="0" w:type="auto"/>
            <w:vAlign w:val="center"/>
            <w:hideMark/>
          </w:tcPr>
          <w:p w14:paraId="043E00C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Baseline measurements (P3)</w:t>
            </w:r>
          </w:p>
        </w:tc>
        <w:tc>
          <w:tcPr>
            <w:tcW w:w="0" w:type="auto"/>
            <w:vAlign w:val="center"/>
            <w:hideMark/>
          </w:tcPr>
          <w:p w14:paraId="59B1355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3</w:t>
            </w:r>
          </w:p>
        </w:tc>
        <w:tc>
          <w:tcPr>
            <w:tcW w:w="0" w:type="auto"/>
            <w:vAlign w:val="center"/>
            <w:hideMark/>
          </w:tcPr>
          <w:p w14:paraId="7E579939"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4</w:t>
            </w:r>
          </w:p>
        </w:tc>
        <w:tc>
          <w:tcPr>
            <w:tcW w:w="0" w:type="auto"/>
            <w:vAlign w:val="center"/>
            <w:hideMark/>
          </w:tcPr>
          <w:p w14:paraId="019E2B6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Artefacts captured for TC1–TC8 (Baseline)</w:t>
            </w:r>
          </w:p>
        </w:tc>
      </w:tr>
      <w:tr w:rsidR="007B4C90" w:rsidRPr="00F94A2F" w14:paraId="57E764CB" w14:textId="77777777" w:rsidTr="001B380E">
        <w:trPr>
          <w:tblCellSpacing w:w="15" w:type="dxa"/>
        </w:trPr>
        <w:tc>
          <w:tcPr>
            <w:tcW w:w="0" w:type="auto"/>
            <w:vAlign w:val="center"/>
            <w:hideMark/>
          </w:tcPr>
          <w:p w14:paraId="1C76E91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Hardened build (P4)</w:t>
            </w:r>
          </w:p>
        </w:tc>
        <w:tc>
          <w:tcPr>
            <w:tcW w:w="0" w:type="auto"/>
            <w:vAlign w:val="center"/>
            <w:hideMark/>
          </w:tcPr>
          <w:p w14:paraId="18D8DDA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4</w:t>
            </w:r>
          </w:p>
        </w:tc>
        <w:tc>
          <w:tcPr>
            <w:tcW w:w="0" w:type="auto"/>
            <w:vAlign w:val="center"/>
            <w:hideMark/>
          </w:tcPr>
          <w:p w14:paraId="52BD0E8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5</w:t>
            </w:r>
          </w:p>
        </w:tc>
        <w:tc>
          <w:tcPr>
            <w:tcW w:w="0" w:type="auto"/>
            <w:vAlign w:val="center"/>
            <w:hideMark/>
          </w:tcPr>
          <w:p w14:paraId="39E3169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Segmentation, UPnP/WAN admin off, creds/updates done</w:t>
            </w:r>
          </w:p>
        </w:tc>
      </w:tr>
      <w:tr w:rsidR="007B4C90" w:rsidRPr="00F94A2F" w14:paraId="5C09EFFD" w14:textId="77777777" w:rsidTr="001B380E">
        <w:trPr>
          <w:tblCellSpacing w:w="15" w:type="dxa"/>
        </w:trPr>
        <w:tc>
          <w:tcPr>
            <w:tcW w:w="0" w:type="auto"/>
            <w:vAlign w:val="center"/>
            <w:hideMark/>
          </w:tcPr>
          <w:p w14:paraId="63129ED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Hardened measurements (P5)</w:t>
            </w:r>
          </w:p>
        </w:tc>
        <w:tc>
          <w:tcPr>
            <w:tcW w:w="0" w:type="auto"/>
            <w:vAlign w:val="center"/>
            <w:hideMark/>
          </w:tcPr>
          <w:p w14:paraId="5C64181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5</w:t>
            </w:r>
          </w:p>
        </w:tc>
        <w:tc>
          <w:tcPr>
            <w:tcW w:w="0" w:type="auto"/>
            <w:vAlign w:val="center"/>
            <w:hideMark/>
          </w:tcPr>
          <w:p w14:paraId="06FDD5FF"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6</w:t>
            </w:r>
          </w:p>
        </w:tc>
        <w:tc>
          <w:tcPr>
            <w:tcW w:w="0" w:type="auto"/>
            <w:vAlign w:val="center"/>
            <w:hideMark/>
          </w:tcPr>
          <w:p w14:paraId="530759B9" w14:textId="1B237A6B" w:rsidR="007B4C90" w:rsidRPr="00F94A2F" w:rsidRDefault="007B4C90" w:rsidP="007B4C90">
            <w:pPr>
              <w:spacing w:after="160" w:line="259" w:lineRule="auto"/>
              <w:jc w:val="left"/>
              <w:rPr>
                <w:rFonts w:eastAsia="Aptos" w:cs="Arial"/>
                <w:sz w:val="22"/>
                <w:szCs w:val="22"/>
                <w:lang w:eastAsia="en-US"/>
              </w:rPr>
            </w:pPr>
          </w:p>
        </w:tc>
      </w:tr>
      <w:tr w:rsidR="007B4C90" w:rsidRPr="00F94A2F" w14:paraId="17760BF1" w14:textId="77777777" w:rsidTr="001B380E">
        <w:trPr>
          <w:tblCellSpacing w:w="15" w:type="dxa"/>
        </w:trPr>
        <w:tc>
          <w:tcPr>
            <w:tcW w:w="0" w:type="auto"/>
            <w:vAlign w:val="center"/>
            <w:hideMark/>
          </w:tcPr>
          <w:p w14:paraId="0448985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Analysis &amp; figures (P6)</w:t>
            </w:r>
          </w:p>
        </w:tc>
        <w:tc>
          <w:tcPr>
            <w:tcW w:w="0" w:type="auto"/>
            <w:vAlign w:val="center"/>
            <w:hideMark/>
          </w:tcPr>
          <w:p w14:paraId="700872B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6</w:t>
            </w:r>
          </w:p>
        </w:tc>
        <w:tc>
          <w:tcPr>
            <w:tcW w:w="0" w:type="auto"/>
            <w:vAlign w:val="center"/>
            <w:hideMark/>
          </w:tcPr>
          <w:p w14:paraId="0F255955"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7</w:t>
            </w:r>
          </w:p>
        </w:tc>
        <w:tc>
          <w:tcPr>
            <w:tcW w:w="0" w:type="auto"/>
            <w:vAlign w:val="center"/>
            <w:hideMark/>
          </w:tcPr>
          <w:p w14:paraId="26E0C1C3" w14:textId="059F6FC3" w:rsidR="007B4C90" w:rsidRPr="00F94A2F" w:rsidRDefault="007B4C90" w:rsidP="007B4C90">
            <w:pPr>
              <w:spacing w:after="160" w:line="259" w:lineRule="auto"/>
              <w:jc w:val="left"/>
              <w:rPr>
                <w:rFonts w:eastAsia="Aptos" w:cs="Arial"/>
                <w:sz w:val="22"/>
                <w:szCs w:val="22"/>
                <w:lang w:eastAsia="en-US"/>
              </w:rPr>
            </w:pPr>
          </w:p>
        </w:tc>
      </w:tr>
      <w:tr w:rsidR="007B4C90" w:rsidRPr="00F94A2F" w14:paraId="10834DCD" w14:textId="77777777" w:rsidTr="001B380E">
        <w:trPr>
          <w:tblCellSpacing w:w="15" w:type="dxa"/>
        </w:trPr>
        <w:tc>
          <w:tcPr>
            <w:tcW w:w="0" w:type="auto"/>
            <w:vAlign w:val="center"/>
            <w:hideMark/>
          </w:tcPr>
          <w:p w14:paraId="26B4D59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lastRenderedPageBreak/>
              <w:t>Writing &amp; integration (P7)</w:t>
            </w:r>
          </w:p>
        </w:tc>
        <w:tc>
          <w:tcPr>
            <w:tcW w:w="0" w:type="auto"/>
            <w:vAlign w:val="center"/>
            <w:hideMark/>
          </w:tcPr>
          <w:p w14:paraId="027224A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6</w:t>
            </w:r>
          </w:p>
        </w:tc>
        <w:tc>
          <w:tcPr>
            <w:tcW w:w="0" w:type="auto"/>
            <w:vAlign w:val="center"/>
            <w:hideMark/>
          </w:tcPr>
          <w:p w14:paraId="6FF4A94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9</w:t>
            </w:r>
          </w:p>
        </w:tc>
        <w:tc>
          <w:tcPr>
            <w:tcW w:w="0" w:type="auto"/>
            <w:vAlign w:val="center"/>
            <w:hideMark/>
          </w:tcPr>
          <w:p w14:paraId="180EF2BF" w14:textId="30DB9925"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S1–</w:t>
            </w:r>
            <w:r w:rsidR="007D4285" w:rsidRPr="00F94A2F">
              <w:rPr>
                <w:rFonts w:eastAsia="Aptos" w:cs="Arial"/>
                <w:sz w:val="22"/>
                <w:szCs w:val="22"/>
                <w:lang w:eastAsia="en-US"/>
              </w:rPr>
              <w:t>8</w:t>
            </w:r>
            <w:r w:rsidRPr="00F94A2F">
              <w:rPr>
                <w:rFonts w:eastAsia="Aptos" w:cs="Arial"/>
                <w:sz w:val="22"/>
                <w:szCs w:val="22"/>
                <w:lang w:eastAsia="en-US"/>
              </w:rPr>
              <w:t xml:space="preserve"> complete</w:t>
            </w:r>
          </w:p>
        </w:tc>
      </w:tr>
      <w:tr w:rsidR="007B4C90" w:rsidRPr="00F94A2F" w14:paraId="6D0AAA75" w14:textId="77777777" w:rsidTr="001B380E">
        <w:trPr>
          <w:tblCellSpacing w:w="15" w:type="dxa"/>
        </w:trPr>
        <w:tc>
          <w:tcPr>
            <w:tcW w:w="0" w:type="auto"/>
            <w:vAlign w:val="center"/>
            <w:hideMark/>
          </w:tcPr>
          <w:p w14:paraId="184C5EBB"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Review &amp; QA (P8)</w:t>
            </w:r>
          </w:p>
        </w:tc>
        <w:tc>
          <w:tcPr>
            <w:tcW w:w="0" w:type="auto"/>
            <w:vAlign w:val="center"/>
            <w:hideMark/>
          </w:tcPr>
          <w:p w14:paraId="44DAFAAF"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9</w:t>
            </w:r>
          </w:p>
        </w:tc>
        <w:tc>
          <w:tcPr>
            <w:tcW w:w="0" w:type="auto"/>
            <w:vAlign w:val="center"/>
            <w:hideMark/>
          </w:tcPr>
          <w:p w14:paraId="1FCFE1B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10</w:t>
            </w:r>
          </w:p>
        </w:tc>
        <w:tc>
          <w:tcPr>
            <w:tcW w:w="0" w:type="auto"/>
            <w:vAlign w:val="center"/>
            <w:hideMark/>
          </w:tcPr>
          <w:p w14:paraId="05140B85" w14:textId="1E949C91"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Supervisor sign</w:t>
            </w:r>
            <w:r w:rsidRPr="00F94A2F">
              <w:rPr>
                <w:rFonts w:eastAsia="Aptos" w:cs="Arial"/>
                <w:sz w:val="22"/>
                <w:szCs w:val="22"/>
                <w:lang w:eastAsia="en-US"/>
              </w:rPr>
              <w:noBreakHyphen/>
              <w:t>off; Quality sweep (citations, figures/tables)</w:t>
            </w:r>
          </w:p>
        </w:tc>
      </w:tr>
      <w:tr w:rsidR="007B4C90" w:rsidRPr="00F94A2F" w14:paraId="7215EC25" w14:textId="77777777" w:rsidTr="001B380E">
        <w:trPr>
          <w:tblCellSpacing w:w="15" w:type="dxa"/>
        </w:trPr>
        <w:tc>
          <w:tcPr>
            <w:tcW w:w="0" w:type="auto"/>
            <w:vAlign w:val="center"/>
            <w:hideMark/>
          </w:tcPr>
          <w:p w14:paraId="4D3A2CB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Submission (P9)</w:t>
            </w:r>
          </w:p>
        </w:tc>
        <w:tc>
          <w:tcPr>
            <w:tcW w:w="0" w:type="auto"/>
            <w:vAlign w:val="center"/>
            <w:hideMark/>
          </w:tcPr>
          <w:p w14:paraId="4BD3073B"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11</w:t>
            </w:r>
          </w:p>
        </w:tc>
        <w:tc>
          <w:tcPr>
            <w:tcW w:w="0" w:type="auto"/>
            <w:vAlign w:val="center"/>
            <w:hideMark/>
          </w:tcPr>
          <w:p w14:paraId="79C9419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12</w:t>
            </w:r>
          </w:p>
        </w:tc>
        <w:tc>
          <w:tcPr>
            <w:tcW w:w="0" w:type="auto"/>
            <w:vAlign w:val="center"/>
            <w:hideMark/>
          </w:tcPr>
          <w:p w14:paraId="38E631EC" w14:textId="6AC5FF6E" w:rsidR="007B4C90" w:rsidRPr="00F94A2F" w:rsidRDefault="007B4C90" w:rsidP="0009507B">
            <w:pPr>
              <w:keepNext/>
              <w:spacing w:after="160" w:line="259" w:lineRule="auto"/>
              <w:jc w:val="left"/>
              <w:rPr>
                <w:rFonts w:eastAsia="Aptos" w:cs="Arial"/>
                <w:sz w:val="22"/>
                <w:szCs w:val="22"/>
                <w:lang w:eastAsia="en-US"/>
              </w:rPr>
            </w:pPr>
            <w:r w:rsidRPr="00F94A2F">
              <w:rPr>
                <w:rFonts w:eastAsia="Aptos" w:cs="Arial"/>
                <w:sz w:val="22"/>
                <w:szCs w:val="22"/>
                <w:lang w:eastAsia="en-US"/>
              </w:rPr>
              <w:t>Final Word</w:t>
            </w:r>
            <w:r w:rsidR="00AA1338" w:rsidRPr="00F94A2F">
              <w:rPr>
                <w:rFonts w:eastAsia="Aptos" w:cs="Arial"/>
                <w:sz w:val="22"/>
                <w:szCs w:val="22"/>
                <w:lang w:eastAsia="en-US"/>
              </w:rPr>
              <w:t xml:space="preserve"> file</w:t>
            </w:r>
          </w:p>
        </w:tc>
      </w:tr>
    </w:tbl>
    <w:p w14:paraId="184CE610" w14:textId="5A9357E6" w:rsidR="0009507B" w:rsidRPr="00F94A2F" w:rsidRDefault="0009507B">
      <w:pPr>
        <w:pStyle w:val="Caption"/>
        <w:rPr>
          <w:rFonts w:cs="Arial"/>
        </w:rPr>
      </w:pPr>
      <w:bookmarkStart w:id="174" w:name="_Toc207753431"/>
      <w:r w:rsidRPr="00F94A2F">
        <w:rPr>
          <w:rFonts w:cs="Arial"/>
        </w:rPr>
        <w:t xml:space="preserve">Table </w:t>
      </w:r>
      <w:r w:rsidRPr="00F94A2F">
        <w:rPr>
          <w:rFonts w:cs="Arial"/>
        </w:rPr>
        <w:fldChar w:fldCharType="begin"/>
      </w:r>
      <w:r w:rsidRPr="00F94A2F">
        <w:rPr>
          <w:rFonts w:cs="Arial"/>
        </w:rPr>
        <w:instrText xml:space="preserve"> SEQ Table \* ARABIC </w:instrText>
      </w:r>
      <w:r w:rsidRPr="00F94A2F">
        <w:rPr>
          <w:rFonts w:cs="Arial"/>
        </w:rPr>
        <w:fldChar w:fldCharType="separate"/>
      </w:r>
      <w:r w:rsidRPr="00F94A2F">
        <w:rPr>
          <w:rFonts w:cs="Arial"/>
          <w:noProof/>
        </w:rPr>
        <w:t>2</w:t>
      </w:r>
      <w:r w:rsidRPr="00F94A2F">
        <w:rPr>
          <w:rFonts w:cs="Arial"/>
        </w:rPr>
        <w:fldChar w:fldCharType="end"/>
      </w:r>
      <w:r w:rsidRPr="00F94A2F">
        <w:rPr>
          <w:rFonts w:cs="Arial"/>
        </w:rPr>
        <w:t xml:space="preserve"> - Project Milestones</w:t>
      </w:r>
      <w:bookmarkEnd w:id="174"/>
    </w:p>
    <w:p w14:paraId="3A29085F" w14:textId="4CF044FA" w:rsidR="007B4C90" w:rsidRPr="00F94A2F" w:rsidRDefault="007B4C90" w:rsidP="00AA1338">
      <w:pPr>
        <w:pStyle w:val="Heading3"/>
        <w:rPr>
          <w:rFonts w:eastAsia="Aptos" w:cs="Arial"/>
          <w:lang w:eastAsia="en-US"/>
        </w:rPr>
      </w:pPr>
      <w:bookmarkStart w:id="175" w:name="_Toc207753550"/>
      <w:r w:rsidRPr="00F94A2F">
        <w:rPr>
          <w:rFonts w:eastAsia="Aptos" w:cs="Arial"/>
          <w:lang w:eastAsia="en-US"/>
        </w:rPr>
        <w:t>RACI matrix</w:t>
      </w:r>
      <w:bookmarkEnd w:id="17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87"/>
        <w:gridCol w:w="899"/>
        <w:gridCol w:w="1230"/>
        <w:gridCol w:w="2161"/>
      </w:tblGrid>
      <w:tr w:rsidR="007B4C90" w:rsidRPr="00F94A2F" w14:paraId="1F8E0AEF" w14:textId="77777777" w:rsidTr="001B380E">
        <w:trPr>
          <w:tblHeader/>
          <w:tblCellSpacing w:w="15" w:type="dxa"/>
        </w:trPr>
        <w:tc>
          <w:tcPr>
            <w:tcW w:w="0" w:type="auto"/>
            <w:vAlign w:val="center"/>
            <w:hideMark/>
          </w:tcPr>
          <w:p w14:paraId="5332ED6B"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Activity</w:t>
            </w:r>
          </w:p>
        </w:tc>
        <w:tc>
          <w:tcPr>
            <w:tcW w:w="0" w:type="auto"/>
            <w:vAlign w:val="center"/>
            <w:hideMark/>
          </w:tcPr>
          <w:p w14:paraId="63CAF198"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Student</w:t>
            </w:r>
          </w:p>
        </w:tc>
        <w:tc>
          <w:tcPr>
            <w:tcW w:w="0" w:type="auto"/>
            <w:vAlign w:val="center"/>
            <w:hideMark/>
          </w:tcPr>
          <w:p w14:paraId="7BA3383F"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Supervisor</w:t>
            </w:r>
          </w:p>
        </w:tc>
        <w:tc>
          <w:tcPr>
            <w:tcW w:w="0" w:type="auto"/>
            <w:vAlign w:val="center"/>
            <w:hideMark/>
          </w:tcPr>
          <w:p w14:paraId="3FB1B588"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Module/Ethics Lead</w:t>
            </w:r>
          </w:p>
        </w:tc>
      </w:tr>
      <w:tr w:rsidR="007B4C90" w:rsidRPr="00F94A2F" w14:paraId="3929F8FE" w14:textId="77777777" w:rsidTr="001B380E">
        <w:trPr>
          <w:tblCellSpacing w:w="15" w:type="dxa"/>
        </w:trPr>
        <w:tc>
          <w:tcPr>
            <w:tcW w:w="0" w:type="auto"/>
            <w:vAlign w:val="center"/>
            <w:hideMark/>
          </w:tcPr>
          <w:p w14:paraId="2746353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Scope, ethics &amp; risk (P0)</w:t>
            </w:r>
          </w:p>
        </w:tc>
        <w:tc>
          <w:tcPr>
            <w:tcW w:w="0" w:type="auto"/>
            <w:vAlign w:val="center"/>
            <w:hideMark/>
          </w:tcPr>
          <w:p w14:paraId="4B742FE9"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435EC89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26417B75"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r>
      <w:tr w:rsidR="007B4C90" w:rsidRPr="00F94A2F" w14:paraId="660A92C0" w14:textId="77777777" w:rsidTr="001B380E">
        <w:trPr>
          <w:tblCellSpacing w:w="15" w:type="dxa"/>
        </w:trPr>
        <w:tc>
          <w:tcPr>
            <w:tcW w:w="0" w:type="auto"/>
            <w:vAlign w:val="center"/>
            <w:hideMark/>
          </w:tcPr>
          <w:p w14:paraId="1A41F8A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Literature review (P1)</w:t>
            </w:r>
          </w:p>
        </w:tc>
        <w:tc>
          <w:tcPr>
            <w:tcW w:w="0" w:type="auto"/>
            <w:vAlign w:val="center"/>
            <w:hideMark/>
          </w:tcPr>
          <w:p w14:paraId="6FEDB480"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0D32806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657574B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287FC818" w14:textId="77777777" w:rsidTr="001B380E">
        <w:trPr>
          <w:tblCellSpacing w:w="15" w:type="dxa"/>
        </w:trPr>
        <w:tc>
          <w:tcPr>
            <w:tcW w:w="0" w:type="auto"/>
            <w:vAlign w:val="center"/>
            <w:hideMark/>
          </w:tcPr>
          <w:p w14:paraId="3EACB18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Builds &amp; measurements (P2–P5)</w:t>
            </w:r>
          </w:p>
        </w:tc>
        <w:tc>
          <w:tcPr>
            <w:tcW w:w="0" w:type="auto"/>
            <w:vAlign w:val="center"/>
            <w:hideMark/>
          </w:tcPr>
          <w:p w14:paraId="022389D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286B07D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c>
          <w:tcPr>
            <w:tcW w:w="0" w:type="auto"/>
            <w:vAlign w:val="center"/>
            <w:hideMark/>
          </w:tcPr>
          <w:p w14:paraId="2D18B90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1280B215" w14:textId="77777777" w:rsidTr="001B380E">
        <w:trPr>
          <w:tblCellSpacing w:w="15" w:type="dxa"/>
        </w:trPr>
        <w:tc>
          <w:tcPr>
            <w:tcW w:w="0" w:type="auto"/>
            <w:vAlign w:val="center"/>
            <w:hideMark/>
          </w:tcPr>
          <w:p w14:paraId="492C062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Analysis &amp; figures (P6)</w:t>
            </w:r>
          </w:p>
        </w:tc>
        <w:tc>
          <w:tcPr>
            <w:tcW w:w="0" w:type="auto"/>
            <w:vAlign w:val="center"/>
            <w:hideMark/>
          </w:tcPr>
          <w:p w14:paraId="38F5D4C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49F177E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4F91413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538E5D14" w14:textId="77777777" w:rsidTr="001B380E">
        <w:trPr>
          <w:tblCellSpacing w:w="15" w:type="dxa"/>
        </w:trPr>
        <w:tc>
          <w:tcPr>
            <w:tcW w:w="0" w:type="auto"/>
            <w:vAlign w:val="center"/>
            <w:hideMark/>
          </w:tcPr>
          <w:p w14:paraId="6E3C78D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Writing &amp; integration (P7)</w:t>
            </w:r>
          </w:p>
        </w:tc>
        <w:tc>
          <w:tcPr>
            <w:tcW w:w="0" w:type="auto"/>
            <w:vAlign w:val="center"/>
            <w:hideMark/>
          </w:tcPr>
          <w:p w14:paraId="20F4A63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6498C120"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5335D73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035AA0A8" w14:textId="77777777" w:rsidTr="001B380E">
        <w:trPr>
          <w:tblCellSpacing w:w="15" w:type="dxa"/>
        </w:trPr>
        <w:tc>
          <w:tcPr>
            <w:tcW w:w="0" w:type="auto"/>
            <w:vAlign w:val="center"/>
            <w:hideMark/>
          </w:tcPr>
          <w:p w14:paraId="1795AB0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Review &amp; QA (P8)</w:t>
            </w:r>
          </w:p>
        </w:tc>
        <w:tc>
          <w:tcPr>
            <w:tcW w:w="0" w:type="auto"/>
            <w:vAlign w:val="center"/>
            <w:hideMark/>
          </w:tcPr>
          <w:p w14:paraId="63CEC81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w:t>
            </w:r>
          </w:p>
        </w:tc>
        <w:tc>
          <w:tcPr>
            <w:tcW w:w="0" w:type="auto"/>
            <w:vAlign w:val="center"/>
            <w:hideMark/>
          </w:tcPr>
          <w:p w14:paraId="0EDEFC1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A</w:t>
            </w:r>
          </w:p>
        </w:tc>
        <w:tc>
          <w:tcPr>
            <w:tcW w:w="0" w:type="auto"/>
            <w:vAlign w:val="center"/>
            <w:hideMark/>
          </w:tcPr>
          <w:p w14:paraId="1B78C64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4406704E" w14:textId="77777777" w:rsidTr="001B380E">
        <w:trPr>
          <w:tblCellSpacing w:w="15" w:type="dxa"/>
        </w:trPr>
        <w:tc>
          <w:tcPr>
            <w:tcW w:w="0" w:type="auto"/>
            <w:vAlign w:val="center"/>
            <w:hideMark/>
          </w:tcPr>
          <w:p w14:paraId="46D1F5D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Submission &amp; archiving (P9)</w:t>
            </w:r>
          </w:p>
        </w:tc>
        <w:tc>
          <w:tcPr>
            <w:tcW w:w="0" w:type="auto"/>
            <w:vAlign w:val="center"/>
            <w:hideMark/>
          </w:tcPr>
          <w:p w14:paraId="7FD21F4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3B06307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c>
          <w:tcPr>
            <w:tcW w:w="0" w:type="auto"/>
            <w:vAlign w:val="center"/>
            <w:hideMark/>
          </w:tcPr>
          <w:p w14:paraId="777E516B" w14:textId="77777777" w:rsidR="007B4C90" w:rsidRPr="00F94A2F" w:rsidRDefault="007B4C90" w:rsidP="0009507B">
            <w:pPr>
              <w:keepNext/>
              <w:spacing w:after="160" w:line="259" w:lineRule="auto"/>
              <w:jc w:val="left"/>
              <w:rPr>
                <w:rFonts w:eastAsia="Aptos" w:cs="Arial"/>
                <w:sz w:val="22"/>
                <w:szCs w:val="22"/>
                <w:lang w:eastAsia="en-US"/>
              </w:rPr>
            </w:pPr>
            <w:r w:rsidRPr="00F94A2F">
              <w:rPr>
                <w:rFonts w:eastAsia="Aptos" w:cs="Arial"/>
                <w:sz w:val="22"/>
                <w:szCs w:val="22"/>
                <w:lang w:eastAsia="en-US"/>
              </w:rPr>
              <w:t>I</w:t>
            </w:r>
          </w:p>
        </w:tc>
      </w:tr>
    </w:tbl>
    <w:p w14:paraId="5E4FED21" w14:textId="4BC940DB" w:rsidR="0009507B" w:rsidRPr="00F94A2F" w:rsidRDefault="0009507B">
      <w:pPr>
        <w:pStyle w:val="Caption"/>
        <w:rPr>
          <w:rFonts w:cs="Arial"/>
        </w:rPr>
      </w:pPr>
      <w:bookmarkStart w:id="176" w:name="_Toc207753432"/>
      <w:r w:rsidRPr="00F94A2F">
        <w:rPr>
          <w:rFonts w:cs="Arial"/>
        </w:rPr>
        <w:t xml:space="preserve">Table </w:t>
      </w:r>
      <w:r w:rsidRPr="00F94A2F">
        <w:rPr>
          <w:rFonts w:cs="Arial"/>
        </w:rPr>
        <w:fldChar w:fldCharType="begin"/>
      </w:r>
      <w:r w:rsidRPr="00F94A2F">
        <w:rPr>
          <w:rFonts w:cs="Arial"/>
        </w:rPr>
        <w:instrText xml:space="preserve"> SEQ Table \* ARABIC </w:instrText>
      </w:r>
      <w:r w:rsidRPr="00F94A2F">
        <w:rPr>
          <w:rFonts w:cs="Arial"/>
        </w:rPr>
        <w:fldChar w:fldCharType="separate"/>
      </w:r>
      <w:r w:rsidRPr="00F94A2F">
        <w:rPr>
          <w:rFonts w:cs="Arial"/>
          <w:noProof/>
        </w:rPr>
        <w:t>3</w:t>
      </w:r>
      <w:r w:rsidRPr="00F94A2F">
        <w:rPr>
          <w:rFonts w:cs="Arial"/>
        </w:rPr>
        <w:fldChar w:fldCharType="end"/>
      </w:r>
      <w:r w:rsidRPr="00F94A2F">
        <w:rPr>
          <w:rFonts w:cs="Arial"/>
        </w:rPr>
        <w:t xml:space="preserve"> - RACI Matrix</w:t>
      </w:r>
      <w:bookmarkEnd w:id="176"/>
    </w:p>
    <w:p w14:paraId="460F32AF"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 xml:space="preserve">Legend: </w:t>
      </w:r>
      <w:r w:rsidRPr="00F94A2F">
        <w:rPr>
          <w:rFonts w:eastAsia="Aptos" w:cs="Arial"/>
          <w:b/>
          <w:bCs/>
          <w:sz w:val="22"/>
          <w:szCs w:val="22"/>
          <w:lang w:eastAsia="en-US"/>
        </w:rPr>
        <w:t>R</w:t>
      </w:r>
      <w:r w:rsidRPr="00F94A2F">
        <w:rPr>
          <w:rFonts w:eastAsia="Aptos" w:cs="Arial"/>
          <w:sz w:val="22"/>
          <w:szCs w:val="22"/>
          <w:lang w:eastAsia="en-US"/>
        </w:rPr>
        <w:t xml:space="preserve"> = Responsible, </w:t>
      </w:r>
      <w:r w:rsidRPr="00F94A2F">
        <w:rPr>
          <w:rFonts w:eastAsia="Aptos" w:cs="Arial"/>
          <w:b/>
          <w:bCs/>
          <w:sz w:val="22"/>
          <w:szCs w:val="22"/>
          <w:lang w:eastAsia="en-US"/>
        </w:rPr>
        <w:t>A</w:t>
      </w:r>
      <w:r w:rsidRPr="00F94A2F">
        <w:rPr>
          <w:rFonts w:eastAsia="Aptos" w:cs="Arial"/>
          <w:sz w:val="22"/>
          <w:szCs w:val="22"/>
          <w:lang w:eastAsia="en-US"/>
        </w:rPr>
        <w:t xml:space="preserve"> = Accountable, </w:t>
      </w:r>
      <w:r w:rsidRPr="00F94A2F">
        <w:rPr>
          <w:rFonts w:eastAsia="Aptos" w:cs="Arial"/>
          <w:b/>
          <w:bCs/>
          <w:sz w:val="22"/>
          <w:szCs w:val="22"/>
          <w:lang w:eastAsia="en-US"/>
        </w:rPr>
        <w:t>C</w:t>
      </w:r>
      <w:r w:rsidRPr="00F94A2F">
        <w:rPr>
          <w:rFonts w:eastAsia="Aptos" w:cs="Arial"/>
          <w:sz w:val="22"/>
          <w:szCs w:val="22"/>
          <w:lang w:eastAsia="en-US"/>
        </w:rPr>
        <w:t xml:space="preserve"> = Consulted, </w:t>
      </w:r>
      <w:r w:rsidRPr="00F94A2F">
        <w:rPr>
          <w:rFonts w:eastAsia="Aptos" w:cs="Arial"/>
          <w:b/>
          <w:bCs/>
          <w:sz w:val="22"/>
          <w:szCs w:val="22"/>
          <w:lang w:eastAsia="en-US"/>
        </w:rPr>
        <w:t>I</w:t>
      </w:r>
      <w:r w:rsidRPr="00F94A2F">
        <w:rPr>
          <w:rFonts w:eastAsia="Aptos" w:cs="Arial"/>
          <w:sz w:val="22"/>
          <w:szCs w:val="22"/>
          <w:lang w:eastAsia="en-US"/>
        </w:rPr>
        <w:t xml:space="preserve"> = Informed.</w:t>
      </w:r>
    </w:p>
    <w:p w14:paraId="50182EF4" w14:textId="6C6FB619" w:rsidR="007B4C90" w:rsidRPr="00F94A2F" w:rsidRDefault="007B4C90" w:rsidP="00AA1338">
      <w:pPr>
        <w:pStyle w:val="Heading3"/>
        <w:rPr>
          <w:rFonts w:eastAsia="Aptos" w:cs="Arial"/>
          <w:lang w:eastAsia="en-US"/>
        </w:rPr>
      </w:pPr>
      <w:bookmarkStart w:id="177" w:name="_Toc207753551"/>
      <w:r w:rsidRPr="00F94A2F">
        <w:rPr>
          <w:rFonts w:eastAsia="Aptos" w:cs="Arial"/>
          <w:lang w:eastAsia="en-US"/>
        </w:rPr>
        <w:t>Quality management</w:t>
      </w:r>
      <w:bookmarkEnd w:id="177"/>
    </w:p>
    <w:p w14:paraId="4ACE1624" w14:textId="77777777" w:rsidR="007B4C90" w:rsidRPr="00F94A2F" w:rsidRDefault="007B4C90" w:rsidP="007B4C90">
      <w:pPr>
        <w:numPr>
          <w:ilvl w:val="0"/>
          <w:numId w:val="49"/>
        </w:numPr>
        <w:spacing w:after="160" w:line="259" w:lineRule="auto"/>
        <w:jc w:val="left"/>
        <w:rPr>
          <w:rFonts w:eastAsia="Aptos" w:cs="Arial"/>
          <w:sz w:val="22"/>
          <w:szCs w:val="22"/>
          <w:lang w:eastAsia="en-US"/>
        </w:rPr>
      </w:pPr>
      <w:r w:rsidRPr="00F94A2F">
        <w:rPr>
          <w:rFonts w:eastAsia="Aptos" w:cs="Arial"/>
          <w:b/>
          <w:bCs/>
          <w:sz w:val="22"/>
          <w:szCs w:val="22"/>
          <w:lang w:eastAsia="en-US"/>
        </w:rPr>
        <w:t>Versioning:</w:t>
      </w:r>
      <w:r w:rsidRPr="00F94A2F">
        <w:rPr>
          <w:rFonts w:eastAsia="Aptos" w:cs="Arial"/>
          <w:sz w:val="22"/>
          <w:szCs w:val="22"/>
          <w:lang w:eastAsia="en-US"/>
        </w:rPr>
        <w:t xml:space="preserve"> configurations, scripts and drafts tracked; artefacts named with timestamps; hashes recorded (Section 10.6; Appendix A).</w:t>
      </w:r>
    </w:p>
    <w:p w14:paraId="5F343233" w14:textId="77777777" w:rsidR="007B4C90" w:rsidRPr="00F94A2F" w:rsidRDefault="007B4C90" w:rsidP="007B4C90">
      <w:pPr>
        <w:numPr>
          <w:ilvl w:val="0"/>
          <w:numId w:val="49"/>
        </w:numPr>
        <w:spacing w:after="160" w:line="259" w:lineRule="auto"/>
        <w:jc w:val="left"/>
        <w:rPr>
          <w:rFonts w:eastAsia="Aptos" w:cs="Arial"/>
          <w:sz w:val="22"/>
          <w:szCs w:val="22"/>
          <w:lang w:eastAsia="en-US"/>
        </w:rPr>
      </w:pPr>
      <w:r w:rsidRPr="00F94A2F">
        <w:rPr>
          <w:rFonts w:eastAsia="Aptos" w:cs="Arial"/>
          <w:b/>
          <w:bCs/>
          <w:sz w:val="22"/>
          <w:szCs w:val="22"/>
          <w:lang w:eastAsia="en-US"/>
        </w:rPr>
        <w:t>Acceptance criteria:</w:t>
      </w:r>
      <w:r w:rsidRPr="00F94A2F">
        <w:rPr>
          <w:rFonts w:eastAsia="Aptos" w:cs="Arial"/>
          <w:sz w:val="22"/>
          <w:szCs w:val="22"/>
          <w:lang w:eastAsia="en-US"/>
        </w:rPr>
        <w:t xml:space="preserve"> each figure/table must be regenerable from /evidence with provided scripts (Section 10.7). All citations must resolve to [1]–[37].</w:t>
      </w:r>
    </w:p>
    <w:p w14:paraId="7076C789" w14:textId="255DE017" w:rsidR="007B4C90" w:rsidRPr="00F94A2F" w:rsidRDefault="007B4C90" w:rsidP="007B4C90">
      <w:pPr>
        <w:numPr>
          <w:ilvl w:val="0"/>
          <w:numId w:val="49"/>
        </w:numPr>
        <w:spacing w:after="160" w:line="259" w:lineRule="auto"/>
        <w:jc w:val="left"/>
        <w:rPr>
          <w:rFonts w:eastAsia="Aptos" w:cs="Arial"/>
          <w:sz w:val="22"/>
          <w:szCs w:val="22"/>
          <w:lang w:eastAsia="en-US"/>
        </w:rPr>
      </w:pPr>
      <w:r w:rsidRPr="00F94A2F">
        <w:rPr>
          <w:rFonts w:eastAsia="Aptos" w:cs="Arial"/>
          <w:b/>
          <w:bCs/>
          <w:sz w:val="22"/>
          <w:szCs w:val="22"/>
          <w:lang w:eastAsia="en-US"/>
        </w:rPr>
        <w:t>Reviews:</w:t>
      </w:r>
      <w:r w:rsidRPr="00F94A2F">
        <w:rPr>
          <w:rFonts w:eastAsia="Aptos" w:cs="Arial"/>
          <w:sz w:val="22"/>
          <w:szCs w:val="22"/>
          <w:lang w:eastAsia="en-US"/>
        </w:rPr>
        <w:t xml:space="preserve"> at least one supervisor review before final edit; run </w:t>
      </w:r>
      <w:r w:rsidR="005F2D35" w:rsidRPr="00F94A2F">
        <w:rPr>
          <w:rFonts w:eastAsia="Aptos" w:cs="Arial"/>
          <w:sz w:val="22"/>
          <w:szCs w:val="22"/>
          <w:lang w:eastAsia="en-US"/>
        </w:rPr>
        <w:t>a</w:t>
      </w:r>
      <w:r w:rsidRPr="00F94A2F">
        <w:rPr>
          <w:rFonts w:eastAsia="Aptos" w:cs="Arial"/>
          <w:sz w:val="22"/>
          <w:szCs w:val="22"/>
          <w:lang w:eastAsia="en-US"/>
        </w:rPr>
        <w:t xml:space="preserve"> </w:t>
      </w:r>
      <w:r w:rsidR="00AA1338" w:rsidRPr="00F94A2F">
        <w:rPr>
          <w:rFonts w:eastAsia="Aptos" w:cs="Arial"/>
          <w:sz w:val="22"/>
          <w:szCs w:val="22"/>
          <w:lang w:eastAsia="en-US"/>
        </w:rPr>
        <w:t>quality</w:t>
      </w:r>
      <w:r w:rsidRPr="00F94A2F">
        <w:rPr>
          <w:rFonts w:eastAsia="Aptos" w:cs="Arial"/>
          <w:sz w:val="22"/>
          <w:szCs w:val="22"/>
          <w:lang w:eastAsia="en-US"/>
        </w:rPr>
        <w:t xml:space="preserve"> sweep for citations, figure/table references, and cross</w:t>
      </w:r>
      <w:r w:rsidRPr="00F94A2F">
        <w:rPr>
          <w:rFonts w:eastAsia="Aptos" w:cs="Arial"/>
          <w:sz w:val="22"/>
          <w:szCs w:val="22"/>
          <w:lang w:eastAsia="en-US"/>
        </w:rPr>
        <w:noBreakHyphen/>
        <w:t>links.</w:t>
      </w:r>
    </w:p>
    <w:p w14:paraId="3B8884BC" w14:textId="77777777" w:rsidR="00015FAF" w:rsidRPr="00F94A2F" w:rsidRDefault="00015FAF" w:rsidP="00015FAF">
      <w:pPr>
        <w:rPr>
          <w:rFonts w:cs="Arial"/>
          <w:lang w:eastAsia="x-none"/>
        </w:rPr>
      </w:pPr>
    </w:p>
    <w:sectPr w:rsidR="00015FAF" w:rsidRPr="00F94A2F" w:rsidSect="00275718">
      <w:footerReference w:type="even" r:id="rId57"/>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16695" w14:textId="77777777" w:rsidR="00BC4844" w:rsidRDefault="00BC4844">
      <w:r>
        <w:separator/>
      </w:r>
    </w:p>
  </w:endnote>
  <w:endnote w:type="continuationSeparator" w:id="0">
    <w:p w14:paraId="5F7F0840" w14:textId="77777777" w:rsidR="00BC4844" w:rsidRDefault="00BC48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4BC2F"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BE423"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4BA1D"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69E314A"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F49A0" w14:textId="77777777" w:rsidR="00BC4844" w:rsidRDefault="00BC4844">
      <w:r>
        <w:separator/>
      </w:r>
    </w:p>
  </w:footnote>
  <w:footnote w:type="continuationSeparator" w:id="0">
    <w:p w14:paraId="511D50E9" w14:textId="77777777" w:rsidR="00BC4844" w:rsidRDefault="00BC48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648E9"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6D446A"/>
    <w:multiLevelType w:val="multilevel"/>
    <w:tmpl w:val="B218B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03067F"/>
    <w:multiLevelType w:val="multilevel"/>
    <w:tmpl w:val="E14EE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F26212"/>
    <w:multiLevelType w:val="multilevel"/>
    <w:tmpl w:val="3724A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52F4DA2"/>
    <w:multiLevelType w:val="multilevel"/>
    <w:tmpl w:val="0D70E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4511E5"/>
    <w:multiLevelType w:val="multilevel"/>
    <w:tmpl w:val="5CACC24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7B3214"/>
    <w:multiLevelType w:val="multilevel"/>
    <w:tmpl w:val="B5C0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0361F1D"/>
    <w:multiLevelType w:val="multilevel"/>
    <w:tmpl w:val="B8760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63A72AD"/>
    <w:multiLevelType w:val="hybridMultilevel"/>
    <w:tmpl w:val="2C4EF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0625DD6"/>
    <w:multiLevelType w:val="multilevel"/>
    <w:tmpl w:val="2B80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7D35431"/>
    <w:multiLevelType w:val="multilevel"/>
    <w:tmpl w:val="54A0D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6D87ED1"/>
    <w:multiLevelType w:val="multilevel"/>
    <w:tmpl w:val="EB96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BC5EB9"/>
    <w:multiLevelType w:val="multilevel"/>
    <w:tmpl w:val="417C8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8851459">
    <w:abstractNumId w:val="6"/>
  </w:num>
  <w:num w:numId="2" w16cid:durableId="338243160">
    <w:abstractNumId w:val="25"/>
  </w:num>
  <w:num w:numId="3" w16cid:durableId="308020895">
    <w:abstractNumId w:val="1"/>
  </w:num>
  <w:num w:numId="4" w16cid:durableId="617372188">
    <w:abstractNumId w:val="30"/>
  </w:num>
  <w:num w:numId="5" w16cid:durableId="1068651065">
    <w:abstractNumId w:val="30"/>
    <w:lvlOverride w:ilvl="0">
      <w:startOverride w:val="3"/>
    </w:lvlOverride>
    <w:lvlOverride w:ilvl="1">
      <w:startOverride w:val="1"/>
    </w:lvlOverride>
  </w:num>
  <w:num w:numId="6" w16cid:durableId="472452713">
    <w:abstractNumId w:val="30"/>
    <w:lvlOverride w:ilvl="0">
      <w:startOverride w:val="4"/>
    </w:lvlOverride>
    <w:lvlOverride w:ilvl="1">
      <w:startOverride w:val="1"/>
    </w:lvlOverride>
  </w:num>
  <w:num w:numId="7" w16cid:durableId="2024045565">
    <w:abstractNumId w:val="30"/>
    <w:lvlOverride w:ilvl="0">
      <w:startOverride w:val="2"/>
    </w:lvlOverride>
    <w:lvlOverride w:ilvl="1">
      <w:startOverride w:val="1"/>
    </w:lvlOverride>
  </w:num>
  <w:num w:numId="8" w16cid:durableId="1786077591">
    <w:abstractNumId w:val="30"/>
    <w:lvlOverride w:ilvl="0">
      <w:startOverride w:val="2"/>
    </w:lvlOverride>
    <w:lvlOverride w:ilvl="1">
      <w:startOverride w:val="1"/>
    </w:lvlOverride>
  </w:num>
  <w:num w:numId="9" w16cid:durableId="879393046">
    <w:abstractNumId w:val="30"/>
  </w:num>
  <w:num w:numId="10" w16cid:durableId="597953255">
    <w:abstractNumId w:val="35"/>
  </w:num>
  <w:num w:numId="11" w16cid:durableId="49768146">
    <w:abstractNumId w:val="3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93054821">
    <w:abstractNumId w:val="30"/>
    <w:lvlOverride w:ilvl="0">
      <w:startOverride w:val="2"/>
    </w:lvlOverride>
    <w:lvlOverride w:ilvl="1">
      <w:startOverride w:val="1"/>
    </w:lvlOverride>
  </w:num>
  <w:num w:numId="13" w16cid:durableId="1073354661">
    <w:abstractNumId w:val="30"/>
  </w:num>
  <w:num w:numId="14" w16cid:durableId="1001856474">
    <w:abstractNumId w:val="17"/>
  </w:num>
  <w:num w:numId="15" w16cid:durableId="1655644967">
    <w:abstractNumId w:val="30"/>
    <w:lvlOverride w:ilvl="0">
      <w:startOverride w:val="2"/>
    </w:lvlOverride>
    <w:lvlOverride w:ilvl="1">
      <w:startOverride w:val="1"/>
    </w:lvlOverride>
  </w:num>
  <w:num w:numId="16" w16cid:durableId="1237204704">
    <w:abstractNumId w:val="30"/>
    <w:lvlOverride w:ilvl="0">
      <w:startOverride w:val="3"/>
    </w:lvlOverride>
    <w:lvlOverride w:ilvl="1">
      <w:startOverride w:val="1"/>
    </w:lvlOverride>
  </w:num>
  <w:num w:numId="17" w16cid:durableId="1492677552">
    <w:abstractNumId w:val="30"/>
  </w:num>
  <w:num w:numId="18" w16cid:durableId="2000310222">
    <w:abstractNumId w:val="12"/>
  </w:num>
  <w:num w:numId="19" w16cid:durableId="1478649784">
    <w:abstractNumId w:val="0"/>
  </w:num>
  <w:num w:numId="20" w16cid:durableId="1321806763">
    <w:abstractNumId w:val="14"/>
  </w:num>
  <w:num w:numId="21" w16cid:durableId="195390259">
    <w:abstractNumId w:val="9"/>
  </w:num>
  <w:num w:numId="22" w16cid:durableId="1374040349">
    <w:abstractNumId w:val="20"/>
  </w:num>
  <w:num w:numId="23" w16cid:durableId="1411271865">
    <w:abstractNumId w:val="18"/>
  </w:num>
  <w:num w:numId="24" w16cid:durableId="319502964">
    <w:abstractNumId w:val="27"/>
  </w:num>
  <w:num w:numId="25" w16cid:durableId="847797120">
    <w:abstractNumId w:val="33"/>
  </w:num>
  <w:num w:numId="26" w16cid:durableId="2143112325">
    <w:abstractNumId w:val="23"/>
  </w:num>
  <w:num w:numId="27" w16cid:durableId="1503353899">
    <w:abstractNumId w:val="24"/>
  </w:num>
  <w:num w:numId="28" w16cid:durableId="447551556">
    <w:abstractNumId w:val="26"/>
  </w:num>
  <w:num w:numId="29" w16cid:durableId="357315885">
    <w:abstractNumId w:val="11"/>
  </w:num>
  <w:num w:numId="30" w16cid:durableId="1054155304">
    <w:abstractNumId w:val="29"/>
  </w:num>
  <w:num w:numId="31" w16cid:durableId="291712455">
    <w:abstractNumId w:val="2"/>
  </w:num>
  <w:num w:numId="32" w16cid:durableId="1701012281">
    <w:abstractNumId w:val="8"/>
  </w:num>
  <w:num w:numId="33" w16cid:durableId="1251042134">
    <w:abstractNumId w:val="10"/>
  </w:num>
  <w:num w:numId="34" w16cid:durableId="884564814">
    <w:abstractNumId w:val="36"/>
  </w:num>
  <w:num w:numId="35" w16cid:durableId="2055930982">
    <w:abstractNumId w:val="31"/>
  </w:num>
  <w:num w:numId="36" w16cid:durableId="2087217597">
    <w:abstractNumId w:val="16"/>
  </w:num>
  <w:num w:numId="37" w16cid:durableId="904679747">
    <w:abstractNumId w:val="22"/>
  </w:num>
  <w:num w:numId="38" w16cid:durableId="910117934">
    <w:abstractNumId w:val="21"/>
  </w:num>
  <w:num w:numId="39" w16cid:durableId="842357927">
    <w:abstractNumId w:val="19"/>
  </w:num>
  <w:num w:numId="40" w16cid:durableId="598177799">
    <w:abstractNumId w:val="5"/>
  </w:num>
  <w:num w:numId="41" w16cid:durableId="132916611">
    <w:abstractNumId w:val="34"/>
  </w:num>
  <w:num w:numId="42" w16cid:durableId="1750692958">
    <w:abstractNumId w:val="15"/>
  </w:num>
  <w:num w:numId="43" w16cid:durableId="1987202299">
    <w:abstractNumId w:val="7"/>
  </w:num>
  <w:num w:numId="44" w16cid:durableId="482088266">
    <w:abstractNumId w:val="4"/>
  </w:num>
  <w:num w:numId="45" w16cid:durableId="972058404">
    <w:abstractNumId w:val="28"/>
  </w:num>
  <w:num w:numId="46" w16cid:durableId="1821261787">
    <w:abstractNumId w:val="3"/>
  </w:num>
  <w:num w:numId="47" w16cid:durableId="1112625355">
    <w:abstractNumId w:val="37"/>
  </w:num>
  <w:num w:numId="48" w16cid:durableId="857546868">
    <w:abstractNumId w:val="13"/>
  </w:num>
  <w:num w:numId="49" w16cid:durableId="1319991685">
    <w:abstractNumId w:val="3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embedSystemFont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DFB"/>
    <w:rsid w:val="00003E53"/>
    <w:rsid w:val="000047B2"/>
    <w:rsid w:val="0000495C"/>
    <w:rsid w:val="0000509C"/>
    <w:rsid w:val="00005C44"/>
    <w:rsid w:val="000072BC"/>
    <w:rsid w:val="00007D8C"/>
    <w:rsid w:val="000103EC"/>
    <w:rsid w:val="00010F31"/>
    <w:rsid w:val="00011223"/>
    <w:rsid w:val="00012051"/>
    <w:rsid w:val="000146EC"/>
    <w:rsid w:val="00014DDC"/>
    <w:rsid w:val="000157B3"/>
    <w:rsid w:val="00015EE3"/>
    <w:rsid w:val="00015FAF"/>
    <w:rsid w:val="000166C1"/>
    <w:rsid w:val="00020777"/>
    <w:rsid w:val="00021675"/>
    <w:rsid w:val="00022799"/>
    <w:rsid w:val="0002474E"/>
    <w:rsid w:val="00024F35"/>
    <w:rsid w:val="00025D76"/>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4048A"/>
    <w:rsid w:val="000420D7"/>
    <w:rsid w:val="000420E0"/>
    <w:rsid w:val="0004238E"/>
    <w:rsid w:val="00043A03"/>
    <w:rsid w:val="00044263"/>
    <w:rsid w:val="00044647"/>
    <w:rsid w:val="000446AF"/>
    <w:rsid w:val="000447BB"/>
    <w:rsid w:val="00044A61"/>
    <w:rsid w:val="00044F18"/>
    <w:rsid w:val="00045F99"/>
    <w:rsid w:val="00047379"/>
    <w:rsid w:val="0005041D"/>
    <w:rsid w:val="00050C10"/>
    <w:rsid w:val="00050F3F"/>
    <w:rsid w:val="000512AC"/>
    <w:rsid w:val="0005148A"/>
    <w:rsid w:val="000529CD"/>
    <w:rsid w:val="000545C1"/>
    <w:rsid w:val="00055098"/>
    <w:rsid w:val="0005554E"/>
    <w:rsid w:val="00056696"/>
    <w:rsid w:val="00057836"/>
    <w:rsid w:val="00061AC3"/>
    <w:rsid w:val="0006206C"/>
    <w:rsid w:val="00062117"/>
    <w:rsid w:val="00062C30"/>
    <w:rsid w:val="00062CE3"/>
    <w:rsid w:val="0006311D"/>
    <w:rsid w:val="00064144"/>
    <w:rsid w:val="00064331"/>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CC1"/>
    <w:rsid w:val="00086F7D"/>
    <w:rsid w:val="0008734F"/>
    <w:rsid w:val="0008781C"/>
    <w:rsid w:val="00087C87"/>
    <w:rsid w:val="00090AF7"/>
    <w:rsid w:val="0009144C"/>
    <w:rsid w:val="00092EA1"/>
    <w:rsid w:val="00094901"/>
    <w:rsid w:val="0009507B"/>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73FC"/>
    <w:rsid w:val="000A74C8"/>
    <w:rsid w:val="000A77AC"/>
    <w:rsid w:val="000B010F"/>
    <w:rsid w:val="000B035E"/>
    <w:rsid w:val="000B2873"/>
    <w:rsid w:val="000B31C5"/>
    <w:rsid w:val="000B3632"/>
    <w:rsid w:val="000B3897"/>
    <w:rsid w:val="000B3DB4"/>
    <w:rsid w:val="000B4476"/>
    <w:rsid w:val="000B4659"/>
    <w:rsid w:val="000B4745"/>
    <w:rsid w:val="000B545B"/>
    <w:rsid w:val="000B57A5"/>
    <w:rsid w:val="000B5B4B"/>
    <w:rsid w:val="000B5F78"/>
    <w:rsid w:val="000B7C33"/>
    <w:rsid w:val="000B7D3A"/>
    <w:rsid w:val="000C44C0"/>
    <w:rsid w:val="000C5936"/>
    <w:rsid w:val="000C5B01"/>
    <w:rsid w:val="000C6568"/>
    <w:rsid w:val="000C65CF"/>
    <w:rsid w:val="000C6F84"/>
    <w:rsid w:val="000C74DF"/>
    <w:rsid w:val="000C76CC"/>
    <w:rsid w:val="000C7AC4"/>
    <w:rsid w:val="000C7B26"/>
    <w:rsid w:val="000D0B79"/>
    <w:rsid w:val="000D26D3"/>
    <w:rsid w:val="000D316B"/>
    <w:rsid w:val="000D3F47"/>
    <w:rsid w:val="000D41D0"/>
    <w:rsid w:val="000D4613"/>
    <w:rsid w:val="000D5712"/>
    <w:rsid w:val="000D622C"/>
    <w:rsid w:val="000D63E2"/>
    <w:rsid w:val="000D6D19"/>
    <w:rsid w:val="000D715B"/>
    <w:rsid w:val="000D74F8"/>
    <w:rsid w:val="000E0146"/>
    <w:rsid w:val="000E14A5"/>
    <w:rsid w:val="000E1EEC"/>
    <w:rsid w:val="000E26A5"/>
    <w:rsid w:val="000E27E7"/>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4CA9"/>
    <w:rsid w:val="00104ED7"/>
    <w:rsid w:val="00105435"/>
    <w:rsid w:val="001061D3"/>
    <w:rsid w:val="001064BC"/>
    <w:rsid w:val="001101F8"/>
    <w:rsid w:val="00111FFA"/>
    <w:rsid w:val="0011227B"/>
    <w:rsid w:val="00113186"/>
    <w:rsid w:val="00113D27"/>
    <w:rsid w:val="00113D9A"/>
    <w:rsid w:val="00114294"/>
    <w:rsid w:val="001148F6"/>
    <w:rsid w:val="00114E09"/>
    <w:rsid w:val="001156FB"/>
    <w:rsid w:val="00115CE6"/>
    <w:rsid w:val="00116883"/>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5DC8"/>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1F3F"/>
    <w:rsid w:val="001536F2"/>
    <w:rsid w:val="00153A0C"/>
    <w:rsid w:val="00154B4C"/>
    <w:rsid w:val="00155A1C"/>
    <w:rsid w:val="001562D6"/>
    <w:rsid w:val="001566D1"/>
    <w:rsid w:val="001567CB"/>
    <w:rsid w:val="0015682A"/>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37F3"/>
    <w:rsid w:val="00186674"/>
    <w:rsid w:val="00186C28"/>
    <w:rsid w:val="001908C9"/>
    <w:rsid w:val="00190935"/>
    <w:rsid w:val="00190CD7"/>
    <w:rsid w:val="00190D92"/>
    <w:rsid w:val="00192BF8"/>
    <w:rsid w:val="00192F1C"/>
    <w:rsid w:val="00193052"/>
    <w:rsid w:val="001934CB"/>
    <w:rsid w:val="001939C8"/>
    <w:rsid w:val="00194412"/>
    <w:rsid w:val="001946E8"/>
    <w:rsid w:val="0019471B"/>
    <w:rsid w:val="001963BB"/>
    <w:rsid w:val="00197CA9"/>
    <w:rsid w:val="001A0473"/>
    <w:rsid w:val="001A0517"/>
    <w:rsid w:val="001A0ECE"/>
    <w:rsid w:val="001A1227"/>
    <w:rsid w:val="001A1F94"/>
    <w:rsid w:val="001A2A17"/>
    <w:rsid w:val="001A2E3F"/>
    <w:rsid w:val="001A41EE"/>
    <w:rsid w:val="001A43F7"/>
    <w:rsid w:val="001A6F17"/>
    <w:rsid w:val="001A7502"/>
    <w:rsid w:val="001A79AE"/>
    <w:rsid w:val="001A7A4B"/>
    <w:rsid w:val="001B1721"/>
    <w:rsid w:val="001B1DC7"/>
    <w:rsid w:val="001B213C"/>
    <w:rsid w:val="001B2F73"/>
    <w:rsid w:val="001B380E"/>
    <w:rsid w:val="001B63B1"/>
    <w:rsid w:val="001B6B0F"/>
    <w:rsid w:val="001C01F4"/>
    <w:rsid w:val="001C1025"/>
    <w:rsid w:val="001C106C"/>
    <w:rsid w:val="001C2BC3"/>
    <w:rsid w:val="001C4FF2"/>
    <w:rsid w:val="001D0DDB"/>
    <w:rsid w:val="001D0E5A"/>
    <w:rsid w:val="001D2DE7"/>
    <w:rsid w:val="001D3AFD"/>
    <w:rsid w:val="001D3D1C"/>
    <w:rsid w:val="001D4DCF"/>
    <w:rsid w:val="001D4FB4"/>
    <w:rsid w:val="001D693B"/>
    <w:rsid w:val="001D6D26"/>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F0F"/>
    <w:rsid w:val="001F3F09"/>
    <w:rsid w:val="001F4C39"/>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20855"/>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A41"/>
    <w:rsid w:val="00241E56"/>
    <w:rsid w:val="002423CF"/>
    <w:rsid w:val="00244B7A"/>
    <w:rsid w:val="00245BDF"/>
    <w:rsid w:val="002475F5"/>
    <w:rsid w:val="00247DC6"/>
    <w:rsid w:val="00251B39"/>
    <w:rsid w:val="00251F51"/>
    <w:rsid w:val="00253008"/>
    <w:rsid w:val="00253DB2"/>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2D40"/>
    <w:rsid w:val="00273308"/>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772"/>
    <w:rsid w:val="002842BF"/>
    <w:rsid w:val="00284523"/>
    <w:rsid w:val="00284EB1"/>
    <w:rsid w:val="002851BF"/>
    <w:rsid w:val="00285E13"/>
    <w:rsid w:val="00286445"/>
    <w:rsid w:val="00286E73"/>
    <w:rsid w:val="00287483"/>
    <w:rsid w:val="00290EDA"/>
    <w:rsid w:val="00292E0A"/>
    <w:rsid w:val="00293E6B"/>
    <w:rsid w:val="00293F5C"/>
    <w:rsid w:val="0029505E"/>
    <w:rsid w:val="00295A69"/>
    <w:rsid w:val="00295E72"/>
    <w:rsid w:val="00296E8A"/>
    <w:rsid w:val="002A030F"/>
    <w:rsid w:val="002A0527"/>
    <w:rsid w:val="002A18F0"/>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5F6"/>
    <w:rsid w:val="002B5E80"/>
    <w:rsid w:val="002B6432"/>
    <w:rsid w:val="002B6579"/>
    <w:rsid w:val="002B662B"/>
    <w:rsid w:val="002C085C"/>
    <w:rsid w:val="002C08EE"/>
    <w:rsid w:val="002C099F"/>
    <w:rsid w:val="002C13ED"/>
    <w:rsid w:val="002C14C1"/>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4481"/>
    <w:rsid w:val="002F54E1"/>
    <w:rsid w:val="002F6774"/>
    <w:rsid w:val="002F6A99"/>
    <w:rsid w:val="002F7751"/>
    <w:rsid w:val="002F7B1D"/>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342B"/>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8B5"/>
    <w:rsid w:val="003404CE"/>
    <w:rsid w:val="00340593"/>
    <w:rsid w:val="00341EE0"/>
    <w:rsid w:val="00342F6C"/>
    <w:rsid w:val="0034323B"/>
    <w:rsid w:val="003434E6"/>
    <w:rsid w:val="00343A44"/>
    <w:rsid w:val="00343EC6"/>
    <w:rsid w:val="00346610"/>
    <w:rsid w:val="00347407"/>
    <w:rsid w:val="003475FC"/>
    <w:rsid w:val="00347E51"/>
    <w:rsid w:val="00353632"/>
    <w:rsid w:val="0035379C"/>
    <w:rsid w:val="00354940"/>
    <w:rsid w:val="0035543D"/>
    <w:rsid w:val="003555D8"/>
    <w:rsid w:val="0035560B"/>
    <w:rsid w:val="00356CDD"/>
    <w:rsid w:val="00356FEE"/>
    <w:rsid w:val="00357055"/>
    <w:rsid w:val="0035759D"/>
    <w:rsid w:val="00357948"/>
    <w:rsid w:val="00357AD4"/>
    <w:rsid w:val="00361721"/>
    <w:rsid w:val="00361E15"/>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0977"/>
    <w:rsid w:val="003C154B"/>
    <w:rsid w:val="003C15A8"/>
    <w:rsid w:val="003C2005"/>
    <w:rsid w:val="003C2C0B"/>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488"/>
    <w:rsid w:val="003D2997"/>
    <w:rsid w:val="003D327A"/>
    <w:rsid w:val="003D34A9"/>
    <w:rsid w:val="003D46C8"/>
    <w:rsid w:val="003D49A9"/>
    <w:rsid w:val="003D5117"/>
    <w:rsid w:val="003D551A"/>
    <w:rsid w:val="003D55CA"/>
    <w:rsid w:val="003D5789"/>
    <w:rsid w:val="003D5DE8"/>
    <w:rsid w:val="003D5FC5"/>
    <w:rsid w:val="003D6AEC"/>
    <w:rsid w:val="003D6C00"/>
    <w:rsid w:val="003E0B87"/>
    <w:rsid w:val="003E10B5"/>
    <w:rsid w:val="003E177F"/>
    <w:rsid w:val="003E2072"/>
    <w:rsid w:val="003E232B"/>
    <w:rsid w:val="003E2FF6"/>
    <w:rsid w:val="003E3A11"/>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A5F"/>
    <w:rsid w:val="004039E2"/>
    <w:rsid w:val="00404BDC"/>
    <w:rsid w:val="00404D40"/>
    <w:rsid w:val="004057B3"/>
    <w:rsid w:val="00405AE6"/>
    <w:rsid w:val="004066C2"/>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172C6"/>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27FAE"/>
    <w:rsid w:val="00430132"/>
    <w:rsid w:val="004310A4"/>
    <w:rsid w:val="00431A50"/>
    <w:rsid w:val="0043242F"/>
    <w:rsid w:val="004339A9"/>
    <w:rsid w:val="0043466C"/>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7B4"/>
    <w:rsid w:val="004467FE"/>
    <w:rsid w:val="00446C26"/>
    <w:rsid w:val="00446D20"/>
    <w:rsid w:val="0044740B"/>
    <w:rsid w:val="00447A28"/>
    <w:rsid w:val="0045044A"/>
    <w:rsid w:val="004508B2"/>
    <w:rsid w:val="004508C5"/>
    <w:rsid w:val="004532B8"/>
    <w:rsid w:val="00453BD5"/>
    <w:rsid w:val="00454DE7"/>
    <w:rsid w:val="00455536"/>
    <w:rsid w:val="00455ECF"/>
    <w:rsid w:val="00456CB5"/>
    <w:rsid w:val="00457664"/>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70380"/>
    <w:rsid w:val="004726CB"/>
    <w:rsid w:val="00472EB1"/>
    <w:rsid w:val="00473A31"/>
    <w:rsid w:val="00473B71"/>
    <w:rsid w:val="00474983"/>
    <w:rsid w:val="004757BD"/>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57B"/>
    <w:rsid w:val="004B3E5C"/>
    <w:rsid w:val="004B433C"/>
    <w:rsid w:val="004B477E"/>
    <w:rsid w:val="004B5287"/>
    <w:rsid w:val="004B5445"/>
    <w:rsid w:val="004B56DE"/>
    <w:rsid w:val="004B5EB0"/>
    <w:rsid w:val="004B61EB"/>
    <w:rsid w:val="004B658C"/>
    <w:rsid w:val="004B6DF4"/>
    <w:rsid w:val="004B780B"/>
    <w:rsid w:val="004B7937"/>
    <w:rsid w:val="004C063F"/>
    <w:rsid w:val="004C0B62"/>
    <w:rsid w:val="004C11B2"/>
    <w:rsid w:val="004C1871"/>
    <w:rsid w:val="004C1DD5"/>
    <w:rsid w:val="004C2C9D"/>
    <w:rsid w:val="004C3BCC"/>
    <w:rsid w:val="004C4656"/>
    <w:rsid w:val="004C5209"/>
    <w:rsid w:val="004C5574"/>
    <w:rsid w:val="004C5960"/>
    <w:rsid w:val="004C59AB"/>
    <w:rsid w:val="004C5CD2"/>
    <w:rsid w:val="004C5EF2"/>
    <w:rsid w:val="004C7226"/>
    <w:rsid w:val="004C7643"/>
    <w:rsid w:val="004D0116"/>
    <w:rsid w:val="004D0714"/>
    <w:rsid w:val="004D1941"/>
    <w:rsid w:val="004D2C37"/>
    <w:rsid w:val="004D32D3"/>
    <w:rsid w:val="004D34D1"/>
    <w:rsid w:val="004D396B"/>
    <w:rsid w:val="004D4604"/>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6515"/>
    <w:rsid w:val="00500BF9"/>
    <w:rsid w:val="00500FD3"/>
    <w:rsid w:val="00501433"/>
    <w:rsid w:val="00501F18"/>
    <w:rsid w:val="00503584"/>
    <w:rsid w:val="005037BF"/>
    <w:rsid w:val="005043B2"/>
    <w:rsid w:val="005056D9"/>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5404"/>
    <w:rsid w:val="0054550D"/>
    <w:rsid w:val="00546F66"/>
    <w:rsid w:val="00547E68"/>
    <w:rsid w:val="00551453"/>
    <w:rsid w:val="00552AB6"/>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3944"/>
    <w:rsid w:val="005C3FA5"/>
    <w:rsid w:val="005C446A"/>
    <w:rsid w:val="005C5560"/>
    <w:rsid w:val="005C5724"/>
    <w:rsid w:val="005C72A7"/>
    <w:rsid w:val="005D04C4"/>
    <w:rsid w:val="005D0630"/>
    <w:rsid w:val="005D11AB"/>
    <w:rsid w:val="005D145F"/>
    <w:rsid w:val="005D1A41"/>
    <w:rsid w:val="005D1D84"/>
    <w:rsid w:val="005D2767"/>
    <w:rsid w:val="005D2B70"/>
    <w:rsid w:val="005D5A6E"/>
    <w:rsid w:val="005D669F"/>
    <w:rsid w:val="005D6ECA"/>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2D35"/>
    <w:rsid w:val="005F3109"/>
    <w:rsid w:val="005F3386"/>
    <w:rsid w:val="005F33DF"/>
    <w:rsid w:val="005F3834"/>
    <w:rsid w:val="005F3E32"/>
    <w:rsid w:val="005F50D6"/>
    <w:rsid w:val="005F5F7F"/>
    <w:rsid w:val="005F6010"/>
    <w:rsid w:val="005F640C"/>
    <w:rsid w:val="005F6C9E"/>
    <w:rsid w:val="005F7337"/>
    <w:rsid w:val="005F7C35"/>
    <w:rsid w:val="006005B7"/>
    <w:rsid w:val="006006F3"/>
    <w:rsid w:val="00600E94"/>
    <w:rsid w:val="00600E9C"/>
    <w:rsid w:val="00601186"/>
    <w:rsid w:val="006027AD"/>
    <w:rsid w:val="00602BE3"/>
    <w:rsid w:val="0060368D"/>
    <w:rsid w:val="00603CCF"/>
    <w:rsid w:val="00603CFA"/>
    <w:rsid w:val="00604932"/>
    <w:rsid w:val="00605735"/>
    <w:rsid w:val="00607519"/>
    <w:rsid w:val="00607C17"/>
    <w:rsid w:val="00607D6F"/>
    <w:rsid w:val="006107D8"/>
    <w:rsid w:val="0061139E"/>
    <w:rsid w:val="00611577"/>
    <w:rsid w:val="00612029"/>
    <w:rsid w:val="00612919"/>
    <w:rsid w:val="00612A75"/>
    <w:rsid w:val="00612FCB"/>
    <w:rsid w:val="00616564"/>
    <w:rsid w:val="00616900"/>
    <w:rsid w:val="00616B2E"/>
    <w:rsid w:val="00617980"/>
    <w:rsid w:val="006212EE"/>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D8"/>
    <w:rsid w:val="006434A9"/>
    <w:rsid w:val="00643967"/>
    <w:rsid w:val="00643F42"/>
    <w:rsid w:val="00645273"/>
    <w:rsid w:val="0064528E"/>
    <w:rsid w:val="006456B3"/>
    <w:rsid w:val="0064596C"/>
    <w:rsid w:val="006461F2"/>
    <w:rsid w:val="00646A6A"/>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65DC"/>
    <w:rsid w:val="00666F5F"/>
    <w:rsid w:val="00667F5A"/>
    <w:rsid w:val="0067077E"/>
    <w:rsid w:val="006720C6"/>
    <w:rsid w:val="00672E7B"/>
    <w:rsid w:val="00672F4D"/>
    <w:rsid w:val="006742B7"/>
    <w:rsid w:val="00674823"/>
    <w:rsid w:val="00674E67"/>
    <w:rsid w:val="006750A6"/>
    <w:rsid w:val="00675673"/>
    <w:rsid w:val="00675714"/>
    <w:rsid w:val="00675AF1"/>
    <w:rsid w:val="00675B03"/>
    <w:rsid w:val="00675E1F"/>
    <w:rsid w:val="00676B5B"/>
    <w:rsid w:val="00680158"/>
    <w:rsid w:val="006808C8"/>
    <w:rsid w:val="00680EA5"/>
    <w:rsid w:val="006818A9"/>
    <w:rsid w:val="00682E8B"/>
    <w:rsid w:val="00682F96"/>
    <w:rsid w:val="00683FC0"/>
    <w:rsid w:val="0068407F"/>
    <w:rsid w:val="00685CF1"/>
    <w:rsid w:val="006870E1"/>
    <w:rsid w:val="00690819"/>
    <w:rsid w:val="0069157D"/>
    <w:rsid w:val="00692494"/>
    <w:rsid w:val="00692A92"/>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F31"/>
    <w:rsid w:val="006E5087"/>
    <w:rsid w:val="006E7DAC"/>
    <w:rsid w:val="006F029C"/>
    <w:rsid w:val="006F076D"/>
    <w:rsid w:val="006F2275"/>
    <w:rsid w:val="006F22DF"/>
    <w:rsid w:val="006F287E"/>
    <w:rsid w:val="006F28B8"/>
    <w:rsid w:val="006F3543"/>
    <w:rsid w:val="006F36BA"/>
    <w:rsid w:val="006F3A3D"/>
    <w:rsid w:val="006F3C47"/>
    <w:rsid w:val="006F43A5"/>
    <w:rsid w:val="006F44E2"/>
    <w:rsid w:val="006F67BA"/>
    <w:rsid w:val="007004B1"/>
    <w:rsid w:val="00700559"/>
    <w:rsid w:val="00700C61"/>
    <w:rsid w:val="00702F4E"/>
    <w:rsid w:val="00704538"/>
    <w:rsid w:val="007057D9"/>
    <w:rsid w:val="00706ABF"/>
    <w:rsid w:val="007104FA"/>
    <w:rsid w:val="00710789"/>
    <w:rsid w:val="0071175E"/>
    <w:rsid w:val="00711AC0"/>
    <w:rsid w:val="00711E1E"/>
    <w:rsid w:val="00712F5B"/>
    <w:rsid w:val="007137A9"/>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5FB6"/>
    <w:rsid w:val="00726635"/>
    <w:rsid w:val="00727EA5"/>
    <w:rsid w:val="00730158"/>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1FBE"/>
    <w:rsid w:val="007426E1"/>
    <w:rsid w:val="007427F6"/>
    <w:rsid w:val="00742987"/>
    <w:rsid w:val="00742ABC"/>
    <w:rsid w:val="007437D7"/>
    <w:rsid w:val="007438D2"/>
    <w:rsid w:val="00743ABD"/>
    <w:rsid w:val="00744896"/>
    <w:rsid w:val="00744B69"/>
    <w:rsid w:val="00744E32"/>
    <w:rsid w:val="0074504C"/>
    <w:rsid w:val="0074767C"/>
    <w:rsid w:val="00747F71"/>
    <w:rsid w:val="007500D4"/>
    <w:rsid w:val="0075093D"/>
    <w:rsid w:val="00751C9A"/>
    <w:rsid w:val="00752054"/>
    <w:rsid w:val="007533DA"/>
    <w:rsid w:val="007535D5"/>
    <w:rsid w:val="00754066"/>
    <w:rsid w:val="007540C8"/>
    <w:rsid w:val="00754E29"/>
    <w:rsid w:val="0075522E"/>
    <w:rsid w:val="00755CA1"/>
    <w:rsid w:val="00757448"/>
    <w:rsid w:val="00757541"/>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6CB6"/>
    <w:rsid w:val="007874E3"/>
    <w:rsid w:val="00787E8F"/>
    <w:rsid w:val="007913C9"/>
    <w:rsid w:val="007913CE"/>
    <w:rsid w:val="00792566"/>
    <w:rsid w:val="007928AC"/>
    <w:rsid w:val="00793AA2"/>
    <w:rsid w:val="007940C7"/>
    <w:rsid w:val="00794C28"/>
    <w:rsid w:val="007952D4"/>
    <w:rsid w:val="007958A0"/>
    <w:rsid w:val="00795A6F"/>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4C90"/>
    <w:rsid w:val="007B4E6B"/>
    <w:rsid w:val="007B544D"/>
    <w:rsid w:val="007B666A"/>
    <w:rsid w:val="007C03E9"/>
    <w:rsid w:val="007C0692"/>
    <w:rsid w:val="007C0E9B"/>
    <w:rsid w:val="007C0F75"/>
    <w:rsid w:val="007C1874"/>
    <w:rsid w:val="007C23E1"/>
    <w:rsid w:val="007C2520"/>
    <w:rsid w:val="007C2915"/>
    <w:rsid w:val="007C2A72"/>
    <w:rsid w:val="007C2AC6"/>
    <w:rsid w:val="007C2CBF"/>
    <w:rsid w:val="007C531B"/>
    <w:rsid w:val="007C5998"/>
    <w:rsid w:val="007C5B2C"/>
    <w:rsid w:val="007C60F5"/>
    <w:rsid w:val="007C6214"/>
    <w:rsid w:val="007C7613"/>
    <w:rsid w:val="007C7AB5"/>
    <w:rsid w:val="007C7FBD"/>
    <w:rsid w:val="007D0741"/>
    <w:rsid w:val="007D1134"/>
    <w:rsid w:val="007D137B"/>
    <w:rsid w:val="007D13EE"/>
    <w:rsid w:val="007D1C21"/>
    <w:rsid w:val="007D22E4"/>
    <w:rsid w:val="007D3B3F"/>
    <w:rsid w:val="007D4005"/>
    <w:rsid w:val="007D4285"/>
    <w:rsid w:val="007D4D89"/>
    <w:rsid w:val="007D59EA"/>
    <w:rsid w:val="007D6100"/>
    <w:rsid w:val="007D775B"/>
    <w:rsid w:val="007D78C7"/>
    <w:rsid w:val="007E0655"/>
    <w:rsid w:val="007E06E7"/>
    <w:rsid w:val="007E0DA2"/>
    <w:rsid w:val="007E1117"/>
    <w:rsid w:val="007E3914"/>
    <w:rsid w:val="007E3D7B"/>
    <w:rsid w:val="007E4350"/>
    <w:rsid w:val="007E4D1B"/>
    <w:rsid w:val="007E5F31"/>
    <w:rsid w:val="007E6124"/>
    <w:rsid w:val="007E6741"/>
    <w:rsid w:val="007E6BCA"/>
    <w:rsid w:val="007E7248"/>
    <w:rsid w:val="007E742B"/>
    <w:rsid w:val="007F0215"/>
    <w:rsid w:val="007F1570"/>
    <w:rsid w:val="007F1EC0"/>
    <w:rsid w:val="007F33D9"/>
    <w:rsid w:val="007F41FC"/>
    <w:rsid w:val="007F4955"/>
    <w:rsid w:val="007F50F4"/>
    <w:rsid w:val="007F550D"/>
    <w:rsid w:val="007F5A7A"/>
    <w:rsid w:val="007F5BAC"/>
    <w:rsid w:val="007F5E49"/>
    <w:rsid w:val="007F68B0"/>
    <w:rsid w:val="007F723D"/>
    <w:rsid w:val="007F7674"/>
    <w:rsid w:val="007F768D"/>
    <w:rsid w:val="008005D5"/>
    <w:rsid w:val="0080201F"/>
    <w:rsid w:val="0080215A"/>
    <w:rsid w:val="00802C64"/>
    <w:rsid w:val="00803A1F"/>
    <w:rsid w:val="00804F05"/>
    <w:rsid w:val="00805025"/>
    <w:rsid w:val="00805BB4"/>
    <w:rsid w:val="00810105"/>
    <w:rsid w:val="00810DA2"/>
    <w:rsid w:val="00811B7C"/>
    <w:rsid w:val="00812014"/>
    <w:rsid w:val="0081268D"/>
    <w:rsid w:val="0081283B"/>
    <w:rsid w:val="0081302D"/>
    <w:rsid w:val="00813619"/>
    <w:rsid w:val="0081473A"/>
    <w:rsid w:val="008148CB"/>
    <w:rsid w:val="00815AC0"/>
    <w:rsid w:val="00816189"/>
    <w:rsid w:val="00817162"/>
    <w:rsid w:val="00817EFC"/>
    <w:rsid w:val="00820FF7"/>
    <w:rsid w:val="008222AD"/>
    <w:rsid w:val="008229D5"/>
    <w:rsid w:val="00822D4B"/>
    <w:rsid w:val="0082316F"/>
    <w:rsid w:val="00823BC2"/>
    <w:rsid w:val="00823D66"/>
    <w:rsid w:val="00824BA0"/>
    <w:rsid w:val="00824D45"/>
    <w:rsid w:val="00825217"/>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5037F"/>
    <w:rsid w:val="0085238F"/>
    <w:rsid w:val="00852C70"/>
    <w:rsid w:val="0085335C"/>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A30"/>
    <w:rsid w:val="00864BFA"/>
    <w:rsid w:val="0086576E"/>
    <w:rsid w:val="00865B5D"/>
    <w:rsid w:val="008665DA"/>
    <w:rsid w:val="008667CD"/>
    <w:rsid w:val="00866C91"/>
    <w:rsid w:val="00866DD9"/>
    <w:rsid w:val="00866FBF"/>
    <w:rsid w:val="0086714E"/>
    <w:rsid w:val="0086719A"/>
    <w:rsid w:val="00867F2C"/>
    <w:rsid w:val="00870130"/>
    <w:rsid w:val="008707FC"/>
    <w:rsid w:val="00870A69"/>
    <w:rsid w:val="00870E7A"/>
    <w:rsid w:val="0087101F"/>
    <w:rsid w:val="00871ECE"/>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DB3"/>
    <w:rsid w:val="00881E35"/>
    <w:rsid w:val="008821F3"/>
    <w:rsid w:val="00882A80"/>
    <w:rsid w:val="008838B8"/>
    <w:rsid w:val="0088411E"/>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9FD"/>
    <w:rsid w:val="00897C1D"/>
    <w:rsid w:val="00897D32"/>
    <w:rsid w:val="008A02D6"/>
    <w:rsid w:val="008A0373"/>
    <w:rsid w:val="008A2391"/>
    <w:rsid w:val="008A28BC"/>
    <w:rsid w:val="008A2F4D"/>
    <w:rsid w:val="008A3566"/>
    <w:rsid w:val="008A4237"/>
    <w:rsid w:val="008A5FDD"/>
    <w:rsid w:val="008A6151"/>
    <w:rsid w:val="008A651D"/>
    <w:rsid w:val="008A6C99"/>
    <w:rsid w:val="008A6FA9"/>
    <w:rsid w:val="008A767F"/>
    <w:rsid w:val="008B0323"/>
    <w:rsid w:val="008B0BDD"/>
    <w:rsid w:val="008B0CA8"/>
    <w:rsid w:val="008B210E"/>
    <w:rsid w:val="008B3468"/>
    <w:rsid w:val="008B3C9C"/>
    <w:rsid w:val="008B4032"/>
    <w:rsid w:val="008B672B"/>
    <w:rsid w:val="008B7EB4"/>
    <w:rsid w:val="008C01F3"/>
    <w:rsid w:val="008C064B"/>
    <w:rsid w:val="008C0EA6"/>
    <w:rsid w:val="008C0F1E"/>
    <w:rsid w:val="008C1036"/>
    <w:rsid w:val="008C1A54"/>
    <w:rsid w:val="008C1BB7"/>
    <w:rsid w:val="008C2714"/>
    <w:rsid w:val="008C2BBF"/>
    <w:rsid w:val="008C338B"/>
    <w:rsid w:val="008C3E39"/>
    <w:rsid w:val="008C45E9"/>
    <w:rsid w:val="008C48DB"/>
    <w:rsid w:val="008C56FC"/>
    <w:rsid w:val="008C62AE"/>
    <w:rsid w:val="008D0A5F"/>
    <w:rsid w:val="008D170D"/>
    <w:rsid w:val="008D236A"/>
    <w:rsid w:val="008D2B43"/>
    <w:rsid w:val="008D53C4"/>
    <w:rsid w:val="008D6008"/>
    <w:rsid w:val="008D683F"/>
    <w:rsid w:val="008D6938"/>
    <w:rsid w:val="008D7C3D"/>
    <w:rsid w:val="008E04E4"/>
    <w:rsid w:val="008E0686"/>
    <w:rsid w:val="008E0A18"/>
    <w:rsid w:val="008E0E23"/>
    <w:rsid w:val="008E1889"/>
    <w:rsid w:val="008E1F4E"/>
    <w:rsid w:val="008E340F"/>
    <w:rsid w:val="008E3E9D"/>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7261"/>
    <w:rsid w:val="00917C14"/>
    <w:rsid w:val="009204E1"/>
    <w:rsid w:val="00920CAD"/>
    <w:rsid w:val="00921344"/>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428F"/>
    <w:rsid w:val="009345CC"/>
    <w:rsid w:val="00935D39"/>
    <w:rsid w:val="009361DA"/>
    <w:rsid w:val="009365F4"/>
    <w:rsid w:val="00936994"/>
    <w:rsid w:val="009411D8"/>
    <w:rsid w:val="00944756"/>
    <w:rsid w:val="00945A08"/>
    <w:rsid w:val="00945C37"/>
    <w:rsid w:val="00945E92"/>
    <w:rsid w:val="009502D9"/>
    <w:rsid w:val="00950F12"/>
    <w:rsid w:val="009511A4"/>
    <w:rsid w:val="009519C7"/>
    <w:rsid w:val="009528F2"/>
    <w:rsid w:val="00954813"/>
    <w:rsid w:val="00955697"/>
    <w:rsid w:val="00956861"/>
    <w:rsid w:val="00956E4C"/>
    <w:rsid w:val="00956F6B"/>
    <w:rsid w:val="00957521"/>
    <w:rsid w:val="00957944"/>
    <w:rsid w:val="00957CF2"/>
    <w:rsid w:val="009603EF"/>
    <w:rsid w:val="009609CC"/>
    <w:rsid w:val="009613A7"/>
    <w:rsid w:val="009613E3"/>
    <w:rsid w:val="00961E6C"/>
    <w:rsid w:val="00962950"/>
    <w:rsid w:val="00963137"/>
    <w:rsid w:val="00963886"/>
    <w:rsid w:val="0096432B"/>
    <w:rsid w:val="00964501"/>
    <w:rsid w:val="00964522"/>
    <w:rsid w:val="00964C86"/>
    <w:rsid w:val="009654ED"/>
    <w:rsid w:val="0096717F"/>
    <w:rsid w:val="00967DFB"/>
    <w:rsid w:val="00967F9D"/>
    <w:rsid w:val="00970A88"/>
    <w:rsid w:val="00970C70"/>
    <w:rsid w:val="00971183"/>
    <w:rsid w:val="00971EEE"/>
    <w:rsid w:val="009724EB"/>
    <w:rsid w:val="00972AF6"/>
    <w:rsid w:val="00972B9A"/>
    <w:rsid w:val="009732A9"/>
    <w:rsid w:val="009734E6"/>
    <w:rsid w:val="009739DF"/>
    <w:rsid w:val="009755E7"/>
    <w:rsid w:val="00975CB5"/>
    <w:rsid w:val="00976C6D"/>
    <w:rsid w:val="00976D0C"/>
    <w:rsid w:val="00976EF3"/>
    <w:rsid w:val="0097706D"/>
    <w:rsid w:val="009772C1"/>
    <w:rsid w:val="009774AB"/>
    <w:rsid w:val="00977D2C"/>
    <w:rsid w:val="009801B0"/>
    <w:rsid w:val="00980695"/>
    <w:rsid w:val="00980EFD"/>
    <w:rsid w:val="009813DC"/>
    <w:rsid w:val="00983139"/>
    <w:rsid w:val="00983665"/>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32D"/>
    <w:rsid w:val="009A4380"/>
    <w:rsid w:val="009A5BC3"/>
    <w:rsid w:val="009A7962"/>
    <w:rsid w:val="009B0205"/>
    <w:rsid w:val="009B02AC"/>
    <w:rsid w:val="009B0BCD"/>
    <w:rsid w:val="009B0C11"/>
    <w:rsid w:val="009B0EEB"/>
    <w:rsid w:val="009B14B5"/>
    <w:rsid w:val="009B1EAC"/>
    <w:rsid w:val="009B242F"/>
    <w:rsid w:val="009B2FD4"/>
    <w:rsid w:val="009B307E"/>
    <w:rsid w:val="009B3D93"/>
    <w:rsid w:val="009B40A1"/>
    <w:rsid w:val="009B4A37"/>
    <w:rsid w:val="009B5851"/>
    <w:rsid w:val="009B63F9"/>
    <w:rsid w:val="009B6954"/>
    <w:rsid w:val="009C2E17"/>
    <w:rsid w:val="009C507D"/>
    <w:rsid w:val="009C52EF"/>
    <w:rsid w:val="009C7590"/>
    <w:rsid w:val="009C7720"/>
    <w:rsid w:val="009C7888"/>
    <w:rsid w:val="009D0115"/>
    <w:rsid w:val="009D0B70"/>
    <w:rsid w:val="009D1708"/>
    <w:rsid w:val="009D22C0"/>
    <w:rsid w:val="009D26F4"/>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11ED"/>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8F8"/>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3783"/>
    <w:rsid w:val="00A2483F"/>
    <w:rsid w:val="00A256D0"/>
    <w:rsid w:val="00A2585C"/>
    <w:rsid w:val="00A25BF7"/>
    <w:rsid w:val="00A26D9E"/>
    <w:rsid w:val="00A279CB"/>
    <w:rsid w:val="00A27DEC"/>
    <w:rsid w:val="00A27F56"/>
    <w:rsid w:val="00A3189C"/>
    <w:rsid w:val="00A31C9C"/>
    <w:rsid w:val="00A3326F"/>
    <w:rsid w:val="00A332FD"/>
    <w:rsid w:val="00A33787"/>
    <w:rsid w:val="00A33C60"/>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B19"/>
    <w:rsid w:val="00A515CC"/>
    <w:rsid w:val="00A521A9"/>
    <w:rsid w:val="00A521D4"/>
    <w:rsid w:val="00A5229E"/>
    <w:rsid w:val="00A5360C"/>
    <w:rsid w:val="00A53885"/>
    <w:rsid w:val="00A53D55"/>
    <w:rsid w:val="00A54255"/>
    <w:rsid w:val="00A54ACC"/>
    <w:rsid w:val="00A5569F"/>
    <w:rsid w:val="00A55C45"/>
    <w:rsid w:val="00A56527"/>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715A3"/>
    <w:rsid w:val="00A71F03"/>
    <w:rsid w:val="00A73CBC"/>
    <w:rsid w:val="00A73D42"/>
    <w:rsid w:val="00A748CC"/>
    <w:rsid w:val="00A74A10"/>
    <w:rsid w:val="00A75A76"/>
    <w:rsid w:val="00A7680F"/>
    <w:rsid w:val="00A77ABF"/>
    <w:rsid w:val="00A801F6"/>
    <w:rsid w:val="00A80D8E"/>
    <w:rsid w:val="00A8121F"/>
    <w:rsid w:val="00A82425"/>
    <w:rsid w:val="00A82553"/>
    <w:rsid w:val="00A82801"/>
    <w:rsid w:val="00A83870"/>
    <w:rsid w:val="00A83DB6"/>
    <w:rsid w:val="00A84019"/>
    <w:rsid w:val="00A84131"/>
    <w:rsid w:val="00A844EE"/>
    <w:rsid w:val="00A84CA8"/>
    <w:rsid w:val="00A84D30"/>
    <w:rsid w:val="00A85070"/>
    <w:rsid w:val="00A871AC"/>
    <w:rsid w:val="00A87635"/>
    <w:rsid w:val="00A87AAE"/>
    <w:rsid w:val="00A9132B"/>
    <w:rsid w:val="00A926BE"/>
    <w:rsid w:val="00A9349C"/>
    <w:rsid w:val="00A94592"/>
    <w:rsid w:val="00A94D62"/>
    <w:rsid w:val="00A95106"/>
    <w:rsid w:val="00A957DC"/>
    <w:rsid w:val="00A95CAA"/>
    <w:rsid w:val="00A96340"/>
    <w:rsid w:val="00A97B23"/>
    <w:rsid w:val="00A97E09"/>
    <w:rsid w:val="00A97EDA"/>
    <w:rsid w:val="00A97FDD"/>
    <w:rsid w:val="00AA0F4B"/>
    <w:rsid w:val="00AA1338"/>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941"/>
    <w:rsid w:val="00AD1B00"/>
    <w:rsid w:val="00AD2BB4"/>
    <w:rsid w:val="00AD31A6"/>
    <w:rsid w:val="00AD346C"/>
    <w:rsid w:val="00AD4E0B"/>
    <w:rsid w:val="00AD7DC7"/>
    <w:rsid w:val="00AE1355"/>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12"/>
    <w:rsid w:val="00AF0299"/>
    <w:rsid w:val="00AF1157"/>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4F2F"/>
    <w:rsid w:val="00B052E8"/>
    <w:rsid w:val="00B06132"/>
    <w:rsid w:val="00B068C1"/>
    <w:rsid w:val="00B07649"/>
    <w:rsid w:val="00B07837"/>
    <w:rsid w:val="00B1253D"/>
    <w:rsid w:val="00B128ED"/>
    <w:rsid w:val="00B13949"/>
    <w:rsid w:val="00B144CA"/>
    <w:rsid w:val="00B14A23"/>
    <w:rsid w:val="00B14E06"/>
    <w:rsid w:val="00B152B3"/>
    <w:rsid w:val="00B2074F"/>
    <w:rsid w:val="00B209C5"/>
    <w:rsid w:val="00B2137F"/>
    <w:rsid w:val="00B234F7"/>
    <w:rsid w:val="00B23707"/>
    <w:rsid w:val="00B23906"/>
    <w:rsid w:val="00B25ABE"/>
    <w:rsid w:val="00B25F74"/>
    <w:rsid w:val="00B26C3C"/>
    <w:rsid w:val="00B26CA2"/>
    <w:rsid w:val="00B26E04"/>
    <w:rsid w:val="00B30AB3"/>
    <w:rsid w:val="00B315BF"/>
    <w:rsid w:val="00B3184B"/>
    <w:rsid w:val="00B31F72"/>
    <w:rsid w:val="00B32B05"/>
    <w:rsid w:val="00B32D89"/>
    <w:rsid w:val="00B34B0D"/>
    <w:rsid w:val="00B34EE7"/>
    <w:rsid w:val="00B34F3B"/>
    <w:rsid w:val="00B35420"/>
    <w:rsid w:val="00B364F8"/>
    <w:rsid w:val="00B36577"/>
    <w:rsid w:val="00B36BAF"/>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1F"/>
    <w:rsid w:val="00B6012B"/>
    <w:rsid w:val="00B60C0B"/>
    <w:rsid w:val="00B60FFA"/>
    <w:rsid w:val="00B61073"/>
    <w:rsid w:val="00B6190B"/>
    <w:rsid w:val="00B61B65"/>
    <w:rsid w:val="00B622A1"/>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9B5"/>
    <w:rsid w:val="00BA4B49"/>
    <w:rsid w:val="00BA4BF3"/>
    <w:rsid w:val="00BA66D3"/>
    <w:rsid w:val="00BA68EC"/>
    <w:rsid w:val="00BA6E73"/>
    <w:rsid w:val="00BA7308"/>
    <w:rsid w:val="00BB01BD"/>
    <w:rsid w:val="00BB1FF4"/>
    <w:rsid w:val="00BB295C"/>
    <w:rsid w:val="00BB3066"/>
    <w:rsid w:val="00BB3659"/>
    <w:rsid w:val="00BB5E7A"/>
    <w:rsid w:val="00BB5ECF"/>
    <w:rsid w:val="00BB5F32"/>
    <w:rsid w:val="00BB6AC7"/>
    <w:rsid w:val="00BB773B"/>
    <w:rsid w:val="00BC1C1A"/>
    <w:rsid w:val="00BC282E"/>
    <w:rsid w:val="00BC3E1A"/>
    <w:rsid w:val="00BC403A"/>
    <w:rsid w:val="00BC4844"/>
    <w:rsid w:val="00BC4ECC"/>
    <w:rsid w:val="00BC76DF"/>
    <w:rsid w:val="00BC7B62"/>
    <w:rsid w:val="00BD0421"/>
    <w:rsid w:val="00BD0674"/>
    <w:rsid w:val="00BD0AA9"/>
    <w:rsid w:val="00BD14BF"/>
    <w:rsid w:val="00BD34AE"/>
    <w:rsid w:val="00BD3A6F"/>
    <w:rsid w:val="00BD3B72"/>
    <w:rsid w:val="00BD3BB2"/>
    <w:rsid w:val="00BD46B3"/>
    <w:rsid w:val="00BD60E4"/>
    <w:rsid w:val="00BD6BB9"/>
    <w:rsid w:val="00BD7FDE"/>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33D6"/>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EF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8CF"/>
    <w:rsid w:val="00C50E13"/>
    <w:rsid w:val="00C5202A"/>
    <w:rsid w:val="00C526EE"/>
    <w:rsid w:val="00C52792"/>
    <w:rsid w:val="00C52A19"/>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40D7"/>
    <w:rsid w:val="00C86023"/>
    <w:rsid w:val="00C860FB"/>
    <w:rsid w:val="00C87C9F"/>
    <w:rsid w:val="00C9058D"/>
    <w:rsid w:val="00C90AF1"/>
    <w:rsid w:val="00C9234A"/>
    <w:rsid w:val="00C923AE"/>
    <w:rsid w:val="00C9247D"/>
    <w:rsid w:val="00C92FC5"/>
    <w:rsid w:val="00C9307D"/>
    <w:rsid w:val="00C93857"/>
    <w:rsid w:val="00C940BE"/>
    <w:rsid w:val="00C9432F"/>
    <w:rsid w:val="00C94C5D"/>
    <w:rsid w:val="00C94F75"/>
    <w:rsid w:val="00C97383"/>
    <w:rsid w:val="00C97DA2"/>
    <w:rsid w:val="00CA1B07"/>
    <w:rsid w:val="00CA1BA1"/>
    <w:rsid w:val="00CA1C9B"/>
    <w:rsid w:val="00CA2156"/>
    <w:rsid w:val="00CA302B"/>
    <w:rsid w:val="00CA43DD"/>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4B7"/>
    <w:rsid w:val="00CB26A5"/>
    <w:rsid w:val="00CB2F04"/>
    <w:rsid w:val="00CB38D4"/>
    <w:rsid w:val="00CB6E9A"/>
    <w:rsid w:val="00CB76BF"/>
    <w:rsid w:val="00CB798E"/>
    <w:rsid w:val="00CC067D"/>
    <w:rsid w:val="00CC18CF"/>
    <w:rsid w:val="00CC2091"/>
    <w:rsid w:val="00CC3B76"/>
    <w:rsid w:val="00CC448A"/>
    <w:rsid w:val="00CC4ACC"/>
    <w:rsid w:val="00CC750C"/>
    <w:rsid w:val="00CC76B2"/>
    <w:rsid w:val="00CC7EF6"/>
    <w:rsid w:val="00CC7FF0"/>
    <w:rsid w:val="00CD07C3"/>
    <w:rsid w:val="00CD1B75"/>
    <w:rsid w:val="00CD2082"/>
    <w:rsid w:val="00CD310E"/>
    <w:rsid w:val="00CD3333"/>
    <w:rsid w:val="00CD36C5"/>
    <w:rsid w:val="00CD38C4"/>
    <w:rsid w:val="00CD5441"/>
    <w:rsid w:val="00CD5C4A"/>
    <w:rsid w:val="00CD5CB7"/>
    <w:rsid w:val="00CD6765"/>
    <w:rsid w:val="00CD73C0"/>
    <w:rsid w:val="00CD7942"/>
    <w:rsid w:val="00CE0360"/>
    <w:rsid w:val="00CE0D6B"/>
    <w:rsid w:val="00CE15A6"/>
    <w:rsid w:val="00CE19D4"/>
    <w:rsid w:val="00CE19EA"/>
    <w:rsid w:val="00CE26F8"/>
    <w:rsid w:val="00CE2BF2"/>
    <w:rsid w:val="00CE363D"/>
    <w:rsid w:val="00CE4F57"/>
    <w:rsid w:val="00CE5211"/>
    <w:rsid w:val="00CE5C01"/>
    <w:rsid w:val="00CE662D"/>
    <w:rsid w:val="00CE74FE"/>
    <w:rsid w:val="00CE7C8E"/>
    <w:rsid w:val="00CF045C"/>
    <w:rsid w:val="00CF0527"/>
    <w:rsid w:val="00CF0B0F"/>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69D2"/>
    <w:rsid w:val="00D0783D"/>
    <w:rsid w:val="00D11590"/>
    <w:rsid w:val="00D11AB8"/>
    <w:rsid w:val="00D1224B"/>
    <w:rsid w:val="00D12383"/>
    <w:rsid w:val="00D1338D"/>
    <w:rsid w:val="00D13453"/>
    <w:rsid w:val="00D13BA1"/>
    <w:rsid w:val="00D14469"/>
    <w:rsid w:val="00D14C48"/>
    <w:rsid w:val="00D16050"/>
    <w:rsid w:val="00D16E2C"/>
    <w:rsid w:val="00D17266"/>
    <w:rsid w:val="00D173B0"/>
    <w:rsid w:val="00D1762A"/>
    <w:rsid w:val="00D200F7"/>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4260"/>
    <w:rsid w:val="00D442D3"/>
    <w:rsid w:val="00D4449D"/>
    <w:rsid w:val="00D44694"/>
    <w:rsid w:val="00D44C3F"/>
    <w:rsid w:val="00D44F53"/>
    <w:rsid w:val="00D45466"/>
    <w:rsid w:val="00D459C6"/>
    <w:rsid w:val="00D476C1"/>
    <w:rsid w:val="00D47C42"/>
    <w:rsid w:val="00D51FF2"/>
    <w:rsid w:val="00D52963"/>
    <w:rsid w:val="00D52C84"/>
    <w:rsid w:val="00D53D98"/>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769F"/>
    <w:rsid w:val="00D67BC6"/>
    <w:rsid w:val="00D70EA9"/>
    <w:rsid w:val="00D70FC6"/>
    <w:rsid w:val="00D71B71"/>
    <w:rsid w:val="00D71DFC"/>
    <w:rsid w:val="00D73467"/>
    <w:rsid w:val="00D73ACC"/>
    <w:rsid w:val="00D745BD"/>
    <w:rsid w:val="00D75052"/>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92F"/>
    <w:rsid w:val="00D86546"/>
    <w:rsid w:val="00D867A5"/>
    <w:rsid w:val="00D87D0B"/>
    <w:rsid w:val="00D904B6"/>
    <w:rsid w:val="00D90512"/>
    <w:rsid w:val="00D90754"/>
    <w:rsid w:val="00D90C9E"/>
    <w:rsid w:val="00D90CF1"/>
    <w:rsid w:val="00D912EF"/>
    <w:rsid w:val="00D9268A"/>
    <w:rsid w:val="00D931AE"/>
    <w:rsid w:val="00D9439D"/>
    <w:rsid w:val="00D94749"/>
    <w:rsid w:val="00D94903"/>
    <w:rsid w:val="00D94BD3"/>
    <w:rsid w:val="00D95A98"/>
    <w:rsid w:val="00D97007"/>
    <w:rsid w:val="00DA0D3E"/>
    <w:rsid w:val="00DA0F67"/>
    <w:rsid w:val="00DA10DA"/>
    <w:rsid w:val="00DA1332"/>
    <w:rsid w:val="00DA16D9"/>
    <w:rsid w:val="00DA42DA"/>
    <w:rsid w:val="00DA44C3"/>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0E6"/>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D0AB1"/>
    <w:rsid w:val="00DD0F18"/>
    <w:rsid w:val="00DD23DB"/>
    <w:rsid w:val="00DD249F"/>
    <w:rsid w:val="00DD2B1F"/>
    <w:rsid w:val="00DD2D2C"/>
    <w:rsid w:val="00DD507E"/>
    <w:rsid w:val="00DD6009"/>
    <w:rsid w:val="00DD6450"/>
    <w:rsid w:val="00DD6B8C"/>
    <w:rsid w:val="00DD6D46"/>
    <w:rsid w:val="00DD6F0B"/>
    <w:rsid w:val="00DD70B5"/>
    <w:rsid w:val="00DD785B"/>
    <w:rsid w:val="00DE069D"/>
    <w:rsid w:val="00DE0E31"/>
    <w:rsid w:val="00DE1214"/>
    <w:rsid w:val="00DE1E0E"/>
    <w:rsid w:val="00DE2DDE"/>
    <w:rsid w:val="00DE34C1"/>
    <w:rsid w:val="00DE3E95"/>
    <w:rsid w:val="00DE52B4"/>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5C90"/>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37E"/>
    <w:rsid w:val="00E27CA4"/>
    <w:rsid w:val="00E27FE9"/>
    <w:rsid w:val="00E31C12"/>
    <w:rsid w:val="00E31E55"/>
    <w:rsid w:val="00E3253B"/>
    <w:rsid w:val="00E33083"/>
    <w:rsid w:val="00E348D8"/>
    <w:rsid w:val="00E3537A"/>
    <w:rsid w:val="00E363A5"/>
    <w:rsid w:val="00E36FC1"/>
    <w:rsid w:val="00E4053A"/>
    <w:rsid w:val="00E406DC"/>
    <w:rsid w:val="00E40A7B"/>
    <w:rsid w:val="00E40DEB"/>
    <w:rsid w:val="00E4114B"/>
    <w:rsid w:val="00E413B2"/>
    <w:rsid w:val="00E41DF6"/>
    <w:rsid w:val="00E42AC3"/>
    <w:rsid w:val="00E42DF6"/>
    <w:rsid w:val="00E43233"/>
    <w:rsid w:val="00E4330E"/>
    <w:rsid w:val="00E43599"/>
    <w:rsid w:val="00E44063"/>
    <w:rsid w:val="00E446CD"/>
    <w:rsid w:val="00E4573E"/>
    <w:rsid w:val="00E45791"/>
    <w:rsid w:val="00E45860"/>
    <w:rsid w:val="00E46BD9"/>
    <w:rsid w:val="00E4755E"/>
    <w:rsid w:val="00E47E61"/>
    <w:rsid w:val="00E50DFB"/>
    <w:rsid w:val="00E50E4F"/>
    <w:rsid w:val="00E5243E"/>
    <w:rsid w:val="00E52617"/>
    <w:rsid w:val="00E53596"/>
    <w:rsid w:val="00E54A00"/>
    <w:rsid w:val="00E54BE8"/>
    <w:rsid w:val="00E55676"/>
    <w:rsid w:val="00E56310"/>
    <w:rsid w:val="00E56538"/>
    <w:rsid w:val="00E56577"/>
    <w:rsid w:val="00E569B7"/>
    <w:rsid w:val="00E57E81"/>
    <w:rsid w:val="00E610AF"/>
    <w:rsid w:val="00E61FA4"/>
    <w:rsid w:val="00E63457"/>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5B86"/>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3FBB"/>
    <w:rsid w:val="00E97B3A"/>
    <w:rsid w:val="00EA0091"/>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543"/>
    <w:rsid w:val="00EB2A62"/>
    <w:rsid w:val="00EB2B28"/>
    <w:rsid w:val="00EB3214"/>
    <w:rsid w:val="00EB3BF1"/>
    <w:rsid w:val="00EB4996"/>
    <w:rsid w:val="00EB53A4"/>
    <w:rsid w:val="00EB54F1"/>
    <w:rsid w:val="00EB5537"/>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E0F82"/>
    <w:rsid w:val="00EE2601"/>
    <w:rsid w:val="00EE2AAC"/>
    <w:rsid w:val="00EE2F9A"/>
    <w:rsid w:val="00EE4424"/>
    <w:rsid w:val="00EE476B"/>
    <w:rsid w:val="00EE48EC"/>
    <w:rsid w:val="00EE4912"/>
    <w:rsid w:val="00EE50DA"/>
    <w:rsid w:val="00EE55B3"/>
    <w:rsid w:val="00EE6F52"/>
    <w:rsid w:val="00EF0A5E"/>
    <w:rsid w:val="00EF0CD9"/>
    <w:rsid w:val="00EF3667"/>
    <w:rsid w:val="00EF42B8"/>
    <w:rsid w:val="00EF6277"/>
    <w:rsid w:val="00EF6418"/>
    <w:rsid w:val="00EF6B02"/>
    <w:rsid w:val="00EF6EC7"/>
    <w:rsid w:val="00F011A9"/>
    <w:rsid w:val="00F01435"/>
    <w:rsid w:val="00F01ED4"/>
    <w:rsid w:val="00F021A1"/>
    <w:rsid w:val="00F021EB"/>
    <w:rsid w:val="00F03253"/>
    <w:rsid w:val="00F03D80"/>
    <w:rsid w:val="00F0401E"/>
    <w:rsid w:val="00F04C92"/>
    <w:rsid w:val="00F04CDD"/>
    <w:rsid w:val="00F1028C"/>
    <w:rsid w:val="00F11255"/>
    <w:rsid w:val="00F113D8"/>
    <w:rsid w:val="00F11D14"/>
    <w:rsid w:val="00F12352"/>
    <w:rsid w:val="00F1258A"/>
    <w:rsid w:val="00F13C6F"/>
    <w:rsid w:val="00F13EA0"/>
    <w:rsid w:val="00F14828"/>
    <w:rsid w:val="00F14F79"/>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20B8"/>
    <w:rsid w:val="00F320F6"/>
    <w:rsid w:val="00F32281"/>
    <w:rsid w:val="00F33712"/>
    <w:rsid w:val="00F35699"/>
    <w:rsid w:val="00F3569E"/>
    <w:rsid w:val="00F41322"/>
    <w:rsid w:val="00F4173F"/>
    <w:rsid w:val="00F41A35"/>
    <w:rsid w:val="00F4271B"/>
    <w:rsid w:val="00F4282E"/>
    <w:rsid w:val="00F436B3"/>
    <w:rsid w:val="00F43F30"/>
    <w:rsid w:val="00F442BF"/>
    <w:rsid w:val="00F45012"/>
    <w:rsid w:val="00F46397"/>
    <w:rsid w:val="00F46762"/>
    <w:rsid w:val="00F47102"/>
    <w:rsid w:val="00F4752B"/>
    <w:rsid w:val="00F503BA"/>
    <w:rsid w:val="00F50895"/>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E12"/>
    <w:rsid w:val="00F8263F"/>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A2F"/>
    <w:rsid w:val="00F94A95"/>
    <w:rsid w:val="00F94C69"/>
    <w:rsid w:val="00F9516E"/>
    <w:rsid w:val="00F95F3A"/>
    <w:rsid w:val="00F97049"/>
    <w:rsid w:val="00F972F0"/>
    <w:rsid w:val="00F97453"/>
    <w:rsid w:val="00FA0874"/>
    <w:rsid w:val="00FA0A5D"/>
    <w:rsid w:val="00FA1647"/>
    <w:rsid w:val="00FA217F"/>
    <w:rsid w:val="00FA55BD"/>
    <w:rsid w:val="00FA5B41"/>
    <w:rsid w:val="00FA6DD4"/>
    <w:rsid w:val="00FB01B9"/>
    <w:rsid w:val="00FB0F2A"/>
    <w:rsid w:val="00FB1CD7"/>
    <w:rsid w:val="00FB1FD9"/>
    <w:rsid w:val="00FB25F8"/>
    <w:rsid w:val="00FB27E1"/>
    <w:rsid w:val="00FB2C4B"/>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91C"/>
    <w:rsid w:val="00FD2C14"/>
    <w:rsid w:val="00FD318D"/>
    <w:rsid w:val="00FD3839"/>
    <w:rsid w:val="00FD445B"/>
    <w:rsid w:val="00FD47EC"/>
    <w:rsid w:val="00FD4859"/>
    <w:rsid w:val="00FD5736"/>
    <w:rsid w:val="00FD6537"/>
    <w:rsid w:val="00FD6DA1"/>
    <w:rsid w:val="00FD7117"/>
    <w:rsid w:val="00FD763C"/>
    <w:rsid w:val="00FD7E78"/>
    <w:rsid w:val="00FE0A83"/>
    <w:rsid w:val="00FE0DF7"/>
    <w:rsid w:val="00FE1365"/>
    <w:rsid w:val="00FE21EB"/>
    <w:rsid w:val="00FE23AC"/>
    <w:rsid w:val="00FE340E"/>
    <w:rsid w:val="00FE45B1"/>
    <w:rsid w:val="00FE48E1"/>
    <w:rsid w:val="00FE49D1"/>
    <w:rsid w:val="00FE4E60"/>
    <w:rsid w:val="00FE52F5"/>
    <w:rsid w:val="00FE5ACC"/>
    <w:rsid w:val="00FE6CD2"/>
    <w:rsid w:val="00FE739F"/>
    <w:rsid w:val="00FE7882"/>
    <w:rsid w:val="00FE7905"/>
    <w:rsid w:val="00FF0EC3"/>
    <w:rsid w:val="00FF15F5"/>
    <w:rsid w:val="00FF23F9"/>
    <w:rsid w:val="00FF2437"/>
    <w:rsid w:val="00FF2C3B"/>
    <w:rsid w:val="00FF2FBF"/>
    <w:rsid w:val="00FF3FFB"/>
    <w:rsid w:val="00FF4142"/>
    <w:rsid w:val="00FF422B"/>
    <w:rsid w:val="00FF5000"/>
    <w:rsid w:val="00FF53D5"/>
    <w:rsid w:val="00FF5746"/>
    <w:rsid w:val="00FF7DCC"/>
    <w:rsid w:val="5BB855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v:stroke endarrow="block"/>
      <v:textbox inset="0,0,0,0"/>
      <o:colormru v:ext="edit" colors="#eaeaea,#f8f8f8"/>
    </o:shapedefaults>
    <o:shapelayout v:ext="edit">
      <o:idmap v:ext="edit" data="2"/>
    </o:shapelayout>
  </w:shapeDefaults>
  <w:decimalSymbol w:val="."/>
  <w:listSeparator w:val=","/>
  <w14:docId w14:val="014067DA"/>
  <w15:chartTrackingRefBased/>
  <w15:docId w15:val="{4DD70AEB-22DD-444D-AB10-5D7252FCB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07B"/>
    <w:pPr>
      <w:spacing w:line="360" w:lineRule="auto"/>
      <w:jc w:val="both"/>
    </w:pPr>
    <w:rPr>
      <w:rFonts w:ascii="Arial" w:hAnsi="Arial"/>
      <w:sz w:val="24"/>
      <w:szCs w:val="24"/>
      <w:lang w:eastAsia="en-GB"/>
    </w:rPr>
  </w:style>
  <w:style w:type="paragraph" w:styleId="Heading1">
    <w:name w:val="heading 1"/>
    <w:basedOn w:val="Normal"/>
    <w:next w:val="Normal"/>
    <w:link w:val="Heading1Char"/>
    <w:autoRedefine/>
    <w:uiPriority w:val="9"/>
    <w:qFormat/>
    <w:rsid w:val="00B6011F"/>
    <w:pPr>
      <w:spacing w:before="120" w:after="120" w:line="240" w:lineRule="auto"/>
      <w:outlineLvl w:val="0"/>
    </w:pPr>
    <w:rPr>
      <w:b/>
      <w:caps/>
      <w:color w:val="000000"/>
      <w:sz w:val="32"/>
      <w:szCs w:val="26"/>
      <w:lang w:val="x-none" w:eastAsia="x-none"/>
    </w:rPr>
  </w:style>
  <w:style w:type="paragraph" w:styleId="Heading2">
    <w:name w:val="heading 2"/>
    <w:basedOn w:val="Heading1"/>
    <w:next w:val="Normal"/>
    <w:autoRedefine/>
    <w:qFormat/>
    <w:rsid w:val="00B6011F"/>
    <w:pPr>
      <w:spacing w:line="360" w:lineRule="auto"/>
      <w:outlineLvl w:val="1"/>
    </w:pPr>
    <w:rPr>
      <w:sz w:val="28"/>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eastAsia="en-GB"/>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B6011F"/>
    <w:rPr>
      <w:rFonts w:ascii="Arial" w:hAnsi="Arial"/>
      <w:b/>
      <w:caps/>
      <w:color w:val="000000"/>
      <w:sz w:val="32"/>
      <w:szCs w:val="26"/>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eastAsia="en-GB"/>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ofcom.org.uk/research-and-data/media-literacy-research/online-nation" TargetMode="External"/><Relationship Id="rId26" Type="http://schemas.openxmlformats.org/officeDocument/2006/relationships/hyperlink" Target="https://attack.mitre.org/matrices/enterprise/" TargetMode="External"/><Relationship Id="rId39" Type="http://schemas.openxmlformats.org/officeDocument/2006/relationships/hyperlink" Target="https://docs.suricata.io/" TargetMode="External"/><Relationship Id="rId21" Type="http://schemas.openxmlformats.org/officeDocument/2006/relationships/hyperlink" Target="https://www.ncsc.gov.uk/guidance/network-security-fundamentals" TargetMode="External"/><Relationship Id="rId34" Type="http://schemas.openxmlformats.org/officeDocument/2006/relationships/hyperlink" Target="https://www.which.co.uk/news/article/millions-of-people-in-the-uk-at-risk-of-using-unsecure-routers-afweT5A8CGNf" TargetMode="External"/><Relationship Id="rId42" Type="http://schemas.openxmlformats.org/officeDocument/2006/relationships/hyperlink" Target="https://attack.mitre.org/techniques/T1133/" TargetMode="External"/><Relationship Id="rId47" Type="http://schemas.openxmlformats.org/officeDocument/2006/relationships/hyperlink" Target="https://docs.suricata.io/en/latest/output/eve/eve-json-format.html" TargetMode="External"/><Relationship Id="rId50" Type="http://schemas.openxmlformats.org/officeDocument/2006/relationships/hyperlink" Target="https://docs.opnsense.org/manual/interfaces.html" TargetMode="External"/><Relationship Id="rId55" Type="http://schemas.openxmlformats.org/officeDocument/2006/relationships/hyperlink" Target="https://github.com/vanhauser-thc/thc-hydra"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pentest-standard.org/" TargetMode="External"/><Relationship Id="rId11" Type="http://schemas.openxmlformats.org/officeDocument/2006/relationships/image" Target="media/image1.png"/><Relationship Id="rId24" Type="http://schemas.openxmlformats.org/officeDocument/2006/relationships/hyperlink" Target="https://csrc.nist.gov/pubs/sp/800/115/final" TargetMode="External"/><Relationship Id="rId32" Type="http://schemas.openxmlformats.org/officeDocument/2006/relationships/hyperlink" Target="https://owasp.org/www-project-iot-security-testing-guide/" TargetMode="External"/><Relationship Id="rId37" Type="http://schemas.openxmlformats.org/officeDocument/2006/relationships/hyperlink" Target="https://www.ncsc.gov.uk/news/uk-and-us-issue-warning-about-apt28-actors-exploiting-poorly-maintained-cisco-routers" TargetMode="External"/><Relationship Id="rId40" Type="http://schemas.openxmlformats.org/officeDocument/2006/relationships/hyperlink" Target="https://attack.mitre.org/techniques/T1078/001/" TargetMode="External"/><Relationship Id="rId45" Type="http://schemas.openxmlformats.org/officeDocument/2006/relationships/hyperlink" Target="https://attack.mitre.org/software/S0174/" TargetMode="External"/><Relationship Id="rId53" Type="http://schemas.openxmlformats.org/officeDocument/2006/relationships/hyperlink" Target="https://greenbone.github.io/docs/"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publications.parliament.uk/pa/cm5803/cmselect/cmcumeds/157/report.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uidance/regulations-consumer-connectable-product-security" TargetMode="External"/><Relationship Id="rId27" Type="http://schemas.openxmlformats.org/officeDocument/2006/relationships/hyperlink" Target="https://www.legislation.gov.uk/ukpga/1990/18/contents" TargetMode="External"/><Relationship Id="rId30" Type="http://schemas.openxmlformats.org/officeDocument/2006/relationships/hyperlink" Target="https://owasp.org/www-project-web-security-testing-guide/v42/" TargetMode="External"/><Relationship Id="rId35" Type="http://schemas.openxmlformats.org/officeDocument/2006/relationships/hyperlink" Target="https://www.cisa.gov/news-events/news/home-network-security" TargetMode="External"/><Relationship Id="rId43" Type="http://schemas.openxmlformats.org/officeDocument/2006/relationships/hyperlink" Target="https://attack.mitre.org/techniques/T1046/" TargetMode="External"/><Relationship Id="rId48" Type="http://schemas.openxmlformats.org/officeDocument/2006/relationships/hyperlink" Target="https://docs.suricata.io/en/latest/output/eve/eve-json-examples.html" TargetMode="External"/><Relationship Id="rId56" Type="http://schemas.openxmlformats.org/officeDocument/2006/relationships/hyperlink" Target="https://docs.rapid7.com/metasploit/" TargetMode="External"/><Relationship Id="rId8" Type="http://schemas.openxmlformats.org/officeDocument/2006/relationships/webSettings" Target="webSettings.xml"/><Relationship Id="rId51" Type="http://schemas.openxmlformats.org/officeDocument/2006/relationships/hyperlink" Target="https://openwrt.org/docs/guide-user/network/wifi/guestwifi/guest-wlan-luci"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hyperlink" Target="https://www.cisecurity.org/controls/v8-1" TargetMode="External"/><Relationship Id="rId33" Type="http://schemas.openxmlformats.org/officeDocument/2006/relationships/hyperlink" Target="https://www.fkie.fraunhofer.de/content/dam/fkie/de/documents/HomeRouter/HomeRouterSecurity_2020_Bericht.pdf" TargetMode="External"/><Relationship Id="rId38" Type="http://schemas.openxmlformats.org/officeDocument/2006/relationships/hyperlink" Target="https://dl.acm.org/doi/10.1145/3643832.3661869" TargetMode="External"/><Relationship Id="rId46" Type="http://schemas.openxmlformats.org/officeDocument/2006/relationships/hyperlink" Target="https://docs.suricata.io/en/latest/output/eve/eve-json-output.html" TargetMode="External"/><Relationship Id="rId59" Type="http://schemas.openxmlformats.org/officeDocument/2006/relationships/theme" Target="theme/theme1.xml"/><Relationship Id="rId20" Type="http://schemas.openxmlformats.org/officeDocument/2006/relationships/hyperlink" Target="https://www.enisa.europa.eu/publications/enisa-threat-landscape-2024" TargetMode="External"/><Relationship Id="rId41" Type="http://schemas.openxmlformats.org/officeDocument/2006/relationships/hyperlink" Target="https://attack.mitre.org/techniques/T1110/" TargetMode="External"/><Relationship Id="rId54" Type="http://schemas.openxmlformats.org/officeDocument/2006/relationships/hyperlink" Target="https://nmap.org/book/man.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ncsc.gov.uk/guidance/smart-devices-in-the-home" TargetMode="External"/><Relationship Id="rId28" Type="http://schemas.openxmlformats.org/officeDocument/2006/relationships/hyperlink" Target="https://www.etsi.org/deliver/etsi_en/303600_303699/303645/03.01.03_60/en_303645v030103p.pdf" TargetMode="External"/><Relationship Id="rId36" Type="http://schemas.openxmlformats.org/officeDocument/2006/relationships/hyperlink" Target="https://www.ic3.gov/Media/Y2018/PSA180525" TargetMode="External"/><Relationship Id="rId49" Type="http://schemas.openxmlformats.org/officeDocument/2006/relationships/hyperlink" Target="https://docs.netgate.com/pfsense/en/latest/interfaces/vlan.html" TargetMode="External"/><Relationship Id="rId57" Type="http://schemas.openxmlformats.org/officeDocument/2006/relationships/footer" Target="footer3.xml"/><Relationship Id="rId10" Type="http://schemas.openxmlformats.org/officeDocument/2006/relationships/endnotes" Target="endnotes.xml"/><Relationship Id="rId31" Type="http://schemas.openxmlformats.org/officeDocument/2006/relationships/hyperlink" Target="https://owasp.org/www-project-iot-security-verification-standard/" TargetMode="External"/><Relationship Id="rId44" Type="http://schemas.openxmlformats.org/officeDocument/2006/relationships/hyperlink" Target="https://attack.mitre.org/techniques/T1557/001/" TargetMode="External"/><Relationship Id="rId52" Type="http://schemas.openxmlformats.org/officeDocument/2006/relationships/hyperlink" Target="https://help.ui.com/hc/en-us/articles/22102996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8" ma:contentTypeDescription="Create a new document." ma:contentTypeScope="" ma:versionID="3544b2463514c73f004a7a8132b3d30f">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e40fb73f40b3ba4f8f91e0fcf5616e5"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4CEAD21-451D-4F46-A5F8-82E60D252318}">
  <ds:schemaRefs>
    <ds:schemaRef ds:uri="http://schemas.microsoft.com/office/2006/metadata/properties"/>
    <ds:schemaRef ds:uri="http://schemas.microsoft.com/office/infopath/2007/PartnerControls"/>
    <ds:schemaRef ds:uri="dd7bbc2b-1d05-4a2b-aef3-b6f0207d1649"/>
  </ds:schemaRefs>
</ds:datastoreItem>
</file>

<file path=customXml/itemProps2.xml><?xml version="1.0" encoding="utf-8"?>
<ds:datastoreItem xmlns:ds="http://schemas.openxmlformats.org/officeDocument/2006/customXml" ds:itemID="{1F0647A2-4A21-4036-A2EC-B01D0C3B9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470D49-FDCB-42C4-B95A-39D544AC986B}">
  <ds:schemaRefs>
    <ds:schemaRef ds:uri="http://schemas.microsoft.com/sharepoint/v3/contenttype/forms"/>
  </ds:schemaRefs>
</ds:datastoreItem>
</file>

<file path=customXml/itemProps4.xml><?xml version="1.0" encoding="utf-8"?>
<ds:datastoreItem xmlns:ds="http://schemas.openxmlformats.org/officeDocument/2006/customXml" ds:itemID="{EFC4887F-A95B-4AE6-BCD5-90FC0735A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PhD.dot</Template>
  <TotalTime>0</TotalTime>
  <Pages>22</Pages>
  <Words>5087</Words>
  <Characters>33068</Characters>
  <Application>Microsoft Office Word</Application>
  <DocSecurity>0</DocSecurity>
  <Lines>766</Lines>
  <Paragraphs>337</Paragraphs>
  <ScaleCrop>false</ScaleCrop>
  <Company>coventry university</Company>
  <LinksUpToDate>false</LinksUpToDate>
  <CharactersWithSpaces>37833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Joshua Harries (2021807)</cp:lastModifiedBy>
  <cp:revision>111</cp:revision>
  <cp:lastPrinted>2010-09-03T23:00:00Z</cp:lastPrinted>
  <dcterms:created xsi:type="dcterms:W3CDTF">2025-07-30T18:25:00Z</dcterms:created>
  <dcterms:modified xsi:type="dcterms:W3CDTF">2025-09-02T23:58:00Z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GrammarlyDocumentId">
    <vt:lpwstr>19061a41-31d7-47e0-ab55-253a5056422c</vt:lpwstr>
  </property>
</Properties>
</file>