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6FEB0CF9" w14:textId="3B3E0920" w:rsidR="002F004D" w:rsidRDefault="002F004D" w:rsidP="002F004D">
      <w:pPr>
        <w:spacing w:line="360" w:lineRule="auto"/>
        <w:rPr>
          <w:sz w:val="24"/>
          <w:szCs w:val="24"/>
        </w:rPr>
      </w:pPr>
      <w:r w:rsidRPr="00D32D9F">
        <w:rPr>
          <w:sz w:val="24"/>
          <w:szCs w:val="24"/>
        </w:rPr>
        <w:t>The initial 6 month period of the new Police Education Qualification Framework (PEQF) was always going to be stressful. I spoke to a few friends that are already Police Officers to try and find out more information about what it is like and what to expect. However, being one of the first to be starting the course, they couldn’t give me a lot of information about it. During the first few days we were told to expect there to be some creases to iron out with it being a new course and to not worry about anything. As the weeks went on and we learnt more and more legislation, powers and policies, the first exams drew closer. Being an external recruit with no previous background in policing or law I was hearing words and phrases for the first time which felt like I was at a disadvantage.</w:t>
      </w:r>
    </w:p>
    <w:p w14:paraId="55F0EA50" w14:textId="77777777" w:rsidR="002F004D" w:rsidRPr="00D32D9F" w:rsidRDefault="002F004D" w:rsidP="002F004D">
      <w:pPr>
        <w:spacing w:line="360" w:lineRule="auto"/>
        <w:rPr>
          <w:sz w:val="24"/>
          <w:szCs w:val="24"/>
        </w:rPr>
      </w:pPr>
    </w:p>
    <w:p w14:paraId="275D9356" w14:textId="3FDFBB38" w:rsidR="002F004D" w:rsidRDefault="002F004D" w:rsidP="002F004D">
      <w:pPr>
        <w:spacing w:line="360" w:lineRule="auto"/>
        <w:rPr>
          <w:sz w:val="24"/>
          <w:szCs w:val="24"/>
        </w:rPr>
      </w:pPr>
      <w:r w:rsidRPr="00D32D9F">
        <w:rPr>
          <w:sz w:val="24"/>
          <w:szCs w:val="24"/>
        </w:rPr>
        <w:t xml:space="preserve">During the initial 6 month training period I used a variety of activities and techniques to keep on top of the work load and to try and keep my head above the water. Every day after work I would go for a run with the dog and whilst out on my run I would try and clear my head of everything that had happened that day. For the 30-45 minutes I was out I would just pretend to be a different person. A few weeks before the first two exams we were told that there was a chance that the exams that we were taking on the Tuesday might not be marked by the Friday before we went on Annual Leave. Being told this made the pressure feel like it was building even more and that I could not relax until I had my results as the exam resit was the week I came back from Annual Leave. With this in mind I got my head down and studied hard for the upcoming exams. </w:t>
      </w:r>
    </w:p>
    <w:p w14:paraId="051E36DA" w14:textId="77777777" w:rsidR="002F004D" w:rsidRPr="00D32D9F" w:rsidRDefault="002F004D" w:rsidP="002F004D">
      <w:pPr>
        <w:spacing w:line="360" w:lineRule="auto"/>
        <w:rPr>
          <w:sz w:val="24"/>
          <w:szCs w:val="24"/>
        </w:rPr>
      </w:pPr>
    </w:p>
    <w:p w14:paraId="4BEA0CDA" w14:textId="7F4CBC0B" w:rsidR="002F004D" w:rsidRDefault="002F004D" w:rsidP="002F004D">
      <w:pPr>
        <w:spacing w:line="360" w:lineRule="auto"/>
        <w:rPr>
          <w:sz w:val="24"/>
          <w:szCs w:val="24"/>
        </w:rPr>
      </w:pPr>
      <w:r w:rsidRPr="00D32D9F">
        <w:rPr>
          <w:sz w:val="24"/>
          <w:szCs w:val="24"/>
        </w:rPr>
        <w:t xml:space="preserve">One of the main coping strategies that I used was humour. Humour builds social and professional cohesion which provides a venue to cope with occupational stressors </w:t>
      </w:r>
      <w:r w:rsidRPr="00D32D9F">
        <w:rPr>
          <w:sz w:val="24"/>
          <w:szCs w:val="24"/>
        </w:rPr>
        <w:lastRenderedPageBreak/>
        <w:t>(</w:t>
      </w:r>
      <w:proofErr w:type="spellStart"/>
      <w:r w:rsidRPr="00D32D9F">
        <w:rPr>
          <w:sz w:val="24"/>
          <w:szCs w:val="24"/>
        </w:rPr>
        <w:t>Gayadeen</w:t>
      </w:r>
      <w:proofErr w:type="spellEnd"/>
      <w:r w:rsidRPr="00D32D9F">
        <w:rPr>
          <w:sz w:val="24"/>
          <w:szCs w:val="24"/>
        </w:rPr>
        <w:t xml:space="preserve"> &amp; Phillips, 2016). Being able to have a laugh and a joke with the rest of the team helped to cope with both the stress of the upcoming exams and to cope with some of the topics we were covering. Humour is something that the trainers would tell us is a way that police deal with things, they would talk about ‘services humour’ as a way of dealing with the stressors of the job. </w:t>
      </w:r>
    </w:p>
    <w:p w14:paraId="3DD6F904" w14:textId="77777777" w:rsidR="002F004D" w:rsidRPr="00D32D9F" w:rsidRDefault="002F004D" w:rsidP="002F004D">
      <w:pPr>
        <w:spacing w:line="360" w:lineRule="auto"/>
        <w:rPr>
          <w:sz w:val="24"/>
          <w:szCs w:val="24"/>
        </w:rPr>
      </w:pPr>
    </w:p>
    <w:p w14:paraId="6CFBF364" w14:textId="0DE3FF24" w:rsidR="002F004D" w:rsidRDefault="002F004D" w:rsidP="002F004D">
      <w:pPr>
        <w:spacing w:line="360" w:lineRule="auto"/>
        <w:rPr>
          <w:sz w:val="24"/>
          <w:szCs w:val="24"/>
        </w:rPr>
      </w:pPr>
      <w:r w:rsidRPr="00D32D9F">
        <w:rPr>
          <w:sz w:val="24"/>
          <w:szCs w:val="24"/>
        </w:rPr>
        <w:t xml:space="preserve">The weekend before the exam I met up with a classmate and we went and had a revision session together. This helped to relieve some of the stress as we were both on a similar level with how much we remembered. We used revision cards to test each other on definitions, powers and policies and the ones we couldn’t remember or got wrong we would look up and research. After this I felt much more confident and was actually surprised at how much information I had retained. </w:t>
      </w:r>
    </w:p>
    <w:p w14:paraId="7EBFD001" w14:textId="77777777" w:rsidR="002F004D" w:rsidRPr="00D32D9F" w:rsidRDefault="002F004D" w:rsidP="002F004D">
      <w:pPr>
        <w:spacing w:line="360" w:lineRule="auto"/>
        <w:rPr>
          <w:sz w:val="24"/>
          <w:szCs w:val="24"/>
        </w:rPr>
      </w:pPr>
    </w:p>
    <w:p w14:paraId="18B52842" w14:textId="104FDD0F" w:rsidR="002F004D" w:rsidRDefault="002F004D" w:rsidP="002F004D">
      <w:pPr>
        <w:spacing w:line="360" w:lineRule="auto"/>
        <w:rPr>
          <w:sz w:val="24"/>
          <w:szCs w:val="24"/>
        </w:rPr>
      </w:pPr>
      <w:r w:rsidRPr="00D32D9F">
        <w:rPr>
          <w:sz w:val="24"/>
          <w:szCs w:val="24"/>
        </w:rPr>
        <w:t>The day of the first exam came around and when I got to the training facility, I remember feeling really nervous and worried that if I failed then I could lose my job. The exam started and the first question was fairly straight forward which made me relax into the exam and get on with the rest of it. The exam finished and I felt confident that I had done enough to reach the pass mark, however, I felt frustrated that I could not answer some of the questions and that I should have done better. The results were released to us the following Friday and I had achieved a pass in both exams, grading mid-50%.</w:t>
      </w:r>
    </w:p>
    <w:p w14:paraId="62E03D92" w14:textId="77777777" w:rsidR="002F004D" w:rsidRPr="00D32D9F" w:rsidRDefault="002F004D" w:rsidP="002F004D">
      <w:pPr>
        <w:spacing w:line="360" w:lineRule="auto"/>
        <w:rPr>
          <w:sz w:val="24"/>
          <w:szCs w:val="24"/>
        </w:rPr>
      </w:pPr>
    </w:p>
    <w:p w14:paraId="4D5E4A53" w14:textId="47DE1703" w:rsidR="002F004D" w:rsidRPr="00D32D9F" w:rsidRDefault="002F004D" w:rsidP="002F004D">
      <w:pPr>
        <w:spacing w:line="360" w:lineRule="auto"/>
        <w:rPr>
          <w:sz w:val="24"/>
          <w:szCs w:val="24"/>
        </w:rPr>
      </w:pPr>
      <w:r w:rsidRPr="00D32D9F">
        <w:rPr>
          <w:sz w:val="24"/>
          <w:szCs w:val="24"/>
        </w:rPr>
        <w:t>A week of Annual leave followed and I went back home to Derbyshire where most of my family live. This turned out to be the best thing for relieving stress and building up resilience, talking to family and having some time away. After going to the driving range with my dad during the week off I decided that I would start to play more golf as another form of stress relief. When we came back from the week of annual leave I looked at the topics that we were going to be covering over the next few weeks. The topics included; Sudden Death, Sexual Offences and Child Abuse. All very important parts of policing but not very nice to talk and watch videos about. The when and where of these calls within the policing profession could come in is very unpredictable and very stressful (</w:t>
      </w:r>
      <w:proofErr w:type="spellStart"/>
      <w:r w:rsidRPr="00D32D9F">
        <w:rPr>
          <w:sz w:val="24"/>
          <w:szCs w:val="24"/>
        </w:rPr>
        <w:t>Goerling</w:t>
      </w:r>
      <w:proofErr w:type="spellEnd"/>
      <w:r w:rsidRPr="00D32D9F">
        <w:rPr>
          <w:sz w:val="24"/>
          <w:szCs w:val="24"/>
        </w:rPr>
        <w:t>, 2012)</w:t>
      </w:r>
    </w:p>
    <w:p w14:paraId="35562D7E" w14:textId="6D2581EF" w:rsidR="002F004D" w:rsidRDefault="002F004D" w:rsidP="002F004D">
      <w:pPr>
        <w:spacing w:line="360" w:lineRule="auto"/>
        <w:rPr>
          <w:sz w:val="24"/>
          <w:szCs w:val="24"/>
        </w:rPr>
      </w:pPr>
      <w:r w:rsidRPr="00D32D9F">
        <w:rPr>
          <w:sz w:val="24"/>
          <w:szCs w:val="24"/>
        </w:rPr>
        <w:t xml:space="preserve">Over the weeks and months that followed we were taught about these topics and the powers, policies and procedures that we have to deal with them, and what we can do to help the victims. Before each input on these subjects the trainers would give a talk about </w:t>
      </w:r>
      <w:r w:rsidRPr="00D32D9F">
        <w:rPr>
          <w:sz w:val="24"/>
          <w:szCs w:val="24"/>
        </w:rPr>
        <w:lastRenderedPageBreak/>
        <w:t xml:space="preserve">what was going to be included and say that if anyone needed to take a few minutes and leave the room then that was ok to do. Going home after being taught about these offences I found that I felt a bit more down than normal, so I would go to the golf range and use that as a release. I would also speak to my dad on the phone and this helped me to bounce back from the tough subjects I had spent the day talking about. </w:t>
      </w:r>
    </w:p>
    <w:p w14:paraId="52F6B06C" w14:textId="77777777" w:rsidR="002F004D" w:rsidRPr="00D32D9F" w:rsidRDefault="002F004D" w:rsidP="002F004D">
      <w:pPr>
        <w:spacing w:line="360" w:lineRule="auto"/>
        <w:rPr>
          <w:sz w:val="24"/>
          <w:szCs w:val="24"/>
        </w:rPr>
      </w:pPr>
    </w:p>
    <w:p w14:paraId="461BFE5C" w14:textId="3AB890DA" w:rsidR="002F004D" w:rsidRDefault="002F004D" w:rsidP="002F004D">
      <w:pPr>
        <w:spacing w:line="360" w:lineRule="auto"/>
        <w:rPr>
          <w:sz w:val="24"/>
          <w:szCs w:val="24"/>
        </w:rPr>
      </w:pPr>
      <w:r w:rsidRPr="00D32D9F">
        <w:rPr>
          <w:sz w:val="24"/>
          <w:szCs w:val="24"/>
        </w:rPr>
        <w:t xml:space="preserve">Of the several different mechanisms I adopted to help to cope I found that the most useful was golf, and speaking with family the most effective at building resilience. I would speak to my parents most days and sometime visit on some weekends for some time away and this would help me to relax in preparation for the third and fourth exams. Speaking to my parents and other family members became an even more important coping mechanism for me towards the end of July when sadly my grandfather past away. After traveling home and spending some time with my family for the weekend I returned to work and kept preparing for the final exams. On the week following my </w:t>
      </w:r>
      <w:proofErr w:type="spellStart"/>
      <w:proofErr w:type="gramStart"/>
      <w:r w:rsidRPr="00D32D9F">
        <w:rPr>
          <w:sz w:val="24"/>
          <w:szCs w:val="24"/>
        </w:rPr>
        <w:t>grandfathers</w:t>
      </w:r>
      <w:proofErr w:type="spellEnd"/>
      <w:proofErr w:type="gramEnd"/>
      <w:r w:rsidRPr="00D32D9F">
        <w:rPr>
          <w:sz w:val="24"/>
          <w:szCs w:val="24"/>
        </w:rPr>
        <w:t xml:space="preserve"> death we covered the topic of sudden death. The trainers were aware of my situation and spoke to me before the session to warn me that there would be some photos of people who had passed and that some of them were elderly. Despite this I went through the session without incident and did not need to take any time out of the session. I feel that speaking to family and friends was one of the best ways to help to keep myself focused throughout the following weeks. After completing the second set of exams it was at my grandfathers’ funeral that I received an email stating that I had passed the second set of exams and did not need to re-sit.</w:t>
      </w:r>
    </w:p>
    <w:p w14:paraId="5599DA6E" w14:textId="77777777" w:rsidR="002F004D" w:rsidRPr="00D32D9F" w:rsidRDefault="002F004D" w:rsidP="002F004D">
      <w:pPr>
        <w:spacing w:line="360" w:lineRule="auto"/>
        <w:rPr>
          <w:sz w:val="24"/>
          <w:szCs w:val="24"/>
        </w:rPr>
      </w:pPr>
    </w:p>
    <w:p w14:paraId="3AF9E31E" w14:textId="77777777" w:rsidR="002F004D" w:rsidRPr="00D32D9F" w:rsidRDefault="002F004D" w:rsidP="002F004D">
      <w:pPr>
        <w:spacing w:line="360" w:lineRule="auto"/>
        <w:rPr>
          <w:sz w:val="24"/>
          <w:szCs w:val="24"/>
        </w:rPr>
      </w:pPr>
      <w:proofErr w:type="spellStart"/>
      <w:r w:rsidRPr="00D32D9F">
        <w:rPr>
          <w:sz w:val="24"/>
          <w:szCs w:val="24"/>
        </w:rPr>
        <w:t>Folkman</w:t>
      </w:r>
      <w:proofErr w:type="spellEnd"/>
      <w:r w:rsidRPr="00D32D9F">
        <w:rPr>
          <w:sz w:val="24"/>
          <w:szCs w:val="24"/>
        </w:rPr>
        <w:t xml:space="preserve"> (1984) states that coping is the effort to manage demand, regardless of the outcome of this effort. Lazarus and </w:t>
      </w:r>
      <w:proofErr w:type="spellStart"/>
      <w:r w:rsidRPr="00D32D9F">
        <w:rPr>
          <w:sz w:val="24"/>
          <w:szCs w:val="24"/>
        </w:rPr>
        <w:t>Folkman</w:t>
      </w:r>
      <w:proofErr w:type="spellEnd"/>
      <w:r w:rsidRPr="00D32D9F">
        <w:rPr>
          <w:sz w:val="24"/>
          <w:szCs w:val="24"/>
        </w:rPr>
        <w:t xml:space="preserve"> (1984) mention that people use several ‘coping devices’ such as humour, crying, swearing and talking it out. However they further talk about people often over using them and, as a result, they become less effective. </w:t>
      </w:r>
      <w:proofErr w:type="spellStart"/>
      <w:r w:rsidRPr="00D32D9F">
        <w:rPr>
          <w:rFonts w:cstheme="minorHAnsi"/>
          <w:sz w:val="24"/>
          <w:szCs w:val="24"/>
        </w:rPr>
        <w:t>Rabenu</w:t>
      </w:r>
      <w:proofErr w:type="spellEnd"/>
      <w:r w:rsidRPr="00D32D9F">
        <w:rPr>
          <w:rFonts w:cstheme="minorHAnsi"/>
          <w:sz w:val="24"/>
          <w:szCs w:val="24"/>
        </w:rPr>
        <w:t xml:space="preserve">, </w:t>
      </w:r>
      <w:proofErr w:type="spellStart"/>
      <w:r w:rsidRPr="00D32D9F">
        <w:rPr>
          <w:rFonts w:cstheme="minorHAnsi"/>
          <w:sz w:val="24"/>
          <w:szCs w:val="24"/>
        </w:rPr>
        <w:t>Yaniv</w:t>
      </w:r>
      <w:proofErr w:type="spellEnd"/>
      <w:r w:rsidRPr="00D32D9F">
        <w:rPr>
          <w:rFonts w:cstheme="minorHAnsi"/>
          <w:sz w:val="24"/>
          <w:szCs w:val="24"/>
        </w:rPr>
        <w:t xml:space="preserve"> &amp; </w:t>
      </w:r>
      <w:proofErr w:type="spellStart"/>
      <w:r w:rsidRPr="00D32D9F">
        <w:rPr>
          <w:rFonts w:cstheme="minorHAnsi"/>
          <w:sz w:val="24"/>
          <w:szCs w:val="24"/>
        </w:rPr>
        <w:t>Elizur</w:t>
      </w:r>
      <w:proofErr w:type="spellEnd"/>
      <w:r w:rsidRPr="00D32D9F">
        <w:rPr>
          <w:rFonts w:cstheme="minorHAnsi"/>
          <w:sz w:val="24"/>
          <w:szCs w:val="24"/>
        </w:rPr>
        <w:t xml:space="preserve"> </w:t>
      </w:r>
      <w:r w:rsidRPr="00D32D9F">
        <w:rPr>
          <w:rFonts w:cstheme="minorHAnsi"/>
          <w:color w:val="131413"/>
          <w:sz w:val="24"/>
          <w:szCs w:val="24"/>
        </w:rPr>
        <w:t>(2017) discuss that using coping strategies that deal with the problem are much more effective than ones that focus on emotions. With that in mind, I believe that the coping strategies that I implemented that were problem based were indeed more effective.</w:t>
      </w:r>
    </w:p>
    <w:p w14:paraId="1F8ACB9E" w14:textId="4AF89A4F" w:rsidR="002F004D" w:rsidRDefault="002F004D" w:rsidP="002F004D">
      <w:pPr>
        <w:spacing w:line="360" w:lineRule="auto"/>
        <w:rPr>
          <w:sz w:val="24"/>
          <w:szCs w:val="24"/>
        </w:rPr>
      </w:pPr>
      <w:r w:rsidRPr="00D32D9F">
        <w:rPr>
          <w:sz w:val="24"/>
          <w:szCs w:val="24"/>
        </w:rPr>
        <w:t xml:space="preserve">On reflection, the first 6 months was a mostly positive experience and I believe it has set me up well to enter the tutorship period. I believe that I have developed a good support network with my family and friends to enable me to combat the stressors of response policing. In comparison, I feel that speaking to family to be the most effective. The other strategies of running, golf and humour did all work however they were not as successful as </w:t>
      </w:r>
      <w:r w:rsidRPr="00D32D9F">
        <w:rPr>
          <w:sz w:val="24"/>
          <w:szCs w:val="24"/>
        </w:rPr>
        <w:lastRenderedPageBreak/>
        <w:t xml:space="preserve">having a good chat with people. I believe that I have been able to prepare myself well to start my career in policing and that when I deal with incidents that are likely to be stressful I have a good support network around me to be able to deal with them. I also feel that I am in a good place to continue to build my resilience throughout the following tutorship and for the rest of my probationary period. </w:t>
      </w:r>
    </w:p>
    <w:p w14:paraId="3E44967A" w14:textId="3A02A4D6" w:rsidR="002F004D" w:rsidRPr="00D32D9F" w:rsidRDefault="002F004D" w:rsidP="002F004D">
      <w:pPr>
        <w:spacing w:line="360" w:lineRule="auto"/>
        <w:jc w:val="right"/>
        <w:rPr>
          <w:sz w:val="24"/>
          <w:szCs w:val="24"/>
        </w:rPr>
      </w:pPr>
      <w:r>
        <w:rPr>
          <w:sz w:val="24"/>
          <w:szCs w:val="24"/>
        </w:rPr>
        <w:t>(Word Count: 1411)</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EA55C6">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7440ECF2" w14:textId="77777777" w:rsidR="00DC17D5" w:rsidRPr="00EA7908" w:rsidRDefault="00DC17D5" w:rsidP="00DC17D5">
      <w:pPr>
        <w:spacing w:line="360" w:lineRule="auto"/>
        <w:rPr>
          <w:sz w:val="24"/>
        </w:rPr>
      </w:pPr>
      <w:r w:rsidRPr="00EA7908">
        <w:rPr>
          <w:sz w:val="24"/>
        </w:rPr>
        <w:t xml:space="preserve">One policing incident that I played a significant role in is the domestic violence case which I made my first arrest. We received a request for police in the early evening of a Friday in September after we had received reports of an ongoing domestic disturbance where a male had assaulted his mother. Myself and my tutor attached ourselves to the incident and started to make our way to the location on a blue lights. Another unit from our station also attached themselves to provide back-up should we require it. Whilst on the way to the address I had to think of what offences could have been committed. There had been assault reported so identifying which level of assault had been committed would need to be done. With there being three basic levels of assault; Common assault/Battery, Assault Occasioning Actual Bodily Harm (ABH) and Assault Occasioning Grievous Bodily Harm (GBH). We then received further information from the control room that the male that was </w:t>
      </w:r>
      <w:r w:rsidRPr="00EA7908">
        <w:rPr>
          <w:sz w:val="24"/>
        </w:rPr>
        <w:lastRenderedPageBreak/>
        <w:t xml:space="preserve">responsible had several warning markers. His markers stated that he had mental health issues, he used violence frequently and he often used or carried knives. There was also a high risk marker on the address for domestic violence. We were also informed that it was recommended that the male in question be confronted with a dog unit should he become violent towards officers which he has been in the past. All of this information and intelligence was relayed to all the officers attending the incident. After receiving the information from the control room my tutor spoke to me about how we were going to approach the situation. She explained the procedure for how to support her should she need to use her Taser and made sure I knew what to do if the dog was to be used as well. All of this verbal communication that was being used whilst on route to the incident was key, </w:t>
      </w:r>
      <w:proofErr w:type="spellStart"/>
      <w:r w:rsidRPr="00EA7908">
        <w:rPr>
          <w:sz w:val="24"/>
        </w:rPr>
        <w:t>Hohl</w:t>
      </w:r>
      <w:proofErr w:type="spellEnd"/>
      <w:r w:rsidRPr="00EA7908">
        <w:rPr>
          <w:sz w:val="24"/>
        </w:rPr>
        <w:t xml:space="preserve">, Bradford and </w:t>
      </w:r>
      <w:proofErr w:type="spellStart"/>
      <w:r w:rsidRPr="00EA7908">
        <w:rPr>
          <w:sz w:val="24"/>
        </w:rPr>
        <w:t>Stanko</w:t>
      </w:r>
      <w:proofErr w:type="spellEnd"/>
      <w:r w:rsidRPr="00EA7908">
        <w:rPr>
          <w:sz w:val="24"/>
        </w:rPr>
        <w:t xml:space="preserve"> (2010) discussed that communication is at the heart of the relationships between the police and the public, both operationally and when the deeper relationship between the police and the policed is to be considered. </w:t>
      </w:r>
    </w:p>
    <w:p w14:paraId="79CEFFD0" w14:textId="77777777" w:rsidR="00DC17D5" w:rsidRPr="00EA7908" w:rsidRDefault="00DC17D5" w:rsidP="00DC17D5">
      <w:pPr>
        <w:spacing w:line="360" w:lineRule="auto"/>
        <w:rPr>
          <w:sz w:val="24"/>
        </w:rPr>
      </w:pPr>
    </w:p>
    <w:p w14:paraId="1538D12A" w14:textId="77777777" w:rsidR="00DC17D5" w:rsidRPr="00EA7908" w:rsidRDefault="00DC17D5" w:rsidP="00DC17D5">
      <w:pPr>
        <w:spacing w:line="360" w:lineRule="auto"/>
        <w:rPr>
          <w:sz w:val="24"/>
        </w:rPr>
      </w:pPr>
      <w:r w:rsidRPr="00EA7908">
        <w:rPr>
          <w:sz w:val="24"/>
        </w:rPr>
        <w:t xml:space="preserve">On arrival, I activated my body worn video camera and knocked on the door and my tutor stood next to me with our other colleagues behind us and the dog handler waiting with their dog a few meters behind just in case. When the door opened there was a small female in the corridor and a large male behind her. We were told that this was the male we were there for and I told him to stay where he was and show me his hands. He walked towards us and then entered the kitchen which was on our right hand side. He walked over to where the sink was and sat on the side, he then reached into the sink. Immediately two of my colleagues grabbed his arms and placed him in handcuffs. Once the subject was under control I went to speak to the reporting person (RP) who was the subjects’ mother. I asked her what had happened and she initially refused to say what had happened. I had to quickly build a rapport with her to get her to disclose to me the series of events which had caused her to call the police. This was incredibly challenging as she kept repeating “I don’t want to get him in trouble, he didn’t mean it”. I explained to her that due to the report we had to investigate what had happened and make sure that everyone was safe and well. After speaking to myself and one of my colleagues she then disclosed that her son had grabbed her around the throat and choked her with both hands. I identified this as a common assault contrary to Section 39 of the Criminal Justice Act 1988. As a result of this I went back into the kitchen and to the subject that he was now under arrest on suspicion of assault. I cautioned him and gave him the time and necessity of the arrest as per Section 24 of the </w:t>
      </w:r>
      <w:r w:rsidRPr="00EA7908">
        <w:rPr>
          <w:sz w:val="24"/>
        </w:rPr>
        <w:lastRenderedPageBreak/>
        <w:t>Police and Criminal Evidence Act 1984. Once the male had been arrested he started to become aggressive towards officers and was constantly trying to pull away. He then accused me of being racist and stated that I only arrested him because he was black. I told him that he had been arrested because of the allegation made and it had nothing to do with his race. On the way to Cardiff Bay custody suite the arrested male was kicking the door to the cage and head butting it whilst screaming “I’m going to have you”. On arrival, the male was warned that if he made any attempt to harm any officers then he would be restrained appropriately. As he exited the van I place him in an entangled arm-lock and transported him to the holding cell before presenting him to the custody sergeant who authorised his detention at the police station.</w:t>
      </w:r>
    </w:p>
    <w:p w14:paraId="3FBD02D0" w14:textId="77777777" w:rsidR="00DC17D5" w:rsidRPr="00EA7908" w:rsidRDefault="00DC17D5" w:rsidP="00DC17D5">
      <w:pPr>
        <w:spacing w:line="360" w:lineRule="auto"/>
        <w:rPr>
          <w:sz w:val="24"/>
        </w:rPr>
      </w:pPr>
    </w:p>
    <w:p w14:paraId="5121B523" w14:textId="77777777" w:rsidR="00DC17D5" w:rsidRPr="00EA7908" w:rsidRDefault="00DC17D5" w:rsidP="00DC17D5">
      <w:pPr>
        <w:spacing w:line="360" w:lineRule="auto"/>
        <w:rPr>
          <w:sz w:val="24"/>
        </w:rPr>
      </w:pPr>
      <w:r w:rsidRPr="00EA7908">
        <w:rPr>
          <w:sz w:val="24"/>
        </w:rPr>
        <w:t xml:space="preserve">After leaving the station I spoke to my tutor constable about the incident and how it was handled. We spoke about my thoughts and feelings both before and during the incident and identified the positives and areas for improvement. Once these were identified we spoke about how we would look to develop my skills and improve. This falls in line with Gibbs (1988) model of reflection. We described the incident and what had happened, we went through my feelings and what I was thinking at the time, we then evaluated and analysed each of these and went into depth on certain elements such as knowledge of procedure, officer safety and emotions. We then identified the areas that I need to improve in and developed an action plan on what I will do in the future when I respond to a similar incident. Gibbs 1988 model being an extension of </w:t>
      </w:r>
      <w:proofErr w:type="spellStart"/>
      <w:r w:rsidRPr="00EA7908">
        <w:rPr>
          <w:sz w:val="24"/>
        </w:rPr>
        <w:t>Klobs</w:t>
      </w:r>
      <w:proofErr w:type="spellEnd"/>
      <w:r w:rsidRPr="00EA7908">
        <w:rPr>
          <w:sz w:val="24"/>
        </w:rPr>
        <w:t xml:space="preserve"> 1984 experimental learning cycle so the two are very similar (Potter, 2015). The way which I evaluated my actions had similarities to the two. </w:t>
      </w:r>
    </w:p>
    <w:p w14:paraId="152ED5CF" w14:textId="77777777" w:rsidR="00DC17D5" w:rsidRPr="00EA7908" w:rsidRDefault="00DC17D5" w:rsidP="00DC17D5">
      <w:pPr>
        <w:spacing w:line="360" w:lineRule="auto"/>
        <w:rPr>
          <w:sz w:val="24"/>
        </w:rPr>
      </w:pPr>
    </w:p>
    <w:p w14:paraId="40CD34B9" w14:textId="77777777" w:rsidR="00DC17D5" w:rsidRPr="00EA7908" w:rsidRDefault="00DC17D5" w:rsidP="00DC17D5">
      <w:pPr>
        <w:spacing w:line="360" w:lineRule="auto"/>
        <w:rPr>
          <w:sz w:val="24"/>
        </w:rPr>
      </w:pPr>
      <w:r w:rsidRPr="00EA7908">
        <w:rPr>
          <w:sz w:val="24"/>
        </w:rPr>
        <w:t xml:space="preserve">On reflection, I feel that my communication skills were overall good throughout the incident. Once the door to the house open I spoke in a calm voice and with empathy to both the victim and the suspect male. Once the male refused to listen to my instructions I them progressed and began to become more direct and demanding. As per Officer Safety Training, the process of using force is known as Reasonable Officer Response Options and begins with officer presence. As this did not stop the male when I entered the house I then moved onto the next stage which is tactical communication. This had a small effect however it did not gain complete compliance of the suspect. As a result of this, it was decided that the use of physical force was necessary. The first use of physical force is </w:t>
      </w:r>
      <w:r w:rsidRPr="00EA7908">
        <w:rPr>
          <w:sz w:val="24"/>
        </w:rPr>
        <w:lastRenderedPageBreak/>
        <w:t xml:space="preserve">using primary control skills. This would consist of things such as escort positions and handcuffing. This use of force was necessary as the suspect was actively resisting both verbally and physically. When using force officers must consider; Profiled Subject Behaviour, Subject Impact Factors and Officer Impact Factors. An example of Subject Impact Factors would be; size, gender, age, build, previous history with police and if they had any background in martial arts. Some examples of Officer Impact Factors are similar such as size, gender and build, however they also include; when the officers last completed their Officer Safety Training, previous experience of physical conflict and if they are carrying equipment such as Taser or another type of firearm. With all this information considered, the use of force is easily justified due to the subjects’ actively resistant behaviour and his previous history of being violent and using knives. Under the Criminal Law Act 1967 a constable may use reasonable force in any circumstances to prevent crime or to effect or assist in the arrest of an offender. In this incident, the use of force was necessary to prevent the suspect from not only harming anyone present such as officers or members of his family, but to prevent him from harming himself as well. Further to this, Section 117 of the Police and Criminal Evidence Act 1984 gives constables a power to use necessary force during the course of their duties, thus reinforcing that the use of force was not only necessary but also lawful. </w:t>
      </w:r>
      <w:r w:rsidRPr="00A641B0">
        <w:rPr>
          <w:sz w:val="24"/>
        </w:rPr>
        <w:t>All the information passed allowed me to start to work through the National Decision Making Model (NDM). The NDM is the model used by police officers of all levels to structure a rationale as to why they made a decision (College of Policing, 2013). I believe that I worked through this well and it enabled me to deal with the situation positively and safely.</w:t>
      </w:r>
      <w:r w:rsidRPr="00EA7908">
        <w:rPr>
          <w:sz w:val="24"/>
        </w:rPr>
        <w:t xml:space="preserve"> </w:t>
      </w:r>
      <w:bookmarkStart w:id="6" w:name="_GoBack"/>
      <w:bookmarkEnd w:id="6"/>
    </w:p>
    <w:p w14:paraId="1B6C84D6" w14:textId="77777777" w:rsidR="00DC17D5" w:rsidRPr="00EA7908" w:rsidRDefault="00DC17D5" w:rsidP="00DC17D5">
      <w:pPr>
        <w:spacing w:line="360" w:lineRule="auto"/>
        <w:rPr>
          <w:sz w:val="24"/>
        </w:rPr>
      </w:pPr>
    </w:p>
    <w:p w14:paraId="2D30C13D" w14:textId="77777777" w:rsidR="00DC17D5" w:rsidRPr="00EA7908" w:rsidRDefault="00DC17D5" w:rsidP="00DC17D5">
      <w:pPr>
        <w:spacing w:line="360" w:lineRule="auto"/>
        <w:rPr>
          <w:sz w:val="24"/>
        </w:rPr>
      </w:pPr>
      <w:r w:rsidRPr="00EA7908">
        <w:rPr>
          <w:sz w:val="24"/>
        </w:rPr>
        <w:t xml:space="preserve">There are several theories which attempt to explain the root causes of conflict. One of them being The </w:t>
      </w:r>
      <w:proofErr w:type="spellStart"/>
      <w:r w:rsidRPr="00EA7908">
        <w:rPr>
          <w:sz w:val="24"/>
        </w:rPr>
        <w:t>Batari</w:t>
      </w:r>
      <w:proofErr w:type="spellEnd"/>
      <w:r w:rsidRPr="00EA7908">
        <w:rPr>
          <w:sz w:val="24"/>
        </w:rPr>
        <w:t xml:space="preserve"> Box. This states that each persons’ attitudes and behaviours affects others. Applying this to my situation, my attitude and behaviour had a direct impact on the witness by making them feel comfortable in a conflict situation which helped to build a good rapport with her for her to disclose the circumstances of what had happened. Further to this, I believe that my attitude and behaviour towards the suspect also had an effect on how he perceived all of the officers at the scene. Despite him later becoming violent, whilst we were in the house he was relatively calm and this was due to the officers being calm and respectful and not being too aggressive and confrontational. Johns, Clark &amp; Stark. (1997) suggested that instrumental aggression by detainees may be due to them attempting to </w:t>
      </w:r>
      <w:r w:rsidRPr="00EA7908">
        <w:rPr>
          <w:sz w:val="24"/>
        </w:rPr>
        <w:lastRenderedPageBreak/>
        <w:t>intimidate others, delaying being interviewed or to be transferred to a less secure setting such as a hospital where they may attempt escape. Johns et al (1997) suggest a number of reasons behind people becoming violent. Firstly, they suggest that aggression is an instinct which build up over time before the subject of the aggression becomes violent. Secondly, they believe aggression may be a learnt behaviour and that it may also be rewarded in certain cultures. Finally, they speak about aggression being one of several responses to arousal and that it is used to lower ones arousal levels. Building on this, I believe that the behaviour shown by the suspect male in my incident was indeed learnt. By looking at the previous records of his family members and associates, he was most certainly brought up around violence and it appears that in his household violence was used to resolve issues. Domestic Violence can be seen as a global epidemic as it has no boundaries (</w:t>
      </w:r>
      <w:proofErr w:type="spellStart"/>
      <w:r w:rsidRPr="00EA7908">
        <w:rPr>
          <w:sz w:val="24"/>
        </w:rPr>
        <w:t>Slabbert</w:t>
      </w:r>
      <w:proofErr w:type="spellEnd"/>
      <w:r w:rsidRPr="00EA7908">
        <w:rPr>
          <w:sz w:val="24"/>
        </w:rPr>
        <w:t xml:space="preserve">, </w:t>
      </w:r>
      <w:proofErr w:type="spellStart"/>
      <w:r w:rsidRPr="00EA7908">
        <w:rPr>
          <w:sz w:val="24"/>
        </w:rPr>
        <w:t>Traube</w:t>
      </w:r>
      <w:proofErr w:type="spellEnd"/>
      <w:r w:rsidRPr="00EA7908">
        <w:rPr>
          <w:sz w:val="24"/>
        </w:rPr>
        <w:t xml:space="preserve"> &amp; Rice, 2017). Due to often having large and unmanageable workloads, social workers are often not able to provide the care and support that victims of Domestic Violence need. As a result of this, children are often witnesses to violent behaviour from a young age and they grow up to believe that they should behave like this whilst in a relationship this is known as an Adverse Child Experience (ACE). </w:t>
      </w:r>
    </w:p>
    <w:p w14:paraId="4271FD2E" w14:textId="77777777" w:rsidR="00DC17D5" w:rsidRPr="00EA7908" w:rsidRDefault="00DC17D5" w:rsidP="00DC17D5">
      <w:pPr>
        <w:spacing w:line="360" w:lineRule="auto"/>
        <w:rPr>
          <w:sz w:val="24"/>
        </w:rPr>
      </w:pPr>
    </w:p>
    <w:p w14:paraId="2A0A9425" w14:textId="77777777" w:rsidR="00DC17D5" w:rsidRPr="00EA7908" w:rsidRDefault="00DC17D5" w:rsidP="00DC17D5">
      <w:pPr>
        <w:spacing w:line="360" w:lineRule="auto"/>
        <w:rPr>
          <w:sz w:val="24"/>
        </w:rPr>
      </w:pPr>
      <w:r w:rsidRPr="00EA7908">
        <w:rPr>
          <w:sz w:val="24"/>
        </w:rPr>
        <w:t xml:space="preserve">Johns et al (1997), discusses a cycle of aggression involving an assault. They talk about a subject firstly going through a trigger phase, where a subject first shows either verbal or non-verbal changes in their behaviour. Followed by an escalation phase, where the subjects arousal levels are increased, their senses are heightened and they are less likely to make rational choices. This leads to a phase known as crisis, this is when the subject is most at risk of becoming violent. A recovery phase follows where the subject may start to ‘come down’ from their heightened state however there is still a risk of reverting back to crisis and becoming violent. The final stage is post-crisis depression where the subject becomes remorseful and reverts back to their usual behaviour. </w:t>
      </w:r>
    </w:p>
    <w:p w14:paraId="72E21F63" w14:textId="77777777" w:rsidR="00DC17D5" w:rsidRPr="00EA7908" w:rsidRDefault="00DC17D5" w:rsidP="00DC17D5">
      <w:pPr>
        <w:spacing w:line="360" w:lineRule="auto"/>
        <w:rPr>
          <w:sz w:val="24"/>
        </w:rPr>
      </w:pPr>
    </w:p>
    <w:p w14:paraId="67DB11E6" w14:textId="77777777" w:rsidR="00DC17D5" w:rsidRPr="00EA7908" w:rsidRDefault="00DC17D5" w:rsidP="00DC17D5">
      <w:pPr>
        <w:spacing w:line="360" w:lineRule="auto"/>
        <w:rPr>
          <w:sz w:val="24"/>
        </w:rPr>
      </w:pPr>
      <w:r w:rsidRPr="00EA7908">
        <w:rPr>
          <w:sz w:val="24"/>
        </w:rPr>
        <w:t>When discussing conflict, one of the theories often mentions is the Drama Triangle. This was first introduced in Stephen Karman’s 1968 work title “</w:t>
      </w:r>
      <w:r w:rsidRPr="00EA7908">
        <w:rPr>
          <w:i/>
          <w:sz w:val="24"/>
        </w:rPr>
        <w:t>Fairy Tales and Script Drama Analysis”.</w:t>
      </w:r>
      <w:r w:rsidRPr="00EA7908">
        <w:rPr>
          <w:sz w:val="24"/>
        </w:rPr>
        <w:t xml:space="preserve"> Karman identifies three roles played by individuals in the Drama Triangle, the Victim, Persecutor and Rescuer. This further escalates when roles change within the triangle, such as my incident. The victim at the beginning of the incident was the mother of the suspect male who had been attack by her son, the persecutor. The police completed </w:t>
      </w:r>
      <w:r w:rsidRPr="00EA7908">
        <w:rPr>
          <w:sz w:val="24"/>
        </w:rPr>
        <w:lastRenderedPageBreak/>
        <w:t xml:space="preserve">the triangle be being the rescuer. The drama changes and the reality of who plays each role is dependent on your perspective and involvement. From the point of view of myself as the police, I saw myself as the rescuer, the suspect as the persecutor and his mother as the victim. However, from the suspects’ point of view he was the victim, the police were his persecutors and it could be argued that he looked to neighbouring members of the public to come to his rescue. However, Hicks and McCracken (2014) mention that a role does not necessarily have to be played by a person, it can be an organisation or a result of the victims personal circumstances. </w:t>
      </w:r>
    </w:p>
    <w:p w14:paraId="5A4A84FC" w14:textId="77777777" w:rsidR="00DC17D5" w:rsidRPr="00EA7908" w:rsidRDefault="00DC17D5" w:rsidP="00DC17D5">
      <w:pPr>
        <w:spacing w:line="360" w:lineRule="auto"/>
        <w:rPr>
          <w:sz w:val="24"/>
        </w:rPr>
      </w:pPr>
    </w:p>
    <w:p w14:paraId="77DCAEFB" w14:textId="77777777" w:rsidR="00DC17D5" w:rsidRPr="00EA7908" w:rsidRDefault="00DC17D5" w:rsidP="00DC17D5">
      <w:pPr>
        <w:spacing w:line="360" w:lineRule="auto"/>
        <w:rPr>
          <w:sz w:val="24"/>
        </w:rPr>
      </w:pPr>
      <w:r w:rsidRPr="00EA7908">
        <w:rPr>
          <w:sz w:val="24"/>
        </w:rPr>
        <w:t>In conclusion, my application of the fundamental communication skill required by a police officer were good during this incident. They allowed me to help to bring it to a safe and effective end whilst at all time remaining positive and professional. At all times I considered the impact of my actions and used the National Decision Making Model and the relevant force policies to deal with anything that came up. I feel that I also acted positively and professionally when the suspect started accusing myself and my colleagues of being racist. Overall, I feel proud with how I dealt with the situation and the outcome of it.</w:t>
      </w:r>
    </w:p>
    <w:p w14:paraId="3B3526AE" w14:textId="48802A56" w:rsidR="00025650" w:rsidRPr="00D10768" w:rsidRDefault="00DC17D5" w:rsidP="00D10768">
      <w:pPr>
        <w:ind w:right="107"/>
        <w:jc w:val="right"/>
        <w:rPr>
          <w:sz w:val="24"/>
          <w:szCs w:val="24"/>
        </w:rPr>
      </w:pPr>
      <w:r>
        <w:rPr>
          <w:sz w:val="24"/>
          <w:szCs w:val="24"/>
        </w:rPr>
        <w:t>(Word Count: 2300)</w:t>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3875AB24" w14:textId="77777777" w:rsidR="001A693F" w:rsidRDefault="001A693F" w:rsidP="001A693F">
      <w:pPr>
        <w:spacing w:line="360" w:lineRule="auto"/>
        <w:rPr>
          <w:sz w:val="24"/>
        </w:rPr>
      </w:pPr>
      <w:r>
        <w:rPr>
          <w:sz w:val="24"/>
        </w:rPr>
        <w:t xml:space="preserve">In this narrative I will discuss and reflect on a policing incident where I played a significant role with a victim of crime. The incident I will use is one of which I was the Officer in Case (OIC). I received a called via my personal radio to attend an address due to a female receiving harassing messages from her ex-husband. My tutor and I attended at the address, I spoke to the aggrieved female and listened none judgementally to her. She informed me that her and her husband had split approximately 5 weeks ago as a result of his ongoing cocaine addiction. The victim lived in a very nice area of Cardiff, an area we are normally called for burglaries and not very often domestic related incidents. The female was very concerned at the behaviour of her estranged husband and made it very clear that she wanted contact from him to stop. She showed me her phone and I looked through a few of the messages that she had received just on that day, there were approximately 200 text messages and more that 50 voice recordings. </w:t>
      </w:r>
      <w:proofErr w:type="spellStart"/>
      <w:r>
        <w:rPr>
          <w:sz w:val="24"/>
        </w:rPr>
        <w:t>Hensing</w:t>
      </w:r>
      <w:proofErr w:type="spellEnd"/>
      <w:r>
        <w:rPr>
          <w:sz w:val="24"/>
        </w:rPr>
        <w:t xml:space="preserve"> and Alexanderson (2000) discovered that a lot of research into the health consequences of adult exposure to harassment, domestic and sexual abuse has failed to be researched on a large scale in the general population. Interestingly, a study on the association between violence and sexual abuse and ill health between men and women by Linton (1997) revealed that women suffered worse the majority of the time. With that in mind, it is important that police go into situations with an open mind and follow the ABC model. ABC stands for Accept nothing, </w:t>
      </w:r>
      <w:proofErr w:type="gramStart"/>
      <w:r>
        <w:rPr>
          <w:sz w:val="24"/>
        </w:rPr>
        <w:t>Believe</w:t>
      </w:r>
      <w:proofErr w:type="gramEnd"/>
      <w:r>
        <w:rPr>
          <w:sz w:val="24"/>
        </w:rPr>
        <w:t xml:space="preserve"> nothing and Challenge everything. This can be difficult to follow as sometimes working out what has happened can be very simple, much like this case. </w:t>
      </w:r>
    </w:p>
    <w:p w14:paraId="15335202" w14:textId="77777777" w:rsidR="001A693F" w:rsidRDefault="001A693F" w:rsidP="001A693F">
      <w:pPr>
        <w:spacing w:line="360" w:lineRule="auto"/>
        <w:rPr>
          <w:sz w:val="24"/>
        </w:rPr>
      </w:pPr>
      <w:r>
        <w:rPr>
          <w:sz w:val="24"/>
        </w:rPr>
        <w:t xml:space="preserve">As I sat and listened to the victim I had to consider what offences had been committed and what evidence I could collect. Further to this, I had to think about the threat, risk and harm at that moment. The victim informed me that after she and her husband separated he had moved back to his parents’ house in Swansea. This altered my risk assessment as the suspect was on the other side of the force area. However, this changed quickly when he started making threats to take his own life. As a result of this I sent his address to the Public Service Centre (PSC), they then sent officers to his house to conduct a welfare check and arrest enquiries. </w:t>
      </w:r>
    </w:p>
    <w:p w14:paraId="6CDDC69A" w14:textId="77777777" w:rsidR="001A693F" w:rsidRDefault="001A693F" w:rsidP="001A693F">
      <w:pPr>
        <w:spacing w:line="360" w:lineRule="auto"/>
        <w:rPr>
          <w:sz w:val="24"/>
        </w:rPr>
      </w:pPr>
      <w:r>
        <w:rPr>
          <w:sz w:val="24"/>
        </w:rPr>
        <w:lastRenderedPageBreak/>
        <w:t>The more the victim spoke about what had happened it became clear that it was not only harassment that the suspect had committed but also the relatively new offence of Coercive and Controlling Behaviour. This offence was introduced in 2015 under the Serious Crime Act and makes it a separate offence to engage in repeated behaviour which causes the victim to fear that violence will be used against them, or causes the victim alarm or distress which has an effect on their daily activities. (CPS.gov.uk, 2019). The victim told me that over the previous 6-7 years she had been subjected to constant abuse which had clearly caused her to be extremely alarmed and distressed. I took a long and detailed statement from her starting from the beginning of their relationship and how it developed into jealousy and bitterness from the suspect. She then went into detail about the messages and voice recordings that she had been receiving over the previous weeks, from what she told me there was also an element of malicious communications as well. It took approximately 3 hours to complete the victims’ statement which was quite stressful for her to relive the years of torment that she had been subjected to. After taking the statement I explained the process of what happens next with the investigation. Due to the nature of the offence and how much it had clearly affected the victim, I explained the Victim Personal Statement to her. A Victim Personal Statement is taken in addition to a statement of fact and gives the victim a chance to either read it out themselves or have it read for them in court. The additional statement allows victims the opportunity to provide detail or their physical, financial and emotional consequences and needs resulting from an incident (</w:t>
      </w:r>
      <w:proofErr w:type="spellStart"/>
      <w:r w:rsidRPr="00515CD5">
        <w:rPr>
          <w:rFonts w:cstheme="minorHAnsi"/>
          <w:sz w:val="24"/>
          <w:szCs w:val="24"/>
        </w:rPr>
        <w:t>Mastrocinque</w:t>
      </w:r>
      <w:proofErr w:type="spellEnd"/>
      <w:r>
        <w:rPr>
          <w:rFonts w:cstheme="minorHAnsi"/>
          <w:sz w:val="24"/>
          <w:szCs w:val="24"/>
        </w:rPr>
        <w:t xml:space="preserve">, 2014). </w:t>
      </w:r>
      <w:r>
        <w:rPr>
          <w:sz w:val="24"/>
        </w:rPr>
        <w:t xml:space="preserve">This can be a very powerful tool which gives the courts an indication on just how much an incident has effected a victim or business. As I was taking the statement from the victim, my colleague went recorded the voice recordings from the victims phone using his body worn video. He also downloaded the conversation from the phone on to his laptop so we had a copy of all of the messages without seizing the phone and leaving the victim without a way of calling for help should she need it. </w:t>
      </w:r>
    </w:p>
    <w:p w14:paraId="131904C6" w14:textId="77777777" w:rsidR="001A693F" w:rsidRDefault="001A693F" w:rsidP="001A693F">
      <w:pPr>
        <w:spacing w:line="360" w:lineRule="auto"/>
        <w:rPr>
          <w:sz w:val="24"/>
        </w:rPr>
      </w:pPr>
    </w:p>
    <w:p w14:paraId="41D8D91A" w14:textId="77777777" w:rsidR="001A693F" w:rsidRDefault="001A693F" w:rsidP="001A693F">
      <w:pPr>
        <w:spacing w:line="360" w:lineRule="auto"/>
        <w:rPr>
          <w:sz w:val="24"/>
        </w:rPr>
      </w:pPr>
      <w:r>
        <w:rPr>
          <w:sz w:val="24"/>
        </w:rPr>
        <w:t xml:space="preserve">Throughout the process the victim constantly was asking me if she was doing the right thing by providing a statement against her husband. I told her that I had to remain impartial in the investigation and that I had explained that he had committed offences, however with us be victim led it was her decision. When dealing with these situations it is important to remember some of the policing principles of Honesty, Integrity, Objectivity and Openness. </w:t>
      </w:r>
    </w:p>
    <w:p w14:paraId="370D84A0" w14:textId="77777777" w:rsidR="001A693F" w:rsidRDefault="001A693F" w:rsidP="001A693F">
      <w:pPr>
        <w:spacing w:line="360" w:lineRule="auto"/>
        <w:rPr>
          <w:sz w:val="24"/>
        </w:rPr>
      </w:pPr>
    </w:p>
    <w:p w14:paraId="1CA5C139" w14:textId="77777777" w:rsidR="001A693F" w:rsidRDefault="001A693F" w:rsidP="001A693F">
      <w:pPr>
        <w:spacing w:line="360" w:lineRule="auto"/>
        <w:rPr>
          <w:sz w:val="24"/>
        </w:rPr>
      </w:pPr>
      <w:r>
        <w:rPr>
          <w:sz w:val="24"/>
        </w:rPr>
        <w:lastRenderedPageBreak/>
        <w:t>After the statement had been taken, the recordings and messages had been downloaded we left the address after being there for around 4 hours. We then went back to the station and uploaded everything had and produced the evidence in our statements. The suspect was arrested the following day by the time we came back on duty for a night shift at 22:00 hours. With the evidence we had we went to the Crown Prosecution Service (CPS) for a charging decision. This was a long process with a lot of evidence to read through and narrow down into a single report to send for a prosecutor to also read through and make a decision on if there was enough to charge the suspect with harassment. We had to work quickly as there was only a short amount of time left on the suspects’ detention clock before we had to either charge, release under investigation or no further action him. This created a high pressure environment within the station as it was the first case that I had sent to the CPS for advisement. Due to it being the early hours of the morning and only having a few hours left, the completed file had to be sent via the out of hours urgent process. Once the file was submitted it was a case of sitting and waiting for an email to come back with decision. Whilst I was waiting for a decision to be sent back I completed a Public Protection Notification, this is a form that can be shared between partner agencies who can help to support victims of crime and vulnerable people. I completed this as I felt that there was some additional assistance that the victim need considering she had young children as well. I explained all of this to her before leaving and she consented to the form being shared.</w:t>
      </w:r>
    </w:p>
    <w:p w14:paraId="1DF26C0B" w14:textId="77777777" w:rsidR="001A693F" w:rsidRDefault="001A693F" w:rsidP="001A693F">
      <w:pPr>
        <w:spacing w:line="360" w:lineRule="auto"/>
        <w:rPr>
          <w:sz w:val="24"/>
        </w:rPr>
      </w:pPr>
    </w:p>
    <w:p w14:paraId="7827AEA5" w14:textId="77777777" w:rsidR="001A693F" w:rsidRDefault="001A693F" w:rsidP="001A693F">
      <w:pPr>
        <w:spacing w:line="360" w:lineRule="auto"/>
        <w:rPr>
          <w:sz w:val="24"/>
        </w:rPr>
      </w:pPr>
      <w:r>
        <w:rPr>
          <w:sz w:val="24"/>
        </w:rPr>
        <w:t xml:space="preserve">A decision was sent with just 90 minutes remaining on the custody clock. ‘Charge with Section 2: Harassment Without Violence.’ A huge sense of relief followed, mostly for the victim as it meant that she would be able to start and move on with her life without the constant messages and controlling behaviour she had been subjected to for such a long period of time. As part of the report to the Crown Prosecutor I applied to remand the suspect in custody to protect the victim from being sent any further messages which could potentially intimidate her. The charging decision was made by a Senior Crown Prosecutor who stated that they supported the remand application due to the nature of the offence and the volume of messages and recording that the suspect had been sending to the victim. As a result of this I completed the necessary forms and spoke to the Custody Sergeant on the phone who agreed to remand him in custody to appear before the next available court. </w:t>
      </w:r>
    </w:p>
    <w:p w14:paraId="2563E92D" w14:textId="77777777" w:rsidR="001A693F" w:rsidRDefault="001A693F" w:rsidP="001A693F">
      <w:pPr>
        <w:spacing w:line="360" w:lineRule="auto"/>
        <w:rPr>
          <w:sz w:val="24"/>
        </w:rPr>
      </w:pPr>
    </w:p>
    <w:p w14:paraId="04F5394B" w14:textId="77777777" w:rsidR="001A693F" w:rsidRDefault="001A693F" w:rsidP="001A693F">
      <w:pPr>
        <w:spacing w:line="360" w:lineRule="auto"/>
        <w:rPr>
          <w:sz w:val="24"/>
        </w:rPr>
      </w:pPr>
      <w:r>
        <w:rPr>
          <w:sz w:val="24"/>
        </w:rPr>
        <w:lastRenderedPageBreak/>
        <w:t>After receiving a further email from CPS with the record of the court hearing I was sent an urgent action to obtain a victim personal statement before sentencing. This gave me the opportunity to visit the victim again and give her a good update in person on what had happened and to answer any questions that she had. I phoned the victim to arrange a suitable time for me to attend her address again. On attendance she showed me a word document that she had written which contained 2-3 pages of information that she wanted to get off her chest. I explained that a lot of it could be put into her VPS but would need to be re-worded as it could not include her opinion on sentencing and needed to be based on how the harassment had affected her life. The statement was finished and I sent it off to the CPS within the deadline required for it to be read out at the sentencing hearing.</w:t>
      </w:r>
    </w:p>
    <w:p w14:paraId="4EA3B2D5" w14:textId="77777777" w:rsidR="001A693F" w:rsidRDefault="001A693F" w:rsidP="001A693F">
      <w:pPr>
        <w:spacing w:line="360" w:lineRule="auto"/>
        <w:rPr>
          <w:sz w:val="24"/>
        </w:rPr>
      </w:pPr>
    </w:p>
    <w:p w14:paraId="7910853E" w14:textId="77777777" w:rsidR="001A693F" w:rsidRDefault="001A693F" w:rsidP="001A693F">
      <w:pPr>
        <w:spacing w:line="360" w:lineRule="auto"/>
        <w:rPr>
          <w:sz w:val="24"/>
        </w:rPr>
      </w:pPr>
      <w:r>
        <w:rPr>
          <w:sz w:val="24"/>
        </w:rPr>
        <w:t xml:space="preserve">On reflection this was a difficult incident that I played a key part in. The suspect lived in another divisional area within the force so I had to liaise with a lot of different officers. I also had to communicate with various custody sergeants, the CPS, my tutor, the victim and her friends that were present during the initial attendance. There were several exhibits that needed to be produced and most of them were on the victims mobile phone, due to us not wanting to seize the phone which would have left her without a way of contacting emergency services should she need them. We had to download the conversation and convert it into word document so it could be read. I also used my body worn video camera to record the audio messages that had been sent to the victim. This showed my use of technology in modern policing, in the not so recent past the victims’ phone would have had to be seized and examined in order to gather the evidence that was required from it. I believe that I was professional and positive throughout any contact with the victim and I explained the process well. The statement that was taken had a lot of detail in it and the layout was also good which would have made it easier for the prosecutor to read through and identify the key parts quickly. I built a good rapport with the victim who initially was reluctant to provide a statement and go to court, however after speaking with her and finding out her actual thoughts on the situation she agreed to provide one. On the second visit to the victim I maintained my professional attitude and asked how she had been since her husband was arrested and charged with harassment. The second visit was much better as I had already built up a good rapport with her a few weeks previously when I initially attended. As a result of this, I was able to get a really good Victim Personal Statement from her as she felt comfortable telling me just how much of an impact the entire situation had on </w:t>
      </w:r>
      <w:r>
        <w:rPr>
          <w:sz w:val="24"/>
        </w:rPr>
        <w:lastRenderedPageBreak/>
        <w:t xml:space="preserve">her life. The victim also told me that she had been contacted by </w:t>
      </w:r>
      <w:proofErr w:type="spellStart"/>
      <w:r>
        <w:rPr>
          <w:sz w:val="24"/>
        </w:rPr>
        <w:t>Womens</w:t>
      </w:r>
      <w:proofErr w:type="spellEnd"/>
      <w:r>
        <w:rPr>
          <w:sz w:val="24"/>
        </w:rPr>
        <w:t xml:space="preserve"> Aid and other organisations and that she was receiving support from several places.</w:t>
      </w:r>
    </w:p>
    <w:p w14:paraId="09D4A2FF" w14:textId="77777777" w:rsidR="001A693F" w:rsidRDefault="001A693F" w:rsidP="001A693F">
      <w:pPr>
        <w:spacing w:line="360" w:lineRule="auto"/>
        <w:rPr>
          <w:sz w:val="24"/>
        </w:rPr>
      </w:pPr>
    </w:p>
    <w:p w14:paraId="3D7DD3B3" w14:textId="77777777" w:rsidR="001A693F" w:rsidRDefault="001A693F" w:rsidP="001A693F">
      <w:pPr>
        <w:spacing w:line="360" w:lineRule="auto"/>
        <w:rPr>
          <w:sz w:val="24"/>
        </w:rPr>
      </w:pPr>
      <w:r>
        <w:rPr>
          <w:sz w:val="24"/>
        </w:rPr>
        <w:t xml:space="preserve">A week after the VPS was taken I was asked by my housemate if I knew a female who worked at a school and whose husband had just been charged with harassing her. I ask why and my housemate said that she worked at the same school as her and then she started to ask if I was involved with it at all. Obviously due to confidentiality I could not say anything about it so I said that I knew nothing about it. This was the first time that work had crossed over with my personal life. I feel that I handled the situation well and kept in line with the policing principles of integrity, and confidentiality. </w:t>
      </w:r>
    </w:p>
    <w:p w14:paraId="1F2F434F" w14:textId="77777777" w:rsidR="001A693F" w:rsidRDefault="001A693F" w:rsidP="001A693F">
      <w:pPr>
        <w:spacing w:line="360" w:lineRule="auto"/>
        <w:rPr>
          <w:sz w:val="24"/>
        </w:rPr>
      </w:pPr>
    </w:p>
    <w:p w14:paraId="7335F9E6" w14:textId="77777777" w:rsidR="001A693F" w:rsidRDefault="001A693F" w:rsidP="001A693F">
      <w:pPr>
        <w:spacing w:line="360" w:lineRule="auto"/>
        <w:rPr>
          <w:sz w:val="24"/>
        </w:rPr>
      </w:pPr>
      <w:r>
        <w:rPr>
          <w:sz w:val="24"/>
        </w:rPr>
        <w:t xml:space="preserve">Another difficult part of this incident was having to learn how to go to the CPS for a charging decision with such a short amount of time to get everything done. Also with it being during the early hours of the morning this made it even more difficult as tiredness was starting to set in towards the end of the shift making it harder to concentrate. Further to this, with there being a new version of our record management system Niche, it was challenging to find all the forms that needed to be filled out and attached to the case file as my tutor was still using the old version. This has been the case for a lot of incidents and has caused a few issues with not knowing where to find things and having to spend a lot of time trying to find out where things were on my own. With time not being on our side for this incident, this added more stress on to the situation. However, once the files were completed, sent to the CPS and a decision was returned, there was a huge sigh of relief. I knew that I had learnt a lot from this incident and the team Sergeant said that I had worked really hard on it and done well with the case in its entirety. </w:t>
      </w:r>
    </w:p>
    <w:p w14:paraId="78C0E257" w14:textId="77777777" w:rsidR="001A693F" w:rsidRDefault="001A693F" w:rsidP="001A693F">
      <w:pPr>
        <w:spacing w:line="360" w:lineRule="auto"/>
        <w:rPr>
          <w:sz w:val="24"/>
        </w:rPr>
      </w:pPr>
    </w:p>
    <w:p w14:paraId="1AB81221" w14:textId="77777777" w:rsidR="001A693F" w:rsidRDefault="001A693F" w:rsidP="001A693F">
      <w:pPr>
        <w:spacing w:line="360" w:lineRule="auto"/>
        <w:rPr>
          <w:sz w:val="24"/>
        </w:rPr>
      </w:pPr>
      <w:r>
        <w:rPr>
          <w:sz w:val="24"/>
        </w:rPr>
        <w:t>This incident required the consideration and use of several of the key Policing Principles and Standards of Behaviour set out by the College of Policing. I had to use Honesty and Integrity, Respect and Confidentiality the most throughout the incident which I believe I did well. I also believe that I am in a better position now to deal with similar cases in the future and with other cases that require going to the CPS for advice.</w:t>
      </w:r>
    </w:p>
    <w:p w14:paraId="416EFA95" w14:textId="778E9B74" w:rsidR="00025650" w:rsidRPr="00D10768" w:rsidRDefault="001A693F" w:rsidP="001A693F">
      <w:pPr>
        <w:ind w:right="107"/>
        <w:jc w:val="right"/>
        <w:rPr>
          <w:rFonts w:asciiTheme="minorHAnsi" w:hAnsiTheme="minorHAnsi" w:cstheme="minorHAnsi"/>
          <w:sz w:val="24"/>
          <w:szCs w:val="24"/>
        </w:rPr>
      </w:pPr>
      <w:r>
        <w:rPr>
          <w:rFonts w:asciiTheme="minorHAnsi" w:hAnsiTheme="minorHAnsi" w:cstheme="minorHAnsi"/>
          <w:sz w:val="24"/>
          <w:szCs w:val="24"/>
        </w:rPr>
        <w:t>(Word Count: 2352)</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00FE9E78" w14:textId="77777777" w:rsidR="00EA7908" w:rsidRDefault="00EA7908" w:rsidP="00EA7908">
      <w:pPr>
        <w:ind w:right="107"/>
        <w:rPr>
          <w:sz w:val="24"/>
          <w:szCs w:val="24"/>
        </w:rPr>
      </w:pPr>
    </w:p>
    <w:p w14:paraId="11B1AAFD" w14:textId="74ABE1B4" w:rsidR="006C7CA5" w:rsidRPr="00EA7908" w:rsidRDefault="28A9B94D" w:rsidP="00EA7908">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8E7ACEE" w14:textId="77777777" w:rsidR="00D64033" w:rsidRDefault="00D64033" w:rsidP="00D64033">
      <w:pPr>
        <w:spacing w:line="360" w:lineRule="auto"/>
        <w:rPr>
          <w:sz w:val="24"/>
        </w:rPr>
      </w:pPr>
      <w:r>
        <w:rPr>
          <w:sz w:val="24"/>
        </w:rPr>
        <w:t>The incident I will reflect on will be a Racially Aggravated Assault. This case I was the designated Officer in Case (OIC). This case involved several difficult decisions that needed to be made due to there being two reports. There was also the added difficulty of needing an interpreter to take a statement from the victim. This meant that there were further cultural barriers that needed to be considered as well.</w:t>
      </w:r>
    </w:p>
    <w:p w14:paraId="1AE20626" w14:textId="77777777" w:rsidR="00D64033" w:rsidRDefault="00D64033" w:rsidP="00D64033">
      <w:pPr>
        <w:spacing w:line="360" w:lineRule="auto"/>
        <w:rPr>
          <w:sz w:val="24"/>
        </w:rPr>
      </w:pPr>
      <w:r>
        <w:rPr>
          <w:sz w:val="24"/>
        </w:rPr>
        <w:t xml:space="preserve"> </w:t>
      </w:r>
    </w:p>
    <w:p w14:paraId="6C12918E" w14:textId="77777777" w:rsidR="00D64033" w:rsidRDefault="00D64033" w:rsidP="00D64033">
      <w:pPr>
        <w:spacing w:line="360" w:lineRule="auto"/>
        <w:rPr>
          <w:sz w:val="24"/>
        </w:rPr>
      </w:pPr>
      <w:r>
        <w:rPr>
          <w:sz w:val="24"/>
        </w:rPr>
        <w:t xml:space="preserve">I received a request from the Public Service Centre (PSC) to attend the address of the reporting person after a taxi driver was assaulted and the perpetrator had then left the scene. I attended the address with my colleague and we spoke to a female who state she was in the rear of the taxi as a customer at the time of the assault. She claimed that there was a disagreement between the taxi driver and the driver of another vehicle over who had right of way on a narrow stretch of road. She stated that the driver of the other vehicle got out of the car and started to be verbally abusive towards the taxi driver with most of the abuse being based around him being foreign. The witness then stated that the driver </w:t>
      </w:r>
      <w:r>
        <w:rPr>
          <w:sz w:val="24"/>
        </w:rPr>
        <w:lastRenderedPageBreak/>
        <w:t xml:space="preserve">started to take photographs of the taxi and so the taxi driver exited his vehicle and started to do the same. At this point the witness stated that the male approached the taxi driver and tried to take his phone off of him, he then grabbed the taxi driver by the throat and pinned him up against the vehicle, punched him in the face before throwing him to the floor and out of her sight. The victim and suspect then reappeared from behind the parked cars and the victim had cuts and swelling to his lips which were bleeding heavily. The witness frequently claimed that the suspect driver appeared to constantly made reference to the driver being foreign and stated that she was taken by surprise when the suspect launched a vicious and unprovoked attack. </w:t>
      </w:r>
    </w:p>
    <w:p w14:paraId="1F66E5CE" w14:textId="77777777" w:rsidR="00D64033" w:rsidRDefault="00D64033" w:rsidP="00D64033">
      <w:pPr>
        <w:spacing w:line="360" w:lineRule="auto"/>
        <w:rPr>
          <w:sz w:val="24"/>
        </w:rPr>
      </w:pPr>
    </w:p>
    <w:p w14:paraId="498AD4FF" w14:textId="77777777" w:rsidR="00D64033" w:rsidRDefault="00D64033" w:rsidP="00D64033">
      <w:pPr>
        <w:spacing w:line="360" w:lineRule="auto"/>
        <w:rPr>
          <w:sz w:val="24"/>
        </w:rPr>
      </w:pPr>
      <w:r>
        <w:rPr>
          <w:sz w:val="24"/>
        </w:rPr>
        <w:t xml:space="preserve">As my colleague was taking the statement from the witness I received a call on my personal radio from the PSC stating that we had received another report of this incident. There was now a counter allegation from the partner of the suspect driver who was in the car at the time of the incident. She had claimed that her partner had been pushed by the taxi driver following what she described as a minor altercation. I made contact with the taxi company the driver worked for to find out if their vehicles have CCTV, which they informed me that they do and they told me what I needed to do in order to access it. I spoke to my Sergeant who said that as we had an independent witness we would not make contact with the reporting person for the counter claim as this appeared to be false. With their being two allegations I had to make a decision on the validity of the second allegation. </w:t>
      </w:r>
    </w:p>
    <w:p w14:paraId="6E1A0736" w14:textId="77777777" w:rsidR="00D64033" w:rsidRDefault="00D64033" w:rsidP="00D64033">
      <w:pPr>
        <w:spacing w:line="360" w:lineRule="auto"/>
        <w:rPr>
          <w:sz w:val="24"/>
        </w:rPr>
      </w:pPr>
    </w:p>
    <w:p w14:paraId="779394E1" w14:textId="77777777" w:rsidR="00D64033" w:rsidRDefault="00D64033" w:rsidP="00D64033">
      <w:pPr>
        <w:spacing w:line="360" w:lineRule="auto"/>
        <w:rPr>
          <w:sz w:val="24"/>
        </w:rPr>
      </w:pPr>
      <w:r>
        <w:rPr>
          <w:sz w:val="24"/>
        </w:rPr>
        <w:t>The statement that was taken from the injured party was also challenging as he was an Eritrean National whose first language was not English. I had to therefore arrange for a translator to attend the police station as well so that they could facilitated communication. The translator also had to give a statement. This was the first time that I had to take a statement through a 3</w:t>
      </w:r>
      <w:r w:rsidRPr="00671B81">
        <w:rPr>
          <w:sz w:val="24"/>
          <w:vertAlign w:val="superscript"/>
        </w:rPr>
        <w:t>rd</w:t>
      </w:r>
      <w:r>
        <w:rPr>
          <w:sz w:val="24"/>
        </w:rPr>
        <w:t xml:space="preserve"> party and so there were several things that needed to be considered. The main concern was what the perception of the police is from both the injured party and the translator as this could have had a direct impact on the amount of detail that I was able to gain which could have affected the case altogether. </w:t>
      </w:r>
    </w:p>
    <w:p w14:paraId="73C37C16" w14:textId="77777777" w:rsidR="00D64033" w:rsidRDefault="00D64033" w:rsidP="00D64033">
      <w:pPr>
        <w:spacing w:line="360" w:lineRule="auto"/>
        <w:rPr>
          <w:sz w:val="24"/>
        </w:rPr>
      </w:pPr>
    </w:p>
    <w:p w14:paraId="2D7C5E0A" w14:textId="77777777" w:rsidR="00D64033" w:rsidRDefault="00D64033" w:rsidP="00D64033">
      <w:pPr>
        <w:spacing w:line="360" w:lineRule="auto"/>
        <w:rPr>
          <w:sz w:val="24"/>
        </w:rPr>
      </w:pPr>
      <w:r>
        <w:rPr>
          <w:sz w:val="24"/>
        </w:rPr>
        <w:t xml:space="preserve">As previously mentioned in Task 1 the College of Policing (2013) adopted the National Decision-making Model (NDM) as a way for police officers of all ranks to help make and </w:t>
      </w:r>
      <w:r>
        <w:rPr>
          <w:sz w:val="24"/>
        </w:rPr>
        <w:lastRenderedPageBreak/>
        <w:t>justify their decisions. The model evolves around the Code of Ethics ensuring that they stay at the heart of all police decisions, the model then splits into 5 sections;</w:t>
      </w:r>
    </w:p>
    <w:p w14:paraId="17307DD4" w14:textId="77777777" w:rsidR="00D64033" w:rsidRDefault="00D64033" w:rsidP="00D64033">
      <w:pPr>
        <w:pStyle w:val="ListParagraph"/>
        <w:numPr>
          <w:ilvl w:val="0"/>
          <w:numId w:val="50"/>
        </w:numPr>
        <w:spacing w:line="360" w:lineRule="auto"/>
        <w:rPr>
          <w:sz w:val="24"/>
        </w:rPr>
      </w:pPr>
      <w:r>
        <w:rPr>
          <w:sz w:val="24"/>
        </w:rPr>
        <w:t xml:space="preserve">Gather Information and Intelligence </w:t>
      </w:r>
    </w:p>
    <w:p w14:paraId="3A57D97A" w14:textId="77777777" w:rsidR="00D64033" w:rsidRDefault="00D64033" w:rsidP="00D64033">
      <w:pPr>
        <w:pStyle w:val="ListParagraph"/>
        <w:numPr>
          <w:ilvl w:val="0"/>
          <w:numId w:val="50"/>
        </w:numPr>
        <w:spacing w:line="360" w:lineRule="auto"/>
        <w:rPr>
          <w:sz w:val="24"/>
        </w:rPr>
      </w:pPr>
      <w:r>
        <w:rPr>
          <w:sz w:val="24"/>
        </w:rPr>
        <w:t xml:space="preserve">Assess Risk and Develop a Working Strategy </w:t>
      </w:r>
    </w:p>
    <w:p w14:paraId="573EDE48" w14:textId="77777777" w:rsidR="00D64033" w:rsidRDefault="00D64033" w:rsidP="00D64033">
      <w:pPr>
        <w:pStyle w:val="ListParagraph"/>
        <w:numPr>
          <w:ilvl w:val="0"/>
          <w:numId w:val="50"/>
        </w:numPr>
        <w:spacing w:line="360" w:lineRule="auto"/>
        <w:rPr>
          <w:sz w:val="24"/>
        </w:rPr>
      </w:pPr>
      <w:r>
        <w:rPr>
          <w:sz w:val="24"/>
        </w:rPr>
        <w:t>Consider Powers and Policy</w:t>
      </w:r>
    </w:p>
    <w:p w14:paraId="21E25C81" w14:textId="77777777" w:rsidR="00D64033" w:rsidRDefault="00D64033" w:rsidP="00D64033">
      <w:pPr>
        <w:pStyle w:val="ListParagraph"/>
        <w:numPr>
          <w:ilvl w:val="0"/>
          <w:numId w:val="50"/>
        </w:numPr>
        <w:spacing w:line="360" w:lineRule="auto"/>
        <w:rPr>
          <w:sz w:val="24"/>
        </w:rPr>
      </w:pPr>
      <w:r>
        <w:rPr>
          <w:sz w:val="24"/>
        </w:rPr>
        <w:t xml:space="preserve">Consider Options and Contingencies </w:t>
      </w:r>
    </w:p>
    <w:p w14:paraId="04038D5E" w14:textId="77777777" w:rsidR="00D64033" w:rsidRDefault="00D64033" w:rsidP="00D64033">
      <w:pPr>
        <w:pStyle w:val="ListParagraph"/>
        <w:numPr>
          <w:ilvl w:val="0"/>
          <w:numId w:val="50"/>
        </w:numPr>
        <w:spacing w:line="360" w:lineRule="auto"/>
        <w:rPr>
          <w:sz w:val="24"/>
        </w:rPr>
      </w:pPr>
      <w:r>
        <w:rPr>
          <w:sz w:val="24"/>
        </w:rPr>
        <w:t>Take Action and Review what happened</w:t>
      </w:r>
    </w:p>
    <w:p w14:paraId="17531416" w14:textId="77777777" w:rsidR="00D64033" w:rsidRDefault="00D64033" w:rsidP="00D64033">
      <w:pPr>
        <w:spacing w:line="360" w:lineRule="auto"/>
        <w:jc w:val="right"/>
        <w:rPr>
          <w:sz w:val="24"/>
        </w:rPr>
      </w:pPr>
      <w:r>
        <w:rPr>
          <w:sz w:val="24"/>
        </w:rPr>
        <w:t>(College of Policing, 2013)</w:t>
      </w:r>
    </w:p>
    <w:p w14:paraId="693647A9" w14:textId="77777777" w:rsidR="00D64033" w:rsidRDefault="00D64033" w:rsidP="00D64033">
      <w:pPr>
        <w:spacing w:line="360" w:lineRule="auto"/>
        <w:rPr>
          <w:sz w:val="24"/>
        </w:rPr>
      </w:pPr>
    </w:p>
    <w:p w14:paraId="62681D06" w14:textId="77777777" w:rsidR="00D64033" w:rsidRPr="00F64E28" w:rsidRDefault="00D64033" w:rsidP="00D64033">
      <w:pPr>
        <w:spacing w:line="360" w:lineRule="auto"/>
        <w:rPr>
          <w:sz w:val="24"/>
        </w:rPr>
      </w:pPr>
    </w:p>
    <w:p w14:paraId="4F2E47F8" w14:textId="77777777" w:rsidR="00D64033" w:rsidRDefault="00D64033" w:rsidP="00D64033">
      <w:pPr>
        <w:spacing w:line="360" w:lineRule="auto"/>
        <w:rPr>
          <w:sz w:val="24"/>
        </w:rPr>
      </w:pPr>
      <w:r>
        <w:rPr>
          <w:sz w:val="24"/>
        </w:rPr>
        <w:t xml:space="preserve">Under the first section of gathering information and intelligence I had a lot of information that was given to me in the first hour of attending the call due to their being two complaints. The first key decision was what to do regarding the second allegation. I had to continue to gather information by speaking to my sergeant before deciding on what to do. After assessing the risk that was posed to members of the public the decision was made that I would attempt to get the suspect to attend voluntarily to be interviewed regarding the incident, with the contingency being that he would be arrested for the offence. After listening to the victim and witness give their statements and viewing the CCTV footage from the taxi, it became apparent that the counter allegation which was made by the offender’s partner was likely to be false or not entirely truthful. I therefore used my discretion and decided not to make initial contact regarding the second allegation. I instead called the suspect and invited him to attend for a voluntary interview. The suspect claimed that he was in fact the victim of the assault and claimed that he had done nothing wrong. He asked what evidence I had and what I had done in relation to the allegations. Obviously, I could not tell him anything as it would compromise the integrity of the investigation and breach the Police and Criminal Evidence Act 1984. The suspect said that in order for him to attend he would need a copy of all statements and any other evidence so that he could formulate his defence. I explained how the process worked and that I would not be sending him anything however if he chose to have a solicitor present then I would disclose the statement to them before the interview. </w:t>
      </w:r>
    </w:p>
    <w:p w14:paraId="3D8BD84D" w14:textId="77777777" w:rsidR="00D64033" w:rsidRDefault="00D64033" w:rsidP="00D64033">
      <w:pPr>
        <w:spacing w:line="360" w:lineRule="auto"/>
        <w:rPr>
          <w:sz w:val="24"/>
        </w:rPr>
      </w:pPr>
      <w:r>
        <w:rPr>
          <w:sz w:val="24"/>
        </w:rPr>
        <w:t xml:space="preserve">I had to consider what I would disclose to a solicitor should he choose to have one. I decided that I would disclose everything that I had to a solicitor as this would enable them to better advise their client. This use of discretion is crucial to both this investigation and it </w:t>
      </w:r>
      <w:r>
        <w:rPr>
          <w:sz w:val="24"/>
        </w:rPr>
        <w:lastRenderedPageBreak/>
        <w:t xml:space="preserve">would help in further investigations as well as I would start to build a rapport with solicitors. Discretion is an important part of policing and is used every day. Officers have to consider the wider impact of the action that is to be taken at each incident. Officers have the power to use their discretion when they see fit, however their actions must be justified and not place anyone in danger. Discretion is described by </w:t>
      </w:r>
      <w:proofErr w:type="spellStart"/>
      <w:r>
        <w:rPr>
          <w:sz w:val="24"/>
        </w:rPr>
        <w:t>Boivin</w:t>
      </w:r>
      <w:proofErr w:type="spellEnd"/>
      <w:r>
        <w:rPr>
          <w:sz w:val="24"/>
        </w:rPr>
        <w:t xml:space="preserve"> and </w:t>
      </w:r>
      <w:proofErr w:type="spellStart"/>
      <w:r>
        <w:rPr>
          <w:sz w:val="24"/>
        </w:rPr>
        <w:t>Cordeau</w:t>
      </w:r>
      <w:proofErr w:type="spellEnd"/>
      <w:r>
        <w:rPr>
          <w:sz w:val="24"/>
        </w:rPr>
        <w:t xml:space="preserve"> (2011) as “the power of decision that police officers have as part of their job.” The use of discretion in policing can lead to building better relationships with members of the public. For example, if someone is pulled over for going slightly over the speed limit an officer is able to talk to the offender and educate them, they do not have to always issue a Traffic Offence Report. Little situations such as these allow police officers to deal with people and send them on their way with a positive perception of the police. This is supported by </w:t>
      </w:r>
      <w:proofErr w:type="spellStart"/>
      <w:r>
        <w:rPr>
          <w:sz w:val="24"/>
        </w:rPr>
        <w:t>Schulenberg</w:t>
      </w:r>
      <w:proofErr w:type="spellEnd"/>
      <w:r>
        <w:rPr>
          <w:sz w:val="24"/>
        </w:rPr>
        <w:t xml:space="preserve">, (2015) in that officers may use multiple tactics during encounters however most good policing comes from verbal skills rather than physical coercion. </w:t>
      </w:r>
    </w:p>
    <w:p w14:paraId="38F5C855" w14:textId="77777777" w:rsidR="00D64033" w:rsidRDefault="00D64033" w:rsidP="00D64033">
      <w:pPr>
        <w:spacing w:line="360" w:lineRule="auto"/>
        <w:rPr>
          <w:sz w:val="24"/>
        </w:rPr>
      </w:pPr>
    </w:p>
    <w:p w14:paraId="48132DDC" w14:textId="77777777" w:rsidR="00D64033" w:rsidRDefault="00D64033" w:rsidP="00D64033">
      <w:pPr>
        <w:spacing w:line="360" w:lineRule="auto"/>
        <w:rPr>
          <w:sz w:val="24"/>
        </w:rPr>
      </w:pPr>
    </w:p>
    <w:p w14:paraId="22D3279E" w14:textId="77777777" w:rsidR="00D64033" w:rsidRDefault="00D64033" w:rsidP="00D64033">
      <w:pPr>
        <w:spacing w:line="360" w:lineRule="auto"/>
        <w:rPr>
          <w:sz w:val="24"/>
        </w:rPr>
      </w:pPr>
      <w:r>
        <w:rPr>
          <w:sz w:val="24"/>
        </w:rPr>
        <w:t xml:space="preserve">The suspect refused to attend on a voluntary basis, this was unfortunate as it meant that he would now need to be arrested. I attended the address of his partner where I believed he was staying and he answered the door, I arrested him and gave him the required information. I was using my discretion to try and avoid arresting the male due to there being no apparent immediate threat, risk or harm to anyone. However I was unable to do this due to the suspect not being willing to cooperate with me. Working through the NDM again when planning my arrest I conducted checks on both the suspect and the address that the arrest enquiries were being carried at out. This was to gather information and intelligence so that I could conduct the enquiries safely and effectively. The assessment of threat and risk was completed and the suspect had warning markers for domestic abuse and being violent so that was considered. I also viewed the address on Google Maps to see the lay of the property and see if he could escape out of the rear of the property if he wanted to get away from us. I considered the powers I had to make the arrest including entry powers. The suspect had committed an assault so I had a power of arrest under section 24 of PACE, I also had a power of entry under section 17 of PACE in order to make the arrest and should the suspect become violent I had a power to use force in order to make the arrest un both section 3 of the Criminal Law Act and section 117 of PACE. The plan was for the suspect to be at the address and come with us peacefully however should that not have happened I </w:t>
      </w:r>
      <w:r>
        <w:rPr>
          <w:sz w:val="24"/>
        </w:rPr>
        <w:lastRenderedPageBreak/>
        <w:t>had a contingency of a method of entry trained officer present with me should we have need to force entry. The other officer also was in possession of Taser should the suspect become violent upon arrest. Finally, action was taken and the suspect answered the door and was arrest without incident. The suspect did however put his phone on record before placing it in his pocket, upon searching him before placing him in the back of the police van this was found and turned off. He also had in his possession a handcuff key which was attached to his house keys. This was seized from him to prevent his escape and for officer safety.</w:t>
      </w:r>
    </w:p>
    <w:p w14:paraId="19A391F2" w14:textId="77777777" w:rsidR="00D64033" w:rsidRDefault="00D64033" w:rsidP="00D64033">
      <w:pPr>
        <w:spacing w:line="360" w:lineRule="auto"/>
        <w:rPr>
          <w:sz w:val="24"/>
        </w:rPr>
      </w:pPr>
    </w:p>
    <w:p w14:paraId="3322B793" w14:textId="77777777" w:rsidR="00D64033" w:rsidRDefault="00D64033" w:rsidP="00D64033">
      <w:pPr>
        <w:spacing w:line="360" w:lineRule="auto"/>
        <w:rPr>
          <w:sz w:val="24"/>
        </w:rPr>
      </w:pPr>
      <w:r>
        <w:rPr>
          <w:sz w:val="24"/>
        </w:rPr>
        <w:t xml:space="preserve">The Criminal Procedures and Investigations Act 1996 states there are several things that I as an investigator or duty bound to do under section 23 of the Act containing the codes of practice. This first of which is to follow all reasonable lines of enquiry. The reasonable lines of enquiry that were followed in this investigation were statements taken for all involved parties, the reasonable lines that I followed were; statements taken from the injured party and independent witness, house to house enquiries in the street where the incident happened and the CCTV footage from the taxi was also seized. The codes of practice also require all information in relation to an investigation to be recorded and retained. All information that was gathered in relation to this incident was recorded onto our record management system and any visual evidence was uploaded to a secured website as per force policy. </w:t>
      </w:r>
    </w:p>
    <w:p w14:paraId="55E940E4" w14:textId="77777777" w:rsidR="00D64033" w:rsidRDefault="00D64033" w:rsidP="00D64033">
      <w:pPr>
        <w:spacing w:line="360" w:lineRule="auto"/>
        <w:rPr>
          <w:sz w:val="24"/>
        </w:rPr>
      </w:pPr>
    </w:p>
    <w:p w14:paraId="706B5766" w14:textId="77777777" w:rsidR="00D64033" w:rsidRDefault="00D64033" w:rsidP="00D64033">
      <w:pPr>
        <w:spacing w:line="360" w:lineRule="auto"/>
        <w:rPr>
          <w:sz w:val="24"/>
        </w:rPr>
      </w:pPr>
    </w:p>
    <w:p w14:paraId="6104C576" w14:textId="77777777" w:rsidR="00D64033" w:rsidRDefault="00D64033" w:rsidP="00D64033">
      <w:pPr>
        <w:spacing w:line="360" w:lineRule="auto"/>
        <w:rPr>
          <w:sz w:val="24"/>
        </w:rPr>
      </w:pPr>
      <w:r>
        <w:rPr>
          <w:sz w:val="24"/>
        </w:rPr>
        <w:t xml:space="preserve">Throughout the incident I was consistently considering the professional policing values. However, when the second allegation came through to me after I had heard from the witness and seen the CCTV footage of the incident I no longer felt like an independent investigator. I felt that I was now bias towards the first report of the incident. Unconscious Bias is described by Balta (2015) as “a fundamental way that human beings are wired”, before going to state that bias helps us to make every day decisions. Bias exists in every culture, occupation, profession and individual (Means &amp; Thompson, 2016). It is well documented that bias plays a role within policing, as a result of this the potential impact that it can have on the difficult decisions made by police officers on a daily basis can be huge. If an officer uses affinity bias (preferring similar people; gender, age, occupation etc.) or Confirmation bias (ignoring evidence that negates what you are expecting) during an </w:t>
      </w:r>
      <w:r>
        <w:rPr>
          <w:sz w:val="24"/>
        </w:rPr>
        <w:lastRenderedPageBreak/>
        <w:t xml:space="preserve">investigation then it could lead to a miscarriage of justice similar to that of the Lynette White murder investigation. </w:t>
      </w:r>
    </w:p>
    <w:p w14:paraId="0F181ECE" w14:textId="77777777" w:rsidR="00D64033" w:rsidRDefault="00D64033" w:rsidP="00D64033">
      <w:pPr>
        <w:spacing w:line="360" w:lineRule="auto"/>
        <w:rPr>
          <w:sz w:val="24"/>
        </w:rPr>
      </w:pPr>
      <w:r>
        <w:rPr>
          <w:sz w:val="24"/>
        </w:rPr>
        <w:t>During my investigation, I feel that confirmation bias played a small part in that I was reluctant to look at any potential evidence that was being put forward by the suspect as in my opinion he was guilty of the offence, despite him claiming that he acted in self-defence.</w:t>
      </w:r>
    </w:p>
    <w:p w14:paraId="2B627DA2" w14:textId="77777777" w:rsidR="00D64033" w:rsidRDefault="00D64033" w:rsidP="00D64033">
      <w:pPr>
        <w:spacing w:line="360" w:lineRule="auto"/>
        <w:rPr>
          <w:sz w:val="24"/>
        </w:rPr>
      </w:pPr>
    </w:p>
    <w:p w14:paraId="7C7A7D8D" w14:textId="77777777" w:rsidR="00D64033" w:rsidRDefault="00D64033" w:rsidP="00D64033">
      <w:pPr>
        <w:spacing w:line="360" w:lineRule="auto"/>
        <w:rPr>
          <w:sz w:val="24"/>
        </w:rPr>
      </w:pPr>
    </w:p>
    <w:p w14:paraId="022F71ED" w14:textId="68231BF1" w:rsidR="00D64033" w:rsidRDefault="00D64033" w:rsidP="00D64033">
      <w:pPr>
        <w:spacing w:line="360" w:lineRule="auto"/>
        <w:rPr>
          <w:sz w:val="24"/>
        </w:rPr>
      </w:pPr>
      <w:r>
        <w:rPr>
          <w:sz w:val="24"/>
        </w:rPr>
        <w:t xml:space="preserve">On reflection of this incident, I believe that I conducted my-self in line with both the forces and national profession standards of behaviour. I had a good knowledge of what was required of me as per the Police and Criminal Evidence Act 1984 and Criminal Procedure and Investigations Act 1996. My consistent use of the National Decision-making Model through each and every one of my decisions that I made enabled me to carry out an effective investigation into the allegation. All my actions were fully recorded in line with the CPIA and each action I took as fully justified. I feel that I was able to communicate well with the translator in order to gather the required information from the injured party. I was able to explain how the court process worked and how and explain how the victim could receive extra support should he require it. I feel that should this situation occur again I would be in a good position to deal with it again. I would however look to improve my victim contact after taking their statement. Due to the time of year it was incredibly busy and I had several other incidents on my workload which made it hard to keep giving updates as often as I would have liked. </w:t>
      </w:r>
    </w:p>
    <w:p w14:paraId="25F3C904" w14:textId="4B4BE37A" w:rsidR="00D64033" w:rsidRDefault="00D64033" w:rsidP="00D64033">
      <w:pPr>
        <w:spacing w:line="360" w:lineRule="auto"/>
        <w:jc w:val="right"/>
        <w:rPr>
          <w:sz w:val="24"/>
        </w:rPr>
      </w:pPr>
      <w:r>
        <w:rPr>
          <w:sz w:val="24"/>
        </w:rPr>
        <w:t>(Word Count: 2294)</w:t>
      </w:r>
    </w:p>
    <w:p w14:paraId="7132538E" w14:textId="77777777" w:rsidR="00D64033" w:rsidRDefault="00D64033" w:rsidP="00D64033">
      <w:pPr>
        <w:spacing w:line="360" w:lineRule="auto"/>
        <w:rPr>
          <w:sz w:val="24"/>
        </w:rPr>
      </w:pPr>
    </w:p>
    <w:p w14:paraId="32BC7336" w14:textId="77777777" w:rsidR="00D64033" w:rsidRDefault="00D64033" w:rsidP="00D64033">
      <w:pPr>
        <w:spacing w:line="360" w:lineRule="auto"/>
        <w:rPr>
          <w:sz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EA55C6">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5DD33D6B" w:rsidR="00575A8F" w:rsidRPr="00270EEB" w:rsidRDefault="00D64033" w:rsidP="00E6298B">
            <w:pPr>
              <w:ind w:right="107"/>
              <w:jc w:val="both"/>
              <w:rPr>
                <w:sz w:val="24"/>
                <w:szCs w:val="24"/>
              </w:rPr>
            </w:pPr>
            <w:r>
              <w:rPr>
                <w:sz w:val="24"/>
                <w:szCs w:val="24"/>
              </w:rPr>
              <w:t xml:space="preserve">An area I need to improve in is how I structure my essays. </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02ABE832" w14:textId="77777777" w:rsidR="00575A8F" w:rsidRDefault="00575A8F" w:rsidP="00E6298B">
            <w:pPr>
              <w:ind w:right="107"/>
              <w:jc w:val="both"/>
              <w:rPr>
                <w:sz w:val="24"/>
                <w:szCs w:val="24"/>
              </w:rPr>
            </w:pPr>
          </w:p>
          <w:p w14:paraId="4FCDFC95" w14:textId="6B965E48" w:rsidR="00076EC7" w:rsidRPr="00270EEB" w:rsidRDefault="00076EC7" w:rsidP="00E6298B">
            <w:pPr>
              <w:ind w:right="107"/>
              <w:jc w:val="both"/>
              <w:rPr>
                <w:sz w:val="24"/>
                <w:szCs w:val="24"/>
              </w:rPr>
            </w:pPr>
          </w:p>
        </w:tc>
        <w:tc>
          <w:tcPr>
            <w:tcW w:w="2433" w:type="dxa"/>
            <w:shd w:val="clear" w:color="auto" w:fill="auto"/>
          </w:tcPr>
          <w:p w14:paraId="2C5FB852" w14:textId="7CEFE142" w:rsidR="00575A8F" w:rsidRPr="00270EEB" w:rsidRDefault="00D64033" w:rsidP="00E6298B">
            <w:pPr>
              <w:ind w:right="107"/>
              <w:jc w:val="both"/>
              <w:rPr>
                <w:sz w:val="24"/>
                <w:szCs w:val="24"/>
              </w:rPr>
            </w:pPr>
            <w:r>
              <w:rPr>
                <w:sz w:val="24"/>
                <w:szCs w:val="24"/>
              </w:rPr>
              <w:t>I will achieve this by allowing myself more time for each of my essays and reading more peer reviewed literature in order to gain a better insight of how to set out my writing</w:t>
            </w:r>
          </w:p>
        </w:tc>
        <w:tc>
          <w:tcPr>
            <w:tcW w:w="2426" w:type="dxa"/>
            <w:shd w:val="clear" w:color="auto" w:fill="auto"/>
          </w:tcPr>
          <w:p w14:paraId="6F2EF39C" w14:textId="35CBCF3B" w:rsidR="00575A8F" w:rsidRPr="00270EEB" w:rsidRDefault="00D64033" w:rsidP="00E6298B">
            <w:pPr>
              <w:ind w:right="107"/>
              <w:jc w:val="both"/>
              <w:rPr>
                <w:sz w:val="24"/>
                <w:szCs w:val="24"/>
              </w:rPr>
            </w:pPr>
            <w:r>
              <w:rPr>
                <w:sz w:val="24"/>
                <w:szCs w:val="24"/>
              </w:rPr>
              <w:t xml:space="preserve">The university have a large variety of academic papers and other sources of information which will enable me to research this further. </w:t>
            </w:r>
          </w:p>
        </w:tc>
        <w:tc>
          <w:tcPr>
            <w:tcW w:w="2426" w:type="dxa"/>
            <w:shd w:val="clear" w:color="auto" w:fill="auto"/>
          </w:tcPr>
          <w:p w14:paraId="3851D535" w14:textId="57FEAB45" w:rsidR="28A9B94D" w:rsidRDefault="00D64033" w:rsidP="28A9B94D">
            <w:pPr>
              <w:jc w:val="both"/>
              <w:rPr>
                <w:sz w:val="24"/>
                <w:szCs w:val="24"/>
              </w:rPr>
            </w:pPr>
            <w:r>
              <w:rPr>
                <w:sz w:val="24"/>
                <w:szCs w:val="24"/>
              </w:rPr>
              <w:t>I will be looking at achieving this by the due date of the next academic workbook.</w:t>
            </w:r>
          </w:p>
        </w:tc>
      </w:tr>
      <w:tr w:rsidR="00575A8F" w:rsidRPr="00270EEB" w14:paraId="67CEB11A" w14:textId="77777777" w:rsidTr="28A9B94D">
        <w:tc>
          <w:tcPr>
            <w:tcW w:w="2462" w:type="dxa"/>
            <w:shd w:val="clear" w:color="auto" w:fill="auto"/>
          </w:tcPr>
          <w:p w14:paraId="529CC96B" w14:textId="14BD5227" w:rsidR="00575A8F" w:rsidRPr="00270EEB" w:rsidRDefault="00D64033" w:rsidP="00E6298B">
            <w:pPr>
              <w:ind w:right="107"/>
              <w:jc w:val="both"/>
              <w:rPr>
                <w:sz w:val="24"/>
                <w:szCs w:val="24"/>
              </w:rPr>
            </w:pPr>
            <w:r>
              <w:rPr>
                <w:sz w:val="24"/>
                <w:szCs w:val="24"/>
              </w:rPr>
              <w:t>Another area which I will be looking to improve</w:t>
            </w:r>
            <w:r w:rsidR="00076EC7">
              <w:rPr>
                <w:sz w:val="24"/>
                <w:szCs w:val="24"/>
              </w:rPr>
              <w:t xml:space="preserve"> is my use of academic research to back up any points that I am making in my work.</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531A87CC" w14:textId="4470AD6B" w:rsidR="00575A8F" w:rsidRPr="00270EEB" w:rsidRDefault="00575A8F" w:rsidP="00E6298B">
            <w:pPr>
              <w:ind w:right="107"/>
              <w:jc w:val="both"/>
              <w:rPr>
                <w:sz w:val="24"/>
                <w:szCs w:val="24"/>
              </w:rPr>
            </w:pPr>
          </w:p>
        </w:tc>
        <w:tc>
          <w:tcPr>
            <w:tcW w:w="2433" w:type="dxa"/>
            <w:shd w:val="clear" w:color="auto" w:fill="auto"/>
          </w:tcPr>
          <w:p w14:paraId="3BD876A6" w14:textId="72CFE018" w:rsidR="00575A8F" w:rsidRPr="00270EEB" w:rsidRDefault="00076EC7" w:rsidP="00E6298B">
            <w:pPr>
              <w:ind w:right="107"/>
              <w:jc w:val="both"/>
              <w:rPr>
                <w:sz w:val="24"/>
                <w:szCs w:val="24"/>
              </w:rPr>
            </w:pPr>
            <w:r>
              <w:rPr>
                <w:sz w:val="24"/>
                <w:szCs w:val="24"/>
              </w:rPr>
              <w:t>This will be achieved by reading more on the subjects on which my essays are based. This will enable me to use past research to make my writing more informed.</w:t>
            </w:r>
          </w:p>
        </w:tc>
        <w:tc>
          <w:tcPr>
            <w:tcW w:w="2426" w:type="dxa"/>
            <w:shd w:val="clear" w:color="auto" w:fill="auto"/>
          </w:tcPr>
          <w:p w14:paraId="7A4C9A77" w14:textId="42CBCAAC" w:rsidR="00575A8F" w:rsidRPr="00270EEB" w:rsidRDefault="00076EC7" w:rsidP="00E6298B">
            <w:pPr>
              <w:ind w:right="107"/>
              <w:jc w:val="both"/>
              <w:rPr>
                <w:sz w:val="24"/>
                <w:szCs w:val="24"/>
              </w:rPr>
            </w:pPr>
            <w:r>
              <w:rPr>
                <w:sz w:val="24"/>
                <w:szCs w:val="24"/>
              </w:rPr>
              <w:t>I will use online resources and books to gather relevant information that will help to better my work.</w:t>
            </w:r>
          </w:p>
        </w:tc>
        <w:tc>
          <w:tcPr>
            <w:tcW w:w="2426" w:type="dxa"/>
            <w:shd w:val="clear" w:color="auto" w:fill="auto"/>
          </w:tcPr>
          <w:p w14:paraId="003BC03B" w14:textId="058B36EC" w:rsidR="28A9B94D" w:rsidRDefault="00076EC7" w:rsidP="28A9B94D">
            <w:pPr>
              <w:jc w:val="both"/>
              <w:rPr>
                <w:sz w:val="24"/>
                <w:szCs w:val="24"/>
              </w:rPr>
            </w:pPr>
            <w:r>
              <w:rPr>
                <w:sz w:val="24"/>
                <w:szCs w:val="24"/>
              </w:rPr>
              <w:t>This will be a rolling goal as research is consistently being published and it will benefit me in my career for the next 35+ years.</w:t>
            </w:r>
          </w:p>
        </w:tc>
      </w:tr>
      <w:tr w:rsidR="00575A8F" w:rsidRPr="00270EEB" w14:paraId="3EE957C7" w14:textId="77777777" w:rsidTr="28A9B94D">
        <w:tc>
          <w:tcPr>
            <w:tcW w:w="2462" w:type="dxa"/>
            <w:shd w:val="clear" w:color="auto" w:fill="auto"/>
          </w:tcPr>
          <w:p w14:paraId="7F6D259B" w14:textId="65109B18" w:rsidR="00575A8F" w:rsidRPr="00270EEB" w:rsidRDefault="00076EC7" w:rsidP="00E6298B">
            <w:pPr>
              <w:ind w:right="107"/>
              <w:jc w:val="both"/>
              <w:rPr>
                <w:sz w:val="24"/>
                <w:szCs w:val="24"/>
              </w:rPr>
            </w:pPr>
            <w:r>
              <w:rPr>
                <w:sz w:val="24"/>
                <w:szCs w:val="24"/>
              </w:rPr>
              <w:t xml:space="preserve">An area of my professional development that I wish to improve is my interviewing skills. </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F1D175C" w:rsidR="00575A8F" w:rsidRPr="00270EEB" w:rsidRDefault="00076EC7" w:rsidP="00E6298B">
            <w:pPr>
              <w:ind w:right="107"/>
              <w:jc w:val="both"/>
              <w:rPr>
                <w:sz w:val="24"/>
                <w:szCs w:val="24"/>
              </w:rPr>
            </w:pPr>
            <w:r>
              <w:rPr>
                <w:sz w:val="24"/>
                <w:szCs w:val="24"/>
              </w:rPr>
              <w:t>This will be achieved by talking to colleagues and gathering their advice. I will look to interview as much as I can to gain more experience. I will look to second some more experienced interviewers to see first-hand how they conduct their interviews and how I can use that to develop myself.</w:t>
            </w:r>
          </w:p>
        </w:tc>
        <w:tc>
          <w:tcPr>
            <w:tcW w:w="2426" w:type="dxa"/>
            <w:shd w:val="clear" w:color="auto" w:fill="auto"/>
          </w:tcPr>
          <w:p w14:paraId="76B2A824" w14:textId="39311A53" w:rsidR="00575A8F" w:rsidRPr="00270EEB" w:rsidRDefault="00076EC7" w:rsidP="00E6298B">
            <w:pPr>
              <w:ind w:right="107"/>
              <w:jc w:val="both"/>
              <w:rPr>
                <w:sz w:val="24"/>
                <w:szCs w:val="24"/>
              </w:rPr>
            </w:pPr>
            <w:r>
              <w:rPr>
                <w:sz w:val="24"/>
                <w:szCs w:val="24"/>
              </w:rPr>
              <w:t>My colleagues can assist with this. Not only on my shift but in other departments such as the Hub prisoner management teams and detectives in the CID departments.</w:t>
            </w:r>
          </w:p>
        </w:tc>
        <w:tc>
          <w:tcPr>
            <w:tcW w:w="2426" w:type="dxa"/>
            <w:shd w:val="clear" w:color="auto" w:fill="auto"/>
          </w:tcPr>
          <w:p w14:paraId="185B2EE5" w14:textId="7B735ABD" w:rsidR="28A9B94D" w:rsidRDefault="00076EC7" w:rsidP="28A9B94D">
            <w:pPr>
              <w:jc w:val="both"/>
              <w:rPr>
                <w:sz w:val="24"/>
                <w:szCs w:val="24"/>
              </w:rPr>
            </w:pPr>
            <w:r>
              <w:rPr>
                <w:sz w:val="24"/>
                <w:szCs w:val="24"/>
              </w:rPr>
              <w:t xml:space="preserve">I will look to achieve this </w:t>
            </w:r>
            <w:r w:rsidR="00AA72AF">
              <w:rPr>
                <w:sz w:val="24"/>
                <w:szCs w:val="24"/>
              </w:rPr>
              <w:t>by the time I reach the first gateway in my probation.</w:t>
            </w:r>
          </w:p>
        </w:tc>
      </w:tr>
    </w:tbl>
    <w:p w14:paraId="7DF140BE" w14:textId="75FA573A"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E224D89" w14:textId="77777777" w:rsidR="00AA72AF" w:rsidRDefault="00AA72AF" w:rsidP="00E6298B">
      <w:pPr>
        <w:overflowPunct/>
        <w:autoSpaceDE/>
        <w:autoSpaceDN/>
        <w:adjustRightInd/>
        <w:ind w:right="107"/>
        <w:textAlignment w:val="auto"/>
        <w:rPr>
          <w:b/>
          <w:sz w:val="24"/>
          <w:szCs w:val="24"/>
        </w:rPr>
      </w:pPr>
    </w:p>
    <w:p w14:paraId="4C63AB5F" w14:textId="77777777" w:rsidR="00AA72AF" w:rsidRPr="00D50F56" w:rsidRDefault="00AA72AF" w:rsidP="00AA72AF">
      <w:pPr>
        <w:spacing w:before="100" w:after="100"/>
        <w:rPr>
          <w:rFonts w:asciiTheme="minorHAnsi" w:hAnsiTheme="minorHAnsi" w:cstheme="minorHAnsi"/>
          <w:color w:val="000000" w:themeColor="text1"/>
          <w:sz w:val="24"/>
          <w:szCs w:val="24"/>
        </w:rPr>
      </w:pPr>
      <w:r w:rsidRPr="00D50F56">
        <w:rPr>
          <w:rFonts w:asciiTheme="minorHAnsi" w:hAnsiTheme="minorHAnsi" w:cstheme="minorHAnsi"/>
          <w:color w:val="000000" w:themeColor="text1"/>
          <w:sz w:val="24"/>
          <w:szCs w:val="24"/>
        </w:rPr>
        <w:t xml:space="preserve">GAYADEEN, S.M. and PHILLIPS, S.W., 2016. Donut time: the use of </w:t>
      </w:r>
      <w:proofErr w:type="spellStart"/>
      <w:r w:rsidRPr="00D50F56">
        <w:rPr>
          <w:rFonts w:asciiTheme="minorHAnsi" w:hAnsiTheme="minorHAnsi" w:cstheme="minorHAnsi"/>
          <w:color w:val="000000" w:themeColor="text1"/>
          <w:sz w:val="24"/>
          <w:szCs w:val="24"/>
        </w:rPr>
        <w:t>humor</w:t>
      </w:r>
      <w:proofErr w:type="spellEnd"/>
      <w:r w:rsidRPr="00D50F56">
        <w:rPr>
          <w:rFonts w:asciiTheme="minorHAnsi" w:hAnsiTheme="minorHAnsi" w:cstheme="minorHAnsi"/>
          <w:color w:val="000000" w:themeColor="text1"/>
          <w:sz w:val="24"/>
          <w:szCs w:val="24"/>
        </w:rPr>
        <w:t xml:space="preserve"> across the police work environment. </w:t>
      </w:r>
      <w:r w:rsidRPr="00D50F56">
        <w:rPr>
          <w:rFonts w:asciiTheme="minorHAnsi" w:hAnsiTheme="minorHAnsi" w:cstheme="minorHAnsi"/>
          <w:i/>
          <w:iCs/>
          <w:color w:val="000000" w:themeColor="text1"/>
          <w:sz w:val="24"/>
          <w:szCs w:val="24"/>
        </w:rPr>
        <w:t xml:space="preserve">Journal of Organizational Ethnography, </w:t>
      </w:r>
      <w:r w:rsidRPr="00D50F56">
        <w:rPr>
          <w:rFonts w:asciiTheme="minorHAnsi" w:hAnsiTheme="minorHAnsi" w:cstheme="minorHAnsi"/>
          <w:bCs/>
          <w:color w:val="000000" w:themeColor="text1"/>
          <w:sz w:val="24"/>
          <w:szCs w:val="24"/>
        </w:rPr>
        <w:t>5</w:t>
      </w:r>
      <w:r w:rsidRPr="00D50F56">
        <w:rPr>
          <w:rFonts w:asciiTheme="minorHAnsi" w:hAnsiTheme="minorHAnsi" w:cstheme="minorHAnsi"/>
          <w:color w:val="000000" w:themeColor="text1"/>
          <w:sz w:val="24"/>
          <w:szCs w:val="24"/>
        </w:rPr>
        <w:t xml:space="preserve">(1), pp. 44-59. </w:t>
      </w:r>
    </w:p>
    <w:p w14:paraId="26B22B9D" w14:textId="77777777" w:rsidR="00AA72AF" w:rsidRPr="00D50F56" w:rsidRDefault="00AA72AF" w:rsidP="00AA72AF">
      <w:pPr>
        <w:spacing w:before="100" w:after="100"/>
        <w:rPr>
          <w:rFonts w:asciiTheme="minorHAnsi" w:hAnsiTheme="minorHAnsi" w:cstheme="minorHAnsi"/>
          <w:color w:val="000000" w:themeColor="text1"/>
          <w:sz w:val="24"/>
          <w:szCs w:val="24"/>
        </w:rPr>
      </w:pPr>
    </w:p>
    <w:p w14:paraId="1C3FE02F" w14:textId="77777777" w:rsidR="00AA72AF" w:rsidRPr="00D50F56" w:rsidRDefault="00AA72AF" w:rsidP="00AA72AF">
      <w:pPr>
        <w:rPr>
          <w:rFonts w:asciiTheme="minorHAnsi" w:hAnsiTheme="minorHAnsi" w:cstheme="minorHAnsi"/>
          <w:color w:val="000000" w:themeColor="text1"/>
          <w:sz w:val="24"/>
          <w:szCs w:val="24"/>
        </w:rPr>
      </w:pPr>
      <w:proofErr w:type="spellStart"/>
      <w:r>
        <w:rPr>
          <w:rFonts w:cstheme="minorHAnsi"/>
          <w:color w:val="000000" w:themeColor="text1"/>
          <w:sz w:val="24"/>
          <w:szCs w:val="24"/>
        </w:rPr>
        <w:t>Folkman</w:t>
      </w:r>
      <w:proofErr w:type="spellEnd"/>
      <w:r>
        <w:rPr>
          <w:rFonts w:cstheme="minorHAnsi"/>
          <w:color w:val="000000" w:themeColor="text1"/>
          <w:sz w:val="24"/>
          <w:szCs w:val="24"/>
        </w:rPr>
        <w:t>, S. 1984</w:t>
      </w:r>
      <w:r w:rsidRPr="00D50F56">
        <w:rPr>
          <w:rFonts w:asciiTheme="minorHAnsi" w:hAnsiTheme="minorHAnsi" w:cstheme="minorHAnsi"/>
          <w:color w:val="000000" w:themeColor="text1"/>
          <w:sz w:val="24"/>
          <w:szCs w:val="24"/>
        </w:rPr>
        <w:t xml:space="preserve">. Personal Control and Stress and Coping Processes: a theoretical analysis. </w:t>
      </w:r>
      <w:r w:rsidRPr="00D50F56">
        <w:rPr>
          <w:rFonts w:asciiTheme="minorHAnsi" w:hAnsiTheme="minorHAnsi" w:cstheme="minorHAnsi"/>
          <w:i/>
          <w:color w:val="000000" w:themeColor="text1"/>
          <w:sz w:val="24"/>
          <w:szCs w:val="24"/>
        </w:rPr>
        <w:t>Journal of Personality and Social Psychology</w:t>
      </w:r>
      <w:r w:rsidRPr="00D50F56">
        <w:rPr>
          <w:rFonts w:asciiTheme="minorHAnsi" w:hAnsiTheme="minorHAnsi" w:cstheme="minorHAnsi"/>
          <w:color w:val="000000" w:themeColor="text1"/>
          <w:sz w:val="24"/>
          <w:szCs w:val="24"/>
        </w:rPr>
        <w:t>, 46(4), 839–852.</w:t>
      </w:r>
    </w:p>
    <w:p w14:paraId="59881CC0" w14:textId="77777777" w:rsidR="00AA72AF" w:rsidRPr="00D50F56" w:rsidRDefault="00AA72AF" w:rsidP="00AA72AF">
      <w:pPr>
        <w:rPr>
          <w:rFonts w:asciiTheme="minorHAnsi" w:hAnsiTheme="minorHAnsi" w:cstheme="minorHAnsi"/>
          <w:color w:val="000000" w:themeColor="text1"/>
          <w:sz w:val="24"/>
          <w:szCs w:val="24"/>
        </w:rPr>
      </w:pPr>
    </w:p>
    <w:p w14:paraId="55C3DBFF" w14:textId="77777777" w:rsidR="00AA72AF" w:rsidRPr="00D50F56" w:rsidRDefault="00AA72AF" w:rsidP="00AA72AF">
      <w:pPr>
        <w:rPr>
          <w:rFonts w:asciiTheme="minorHAnsi" w:hAnsiTheme="minorHAnsi" w:cstheme="minorHAnsi"/>
          <w:color w:val="000000" w:themeColor="text1"/>
          <w:sz w:val="24"/>
          <w:szCs w:val="24"/>
        </w:rPr>
      </w:pPr>
    </w:p>
    <w:p w14:paraId="55DBB534" w14:textId="77777777" w:rsidR="00AA72AF" w:rsidRPr="00D50F56" w:rsidRDefault="00AA72AF" w:rsidP="00AA72AF">
      <w:pPr>
        <w:rPr>
          <w:rFonts w:asciiTheme="minorHAnsi" w:hAnsiTheme="minorHAnsi" w:cstheme="minorHAnsi"/>
          <w:color w:val="000000" w:themeColor="text1"/>
          <w:sz w:val="24"/>
          <w:szCs w:val="24"/>
        </w:rPr>
      </w:pPr>
      <w:r w:rsidRPr="00D50F56">
        <w:rPr>
          <w:rFonts w:asciiTheme="minorHAnsi" w:hAnsiTheme="minorHAnsi" w:cstheme="minorHAnsi"/>
          <w:color w:val="000000" w:themeColor="text1"/>
          <w:sz w:val="24"/>
          <w:szCs w:val="24"/>
        </w:rPr>
        <w:t xml:space="preserve">Lazarus, R.S. &amp; </w:t>
      </w:r>
      <w:proofErr w:type="spellStart"/>
      <w:r w:rsidRPr="00D50F56">
        <w:rPr>
          <w:rFonts w:asciiTheme="minorHAnsi" w:hAnsiTheme="minorHAnsi" w:cstheme="minorHAnsi"/>
          <w:color w:val="000000" w:themeColor="text1"/>
          <w:sz w:val="24"/>
          <w:szCs w:val="24"/>
        </w:rPr>
        <w:t>Folkman</w:t>
      </w:r>
      <w:proofErr w:type="spellEnd"/>
      <w:r w:rsidRPr="00D50F56">
        <w:rPr>
          <w:rFonts w:asciiTheme="minorHAnsi" w:hAnsiTheme="minorHAnsi" w:cstheme="minorHAnsi"/>
          <w:color w:val="000000" w:themeColor="text1"/>
          <w:sz w:val="24"/>
          <w:szCs w:val="24"/>
        </w:rPr>
        <w:t xml:space="preserve">, S., 1984. Stress, appraisal, and coping, New York: Springer Pub. Co. </w:t>
      </w:r>
      <w:r>
        <w:rPr>
          <w:rFonts w:cstheme="minorHAnsi"/>
          <w:color w:val="000000" w:themeColor="text1"/>
          <w:sz w:val="24"/>
          <w:szCs w:val="24"/>
        </w:rPr>
        <w:t>p</w:t>
      </w:r>
      <w:r w:rsidRPr="00D50F56">
        <w:rPr>
          <w:rFonts w:asciiTheme="minorHAnsi" w:hAnsiTheme="minorHAnsi" w:cstheme="minorHAnsi"/>
          <w:color w:val="000000" w:themeColor="text1"/>
          <w:sz w:val="24"/>
          <w:szCs w:val="24"/>
        </w:rPr>
        <w:t>p.119.</w:t>
      </w:r>
    </w:p>
    <w:p w14:paraId="68C3777C" w14:textId="77777777" w:rsidR="00AA72AF" w:rsidRPr="00D50F56" w:rsidRDefault="00AA72AF" w:rsidP="00AA72AF">
      <w:pPr>
        <w:rPr>
          <w:rFonts w:asciiTheme="minorHAnsi" w:hAnsiTheme="minorHAnsi" w:cstheme="minorHAnsi"/>
          <w:color w:val="000000" w:themeColor="text1"/>
          <w:sz w:val="24"/>
          <w:szCs w:val="24"/>
        </w:rPr>
      </w:pPr>
    </w:p>
    <w:p w14:paraId="2DCBC9F5" w14:textId="77777777" w:rsidR="00AA72AF" w:rsidRPr="00D50F56" w:rsidRDefault="00AA72AF" w:rsidP="00AA72AF">
      <w:pPr>
        <w:rPr>
          <w:rFonts w:asciiTheme="minorHAnsi" w:hAnsiTheme="minorHAnsi" w:cstheme="minorHAnsi"/>
          <w:color w:val="000000" w:themeColor="text1"/>
          <w:sz w:val="24"/>
          <w:szCs w:val="24"/>
        </w:rPr>
      </w:pPr>
    </w:p>
    <w:p w14:paraId="7E0F83C8" w14:textId="77777777" w:rsidR="00AA72AF" w:rsidRPr="00D50F56" w:rsidRDefault="00AA72AF" w:rsidP="00AA72AF">
      <w:pPr>
        <w:rPr>
          <w:rFonts w:asciiTheme="minorHAnsi" w:hAnsiTheme="minorHAnsi" w:cstheme="minorHAnsi"/>
          <w:color w:val="000000" w:themeColor="text1"/>
          <w:sz w:val="24"/>
          <w:szCs w:val="24"/>
        </w:rPr>
      </w:pPr>
      <w:proofErr w:type="spellStart"/>
      <w:r w:rsidRPr="00D50F56">
        <w:rPr>
          <w:rFonts w:asciiTheme="minorHAnsi" w:hAnsiTheme="minorHAnsi" w:cstheme="minorHAnsi"/>
          <w:color w:val="000000" w:themeColor="text1"/>
          <w:sz w:val="24"/>
          <w:szCs w:val="24"/>
        </w:rPr>
        <w:t>Rabenu</w:t>
      </w:r>
      <w:proofErr w:type="spellEnd"/>
      <w:r w:rsidRPr="00D50F56">
        <w:rPr>
          <w:rFonts w:asciiTheme="minorHAnsi" w:hAnsiTheme="minorHAnsi" w:cstheme="minorHAnsi"/>
          <w:color w:val="000000" w:themeColor="text1"/>
          <w:sz w:val="24"/>
          <w:szCs w:val="24"/>
        </w:rPr>
        <w:t xml:space="preserve">, E., </w:t>
      </w:r>
      <w:proofErr w:type="spellStart"/>
      <w:r w:rsidRPr="00D50F56">
        <w:rPr>
          <w:rFonts w:asciiTheme="minorHAnsi" w:hAnsiTheme="minorHAnsi" w:cstheme="minorHAnsi"/>
          <w:color w:val="000000" w:themeColor="text1"/>
          <w:sz w:val="24"/>
          <w:szCs w:val="24"/>
        </w:rPr>
        <w:t>Yaniv</w:t>
      </w:r>
      <w:proofErr w:type="spellEnd"/>
      <w:r w:rsidRPr="00D50F56">
        <w:rPr>
          <w:rFonts w:asciiTheme="minorHAnsi" w:hAnsiTheme="minorHAnsi" w:cstheme="minorHAnsi"/>
          <w:color w:val="000000" w:themeColor="text1"/>
          <w:sz w:val="24"/>
          <w:szCs w:val="24"/>
        </w:rPr>
        <w:t xml:space="preserve">, E. &amp; </w:t>
      </w:r>
      <w:proofErr w:type="spellStart"/>
      <w:r w:rsidRPr="00D50F56">
        <w:rPr>
          <w:rFonts w:asciiTheme="minorHAnsi" w:hAnsiTheme="minorHAnsi" w:cstheme="minorHAnsi"/>
          <w:color w:val="000000" w:themeColor="text1"/>
          <w:sz w:val="24"/>
          <w:szCs w:val="24"/>
        </w:rPr>
        <w:t>Elizur</w:t>
      </w:r>
      <w:proofErr w:type="spellEnd"/>
      <w:r w:rsidRPr="00D50F56">
        <w:rPr>
          <w:rFonts w:asciiTheme="minorHAnsi" w:hAnsiTheme="minorHAnsi" w:cstheme="minorHAnsi"/>
          <w:color w:val="000000" w:themeColor="text1"/>
          <w:sz w:val="24"/>
          <w:szCs w:val="24"/>
        </w:rPr>
        <w:t>, D., 2017. The Relationship between Psychological Capital, Coping with Stress, Well-Being, and Performance. Current Psychology, 36(4), pp.875–887.</w:t>
      </w:r>
    </w:p>
    <w:p w14:paraId="343F904F" w14:textId="77777777" w:rsidR="00AA72AF" w:rsidRPr="00D50F56" w:rsidRDefault="00AA72AF" w:rsidP="00AA72AF">
      <w:pPr>
        <w:rPr>
          <w:rFonts w:asciiTheme="minorHAnsi" w:hAnsiTheme="minorHAnsi" w:cstheme="minorHAnsi"/>
          <w:color w:val="000000" w:themeColor="text1"/>
          <w:sz w:val="24"/>
          <w:szCs w:val="24"/>
        </w:rPr>
      </w:pPr>
    </w:p>
    <w:p w14:paraId="058FFBE6" w14:textId="77777777" w:rsidR="00AA72AF" w:rsidRPr="00D50F56" w:rsidRDefault="00AA72AF" w:rsidP="00AA72AF">
      <w:pPr>
        <w:rPr>
          <w:rFonts w:asciiTheme="minorHAnsi" w:hAnsiTheme="minorHAnsi" w:cstheme="minorHAnsi"/>
          <w:color w:val="000000" w:themeColor="text1"/>
          <w:sz w:val="24"/>
          <w:szCs w:val="24"/>
        </w:rPr>
      </w:pPr>
      <w:r w:rsidRPr="00D50F56">
        <w:rPr>
          <w:rFonts w:asciiTheme="minorHAnsi" w:hAnsiTheme="minorHAnsi" w:cstheme="minorHAnsi"/>
          <w:color w:val="000000" w:themeColor="text1"/>
          <w:sz w:val="24"/>
          <w:szCs w:val="24"/>
        </w:rPr>
        <w:t xml:space="preserve">GOERLING, R.J., 2012. </w:t>
      </w:r>
      <w:r w:rsidRPr="00D50F56">
        <w:rPr>
          <w:rFonts w:asciiTheme="minorHAnsi" w:hAnsiTheme="minorHAnsi" w:cstheme="minorHAnsi"/>
          <w:iCs/>
          <w:color w:val="000000" w:themeColor="text1"/>
          <w:sz w:val="24"/>
          <w:szCs w:val="24"/>
        </w:rPr>
        <w:t>Police Officer Resilience and Community Building.</w:t>
      </w:r>
      <w:r w:rsidRPr="00D50F56">
        <w:rPr>
          <w:rFonts w:asciiTheme="minorHAnsi" w:hAnsiTheme="minorHAnsi" w:cstheme="minorHAnsi"/>
          <w:i/>
          <w:iCs/>
          <w:color w:val="000000" w:themeColor="text1"/>
          <w:sz w:val="24"/>
          <w:szCs w:val="24"/>
        </w:rPr>
        <w:t xml:space="preserve"> </w:t>
      </w:r>
      <w:r w:rsidRPr="00D50F56">
        <w:rPr>
          <w:rFonts w:asciiTheme="minorHAnsi" w:hAnsiTheme="minorHAnsi" w:cstheme="minorHAnsi"/>
          <w:color w:val="000000" w:themeColor="text1"/>
          <w:sz w:val="24"/>
          <w:szCs w:val="24"/>
        </w:rPr>
        <w:t xml:space="preserve">San Diego: </w:t>
      </w:r>
      <w:r w:rsidRPr="00D50F56">
        <w:rPr>
          <w:rFonts w:asciiTheme="minorHAnsi" w:hAnsiTheme="minorHAnsi" w:cstheme="minorHAnsi"/>
          <w:i/>
          <w:color w:val="000000" w:themeColor="text1"/>
          <w:sz w:val="24"/>
          <w:szCs w:val="24"/>
        </w:rPr>
        <w:t>American Society of Business and Behavioural Sciences</w:t>
      </w:r>
      <w:r w:rsidRPr="00D50F56">
        <w:rPr>
          <w:rFonts w:asciiTheme="minorHAnsi" w:hAnsiTheme="minorHAnsi" w:cstheme="minorHAnsi"/>
          <w:color w:val="000000" w:themeColor="text1"/>
          <w:sz w:val="24"/>
          <w:szCs w:val="24"/>
        </w:rPr>
        <w:t>. 19(1) pp. 394-397</w:t>
      </w:r>
    </w:p>
    <w:p w14:paraId="7FBF47D2" w14:textId="77777777" w:rsidR="00AA72AF" w:rsidRPr="00D50F56" w:rsidRDefault="00AA72AF" w:rsidP="00AA72AF">
      <w:pPr>
        <w:rPr>
          <w:rFonts w:asciiTheme="minorHAnsi" w:hAnsiTheme="minorHAnsi" w:cstheme="minorHAnsi"/>
          <w:color w:val="000000" w:themeColor="text1"/>
          <w:sz w:val="24"/>
          <w:szCs w:val="24"/>
        </w:rPr>
      </w:pPr>
    </w:p>
    <w:p w14:paraId="68333601" w14:textId="77777777" w:rsidR="00AA72AF" w:rsidRPr="00D50F56" w:rsidRDefault="00AA72AF" w:rsidP="00AA72AF">
      <w:pPr>
        <w:rPr>
          <w:rFonts w:asciiTheme="minorHAnsi" w:hAnsiTheme="minorHAnsi" w:cstheme="minorHAnsi"/>
          <w:color w:val="000000" w:themeColor="text1"/>
          <w:sz w:val="24"/>
          <w:szCs w:val="24"/>
        </w:rPr>
      </w:pPr>
      <w:r>
        <w:rPr>
          <w:rFonts w:cstheme="minorHAnsi"/>
          <w:color w:val="000000" w:themeColor="text1"/>
          <w:sz w:val="24"/>
          <w:szCs w:val="24"/>
        </w:rPr>
        <w:t xml:space="preserve">College of Policing </w:t>
      </w:r>
      <w:r w:rsidRPr="00D50F56">
        <w:rPr>
          <w:rFonts w:asciiTheme="minorHAnsi" w:hAnsiTheme="minorHAnsi" w:cstheme="minorHAnsi"/>
          <w:color w:val="000000" w:themeColor="text1"/>
          <w:sz w:val="24"/>
          <w:szCs w:val="24"/>
        </w:rPr>
        <w:t xml:space="preserve">2013. </w:t>
      </w:r>
      <w:r w:rsidRPr="00D50F56">
        <w:rPr>
          <w:rFonts w:asciiTheme="minorHAnsi" w:hAnsiTheme="minorHAnsi" w:cstheme="minorHAnsi"/>
          <w:iCs/>
          <w:color w:val="000000" w:themeColor="text1"/>
          <w:sz w:val="24"/>
          <w:szCs w:val="24"/>
        </w:rPr>
        <w:t>National Decision Model</w:t>
      </w:r>
      <w:r w:rsidRPr="00D50F56">
        <w:rPr>
          <w:rFonts w:asciiTheme="minorHAnsi" w:hAnsiTheme="minorHAnsi" w:cstheme="minorHAnsi"/>
          <w:color w:val="000000" w:themeColor="text1"/>
          <w:sz w:val="24"/>
          <w:szCs w:val="24"/>
        </w:rPr>
        <w:t>. [</w:t>
      </w:r>
      <w:proofErr w:type="gramStart"/>
      <w:r w:rsidRPr="00D50F56">
        <w:rPr>
          <w:rFonts w:asciiTheme="minorHAnsi" w:hAnsiTheme="minorHAnsi" w:cstheme="minorHAnsi"/>
          <w:color w:val="000000" w:themeColor="text1"/>
          <w:sz w:val="24"/>
          <w:szCs w:val="24"/>
        </w:rPr>
        <w:t>online</w:t>
      </w:r>
      <w:proofErr w:type="gramEnd"/>
      <w:r w:rsidRPr="00D50F56">
        <w:rPr>
          <w:rFonts w:asciiTheme="minorHAnsi" w:hAnsiTheme="minorHAnsi" w:cstheme="minorHAnsi"/>
          <w:color w:val="000000" w:themeColor="text1"/>
          <w:sz w:val="24"/>
          <w:szCs w:val="24"/>
        </w:rPr>
        <w:t>] App.college.police.uk. Available at: https://www.app.college.police.uk/app-content/national-decision-model/the-national-decision-model/#code-of-ethics [Accessed 14 Nov. 2019].</w:t>
      </w:r>
    </w:p>
    <w:p w14:paraId="0FABA1CD" w14:textId="77777777" w:rsidR="00AA72AF" w:rsidRPr="00D50F56" w:rsidRDefault="00AA72AF" w:rsidP="00AA72AF">
      <w:pPr>
        <w:rPr>
          <w:rFonts w:asciiTheme="minorHAnsi" w:hAnsiTheme="minorHAnsi" w:cstheme="minorHAnsi"/>
          <w:color w:val="000000" w:themeColor="text1"/>
          <w:sz w:val="24"/>
          <w:szCs w:val="24"/>
        </w:rPr>
      </w:pPr>
    </w:p>
    <w:p w14:paraId="466AFC5B" w14:textId="77777777" w:rsidR="00AA72AF" w:rsidRPr="00D50F56" w:rsidRDefault="00AA72AF" w:rsidP="00AA72AF">
      <w:pPr>
        <w:rPr>
          <w:rFonts w:asciiTheme="minorHAnsi" w:hAnsiTheme="minorHAnsi" w:cstheme="minorHAnsi"/>
          <w:color w:val="000000" w:themeColor="text1"/>
          <w:sz w:val="24"/>
          <w:szCs w:val="24"/>
        </w:rPr>
      </w:pPr>
      <w:r w:rsidRPr="00D50F56">
        <w:rPr>
          <w:rFonts w:asciiTheme="minorHAnsi" w:hAnsiTheme="minorHAnsi" w:cstheme="minorHAnsi"/>
          <w:color w:val="000000" w:themeColor="text1"/>
          <w:sz w:val="24"/>
          <w:szCs w:val="24"/>
        </w:rPr>
        <w:t>Gibbs</w:t>
      </w:r>
      <w:r>
        <w:rPr>
          <w:rFonts w:cstheme="minorHAnsi"/>
          <w:color w:val="000000" w:themeColor="text1"/>
          <w:sz w:val="24"/>
          <w:szCs w:val="24"/>
        </w:rPr>
        <w:t>.</w:t>
      </w:r>
      <w:r w:rsidRPr="00D50F56">
        <w:rPr>
          <w:rFonts w:asciiTheme="minorHAnsi" w:hAnsiTheme="minorHAnsi" w:cstheme="minorHAnsi"/>
          <w:color w:val="000000" w:themeColor="text1"/>
          <w:sz w:val="24"/>
          <w:szCs w:val="24"/>
        </w:rPr>
        <w:t xml:space="preserve"> G</w:t>
      </w:r>
      <w:r>
        <w:rPr>
          <w:rFonts w:cstheme="minorHAnsi"/>
          <w:color w:val="000000" w:themeColor="text1"/>
          <w:sz w:val="24"/>
          <w:szCs w:val="24"/>
        </w:rPr>
        <w:t>.</w:t>
      </w:r>
      <w:r w:rsidRPr="00D50F56">
        <w:rPr>
          <w:rFonts w:asciiTheme="minorHAnsi" w:hAnsiTheme="minorHAnsi" w:cstheme="minorHAnsi"/>
          <w:color w:val="000000" w:themeColor="text1"/>
          <w:sz w:val="24"/>
          <w:szCs w:val="24"/>
        </w:rPr>
        <w:t xml:space="preserve"> 1988 Learning by Doing: </w:t>
      </w:r>
      <w:r w:rsidRPr="00D50F56">
        <w:rPr>
          <w:rStyle w:val="Emphasis"/>
          <w:rFonts w:asciiTheme="minorHAnsi" w:hAnsiTheme="minorHAnsi" w:cstheme="minorHAnsi"/>
          <w:color w:val="000000" w:themeColor="text1"/>
          <w:sz w:val="24"/>
          <w:szCs w:val="24"/>
        </w:rPr>
        <w:t>A guide to teaching and learning methods</w:t>
      </w:r>
      <w:r w:rsidRPr="00D50F56">
        <w:rPr>
          <w:rFonts w:asciiTheme="minorHAnsi" w:hAnsiTheme="minorHAnsi" w:cstheme="minorHAnsi"/>
          <w:color w:val="000000" w:themeColor="text1"/>
          <w:sz w:val="24"/>
          <w:szCs w:val="24"/>
        </w:rPr>
        <w:t>. Further Education Unit. Oxford Polytechnic: Oxford.</w:t>
      </w:r>
    </w:p>
    <w:p w14:paraId="11600275" w14:textId="77777777" w:rsidR="00AA72AF" w:rsidRPr="00D50F56" w:rsidRDefault="00AA72AF" w:rsidP="00AA72AF">
      <w:pPr>
        <w:rPr>
          <w:rFonts w:asciiTheme="minorHAnsi" w:hAnsiTheme="minorHAnsi" w:cstheme="minorHAnsi"/>
          <w:color w:val="000000" w:themeColor="text1"/>
          <w:sz w:val="24"/>
          <w:szCs w:val="24"/>
        </w:rPr>
      </w:pPr>
    </w:p>
    <w:p w14:paraId="2B4AFC5A" w14:textId="77777777" w:rsidR="00AA72AF" w:rsidRPr="00D50F56" w:rsidRDefault="00AA72AF" w:rsidP="00AA72AF">
      <w:pPr>
        <w:rPr>
          <w:rFonts w:asciiTheme="minorHAnsi" w:hAnsiTheme="minorHAnsi" w:cstheme="minorHAnsi"/>
          <w:color w:val="000000" w:themeColor="text1"/>
          <w:sz w:val="24"/>
          <w:szCs w:val="24"/>
        </w:rPr>
      </w:pPr>
      <w:r w:rsidRPr="00D50F56">
        <w:rPr>
          <w:rFonts w:asciiTheme="minorHAnsi" w:hAnsiTheme="minorHAnsi" w:cstheme="minorHAnsi"/>
          <w:color w:val="000000" w:themeColor="text1"/>
          <w:sz w:val="24"/>
          <w:szCs w:val="24"/>
        </w:rPr>
        <w:t xml:space="preserve">Potter, C., 2015. Leadership development: an applied comparison of Gibbs’ Reflective Cycle and </w:t>
      </w:r>
      <w:proofErr w:type="spellStart"/>
      <w:r w:rsidRPr="00D50F56">
        <w:rPr>
          <w:rFonts w:asciiTheme="minorHAnsi" w:hAnsiTheme="minorHAnsi" w:cstheme="minorHAnsi"/>
          <w:color w:val="000000" w:themeColor="text1"/>
          <w:sz w:val="24"/>
          <w:szCs w:val="24"/>
        </w:rPr>
        <w:t>Scharmer’s</w:t>
      </w:r>
      <w:proofErr w:type="spellEnd"/>
      <w:r w:rsidRPr="00D50F56">
        <w:rPr>
          <w:rFonts w:asciiTheme="minorHAnsi" w:hAnsiTheme="minorHAnsi" w:cstheme="minorHAnsi"/>
          <w:color w:val="000000" w:themeColor="text1"/>
          <w:sz w:val="24"/>
          <w:szCs w:val="24"/>
        </w:rPr>
        <w:t xml:space="preserve"> Theory U. </w:t>
      </w:r>
      <w:r w:rsidRPr="00D50F56">
        <w:rPr>
          <w:rFonts w:asciiTheme="minorHAnsi" w:hAnsiTheme="minorHAnsi" w:cstheme="minorHAnsi"/>
          <w:i/>
          <w:iCs/>
          <w:color w:val="000000" w:themeColor="text1"/>
          <w:sz w:val="24"/>
          <w:szCs w:val="24"/>
        </w:rPr>
        <w:t>Industrial and Commercial Training</w:t>
      </w:r>
      <w:r w:rsidRPr="00D50F56">
        <w:rPr>
          <w:rFonts w:asciiTheme="minorHAnsi" w:hAnsiTheme="minorHAnsi" w:cstheme="minorHAnsi"/>
          <w:color w:val="000000" w:themeColor="text1"/>
          <w:sz w:val="24"/>
          <w:szCs w:val="24"/>
        </w:rPr>
        <w:t>, 47(6), pp.336–342.</w:t>
      </w:r>
    </w:p>
    <w:p w14:paraId="76BFC4DC" w14:textId="77777777" w:rsidR="00AA72AF" w:rsidRPr="00D50F56" w:rsidRDefault="00AA72AF" w:rsidP="00AA72AF">
      <w:pPr>
        <w:rPr>
          <w:rFonts w:asciiTheme="minorHAnsi" w:hAnsiTheme="minorHAnsi" w:cstheme="minorHAnsi"/>
          <w:color w:val="000000" w:themeColor="text1"/>
          <w:sz w:val="24"/>
          <w:szCs w:val="24"/>
        </w:rPr>
      </w:pPr>
    </w:p>
    <w:p w14:paraId="35F026A8" w14:textId="77777777" w:rsidR="00AA72AF" w:rsidRPr="00D50F56" w:rsidRDefault="00AA72AF" w:rsidP="00AA72AF">
      <w:pPr>
        <w:rPr>
          <w:rFonts w:asciiTheme="minorHAnsi" w:hAnsiTheme="minorHAnsi" w:cstheme="minorHAnsi"/>
          <w:color w:val="000000" w:themeColor="text1"/>
          <w:sz w:val="24"/>
          <w:szCs w:val="24"/>
        </w:rPr>
      </w:pPr>
      <w:r w:rsidRPr="00D50F56">
        <w:rPr>
          <w:rFonts w:asciiTheme="minorHAnsi" w:hAnsiTheme="minorHAnsi" w:cstheme="minorHAnsi"/>
          <w:color w:val="000000" w:themeColor="text1"/>
          <w:sz w:val="24"/>
          <w:szCs w:val="24"/>
        </w:rPr>
        <w:t xml:space="preserve">Johns, A., Clarke, S. &amp; Stark, M.M., 1997. Management of potentially violent detainees. </w:t>
      </w:r>
      <w:r w:rsidRPr="00D50F56">
        <w:rPr>
          <w:rFonts w:asciiTheme="minorHAnsi" w:hAnsiTheme="minorHAnsi" w:cstheme="minorHAnsi"/>
          <w:i/>
          <w:color w:val="000000" w:themeColor="text1"/>
          <w:sz w:val="24"/>
          <w:szCs w:val="24"/>
        </w:rPr>
        <w:t>Journal of Clinical Forensic Medicine</w:t>
      </w:r>
      <w:r w:rsidRPr="00D50F56">
        <w:rPr>
          <w:rFonts w:asciiTheme="minorHAnsi" w:hAnsiTheme="minorHAnsi" w:cstheme="minorHAnsi"/>
          <w:color w:val="000000" w:themeColor="text1"/>
          <w:sz w:val="24"/>
          <w:szCs w:val="24"/>
        </w:rPr>
        <w:t>, 4(3), pp.139–144.</w:t>
      </w:r>
    </w:p>
    <w:p w14:paraId="5907C2E3" w14:textId="77777777" w:rsidR="00AA72AF" w:rsidRPr="00D50F56" w:rsidRDefault="00AA72AF" w:rsidP="00AA72AF">
      <w:pPr>
        <w:rPr>
          <w:rFonts w:asciiTheme="minorHAnsi" w:hAnsiTheme="minorHAnsi" w:cstheme="minorHAnsi"/>
          <w:color w:val="000000" w:themeColor="text1"/>
          <w:sz w:val="24"/>
          <w:szCs w:val="24"/>
        </w:rPr>
      </w:pPr>
    </w:p>
    <w:p w14:paraId="19CC5FB9" w14:textId="77777777" w:rsidR="00AA72AF" w:rsidRPr="00D50F56" w:rsidRDefault="00AA72AF" w:rsidP="00AA72AF">
      <w:pPr>
        <w:rPr>
          <w:rFonts w:asciiTheme="minorHAnsi" w:hAnsiTheme="minorHAnsi" w:cstheme="minorHAnsi"/>
          <w:color w:val="000000" w:themeColor="text1"/>
          <w:sz w:val="24"/>
          <w:szCs w:val="24"/>
        </w:rPr>
      </w:pPr>
      <w:proofErr w:type="spellStart"/>
      <w:r w:rsidRPr="00D50F56">
        <w:rPr>
          <w:rFonts w:asciiTheme="minorHAnsi" w:hAnsiTheme="minorHAnsi" w:cstheme="minorHAnsi"/>
          <w:color w:val="000000" w:themeColor="text1"/>
          <w:sz w:val="24"/>
          <w:szCs w:val="24"/>
        </w:rPr>
        <w:t>Slabbert</w:t>
      </w:r>
      <w:proofErr w:type="spellEnd"/>
      <w:r w:rsidRPr="00D50F56">
        <w:rPr>
          <w:rFonts w:asciiTheme="minorHAnsi" w:hAnsiTheme="minorHAnsi" w:cstheme="minorHAnsi"/>
          <w:color w:val="000000" w:themeColor="text1"/>
          <w:sz w:val="24"/>
          <w:szCs w:val="24"/>
        </w:rPr>
        <w:t xml:space="preserve">, I., </w:t>
      </w:r>
      <w:proofErr w:type="spellStart"/>
      <w:r w:rsidRPr="00D50F56">
        <w:rPr>
          <w:rFonts w:asciiTheme="minorHAnsi" w:hAnsiTheme="minorHAnsi" w:cstheme="minorHAnsi"/>
          <w:color w:val="000000" w:themeColor="text1"/>
          <w:sz w:val="24"/>
          <w:szCs w:val="24"/>
        </w:rPr>
        <w:t>Traube</w:t>
      </w:r>
      <w:proofErr w:type="spellEnd"/>
      <w:r w:rsidRPr="00D50F56">
        <w:rPr>
          <w:rFonts w:asciiTheme="minorHAnsi" w:hAnsiTheme="minorHAnsi" w:cstheme="minorHAnsi"/>
          <w:color w:val="000000" w:themeColor="text1"/>
          <w:sz w:val="24"/>
          <w:szCs w:val="24"/>
        </w:rPr>
        <w:t>, D.E. &amp; Rice, E., 2017. Domestic Violence and Poverty: Some Women’s Experiences. Research on Social Work Practice, 27(2), pp.223–230.</w:t>
      </w:r>
    </w:p>
    <w:p w14:paraId="50810D34" w14:textId="77777777" w:rsidR="00AA72AF" w:rsidRPr="00D50F56" w:rsidRDefault="00AA72AF" w:rsidP="00AA72AF">
      <w:pPr>
        <w:rPr>
          <w:rFonts w:asciiTheme="minorHAnsi" w:hAnsiTheme="minorHAnsi" w:cstheme="minorHAnsi"/>
          <w:color w:val="000000" w:themeColor="text1"/>
          <w:sz w:val="24"/>
          <w:szCs w:val="24"/>
        </w:rPr>
      </w:pPr>
    </w:p>
    <w:p w14:paraId="01E46B4C" w14:textId="77777777" w:rsidR="00AA72AF" w:rsidRPr="00D50F56" w:rsidRDefault="00AA72AF" w:rsidP="00AA72AF">
      <w:pPr>
        <w:rPr>
          <w:rFonts w:asciiTheme="minorHAnsi" w:hAnsiTheme="minorHAnsi" w:cstheme="minorHAnsi"/>
          <w:color w:val="000000" w:themeColor="text1"/>
          <w:sz w:val="24"/>
          <w:szCs w:val="24"/>
        </w:rPr>
      </w:pPr>
      <w:proofErr w:type="spellStart"/>
      <w:r w:rsidRPr="00D50F56">
        <w:rPr>
          <w:rFonts w:asciiTheme="minorHAnsi" w:hAnsiTheme="minorHAnsi" w:cstheme="minorHAnsi"/>
          <w:color w:val="000000" w:themeColor="text1"/>
          <w:sz w:val="24"/>
          <w:szCs w:val="24"/>
        </w:rPr>
        <w:t>Karpman</w:t>
      </w:r>
      <w:proofErr w:type="spellEnd"/>
      <w:r w:rsidRPr="00D50F56">
        <w:rPr>
          <w:rFonts w:asciiTheme="minorHAnsi" w:hAnsiTheme="minorHAnsi" w:cstheme="minorHAnsi"/>
          <w:color w:val="000000" w:themeColor="text1"/>
          <w:sz w:val="24"/>
          <w:szCs w:val="24"/>
        </w:rPr>
        <w:t xml:space="preserve">, S. 1968. Fairy Tales and Script Drama Analysis. </w:t>
      </w:r>
      <w:r w:rsidRPr="00D50F56">
        <w:rPr>
          <w:rFonts w:asciiTheme="minorHAnsi" w:hAnsiTheme="minorHAnsi" w:cstheme="minorHAnsi"/>
          <w:i/>
          <w:iCs/>
          <w:color w:val="000000" w:themeColor="text1"/>
          <w:sz w:val="24"/>
          <w:szCs w:val="24"/>
        </w:rPr>
        <w:t>Transactional Analysis Bulletin (7)</w:t>
      </w:r>
      <w:r w:rsidRPr="00D50F56">
        <w:rPr>
          <w:rFonts w:asciiTheme="minorHAnsi" w:hAnsiTheme="minorHAnsi" w:cstheme="minorHAnsi"/>
          <w:color w:val="000000" w:themeColor="text1"/>
          <w:sz w:val="24"/>
          <w:szCs w:val="24"/>
        </w:rPr>
        <w:t>26, pp. 39-43.</w:t>
      </w:r>
    </w:p>
    <w:p w14:paraId="32F4E933" w14:textId="77777777" w:rsidR="00AA72AF" w:rsidRPr="00D50F56" w:rsidRDefault="00AA72AF" w:rsidP="00AA72AF">
      <w:pPr>
        <w:rPr>
          <w:rFonts w:asciiTheme="minorHAnsi" w:hAnsiTheme="minorHAnsi" w:cstheme="minorHAnsi"/>
          <w:sz w:val="24"/>
          <w:szCs w:val="24"/>
        </w:rPr>
      </w:pPr>
      <w:proofErr w:type="spellStart"/>
      <w:r w:rsidRPr="00D50F56">
        <w:rPr>
          <w:rFonts w:asciiTheme="minorHAnsi" w:hAnsiTheme="minorHAnsi" w:cstheme="minorHAnsi"/>
          <w:sz w:val="24"/>
          <w:szCs w:val="24"/>
        </w:rPr>
        <w:t>Karpman</w:t>
      </w:r>
      <w:proofErr w:type="spellEnd"/>
      <w:r w:rsidRPr="00D50F56">
        <w:rPr>
          <w:rFonts w:asciiTheme="minorHAnsi" w:hAnsiTheme="minorHAnsi" w:cstheme="minorHAnsi"/>
          <w:sz w:val="24"/>
          <w:szCs w:val="24"/>
        </w:rPr>
        <w:t xml:space="preserve">, S. 1968. Fairy Tales and Script Drama Analysis. </w:t>
      </w:r>
      <w:r w:rsidRPr="00D50F56">
        <w:rPr>
          <w:rFonts w:asciiTheme="minorHAnsi" w:hAnsiTheme="minorHAnsi" w:cstheme="minorHAnsi"/>
          <w:i/>
          <w:iCs/>
          <w:sz w:val="24"/>
          <w:szCs w:val="24"/>
        </w:rPr>
        <w:t>Transactional Analysis Bulletin (7)</w:t>
      </w:r>
      <w:r w:rsidRPr="00D50F56">
        <w:rPr>
          <w:rFonts w:asciiTheme="minorHAnsi" w:hAnsiTheme="minorHAnsi" w:cstheme="minorHAnsi"/>
          <w:sz w:val="24"/>
          <w:szCs w:val="24"/>
        </w:rPr>
        <w:t>26, pp. 39-43.</w:t>
      </w:r>
    </w:p>
    <w:p w14:paraId="78A311E8" w14:textId="77777777" w:rsidR="00AA72AF" w:rsidRPr="00D50F56" w:rsidRDefault="00AA72AF" w:rsidP="00AA72AF">
      <w:pPr>
        <w:rPr>
          <w:rFonts w:asciiTheme="minorHAnsi" w:hAnsiTheme="minorHAnsi" w:cstheme="minorHAnsi"/>
          <w:sz w:val="24"/>
          <w:szCs w:val="24"/>
        </w:rPr>
      </w:pPr>
    </w:p>
    <w:p w14:paraId="22F2F3F5" w14:textId="77777777" w:rsidR="00AA72AF" w:rsidRPr="00D50F56" w:rsidRDefault="00AA72AF" w:rsidP="00AA72AF">
      <w:pPr>
        <w:rPr>
          <w:rFonts w:asciiTheme="minorHAnsi" w:hAnsiTheme="minorHAnsi" w:cstheme="minorHAnsi"/>
          <w:color w:val="auto"/>
          <w:sz w:val="24"/>
          <w:szCs w:val="24"/>
        </w:rPr>
      </w:pPr>
      <w:proofErr w:type="spellStart"/>
      <w:r>
        <w:rPr>
          <w:rFonts w:cstheme="minorHAnsi"/>
          <w:sz w:val="24"/>
          <w:szCs w:val="24"/>
        </w:rPr>
        <w:lastRenderedPageBreak/>
        <w:t>Hensing</w:t>
      </w:r>
      <w:proofErr w:type="spellEnd"/>
      <w:r>
        <w:rPr>
          <w:rFonts w:cstheme="minorHAnsi"/>
          <w:sz w:val="24"/>
          <w:szCs w:val="24"/>
        </w:rPr>
        <w:t>, G. &amp; Alexanderson</w:t>
      </w:r>
      <w:r w:rsidRPr="00D50F56">
        <w:rPr>
          <w:rFonts w:asciiTheme="minorHAnsi" w:hAnsiTheme="minorHAnsi" w:cstheme="minorHAnsi"/>
          <w:color w:val="auto"/>
          <w:sz w:val="24"/>
          <w:szCs w:val="24"/>
        </w:rPr>
        <w:t xml:space="preserve">, K., 2000. The relation of adult experience of domestic harassment, violence, and sexual abuse to health and sickness absence. </w:t>
      </w:r>
      <w:r w:rsidRPr="00D50F56">
        <w:rPr>
          <w:rFonts w:asciiTheme="minorHAnsi" w:hAnsiTheme="minorHAnsi" w:cstheme="minorHAnsi"/>
          <w:i/>
          <w:iCs/>
          <w:color w:val="auto"/>
          <w:sz w:val="24"/>
          <w:szCs w:val="24"/>
        </w:rPr>
        <w:t xml:space="preserve">International Journal of </w:t>
      </w:r>
      <w:r w:rsidRPr="00D50F56">
        <w:rPr>
          <w:rFonts w:cstheme="minorHAnsi"/>
          <w:i/>
          <w:iCs/>
          <w:sz w:val="24"/>
          <w:szCs w:val="24"/>
        </w:rPr>
        <w:t>Behavioural</w:t>
      </w:r>
      <w:r w:rsidRPr="00D50F56">
        <w:rPr>
          <w:rFonts w:asciiTheme="minorHAnsi" w:hAnsiTheme="minorHAnsi" w:cstheme="minorHAnsi"/>
          <w:i/>
          <w:iCs/>
          <w:color w:val="auto"/>
          <w:sz w:val="24"/>
          <w:szCs w:val="24"/>
        </w:rPr>
        <w:t xml:space="preserve"> Medicine, </w:t>
      </w:r>
      <w:r w:rsidRPr="00D50F56">
        <w:rPr>
          <w:rFonts w:asciiTheme="minorHAnsi" w:hAnsiTheme="minorHAnsi" w:cstheme="minorHAnsi"/>
          <w:bCs/>
          <w:color w:val="auto"/>
          <w:sz w:val="24"/>
          <w:szCs w:val="24"/>
        </w:rPr>
        <w:t>7</w:t>
      </w:r>
      <w:r w:rsidRPr="00D50F56">
        <w:rPr>
          <w:rFonts w:asciiTheme="minorHAnsi" w:hAnsiTheme="minorHAnsi" w:cstheme="minorHAnsi"/>
          <w:color w:val="auto"/>
          <w:sz w:val="24"/>
          <w:szCs w:val="24"/>
        </w:rPr>
        <w:t>(1), pp. 1-18.</w:t>
      </w:r>
    </w:p>
    <w:p w14:paraId="5D85CF73" w14:textId="77777777" w:rsidR="00AA72AF" w:rsidRPr="00D50F56" w:rsidRDefault="00AA72AF" w:rsidP="00AA72AF">
      <w:pPr>
        <w:rPr>
          <w:rFonts w:asciiTheme="minorHAnsi" w:hAnsiTheme="minorHAnsi" w:cstheme="minorHAnsi"/>
          <w:sz w:val="24"/>
          <w:szCs w:val="24"/>
        </w:rPr>
      </w:pPr>
    </w:p>
    <w:p w14:paraId="7174599F" w14:textId="77777777" w:rsidR="00AA72AF" w:rsidRPr="00D50F56" w:rsidRDefault="00AA72AF" w:rsidP="00AA72AF">
      <w:pPr>
        <w:rPr>
          <w:rFonts w:asciiTheme="minorHAnsi" w:hAnsiTheme="minorHAnsi" w:cstheme="minorHAnsi"/>
          <w:sz w:val="24"/>
          <w:szCs w:val="24"/>
        </w:rPr>
      </w:pPr>
      <w:r>
        <w:rPr>
          <w:rFonts w:cstheme="minorHAnsi"/>
          <w:sz w:val="24"/>
          <w:szCs w:val="24"/>
        </w:rPr>
        <w:t>Linton, S. 1997</w:t>
      </w:r>
      <w:r w:rsidRPr="00D50F56">
        <w:rPr>
          <w:rFonts w:asciiTheme="minorHAnsi" w:hAnsiTheme="minorHAnsi" w:cstheme="minorHAnsi"/>
          <w:sz w:val="24"/>
          <w:szCs w:val="24"/>
        </w:rPr>
        <w:t xml:space="preserve">. A population-based study of the relationship between sexual abuse and back pain: Establishing a link. </w:t>
      </w:r>
      <w:r w:rsidRPr="00D50F56">
        <w:rPr>
          <w:rFonts w:asciiTheme="minorHAnsi" w:hAnsiTheme="minorHAnsi" w:cstheme="minorHAnsi"/>
          <w:i/>
          <w:iCs/>
          <w:sz w:val="24"/>
          <w:szCs w:val="24"/>
        </w:rPr>
        <w:t xml:space="preserve">Pain </w:t>
      </w:r>
      <w:r w:rsidRPr="00D50F56">
        <w:rPr>
          <w:rFonts w:asciiTheme="minorHAnsi" w:hAnsiTheme="minorHAnsi" w:cstheme="minorHAnsi"/>
          <w:iCs/>
          <w:sz w:val="24"/>
          <w:szCs w:val="24"/>
        </w:rPr>
        <w:t>(73)</w:t>
      </w:r>
      <w:r w:rsidRPr="00D50F56">
        <w:rPr>
          <w:rFonts w:asciiTheme="minorHAnsi" w:hAnsiTheme="minorHAnsi" w:cstheme="minorHAnsi"/>
          <w:i/>
          <w:iCs/>
          <w:sz w:val="24"/>
          <w:szCs w:val="24"/>
        </w:rPr>
        <w:t xml:space="preserve"> </w:t>
      </w:r>
      <w:r w:rsidRPr="00D50F56">
        <w:rPr>
          <w:rFonts w:asciiTheme="minorHAnsi" w:hAnsiTheme="minorHAnsi" w:cstheme="minorHAnsi"/>
          <w:iCs/>
          <w:sz w:val="24"/>
          <w:szCs w:val="24"/>
        </w:rPr>
        <w:t>pp.</w:t>
      </w:r>
      <w:r w:rsidRPr="00D50F56">
        <w:rPr>
          <w:rFonts w:asciiTheme="minorHAnsi" w:hAnsiTheme="minorHAnsi" w:cstheme="minorHAnsi"/>
          <w:sz w:val="24"/>
          <w:szCs w:val="24"/>
        </w:rPr>
        <w:t>47–53.</w:t>
      </w:r>
    </w:p>
    <w:p w14:paraId="179F29B7" w14:textId="77777777" w:rsidR="00AA72AF" w:rsidRPr="00D50F56" w:rsidRDefault="00AA72AF" w:rsidP="00AA72AF">
      <w:pPr>
        <w:rPr>
          <w:rFonts w:asciiTheme="minorHAnsi" w:hAnsiTheme="minorHAnsi" w:cstheme="minorHAnsi"/>
          <w:sz w:val="24"/>
          <w:szCs w:val="24"/>
        </w:rPr>
      </w:pPr>
    </w:p>
    <w:p w14:paraId="50101C2F" w14:textId="77777777" w:rsidR="00AA72AF" w:rsidRPr="00D50F56" w:rsidRDefault="00AA72AF" w:rsidP="00AA72AF">
      <w:pPr>
        <w:rPr>
          <w:rFonts w:asciiTheme="minorHAnsi" w:hAnsiTheme="minorHAnsi" w:cstheme="minorHAnsi"/>
          <w:sz w:val="24"/>
          <w:szCs w:val="24"/>
        </w:rPr>
      </w:pPr>
      <w:r>
        <w:rPr>
          <w:rStyle w:val="selectable"/>
          <w:rFonts w:cstheme="minorHAnsi"/>
          <w:sz w:val="24"/>
          <w:szCs w:val="24"/>
        </w:rPr>
        <w:t xml:space="preserve">Cps.gov.uk. </w:t>
      </w:r>
      <w:r w:rsidRPr="00D50F56">
        <w:rPr>
          <w:rStyle w:val="selectable"/>
          <w:rFonts w:asciiTheme="minorHAnsi" w:hAnsiTheme="minorHAnsi" w:cstheme="minorHAnsi"/>
          <w:sz w:val="24"/>
          <w:szCs w:val="24"/>
        </w:rPr>
        <w:t xml:space="preserve">2019. </w:t>
      </w:r>
      <w:r w:rsidRPr="00D50F56">
        <w:rPr>
          <w:rStyle w:val="selectable"/>
          <w:rFonts w:asciiTheme="minorHAnsi" w:hAnsiTheme="minorHAnsi" w:cstheme="minorHAnsi"/>
          <w:i/>
          <w:iCs/>
          <w:sz w:val="24"/>
          <w:szCs w:val="24"/>
        </w:rPr>
        <w:t xml:space="preserve">Controlling or Coercive Behaviour in an Intimate or Family Relationship | </w:t>
      </w:r>
      <w:proofErr w:type="gramStart"/>
      <w:r w:rsidRPr="00D50F56">
        <w:rPr>
          <w:rStyle w:val="selectable"/>
          <w:rFonts w:asciiTheme="minorHAnsi" w:hAnsiTheme="minorHAnsi" w:cstheme="minorHAnsi"/>
          <w:i/>
          <w:iCs/>
          <w:sz w:val="24"/>
          <w:szCs w:val="24"/>
        </w:rPr>
        <w:t>The</w:t>
      </w:r>
      <w:proofErr w:type="gramEnd"/>
      <w:r w:rsidRPr="00D50F56">
        <w:rPr>
          <w:rStyle w:val="selectable"/>
          <w:rFonts w:asciiTheme="minorHAnsi" w:hAnsiTheme="minorHAnsi" w:cstheme="minorHAnsi"/>
          <w:i/>
          <w:iCs/>
          <w:sz w:val="24"/>
          <w:szCs w:val="24"/>
        </w:rPr>
        <w:t xml:space="preserve"> Crown Prosecution Service</w:t>
      </w:r>
      <w:r w:rsidRPr="00D50F56">
        <w:rPr>
          <w:rStyle w:val="selectable"/>
          <w:rFonts w:asciiTheme="minorHAnsi" w:hAnsiTheme="minorHAnsi" w:cstheme="minorHAnsi"/>
          <w:sz w:val="24"/>
          <w:szCs w:val="24"/>
        </w:rPr>
        <w:t>. [</w:t>
      </w:r>
      <w:proofErr w:type="gramStart"/>
      <w:r w:rsidRPr="00D50F56">
        <w:rPr>
          <w:rStyle w:val="selectable"/>
          <w:rFonts w:asciiTheme="minorHAnsi" w:hAnsiTheme="minorHAnsi" w:cstheme="minorHAnsi"/>
          <w:sz w:val="24"/>
          <w:szCs w:val="24"/>
        </w:rPr>
        <w:t>online</w:t>
      </w:r>
      <w:proofErr w:type="gramEnd"/>
      <w:r w:rsidRPr="00D50F56">
        <w:rPr>
          <w:rStyle w:val="selectable"/>
          <w:rFonts w:asciiTheme="minorHAnsi" w:hAnsiTheme="minorHAnsi" w:cstheme="minorHAnsi"/>
          <w:sz w:val="24"/>
          <w:szCs w:val="24"/>
        </w:rPr>
        <w:t>] Available at: https://www.cps.gov.uk/legal-guidance/controlling-or-coercive-behaviour-intimate-or-family-relationship [Accessed 24 Dec. 2019].</w:t>
      </w:r>
    </w:p>
    <w:p w14:paraId="15161496" w14:textId="77777777" w:rsidR="00AA72AF" w:rsidRPr="00D50F56" w:rsidRDefault="00AA72AF" w:rsidP="00AA72AF">
      <w:pPr>
        <w:rPr>
          <w:rFonts w:asciiTheme="minorHAnsi" w:hAnsiTheme="minorHAnsi" w:cstheme="minorHAnsi"/>
          <w:sz w:val="24"/>
          <w:szCs w:val="24"/>
        </w:rPr>
      </w:pPr>
    </w:p>
    <w:p w14:paraId="0B208C59" w14:textId="77777777" w:rsidR="00AA72AF" w:rsidRPr="00D50F56" w:rsidRDefault="00AA72AF" w:rsidP="00AA72AF">
      <w:pPr>
        <w:rPr>
          <w:rFonts w:asciiTheme="minorHAnsi" w:hAnsiTheme="minorHAnsi" w:cstheme="minorHAnsi"/>
          <w:sz w:val="24"/>
          <w:szCs w:val="24"/>
        </w:rPr>
      </w:pPr>
      <w:proofErr w:type="spellStart"/>
      <w:r w:rsidRPr="00D50F56">
        <w:rPr>
          <w:rFonts w:asciiTheme="minorHAnsi" w:hAnsiTheme="minorHAnsi" w:cstheme="minorHAnsi"/>
          <w:sz w:val="24"/>
          <w:szCs w:val="24"/>
        </w:rPr>
        <w:t>Mastrocinque</w:t>
      </w:r>
      <w:proofErr w:type="spellEnd"/>
      <w:r w:rsidRPr="00D50F56">
        <w:rPr>
          <w:rFonts w:asciiTheme="minorHAnsi" w:hAnsiTheme="minorHAnsi" w:cstheme="minorHAnsi"/>
          <w:sz w:val="24"/>
          <w:szCs w:val="24"/>
        </w:rPr>
        <w:t xml:space="preserve">, </w:t>
      </w:r>
      <w:proofErr w:type="spellStart"/>
      <w:r w:rsidRPr="00D50F56">
        <w:rPr>
          <w:rFonts w:asciiTheme="minorHAnsi" w:hAnsiTheme="minorHAnsi" w:cstheme="minorHAnsi"/>
          <w:sz w:val="24"/>
          <w:szCs w:val="24"/>
        </w:rPr>
        <w:t>Jeanna</w:t>
      </w:r>
      <w:proofErr w:type="spellEnd"/>
      <w:r w:rsidRPr="00D50F56">
        <w:rPr>
          <w:rFonts w:asciiTheme="minorHAnsi" w:hAnsiTheme="minorHAnsi" w:cstheme="minorHAnsi"/>
          <w:sz w:val="24"/>
          <w:szCs w:val="24"/>
        </w:rPr>
        <w:t xml:space="preserve"> M. 2014 Victim Personal Statements: An Analysis of Notification and Utilization. </w:t>
      </w:r>
      <w:r w:rsidRPr="00D50F56">
        <w:rPr>
          <w:rFonts w:asciiTheme="minorHAnsi" w:hAnsiTheme="minorHAnsi" w:cstheme="minorHAnsi"/>
          <w:i/>
          <w:iCs/>
          <w:sz w:val="24"/>
          <w:szCs w:val="24"/>
        </w:rPr>
        <w:t>Criminology &amp; Criminal Justice</w:t>
      </w:r>
      <w:r>
        <w:rPr>
          <w:rFonts w:cstheme="minorHAnsi"/>
          <w:sz w:val="24"/>
          <w:szCs w:val="24"/>
        </w:rPr>
        <w:t xml:space="preserve"> 14(</w:t>
      </w:r>
      <w:r w:rsidRPr="00D50F56">
        <w:rPr>
          <w:rFonts w:asciiTheme="minorHAnsi" w:hAnsiTheme="minorHAnsi" w:cstheme="minorHAnsi"/>
          <w:sz w:val="24"/>
          <w:szCs w:val="24"/>
        </w:rPr>
        <w:t>2</w:t>
      </w:r>
      <w:r>
        <w:rPr>
          <w:rFonts w:cstheme="minorHAnsi"/>
          <w:sz w:val="24"/>
          <w:szCs w:val="24"/>
        </w:rPr>
        <w:t>)</w:t>
      </w:r>
      <w:r w:rsidRPr="00D50F56">
        <w:rPr>
          <w:rFonts w:asciiTheme="minorHAnsi" w:hAnsiTheme="minorHAnsi" w:cstheme="minorHAnsi"/>
          <w:sz w:val="24"/>
          <w:szCs w:val="24"/>
        </w:rPr>
        <w:t xml:space="preserve"> pp16-34. </w:t>
      </w:r>
    </w:p>
    <w:p w14:paraId="7AB4DB3D" w14:textId="77777777" w:rsidR="00AA72AF" w:rsidRPr="00D50F56" w:rsidRDefault="00AA72AF" w:rsidP="00AA72AF">
      <w:pPr>
        <w:rPr>
          <w:rFonts w:asciiTheme="minorHAnsi" w:hAnsiTheme="minorHAnsi" w:cstheme="minorHAnsi"/>
          <w:sz w:val="24"/>
          <w:szCs w:val="24"/>
        </w:rPr>
      </w:pPr>
    </w:p>
    <w:p w14:paraId="074BBA1C" w14:textId="77777777" w:rsidR="00AA72AF" w:rsidRPr="00D50F56" w:rsidRDefault="00AA72AF" w:rsidP="00AA72AF">
      <w:pPr>
        <w:spacing w:before="100" w:after="100"/>
        <w:rPr>
          <w:rFonts w:asciiTheme="minorHAnsi" w:hAnsiTheme="minorHAnsi" w:cstheme="minorHAnsi"/>
          <w:sz w:val="24"/>
          <w:szCs w:val="24"/>
        </w:rPr>
      </w:pPr>
      <w:proofErr w:type="spellStart"/>
      <w:r w:rsidRPr="00D50F56">
        <w:rPr>
          <w:rFonts w:asciiTheme="minorHAnsi" w:hAnsiTheme="minorHAnsi" w:cstheme="minorHAnsi"/>
          <w:sz w:val="24"/>
          <w:szCs w:val="24"/>
        </w:rPr>
        <w:t>Boivin</w:t>
      </w:r>
      <w:proofErr w:type="spellEnd"/>
      <w:r w:rsidRPr="00D50F56">
        <w:rPr>
          <w:rFonts w:asciiTheme="minorHAnsi" w:hAnsiTheme="minorHAnsi" w:cstheme="minorHAnsi"/>
          <w:sz w:val="24"/>
          <w:szCs w:val="24"/>
        </w:rPr>
        <w:t xml:space="preserve">, R. &amp; </w:t>
      </w:r>
      <w:proofErr w:type="spellStart"/>
      <w:r w:rsidRPr="00D50F56">
        <w:rPr>
          <w:rFonts w:asciiTheme="minorHAnsi" w:hAnsiTheme="minorHAnsi" w:cstheme="minorHAnsi"/>
          <w:sz w:val="24"/>
          <w:szCs w:val="24"/>
        </w:rPr>
        <w:t>Cordeau</w:t>
      </w:r>
      <w:proofErr w:type="spellEnd"/>
      <w:r w:rsidRPr="00D50F56">
        <w:rPr>
          <w:rFonts w:asciiTheme="minorHAnsi" w:hAnsiTheme="minorHAnsi" w:cstheme="minorHAnsi"/>
          <w:sz w:val="24"/>
          <w:szCs w:val="24"/>
        </w:rPr>
        <w:t xml:space="preserve">, G., 2011. Measuring the Impact of Police Discretion on Official Crime Statistics: A Research Note. </w:t>
      </w:r>
      <w:r w:rsidRPr="00D50F56">
        <w:rPr>
          <w:rFonts w:asciiTheme="minorHAnsi" w:hAnsiTheme="minorHAnsi" w:cstheme="minorHAnsi"/>
          <w:i/>
          <w:iCs/>
          <w:sz w:val="24"/>
          <w:szCs w:val="24"/>
        </w:rPr>
        <w:t>Police Quarterly</w:t>
      </w:r>
      <w:r w:rsidRPr="00D50F56">
        <w:rPr>
          <w:rFonts w:asciiTheme="minorHAnsi" w:hAnsiTheme="minorHAnsi" w:cstheme="minorHAnsi"/>
          <w:sz w:val="24"/>
          <w:szCs w:val="24"/>
        </w:rPr>
        <w:t>, 14(2), pp.186–203</w:t>
      </w:r>
    </w:p>
    <w:p w14:paraId="7F2F7CE4" w14:textId="77777777" w:rsidR="00AA72AF" w:rsidRPr="00D50F56" w:rsidRDefault="00AA72AF" w:rsidP="00AA72AF">
      <w:pPr>
        <w:rPr>
          <w:rFonts w:asciiTheme="minorHAnsi" w:hAnsiTheme="minorHAnsi" w:cstheme="minorHAnsi"/>
          <w:sz w:val="24"/>
          <w:szCs w:val="24"/>
        </w:rPr>
      </w:pPr>
    </w:p>
    <w:p w14:paraId="5BD723EC" w14:textId="77777777" w:rsidR="00AA72AF" w:rsidRPr="00D50F56" w:rsidRDefault="00AA72AF" w:rsidP="00AA72AF">
      <w:pPr>
        <w:rPr>
          <w:rFonts w:asciiTheme="minorHAnsi" w:hAnsiTheme="minorHAnsi" w:cstheme="minorHAnsi"/>
          <w:color w:val="3A3A3A"/>
          <w:sz w:val="24"/>
          <w:szCs w:val="24"/>
        </w:rPr>
      </w:pPr>
      <w:proofErr w:type="spellStart"/>
      <w:r w:rsidRPr="00D50F56">
        <w:rPr>
          <w:rFonts w:asciiTheme="minorHAnsi" w:hAnsiTheme="minorHAnsi" w:cstheme="minorHAnsi"/>
          <w:color w:val="3A3A3A"/>
          <w:sz w:val="24"/>
          <w:szCs w:val="24"/>
        </w:rPr>
        <w:t>Schulenberg</w:t>
      </w:r>
      <w:proofErr w:type="spellEnd"/>
      <w:r w:rsidRPr="00D50F56">
        <w:rPr>
          <w:rFonts w:asciiTheme="minorHAnsi" w:hAnsiTheme="minorHAnsi" w:cstheme="minorHAnsi"/>
          <w:color w:val="3A3A3A"/>
          <w:sz w:val="24"/>
          <w:szCs w:val="24"/>
        </w:rPr>
        <w:t xml:space="preserve">, J.L., 2015. Moving Beyond Arrest and </w:t>
      </w:r>
      <w:proofErr w:type="spellStart"/>
      <w:r w:rsidRPr="00D50F56">
        <w:rPr>
          <w:rFonts w:asciiTheme="minorHAnsi" w:hAnsiTheme="minorHAnsi" w:cstheme="minorHAnsi"/>
          <w:color w:val="3A3A3A"/>
          <w:sz w:val="24"/>
          <w:szCs w:val="24"/>
        </w:rPr>
        <w:t>Reconceptualizing</w:t>
      </w:r>
      <w:proofErr w:type="spellEnd"/>
      <w:r w:rsidRPr="00D50F56">
        <w:rPr>
          <w:rFonts w:asciiTheme="minorHAnsi" w:hAnsiTheme="minorHAnsi" w:cstheme="minorHAnsi"/>
          <w:color w:val="3A3A3A"/>
          <w:sz w:val="24"/>
          <w:szCs w:val="24"/>
        </w:rPr>
        <w:t xml:space="preserve"> Police Discretion: An Investigation </w:t>
      </w:r>
      <w:proofErr w:type="gramStart"/>
      <w:r w:rsidRPr="00D50F56">
        <w:rPr>
          <w:rFonts w:asciiTheme="minorHAnsi" w:hAnsiTheme="minorHAnsi" w:cstheme="minorHAnsi"/>
          <w:color w:val="3A3A3A"/>
          <w:sz w:val="24"/>
          <w:szCs w:val="24"/>
        </w:rPr>
        <w:t>Into</w:t>
      </w:r>
      <w:proofErr w:type="gramEnd"/>
      <w:r w:rsidRPr="00D50F56">
        <w:rPr>
          <w:rFonts w:asciiTheme="minorHAnsi" w:hAnsiTheme="minorHAnsi" w:cstheme="minorHAnsi"/>
          <w:color w:val="3A3A3A"/>
          <w:sz w:val="24"/>
          <w:szCs w:val="24"/>
        </w:rPr>
        <w:t xml:space="preserve"> the Factors Affecting Conversation, Assistance, and Criminal Charges. </w:t>
      </w:r>
      <w:r w:rsidRPr="00D50F56">
        <w:rPr>
          <w:rFonts w:asciiTheme="minorHAnsi" w:hAnsiTheme="minorHAnsi" w:cstheme="minorHAnsi"/>
          <w:i/>
          <w:iCs/>
          <w:color w:val="3A3A3A"/>
          <w:sz w:val="24"/>
          <w:szCs w:val="24"/>
        </w:rPr>
        <w:t>Police Quarterly</w:t>
      </w:r>
      <w:r w:rsidRPr="00D50F56">
        <w:rPr>
          <w:rFonts w:asciiTheme="minorHAnsi" w:hAnsiTheme="minorHAnsi" w:cstheme="minorHAnsi"/>
          <w:color w:val="3A3A3A"/>
          <w:sz w:val="24"/>
          <w:szCs w:val="24"/>
        </w:rPr>
        <w:t>, 18(3), pp.244–271.</w:t>
      </w:r>
    </w:p>
    <w:p w14:paraId="678A008E" w14:textId="77777777" w:rsidR="00AA72AF" w:rsidRPr="00D50F56" w:rsidRDefault="00AA72AF" w:rsidP="00AA72AF">
      <w:pPr>
        <w:rPr>
          <w:rFonts w:asciiTheme="minorHAnsi" w:hAnsiTheme="minorHAnsi" w:cstheme="minorHAnsi"/>
          <w:color w:val="3A3A3A"/>
          <w:sz w:val="24"/>
          <w:szCs w:val="24"/>
        </w:rPr>
      </w:pPr>
    </w:p>
    <w:p w14:paraId="34443009" w14:textId="77777777" w:rsidR="00AA72AF" w:rsidRDefault="00AA72AF" w:rsidP="00AA72AF">
      <w:pPr>
        <w:rPr>
          <w:rFonts w:cstheme="minorHAnsi"/>
          <w:sz w:val="24"/>
          <w:szCs w:val="24"/>
        </w:rPr>
      </w:pPr>
      <w:r w:rsidRPr="00D50F56">
        <w:rPr>
          <w:rFonts w:asciiTheme="minorHAnsi" w:hAnsiTheme="minorHAnsi" w:cstheme="minorHAnsi"/>
          <w:sz w:val="24"/>
          <w:szCs w:val="24"/>
        </w:rPr>
        <w:t>Balta, H., 2015. Unconscious Bias. Public Relations Tactics, 22(11), p.16.</w:t>
      </w:r>
    </w:p>
    <w:p w14:paraId="36F3AB0D" w14:textId="77777777" w:rsidR="00AA72AF" w:rsidRPr="00D50F56" w:rsidRDefault="00AA72AF" w:rsidP="00AA72AF">
      <w:pPr>
        <w:rPr>
          <w:rFonts w:asciiTheme="minorHAnsi" w:hAnsiTheme="minorHAnsi" w:cstheme="minorHAnsi"/>
          <w:sz w:val="24"/>
          <w:szCs w:val="24"/>
        </w:rPr>
      </w:pPr>
    </w:p>
    <w:p w14:paraId="3CF5ED23" w14:textId="77777777" w:rsidR="00AA72AF" w:rsidRPr="00D50F56" w:rsidRDefault="00AA72AF" w:rsidP="00AA72AF">
      <w:pPr>
        <w:rPr>
          <w:rFonts w:asciiTheme="minorHAnsi" w:hAnsiTheme="minorHAnsi" w:cstheme="minorHAnsi"/>
          <w:sz w:val="24"/>
          <w:szCs w:val="24"/>
        </w:rPr>
      </w:pPr>
      <w:r w:rsidRPr="00D50F56">
        <w:rPr>
          <w:rFonts w:asciiTheme="minorHAnsi" w:hAnsiTheme="minorHAnsi" w:cstheme="minorHAnsi"/>
          <w:sz w:val="24"/>
          <w:szCs w:val="24"/>
        </w:rPr>
        <w:t>Means, R. &amp; Thompson, P., 2016. Implicit Bias in Policing: Part One: Explicit versus implicit bias. Law &amp; Order, 64(7), pp.10–11.</w:t>
      </w:r>
    </w:p>
    <w:p w14:paraId="250CF227" w14:textId="4A0CF510"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4E792DBD" w:rsidR="00AC4637" w:rsidRPr="005D583E" w:rsidRDefault="00AA72AF"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 xml:space="preserve">Signed:  </w:t>
      </w:r>
      <w:proofErr w:type="spellStart"/>
      <w:r>
        <w:rPr>
          <w:rFonts w:ascii="Bradley Hand ITC" w:hAnsi="Bradley Hand ITC"/>
          <w:sz w:val="24"/>
          <w:szCs w:val="24"/>
        </w:rPr>
        <w:t>J.Etherington</w:t>
      </w:r>
      <w:proofErr w:type="spellEnd"/>
      <w:r w:rsidR="00AC4637" w:rsidRPr="005D583E">
        <w:rPr>
          <w:sz w:val="24"/>
          <w:szCs w:val="24"/>
        </w:rPr>
        <w:t xml:space="preserve">  </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333B5FF9" w:rsidR="00AC4637" w:rsidRPr="005D583E" w:rsidRDefault="00AA72AF"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Date:  05/01/2020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EA55C6">
          <w:headerReference w:type="even" r:id="rId24"/>
          <w:headerReference w:type="default" r:id="rId25"/>
          <w:footerReference w:type="even" r:id="rId26"/>
          <w:footerReference w:type="default" r:id="rId27"/>
          <w:headerReference w:type="first" r:id="rId28"/>
          <w:footerReference w:type="first" r:id="rId29"/>
          <w:pgSz w:w="11906" w:h="16838" w:code="9"/>
          <w:pgMar w:top="1021" w:right="1080" w:bottom="1021" w:left="1080" w:header="720" w:footer="720" w:gutter="0"/>
          <w:cols w:space="720"/>
          <w:titlePg/>
          <w:docGrid w:linePitch="272"/>
        </w:sectPr>
      </w:pPr>
    </w:p>
    <w:p w14:paraId="24844E53" w14:textId="4ECA2887" w:rsidR="28A9B94D" w:rsidRDefault="002C24FD" w:rsidP="28A9B94D">
      <w:r>
        <w:rPr>
          <w:noProof/>
          <w:sz w:val="24"/>
          <w:szCs w:val="24"/>
        </w:rPr>
        <w:lastRenderedPageBreak/>
        <w:drawing>
          <wp:inline distT="0" distB="0" distL="0" distR="0" wp14:anchorId="3CDED495" wp14:editId="7F344082">
            <wp:extent cx="6188710" cy="9332103"/>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88710" cy="9332103"/>
                    </a:xfrm>
                    <a:prstGeom prst="rect">
                      <a:avLst/>
                    </a:prstGeom>
                    <a:noFill/>
                    <a:ln>
                      <a:noFill/>
                    </a:ln>
                  </pic:spPr>
                </pic:pic>
              </a:graphicData>
            </a:graphic>
          </wp:inline>
        </w:drawing>
      </w:r>
    </w:p>
    <w:sectPr w:rsidR="28A9B94D" w:rsidSect="00EA55C6">
      <w:headerReference w:type="even" r:id="rId31"/>
      <w:headerReference w:type="default" r:id="rId32"/>
      <w:footerReference w:type="even" r:id="rId33"/>
      <w:footerReference w:type="default" r:id="rId34"/>
      <w:headerReference w:type="first" r:id="rId35"/>
      <w:footerReference w:type="first" r:id="rId36"/>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076EC7" w:rsidRDefault="00076EC7">
      <w:r>
        <w:separator/>
      </w:r>
    </w:p>
  </w:endnote>
  <w:endnote w:type="continuationSeparator" w:id="0">
    <w:p w14:paraId="1B867723" w14:textId="77777777" w:rsidR="00076EC7" w:rsidRDefault="00076E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Bradley Hand ITC">
    <w:panose1 w:val="03070402050302030203"/>
    <w:charset w:val="00"/>
    <w:family w:val="script"/>
    <w:pitch w:val="variable"/>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1DFD10" w14:textId="683A4E3B" w:rsidR="00076EC7" w:rsidRDefault="00076EC7" w:rsidP="00112138">
    <w:pPr>
      <w:pStyle w:val="Footer"/>
      <w:rPr>
        <w:sz w:val="17"/>
      </w:rPr>
    </w:pPr>
    <w:bookmarkStart w:id="2" w:name="TITUS1FooterEvenPages"/>
    <w:r>
      <w:rPr>
        <w:sz w:val="17"/>
      </w:rPr>
      <w:t> </w:t>
    </w:r>
  </w:p>
  <w:bookmarkEnd w:id="2"/>
  <w:p w14:paraId="3D6195FD" w14:textId="368CBD88" w:rsidR="00076EC7" w:rsidRDefault="00076EC7" w:rsidP="00EA55C6">
    <w:pPr>
      <w:pStyle w:val="Footer"/>
      <w:jc w:val="right"/>
    </w:pPr>
    <w:r>
      <w:fldChar w:fldCharType="begin"/>
    </w:r>
    <w:r>
      <w:instrText xml:space="preserve"> PAGE   \* MERGEFORMAT </w:instrText>
    </w:r>
    <w:r>
      <w:fldChar w:fldCharType="separate"/>
    </w:r>
    <w:r w:rsidR="00A641B0">
      <w:rPr>
        <w:noProof/>
      </w:rPr>
      <w:t>2</w:t>
    </w:r>
    <w:r>
      <w:rPr>
        <w:noProof/>
      </w:rPr>
      <w:fldChar w:fldCharType="end"/>
    </w:r>
  </w:p>
  <w:p w14:paraId="63C3D6E3" w14:textId="77777777" w:rsidR="00076EC7" w:rsidRPr="00BB5EAA" w:rsidRDefault="00076EC7" w:rsidP="00EA55C6">
    <w:pPr>
      <w:pStyle w:val="Footer"/>
      <w:ind w:right="360"/>
      <w:jc w:val="center"/>
    </w:pPr>
  </w:p>
  <w:p w14:paraId="7F598F90" w14:textId="77777777" w:rsidR="00076EC7" w:rsidRDefault="00076E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FDA316" w14:textId="165D406E" w:rsidR="00076EC7" w:rsidRDefault="00076EC7" w:rsidP="00112138">
    <w:pPr>
      <w:pStyle w:val="Footer"/>
      <w:rPr>
        <w:sz w:val="17"/>
      </w:rPr>
    </w:pPr>
    <w:bookmarkStart w:id="3" w:name="TITUS1FooterPrimary"/>
    <w:r>
      <w:rPr>
        <w:sz w:val="17"/>
      </w:rPr>
      <w:t> </w:t>
    </w:r>
  </w:p>
  <w:bookmarkEnd w:id="3"/>
  <w:p w14:paraId="50521BFA" w14:textId="5F27C0BA" w:rsidR="00076EC7" w:rsidRDefault="00076EC7">
    <w:pPr>
      <w:pStyle w:val="Footer"/>
      <w:jc w:val="right"/>
    </w:pPr>
    <w:r>
      <w:fldChar w:fldCharType="begin"/>
    </w:r>
    <w:r>
      <w:instrText xml:space="preserve"> PAGE   \* MERGEFORMAT </w:instrText>
    </w:r>
    <w:r>
      <w:fldChar w:fldCharType="separate"/>
    </w:r>
    <w:r w:rsidR="00A641B0">
      <w:rPr>
        <w:noProof/>
      </w:rPr>
      <w:t>7</w:t>
    </w:r>
    <w:r>
      <w:rPr>
        <w:noProof/>
      </w:rPr>
      <w:fldChar w:fldCharType="end"/>
    </w:r>
  </w:p>
  <w:p w14:paraId="790812FF" w14:textId="77777777" w:rsidR="00076EC7" w:rsidRPr="00BB5EAA" w:rsidRDefault="00076EC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3DA770" w14:textId="043BA576" w:rsidR="00076EC7" w:rsidRDefault="00076EC7" w:rsidP="00112138">
    <w:pPr>
      <w:pStyle w:val="Footer"/>
      <w:rPr>
        <w:sz w:val="17"/>
      </w:rPr>
    </w:pPr>
    <w:bookmarkStart w:id="5" w:name="TITUS1FooterFirstPage"/>
    <w:r>
      <w:rPr>
        <w:sz w:val="17"/>
      </w:rPr>
      <w:t> </w:t>
    </w:r>
  </w:p>
  <w:bookmarkEnd w:id="5"/>
  <w:p w14:paraId="6AA68FA6" w14:textId="56D3FC9E" w:rsidR="00076EC7" w:rsidRDefault="00076EC7" w:rsidP="00EA55C6">
    <w:pPr>
      <w:pStyle w:val="Footer"/>
      <w:jc w:val="right"/>
    </w:pPr>
    <w:r>
      <w:fldChar w:fldCharType="begin"/>
    </w:r>
    <w:r>
      <w:instrText xml:space="preserve"> PAGE   \* MERGEFORMAT </w:instrText>
    </w:r>
    <w:r>
      <w:fldChar w:fldCharType="separate"/>
    </w:r>
    <w:r w:rsidR="00A641B0">
      <w:rPr>
        <w:noProof/>
      </w:rPr>
      <w:t>1</w:t>
    </w:r>
    <w:r>
      <w:rPr>
        <w:noProof/>
      </w:rPr>
      <w:fldChar w:fldCharType="end"/>
    </w:r>
  </w:p>
  <w:p w14:paraId="12E1D156" w14:textId="77777777" w:rsidR="00076EC7" w:rsidRPr="00BB5EAA" w:rsidRDefault="00076EC7" w:rsidP="00EA55C6">
    <w:pPr>
      <w:pStyle w:val="Footer"/>
      <w:ind w:right="360"/>
      <w:jc w:val="center"/>
    </w:pPr>
  </w:p>
  <w:p w14:paraId="0663B734" w14:textId="77777777" w:rsidR="00076EC7" w:rsidRDefault="00076EC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2E2CA" w14:textId="7CC732D5" w:rsidR="00076EC7" w:rsidRDefault="00076EC7" w:rsidP="00112138">
    <w:pPr>
      <w:pStyle w:val="Footer"/>
      <w:rPr>
        <w:sz w:val="17"/>
      </w:rPr>
    </w:pPr>
    <w:bookmarkStart w:id="9" w:name="TITUS2FooterEvenPages"/>
    <w:r>
      <w:rPr>
        <w:sz w:val="17"/>
      </w:rPr>
      <w:t> </w:t>
    </w:r>
  </w:p>
  <w:bookmarkEnd w:id="9"/>
  <w:p w14:paraId="43E7E34C" w14:textId="77777777" w:rsidR="00076EC7" w:rsidRDefault="00076EC7" w:rsidP="00EA55C6">
    <w:pPr>
      <w:pStyle w:val="Footer"/>
      <w:jc w:val="right"/>
    </w:pPr>
  </w:p>
  <w:p w14:paraId="450362CF" w14:textId="2B81BC55" w:rsidR="00076EC7" w:rsidRDefault="00076EC7" w:rsidP="00EA55C6">
    <w:pPr>
      <w:pStyle w:val="Footer"/>
      <w:jc w:val="right"/>
    </w:pPr>
    <w:r>
      <w:fldChar w:fldCharType="begin"/>
    </w:r>
    <w:r>
      <w:instrText xml:space="preserve"> PAGE   \* MERGEFORMAT </w:instrText>
    </w:r>
    <w:r>
      <w:fldChar w:fldCharType="separate"/>
    </w:r>
    <w:r w:rsidR="00A641B0">
      <w:rPr>
        <w:noProof/>
      </w:rPr>
      <w:t>20</w:t>
    </w:r>
    <w:r>
      <w:rPr>
        <w:noProof/>
      </w:rPr>
      <w:fldChar w:fldCharType="end"/>
    </w:r>
  </w:p>
  <w:p w14:paraId="2DF269C1" w14:textId="77777777" w:rsidR="00076EC7" w:rsidRPr="00BB5EAA" w:rsidRDefault="00076EC7" w:rsidP="00EA55C6">
    <w:pPr>
      <w:pStyle w:val="Footer"/>
      <w:ind w:right="360"/>
      <w:jc w:val="center"/>
    </w:pPr>
  </w:p>
  <w:p w14:paraId="47CFE0B0" w14:textId="77777777" w:rsidR="00076EC7" w:rsidRDefault="00076EC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C55A3D" w14:textId="43416568" w:rsidR="00076EC7" w:rsidRDefault="00076EC7" w:rsidP="00112138">
    <w:pPr>
      <w:pStyle w:val="Footer"/>
      <w:rPr>
        <w:sz w:val="17"/>
      </w:rPr>
    </w:pPr>
    <w:bookmarkStart w:id="10" w:name="TITUS2FooterPrimary"/>
    <w:r>
      <w:rPr>
        <w:sz w:val="17"/>
      </w:rPr>
      <w:t> </w:t>
    </w:r>
  </w:p>
  <w:bookmarkEnd w:id="10"/>
  <w:p w14:paraId="2CA1030E" w14:textId="77777777" w:rsidR="00076EC7" w:rsidRDefault="00076EC7">
    <w:pPr>
      <w:pStyle w:val="Footer"/>
      <w:jc w:val="right"/>
    </w:pPr>
  </w:p>
  <w:p w14:paraId="38237EC6" w14:textId="43CF3705" w:rsidR="00076EC7" w:rsidRDefault="00076EC7">
    <w:pPr>
      <w:pStyle w:val="Footer"/>
      <w:jc w:val="right"/>
    </w:pPr>
    <w:r>
      <w:fldChar w:fldCharType="begin"/>
    </w:r>
    <w:r>
      <w:instrText xml:space="preserve"> PAGE   \* MERGEFORMAT </w:instrText>
    </w:r>
    <w:r>
      <w:fldChar w:fldCharType="separate"/>
    </w:r>
    <w:r w:rsidR="00A641B0">
      <w:rPr>
        <w:noProof/>
      </w:rPr>
      <w:t>21</w:t>
    </w:r>
    <w:r>
      <w:rPr>
        <w:noProof/>
      </w:rPr>
      <w:fldChar w:fldCharType="end"/>
    </w:r>
  </w:p>
  <w:p w14:paraId="44C34502" w14:textId="77777777" w:rsidR="00076EC7" w:rsidRPr="00BB5EAA" w:rsidRDefault="00076EC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1E0614" w14:textId="501D2B27" w:rsidR="00076EC7" w:rsidRDefault="00076EC7" w:rsidP="00112138">
    <w:pPr>
      <w:pStyle w:val="Footer"/>
      <w:rPr>
        <w:sz w:val="17"/>
      </w:rPr>
    </w:pPr>
    <w:bookmarkStart w:id="12" w:name="TITUS2FooterFirstPage"/>
    <w:r>
      <w:rPr>
        <w:sz w:val="17"/>
      </w:rPr>
      <w:t> </w:t>
    </w:r>
  </w:p>
  <w:bookmarkEnd w:id="12"/>
  <w:p w14:paraId="1DF996CA" w14:textId="77777777" w:rsidR="00076EC7" w:rsidRDefault="00076EC7" w:rsidP="00EA55C6">
    <w:pPr>
      <w:pStyle w:val="Footer"/>
      <w:jc w:val="right"/>
    </w:pPr>
  </w:p>
  <w:p w14:paraId="78DC3016" w14:textId="19719077" w:rsidR="00076EC7" w:rsidRDefault="00076EC7" w:rsidP="00EA55C6">
    <w:pPr>
      <w:pStyle w:val="Footer"/>
      <w:jc w:val="right"/>
    </w:pPr>
    <w:r>
      <w:fldChar w:fldCharType="begin"/>
    </w:r>
    <w:r>
      <w:instrText xml:space="preserve"> PAGE   \* MERGEFORMAT </w:instrText>
    </w:r>
    <w:r>
      <w:fldChar w:fldCharType="separate"/>
    </w:r>
    <w:r w:rsidR="00A641B0">
      <w:rPr>
        <w:noProof/>
      </w:rPr>
      <w:t>9</w:t>
    </w:r>
    <w:r>
      <w:rPr>
        <w:noProof/>
      </w:rPr>
      <w:fldChar w:fldCharType="end"/>
    </w:r>
  </w:p>
  <w:p w14:paraId="322DC1E4" w14:textId="77777777" w:rsidR="00076EC7" w:rsidRPr="00BB5EAA" w:rsidRDefault="00076EC7" w:rsidP="00EA55C6">
    <w:pPr>
      <w:pStyle w:val="Footer"/>
      <w:ind w:right="360"/>
      <w:jc w:val="center"/>
    </w:pPr>
  </w:p>
  <w:p w14:paraId="4F2EBA70" w14:textId="77777777" w:rsidR="00076EC7" w:rsidRDefault="00076EC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848273" w14:textId="1F7CEDB7" w:rsidR="00076EC7" w:rsidRDefault="00076EC7" w:rsidP="00112138">
    <w:pPr>
      <w:pStyle w:val="Footer"/>
      <w:rPr>
        <w:sz w:val="17"/>
      </w:rPr>
    </w:pPr>
    <w:bookmarkStart w:id="15" w:name="TITUS3FooterEvenPages"/>
    <w:r>
      <w:rPr>
        <w:sz w:val="17"/>
      </w:rPr>
      <w:t> </w:t>
    </w:r>
  </w:p>
  <w:bookmarkEnd w:id="15"/>
  <w:p w14:paraId="017AC171" w14:textId="77777777" w:rsidR="00076EC7" w:rsidRDefault="00076EC7" w:rsidP="00EA55C6">
    <w:pPr>
      <w:pStyle w:val="Footer"/>
      <w:jc w:val="right"/>
    </w:pPr>
  </w:p>
  <w:p w14:paraId="578D5130" w14:textId="30F4A663" w:rsidR="00076EC7" w:rsidRDefault="00076EC7" w:rsidP="00EA55C6">
    <w:pPr>
      <w:pStyle w:val="Footer"/>
      <w:jc w:val="right"/>
    </w:pPr>
    <w:r>
      <w:fldChar w:fldCharType="begin"/>
    </w:r>
    <w:r>
      <w:instrText xml:space="preserve"> PAGE   \* MERGEFORMAT </w:instrText>
    </w:r>
    <w:r>
      <w:fldChar w:fldCharType="separate"/>
    </w:r>
    <w:r w:rsidR="002C24FD">
      <w:rPr>
        <w:noProof/>
      </w:rPr>
      <w:t>28</w:t>
    </w:r>
    <w:r>
      <w:rPr>
        <w:noProof/>
      </w:rPr>
      <w:fldChar w:fldCharType="end"/>
    </w:r>
  </w:p>
  <w:p w14:paraId="63708F5A" w14:textId="77777777" w:rsidR="00076EC7" w:rsidRPr="00BB5EAA" w:rsidRDefault="00076EC7" w:rsidP="00EA55C6">
    <w:pPr>
      <w:pStyle w:val="Footer"/>
      <w:ind w:right="360"/>
      <w:jc w:val="center"/>
    </w:pPr>
  </w:p>
  <w:p w14:paraId="703865A1" w14:textId="77777777" w:rsidR="00076EC7" w:rsidRDefault="00076EC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3D9081" w14:textId="641F0621" w:rsidR="00076EC7" w:rsidRDefault="00076EC7" w:rsidP="00112138">
    <w:pPr>
      <w:pStyle w:val="Footer"/>
      <w:rPr>
        <w:sz w:val="17"/>
      </w:rPr>
    </w:pPr>
    <w:bookmarkStart w:id="16" w:name="TITUS3FooterPrimary"/>
    <w:r>
      <w:rPr>
        <w:sz w:val="17"/>
      </w:rPr>
      <w:t> </w:t>
    </w:r>
  </w:p>
  <w:bookmarkEnd w:id="16"/>
  <w:p w14:paraId="1FCF4F9D" w14:textId="77777777" w:rsidR="00076EC7" w:rsidRDefault="00076EC7">
    <w:pPr>
      <w:pStyle w:val="Footer"/>
      <w:jc w:val="right"/>
    </w:pPr>
  </w:p>
  <w:p w14:paraId="02DD508D" w14:textId="59A9459B" w:rsidR="00076EC7" w:rsidRDefault="00076EC7">
    <w:pPr>
      <w:pStyle w:val="Footer"/>
      <w:jc w:val="right"/>
    </w:pPr>
    <w:r>
      <w:fldChar w:fldCharType="begin"/>
    </w:r>
    <w:r>
      <w:instrText xml:space="preserve"> PAGE   \* MERGEFORMAT </w:instrText>
    </w:r>
    <w:r>
      <w:fldChar w:fldCharType="separate"/>
    </w:r>
    <w:r w:rsidR="00A641B0">
      <w:rPr>
        <w:noProof/>
      </w:rPr>
      <w:t>29</w:t>
    </w:r>
    <w:r>
      <w:rPr>
        <w:noProof/>
      </w:rPr>
      <w:fldChar w:fldCharType="end"/>
    </w:r>
  </w:p>
  <w:p w14:paraId="7F67E0B9" w14:textId="77777777" w:rsidR="00076EC7" w:rsidRPr="00BB5EAA" w:rsidRDefault="00076EC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A4A7E" w14:textId="656EB877" w:rsidR="00076EC7" w:rsidRDefault="00076EC7" w:rsidP="00112138">
    <w:pPr>
      <w:pStyle w:val="Footer"/>
      <w:rPr>
        <w:sz w:val="17"/>
      </w:rPr>
    </w:pPr>
    <w:bookmarkStart w:id="18" w:name="TITUS3FooterFirstPage"/>
    <w:r>
      <w:rPr>
        <w:sz w:val="17"/>
      </w:rPr>
      <w:t> </w:t>
    </w:r>
  </w:p>
  <w:bookmarkEnd w:id="18"/>
  <w:p w14:paraId="21F81BEC" w14:textId="77777777" w:rsidR="00076EC7" w:rsidRDefault="00076EC7" w:rsidP="00EA55C6">
    <w:pPr>
      <w:pStyle w:val="Footer"/>
      <w:jc w:val="right"/>
    </w:pPr>
  </w:p>
  <w:p w14:paraId="0748CA0C" w14:textId="537C3D7A" w:rsidR="00076EC7" w:rsidRDefault="00076EC7" w:rsidP="00EA55C6">
    <w:pPr>
      <w:pStyle w:val="Footer"/>
      <w:jc w:val="right"/>
    </w:pPr>
    <w:r>
      <w:fldChar w:fldCharType="begin"/>
    </w:r>
    <w:r>
      <w:instrText xml:space="preserve"> PAGE   \* MERGEFORMAT </w:instrText>
    </w:r>
    <w:r>
      <w:fldChar w:fldCharType="separate"/>
    </w:r>
    <w:r w:rsidR="002C24FD">
      <w:rPr>
        <w:noProof/>
      </w:rPr>
      <w:t>26</w:t>
    </w:r>
    <w:r>
      <w:rPr>
        <w:noProof/>
      </w:rPr>
      <w:fldChar w:fldCharType="end"/>
    </w:r>
  </w:p>
  <w:p w14:paraId="0E7BF505" w14:textId="77777777" w:rsidR="00076EC7" w:rsidRPr="00BB5EAA" w:rsidRDefault="00076EC7" w:rsidP="00EA55C6">
    <w:pPr>
      <w:pStyle w:val="Footer"/>
      <w:ind w:right="360"/>
      <w:jc w:val="center"/>
    </w:pPr>
  </w:p>
  <w:p w14:paraId="733D7F62" w14:textId="77777777" w:rsidR="00076EC7" w:rsidRDefault="00076EC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48286B" w14:textId="45D60230" w:rsidR="00076EC7" w:rsidRDefault="00076EC7" w:rsidP="00112138">
    <w:pPr>
      <w:pStyle w:val="Footer"/>
      <w:rPr>
        <w:sz w:val="17"/>
      </w:rPr>
    </w:pPr>
    <w:bookmarkStart w:id="21" w:name="TITUS4FooterEvenPages"/>
    <w:r>
      <w:rPr>
        <w:sz w:val="17"/>
      </w:rPr>
      <w:t> </w:t>
    </w:r>
  </w:p>
  <w:bookmarkEnd w:id="21"/>
  <w:p w14:paraId="16D3BC4F" w14:textId="77777777" w:rsidR="00076EC7" w:rsidRDefault="00076EC7" w:rsidP="00EA55C6">
    <w:pPr>
      <w:pStyle w:val="Footer"/>
      <w:jc w:val="right"/>
    </w:pPr>
  </w:p>
  <w:p w14:paraId="63436889" w14:textId="77777777" w:rsidR="00076EC7" w:rsidRDefault="00076EC7" w:rsidP="00EA55C6">
    <w:pPr>
      <w:pStyle w:val="Footer"/>
      <w:jc w:val="right"/>
    </w:pPr>
    <w:r>
      <w:fldChar w:fldCharType="begin"/>
    </w:r>
    <w:r>
      <w:instrText xml:space="preserve"> PAGE   \* MERGEFORMAT </w:instrText>
    </w:r>
    <w:r>
      <w:fldChar w:fldCharType="separate"/>
    </w:r>
    <w:r>
      <w:rPr>
        <w:noProof/>
      </w:rPr>
      <w:t>10</w:t>
    </w:r>
    <w:r>
      <w:rPr>
        <w:noProof/>
      </w:rPr>
      <w:fldChar w:fldCharType="end"/>
    </w:r>
  </w:p>
  <w:p w14:paraId="2C0E3D8B" w14:textId="77777777" w:rsidR="00076EC7" w:rsidRPr="00BB5EAA" w:rsidRDefault="00076EC7" w:rsidP="00EA55C6">
    <w:pPr>
      <w:pStyle w:val="Footer"/>
      <w:ind w:right="360"/>
      <w:jc w:val="center"/>
    </w:pPr>
  </w:p>
  <w:p w14:paraId="395BB4F2" w14:textId="77777777" w:rsidR="00076EC7" w:rsidRDefault="00076EC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CAFEE5" w14:textId="2A9C60C5" w:rsidR="00076EC7" w:rsidRDefault="00076EC7" w:rsidP="00112138">
    <w:pPr>
      <w:pStyle w:val="Footer"/>
      <w:rPr>
        <w:sz w:val="17"/>
      </w:rPr>
    </w:pPr>
    <w:bookmarkStart w:id="22" w:name="TITUS4FooterPrimary"/>
    <w:r>
      <w:rPr>
        <w:sz w:val="17"/>
      </w:rPr>
      <w:t> </w:t>
    </w:r>
  </w:p>
  <w:bookmarkEnd w:id="22"/>
  <w:p w14:paraId="04DB8C12" w14:textId="77777777" w:rsidR="00076EC7" w:rsidRDefault="00076EC7">
    <w:pPr>
      <w:pStyle w:val="Footer"/>
      <w:jc w:val="right"/>
    </w:pPr>
  </w:p>
  <w:p w14:paraId="6FA185EF" w14:textId="77777777" w:rsidR="00076EC7" w:rsidRDefault="00076EC7">
    <w:pPr>
      <w:pStyle w:val="Footer"/>
      <w:jc w:val="right"/>
    </w:pPr>
    <w:r>
      <w:fldChar w:fldCharType="begin"/>
    </w:r>
    <w:r>
      <w:instrText xml:space="preserve"> PAGE   \* MERGEFORMAT </w:instrText>
    </w:r>
    <w:r>
      <w:fldChar w:fldCharType="separate"/>
    </w:r>
    <w:r>
      <w:rPr>
        <w:noProof/>
      </w:rPr>
      <w:t>9</w:t>
    </w:r>
    <w:r>
      <w:rPr>
        <w:noProof/>
      </w:rPr>
      <w:fldChar w:fldCharType="end"/>
    </w:r>
  </w:p>
  <w:p w14:paraId="229C0DA6" w14:textId="77777777" w:rsidR="00076EC7" w:rsidRPr="00BB5EAA" w:rsidRDefault="00076EC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C87FC" w14:textId="333D3E65" w:rsidR="00076EC7" w:rsidRDefault="00076EC7" w:rsidP="00112138">
    <w:pPr>
      <w:pStyle w:val="Footer"/>
      <w:rPr>
        <w:sz w:val="17"/>
      </w:rPr>
    </w:pPr>
    <w:bookmarkStart w:id="24" w:name="TITUS4FooterFirstPage"/>
    <w:r>
      <w:rPr>
        <w:sz w:val="17"/>
      </w:rPr>
      <w:t> </w:t>
    </w:r>
  </w:p>
  <w:bookmarkEnd w:id="24"/>
  <w:p w14:paraId="1CB4A94B" w14:textId="77777777" w:rsidR="00076EC7" w:rsidRDefault="00076EC7" w:rsidP="00EA55C6">
    <w:pPr>
      <w:pStyle w:val="Footer"/>
      <w:jc w:val="right"/>
    </w:pPr>
  </w:p>
  <w:p w14:paraId="1E69B31A" w14:textId="7807B725" w:rsidR="00076EC7" w:rsidRDefault="00076EC7" w:rsidP="00EA55C6">
    <w:pPr>
      <w:pStyle w:val="Footer"/>
      <w:jc w:val="right"/>
    </w:pPr>
    <w:r>
      <w:fldChar w:fldCharType="begin"/>
    </w:r>
    <w:r>
      <w:instrText xml:space="preserve"> PAGE   \* MERGEFORMAT </w:instrText>
    </w:r>
    <w:r>
      <w:fldChar w:fldCharType="separate"/>
    </w:r>
    <w:r w:rsidR="00A641B0">
      <w:rPr>
        <w:noProof/>
      </w:rPr>
      <w:t>30</w:t>
    </w:r>
    <w:r>
      <w:rPr>
        <w:noProof/>
      </w:rPr>
      <w:fldChar w:fldCharType="end"/>
    </w:r>
  </w:p>
  <w:p w14:paraId="5808BD24" w14:textId="77777777" w:rsidR="00076EC7" w:rsidRPr="00BB5EAA" w:rsidRDefault="00076EC7" w:rsidP="00EA55C6">
    <w:pPr>
      <w:pStyle w:val="Footer"/>
      <w:ind w:right="360"/>
      <w:jc w:val="center"/>
    </w:pPr>
  </w:p>
  <w:p w14:paraId="476432C9" w14:textId="77777777" w:rsidR="00076EC7" w:rsidRDefault="00076E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076EC7" w:rsidRDefault="00076EC7">
      <w:r>
        <w:separator/>
      </w:r>
    </w:p>
  </w:footnote>
  <w:footnote w:type="continuationSeparator" w:id="0">
    <w:p w14:paraId="09396778" w14:textId="77777777" w:rsidR="00076EC7" w:rsidRDefault="00076E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44D81A" w14:textId="24668EED" w:rsidR="00076EC7" w:rsidRDefault="00076EC7" w:rsidP="00112138">
    <w:pPr>
      <w:pStyle w:val="Header"/>
      <w:rPr>
        <w:sz w:val="17"/>
      </w:rPr>
    </w:pPr>
    <w:bookmarkStart w:id="0" w:name="TITUS1HeaderEvenPages"/>
    <w:r>
      <w:rPr>
        <w:sz w:val="17"/>
      </w:rPr>
      <w:t> </w:t>
    </w:r>
  </w:p>
  <w:bookmarkEnd w:id="0"/>
  <w:p w14:paraId="0D06EC00" w14:textId="77777777" w:rsidR="00076EC7" w:rsidRDefault="00076EC7" w:rsidP="00ED40D2">
    <w:pPr>
      <w:pStyle w:val="Header"/>
    </w:pPr>
  </w:p>
  <w:p w14:paraId="04E261DB" w14:textId="77777777" w:rsidR="00076EC7" w:rsidRDefault="00076E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5AEEC361" w:rsidR="00076EC7" w:rsidRDefault="00076EC7" w:rsidP="00112138">
    <w:pPr>
      <w:pStyle w:val="Header"/>
      <w:rPr>
        <w:sz w:val="17"/>
      </w:rPr>
    </w:pPr>
    <w:bookmarkStart w:id="1" w:name="TITUS1HeaderPrimary"/>
    <w:r>
      <w:rPr>
        <w:sz w:val="17"/>
      </w:rPr>
      <w:t> </w:t>
    </w:r>
  </w:p>
  <w:bookmarkEnd w:id="1"/>
  <w:p w14:paraId="1B569ABC" w14:textId="77777777" w:rsidR="00076EC7" w:rsidRDefault="00076E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4B3694B5" w:rsidR="00076EC7" w:rsidRDefault="00076EC7" w:rsidP="00112138">
    <w:pPr>
      <w:pStyle w:val="Header"/>
      <w:rPr>
        <w:sz w:val="17"/>
      </w:rPr>
    </w:pPr>
    <w:bookmarkStart w:id="4" w:name="TITUS1HeaderFirstPage"/>
    <w:r>
      <w:rPr>
        <w:sz w:val="17"/>
      </w:rPr>
      <w:t> </w:t>
    </w:r>
  </w:p>
  <w:bookmarkEnd w:id="4"/>
  <w:p w14:paraId="79C0F3B5" w14:textId="77777777" w:rsidR="00076EC7" w:rsidRDefault="00076EC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49E3E4" w14:textId="3985DCF4" w:rsidR="00076EC7" w:rsidRDefault="00076EC7" w:rsidP="00112138">
    <w:pPr>
      <w:pStyle w:val="Header"/>
      <w:rPr>
        <w:sz w:val="17"/>
      </w:rPr>
    </w:pPr>
    <w:bookmarkStart w:id="7" w:name="TITUS2HeaderEvenPages"/>
    <w:r>
      <w:rPr>
        <w:sz w:val="17"/>
      </w:rPr>
      <w:t> </w:t>
    </w:r>
  </w:p>
  <w:bookmarkEnd w:id="7"/>
  <w:p w14:paraId="164B7293" w14:textId="77777777" w:rsidR="00076EC7" w:rsidRDefault="00076EC7" w:rsidP="00EA55C6">
    <w:pPr>
      <w:pStyle w:val="Header"/>
    </w:pPr>
  </w:p>
  <w:p w14:paraId="040EC205" w14:textId="77777777" w:rsidR="00076EC7" w:rsidRDefault="00076EC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E09B8E" w14:textId="7FF9F943" w:rsidR="00076EC7" w:rsidRDefault="00076EC7" w:rsidP="00112138">
    <w:pPr>
      <w:pStyle w:val="Header"/>
      <w:rPr>
        <w:sz w:val="17"/>
      </w:rPr>
    </w:pPr>
    <w:bookmarkStart w:id="8" w:name="TITUS2HeaderPrimary"/>
    <w:r>
      <w:rPr>
        <w:sz w:val="17"/>
      </w:rPr>
      <w:t> </w:t>
    </w:r>
  </w:p>
  <w:bookmarkEnd w:id="8"/>
  <w:p w14:paraId="2CA993DE" w14:textId="77777777" w:rsidR="00076EC7" w:rsidRDefault="00076EC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3788A6" w14:textId="4E77D738" w:rsidR="00076EC7" w:rsidRDefault="00076EC7" w:rsidP="00112138">
    <w:pPr>
      <w:pStyle w:val="Header"/>
      <w:rPr>
        <w:sz w:val="17"/>
      </w:rPr>
    </w:pPr>
    <w:bookmarkStart w:id="11" w:name="TITUS2HeaderFirstPage"/>
    <w:r>
      <w:rPr>
        <w:sz w:val="17"/>
      </w:rPr>
      <w:t> </w:t>
    </w:r>
  </w:p>
  <w:bookmarkEnd w:id="11"/>
  <w:p w14:paraId="69E04DAC" w14:textId="77777777" w:rsidR="00076EC7" w:rsidRDefault="00076EC7" w:rsidP="00EA55C6">
    <w:pPr>
      <w:pStyle w:val="Header"/>
    </w:pPr>
  </w:p>
  <w:p w14:paraId="6F8125CD" w14:textId="77777777" w:rsidR="00076EC7" w:rsidRDefault="00076EC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3D5D13" w14:textId="27BC4E7B" w:rsidR="00076EC7" w:rsidRDefault="00076EC7" w:rsidP="00112138">
    <w:pPr>
      <w:pStyle w:val="Header"/>
      <w:rPr>
        <w:sz w:val="17"/>
      </w:rPr>
    </w:pPr>
    <w:bookmarkStart w:id="13" w:name="TITUS3HeaderEvenPages"/>
    <w:r>
      <w:rPr>
        <w:sz w:val="17"/>
      </w:rPr>
      <w:t> </w:t>
    </w:r>
  </w:p>
  <w:bookmarkEnd w:id="13"/>
  <w:p w14:paraId="5AD023ED" w14:textId="77777777" w:rsidR="00076EC7" w:rsidRDefault="00076EC7" w:rsidP="00EA55C6">
    <w:pPr>
      <w:pStyle w:val="Header"/>
    </w:pPr>
  </w:p>
  <w:p w14:paraId="4E289C09" w14:textId="77777777" w:rsidR="00076EC7" w:rsidRDefault="00076EC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9C182B" w14:textId="3CC98782" w:rsidR="00076EC7" w:rsidRDefault="00076EC7" w:rsidP="00112138">
    <w:pPr>
      <w:pStyle w:val="Header"/>
      <w:rPr>
        <w:sz w:val="17"/>
      </w:rPr>
    </w:pPr>
    <w:bookmarkStart w:id="14" w:name="TITUS3HeaderPrimary"/>
    <w:r>
      <w:rPr>
        <w:sz w:val="17"/>
      </w:rPr>
      <w:t> </w:t>
    </w:r>
  </w:p>
  <w:bookmarkEnd w:id="14"/>
  <w:p w14:paraId="45239EE8" w14:textId="77777777" w:rsidR="00076EC7" w:rsidRDefault="00076EC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1675DC" w14:textId="6D622965" w:rsidR="00076EC7" w:rsidRDefault="00076EC7" w:rsidP="00112138">
    <w:pPr>
      <w:pStyle w:val="Header"/>
      <w:rPr>
        <w:sz w:val="17"/>
      </w:rPr>
    </w:pPr>
    <w:bookmarkStart w:id="17" w:name="TITUS3HeaderFirstPage"/>
    <w:r>
      <w:rPr>
        <w:sz w:val="17"/>
      </w:rPr>
      <w:t> </w:t>
    </w:r>
  </w:p>
  <w:bookmarkEnd w:id="17"/>
  <w:p w14:paraId="3E6B6601" w14:textId="77777777" w:rsidR="00076EC7" w:rsidRDefault="00076EC7" w:rsidP="00EA55C6">
    <w:pPr>
      <w:pStyle w:val="Header"/>
    </w:pPr>
  </w:p>
  <w:p w14:paraId="76F96622" w14:textId="77777777" w:rsidR="00076EC7" w:rsidRDefault="00076EC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B523D3" w14:textId="3CBE803E" w:rsidR="00076EC7" w:rsidRDefault="00076EC7" w:rsidP="00112138">
    <w:pPr>
      <w:pStyle w:val="Header"/>
      <w:rPr>
        <w:sz w:val="17"/>
      </w:rPr>
    </w:pPr>
    <w:bookmarkStart w:id="19" w:name="TITUS4HeaderEvenPages"/>
    <w:r>
      <w:rPr>
        <w:sz w:val="17"/>
      </w:rPr>
      <w:t> </w:t>
    </w:r>
  </w:p>
  <w:bookmarkEnd w:id="19"/>
  <w:p w14:paraId="4BD54195" w14:textId="77777777" w:rsidR="00076EC7" w:rsidRDefault="00076EC7" w:rsidP="00EA55C6">
    <w:pPr>
      <w:pStyle w:val="Header"/>
    </w:pPr>
  </w:p>
  <w:p w14:paraId="3C2C260D" w14:textId="77777777" w:rsidR="00076EC7" w:rsidRDefault="00076EC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FB4001" w14:textId="5E03E529" w:rsidR="00076EC7" w:rsidRDefault="00076EC7" w:rsidP="00112138">
    <w:pPr>
      <w:pStyle w:val="Header"/>
      <w:rPr>
        <w:sz w:val="17"/>
      </w:rPr>
    </w:pPr>
    <w:bookmarkStart w:id="20" w:name="TITUS4HeaderPrimary"/>
    <w:r>
      <w:rPr>
        <w:sz w:val="17"/>
      </w:rPr>
      <w:t> </w:t>
    </w:r>
  </w:p>
  <w:bookmarkEnd w:id="20"/>
  <w:p w14:paraId="1E3A68C0" w14:textId="77777777" w:rsidR="00076EC7" w:rsidRDefault="00076EC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0FF5FB" w14:textId="179CB5D9" w:rsidR="00076EC7" w:rsidRDefault="00076EC7" w:rsidP="00112138">
    <w:pPr>
      <w:pStyle w:val="Header"/>
      <w:rPr>
        <w:sz w:val="17"/>
      </w:rPr>
    </w:pPr>
    <w:bookmarkStart w:id="23" w:name="TITUS4HeaderFirstPage"/>
    <w:r>
      <w:rPr>
        <w:sz w:val="17"/>
      </w:rPr>
      <w:t> </w:t>
    </w:r>
  </w:p>
  <w:bookmarkEnd w:id="23"/>
  <w:p w14:paraId="2B508F8B" w14:textId="77777777" w:rsidR="00076EC7" w:rsidRDefault="00076EC7" w:rsidP="00EA55C6">
    <w:pPr>
      <w:pStyle w:val="Header"/>
    </w:pPr>
  </w:p>
  <w:p w14:paraId="69D85EF4" w14:textId="77777777" w:rsidR="00076EC7" w:rsidRDefault="00076E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4105E8"/>
    <w:multiLevelType w:val="hybridMultilevel"/>
    <w:tmpl w:val="93FC9A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8"/>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5"/>
  </w:num>
  <w:num w:numId="38">
    <w:abstractNumId w:val="47"/>
  </w:num>
  <w:num w:numId="39">
    <w:abstractNumId w:val="43"/>
  </w:num>
  <w:num w:numId="40">
    <w:abstractNumId w:val="37"/>
  </w:num>
  <w:num w:numId="41">
    <w:abstractNumId w:val="38"/>
  </w:num>
  <w:num w:numId="42">
    <w:abstractNumId w:val="3"/>
  </w:num>
  <w:num w:numId="43">
    <w:abstractNumId w:val="6"/>
  </w:num>
  <w:num w:numId="44">
    <w:abstractNumId w:val="25"/>
  </w:num>
  <w:num w:numId="45">
    <w:abstractNumId w:val="7"/>
  </w:num>
  <w:num w:numId="46">
    <w:abstractNumId w:val="2"/>
  </w:num>
  <w:num w:numId="47">
    <w:abstractNumId w:val="0"/>
  </w:num>
  <w:num w:numId="48">
    <w:abstractNumId w:val="21"/>
  </w:num>
  <w:num w:numId="49">
    <w:abstractNumId w:val="49"/>
  </w:num>
  <w:num w:numId="50">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0B3F"/>
    <w:rsid w:val="00062E39"/>
    <w:rsid w:val="00076EC7"/>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138"/>
    <w:rsid w:val="00112391"/>
    <w:rsid w:val="00112751"/>
    <w:rsid w:val="00114F52"/>
    <w:rsid w:val="001347F8"/>
    <w:rsid w:val="00137BB5"/>
    <w:rsid w:val="00137E05"/>
    <w:rsid w:val="001447F6"/>
    <w:rsid w:val="00147DE3"/>
    <w:rsid w:val="00150794"/>
    <w:rsid w:val="001608C4"/>
    <w:rsid w:val="00171418"/>
    <w:rsid w:val="001961CF"/>
    <w:rsid w:val="001A59BB"/>
    <w:rsid w:val="001A693F"/>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4FD"/>
    <w:rsid w:val="002C256A"/>
    <w:rsid w:val="002C496D"/>
    <w:rsid w:val="002D05EB"/>
    <w:rsid w:val="002D2F29"/>
    <w:rsid w:val="002E7017"/>
    <w:rsid w:val="002F004D"/>
    <w:rsid w:val="002F4F6E"/>
    <w:rsid w:val="003015C3"/>
    <w:rsid w:val="0031350A"/>
    <w:rsid w:val="00316815"/>
    <w:rsid w:val="003168CA"/>
    <w:rsid w:val="00321255"/>
    <w:rsid w:val="0032230D"/>
    <w:rsid w:val="00322A0B"/>
    <w:rsid w:val="00335FC5"/>
    <w:rsid w:val="00341939"/>
    <w:rsid w:val="003516C0"/>
    <w:rsid w:val="00352E59"/>
    <w:rsid w:val="00354DBE"/>
    <w:rsid w:val="00355210"/>
    <w:rsid w:val="00365DF9"/>
    <w:rsid w:val="00372DB4"/>
    <w:rsid w:val="00375AF5"/>
    <w:rsid w:val="003761BD"/>
    <w:rsid w:val="00385414"/>
    <w:rsid w:val="00385492"/>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0A69"/>
    <w:rsid w:val="0046465F"/>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A2E"/>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3C02"/>
    <w:rsid w:val="005A1B4C"/>
    <w:rsid w:val="005A545C"/>
    <w:rsid w:val="005B6F05"/>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009F"/>
    <w:rsid w:val="006D18A3"/>
    <w:rsid w:val="006D4550"/>
    <w:rsid w:val="006D5970"/>
    <w:rsid w:val="006E481E"/>
    <w:rsid w:val="006E518A"/>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9474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41B0"/>
    <w:rsid w:val="00A652F6"/>
    <w:rsid w:val="00A732EA"/>
    <w:rsid w:val="00A7489E"/>
    <w:rsid w:val="00A8015F"/>
    <w:rsid w:val="00A80BD2"/>
    <w:rsid w:val="00A85039"/>
    <w:rsid w:val="00A906AA"/>
    <w:rsid w:val="00A94C5E"/>
    <w:rsid w:val="00AA241A"/>
    <w:rsid w:val="00AA252C"/>
    <w:rsid w:val="00AA37BB"/>
    <w:rsid w:val="00AA666E"/>
    <w:rsid w:val="00AA72AF"/>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05AA"/>
    <w:rsid w:val="00B92BEF"/>
    <w:rsid w:val="00B9689A"/>
    <w:rsid w:val="00BB06CB"/>
    <w:rsid w:val="00BB0EFE"/>
    <w:rsid w:val="00BB261F"/>
    <w:rsid w:val="00BB2887"/>
    <w:rsid w:val="00BB4DF6"/>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0768"/>
    <w:rsid w:val="00D11888"/>
    <w:rsid w:val="00D22C8F"/>
    <w:rsid w:val="00D33491"/>
    <w:rsid w:val="00D41A93"/>
    <w:rsid w:val="00D44F8E"/>
    <w:rsid w:val="00D607EF"/>
    <w:rsid w:val="00D60F88"/>
    <w:rsid w:val="00D625E7"/>
    <w:rsid w:val="00D64033"/>
    <w:rsid w:val="00D646BD"/>
    <w:rsid w:val="00D7018A"/>
    <w:rsid w:val="00D71201"/>
    <w:rsid w:val="00D720C7"/>
    <w:rsid w:val="00D876E6"/>
    <w:rsid w:val="00DA1025"/>
    <w:rsid w:val="00DA22EC"/>
    <w:rsid w:val="00DA34DE"/>
    <w:rsid w:val="00DA5860"/>
    <w:rsid w:val="00DB2767"/>
    <w:rsid w:val="00DC17D5"/>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55C6"/>
    <w:rsid w:val="00EA7908"/>
    <w:rsid w:val="00EB2173"/>
    <w:rsid w:val="00EB62E6"/>
    <w:rsid w:val="00ED1B30"/>
    <w:rsid w:val="00ED250E"/>
    <w:rsid w:val="00ED40D2"/>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86212"/>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AA72AF"/>
    <w:rPr>
      <w:i/>
      <w:iCs/>
    </w:rPr>
  </w:style>
  <w:style w:type="character" w:customStyle="1" w:styleId="selectable">
    <w:name w:val="selectable"/>
    <w:basedOn w:val="DefaultParagraphFont"/>
    <w:rsid w:val="00AA72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0.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7.xml"/><Relationship Id="rId32" Type="http://schemas.openxmlformats.org/officeDocument/2006/relationships/header" Target="header11.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image" Target="media/image2.jpeg"/><Relationship Id="rId35"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terms/"/>
  </ds:schemaRefs>
</ds:datastoreItem>
</file>

<file path=customXml/itemProps4.xml><?xml version="1.0" encoding="utf-8"?>
<ds:datastoreItem xmlns:ds="http://schemas.openxmlformats.org/officeDocument/2006/customXml" ds:itemID="{127F9D8B-CF4C-4DFB-95D6-F9FDFF6B7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1593</TotalTime>
  <Pages>30</Pages>
  <Words>10368</Words>
  <Characters>50283</Characters>
  <Application>Microsoft Office Word</Application>
  <DocSecurity>0</DocSecurity>
  <Lines>419</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Etherington,Joseph swp6413</cp:lastModifiedBy>
  <cp:revision>10</cp:revision>
  <cp:lastPrinted>2019-08-13T11:47:00Z</cp:lastPrinted>
  <dcterms:created xsi:type="dcterms:W3CDTF">2019-10-30T11:46:00Z</dcterms:created>
  <dcterms:modified xsi:type="dcterms:W3CDTF">2020-01-06T00:24:00Z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0209f669-0f8b-4d20-a324-dfbf1cc01582</vt:lpwstr>
  </property>
  <property fmtid="{D5CDD505-2E9C-101B-9397-08002B2CF9AE}" pid="4" name="Classification">
    <vt:lpwstr>OFFICIAL</vt:lpwstr>
  </property>
  <property fmtid="{D5CDD505-2E9C-101B-9397-08002B2CF9AE}" pid="5" name="Visibility">
    <vt:lpwstr>NOT VISIBLE</vt:lpwstr>
  </property>
</Properties>
</file>