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B82CB6" w14:textId="48738997" w:rsidR="00732A2C" w:rsidRPr="00F24135" w:rsidRDefault="00732A2C" w:rsidP="006B4AC6">
      <w:pPr>
        <w:spacing w:line="360" w:lineRule="auto"/>
        <w:jc w:val="center"/>
        <w:rPr>
          <w:rFonts w:ascii="Times New Roman" w:hAnsi="Times New Roman" w:cs="Times New Roman"/>
          <w:b/>
          <w:bCs/>
          <w:u w:val="single"/>
        </w:rPr>
      </w:pPr>
      <w:r w:rsidRPr="00F24135">
        <w:rPr>
          <w:rFonts w:ascii="Times New Roman" w:hAnsi="Times New Roman" w:cs="Times New Roman"/>
          <w:b/>
          <w:bCs/>
          <w:u w:val="single"/>
        </w:rPr>
        <w:t>The impact of response policing and multi-agency working on safeguarding and protecting children at risk of child sexual exploitation.</w:t>
      </w:r>
    </w:p>
    <w:p w14:paraId="0F41768A" w14:textId="3E51FA65" w:rsidR="00732A2C" w:rsidRPr="00F24135" w:rsidRDefault="00732A2C" w:rsidP="00F24135">
      <w:pPr>
        <w:spacing w:line="360" w:lineRule="auto"/>
        <w:jc w:val="both"/>
        <w:rPr>
          <w:rFonts w:ascii="Times New Roman" w:hAnsi="Times New Roman" w:cs="Times New Roman"/>
          <w:b/>
          <w:bCs/>
          <w:u w:val="single"/>
        </w:rPr>
      </w:pPr>
      <w:r w:rsidRPr="00F24135">
        <w:rPr>
          <w:rFonts w:ascii="Times New Roman" w:hAnsi="Times New Roman" w:cs="Times New Roman"/>
          <w:b/>
          <w:bCs/>
          <w:u w:val="single"/>
        </w:rPr>
        <w:t xml:space="preserve">Literature review. </w:t>
      </w:r>
    </w:p>
    <w:p w14:paraId="03052FAD" w14:textId="5D649538"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Child sexual exploitation (CSE) constitutes a variant of child sexual abuse, where</w:t>
      </w:r>
      <w:r w:rsidR="00F836BA" w:rsidRPr="00F24135">
        <w:rPr>
          <w:rFonts w:ascii="Times New Roman" w:hAnsi="Times New Roman" w:cs="Times New Roman"/>
        </w:rPr>
        <w:t>by in</w:t>
      </w:r>
      <w:r w:rsidRPr="00BA1064">
        <w:rPr>
          <w:rFonts w:ascii="Times New Roman" w:hAnsi="Times New Roman" w:cs="Times New Roman"/>
        </w:rPr>
        <w:t>dividuals or groups exploit a power disparity</w:t>
      </w:r>
      <w:r w:rsidR="00F836BA" w:rsidRPr="00F24135">
        <w:rPr>
          <w:rFonts w:ascii="Times New Roman" w:hAnsi="Times New Roman" w:cs="Times New Roman"/>
        </w:rPr>
        <w:t>,</w:t>
      </w:r>
      <w:r w:rsidRPr="00BA1064">
        <w:rPr>
          <w:rFonts w:ascii="Times New Roman" w:hAnsi="Times New Roman" w:cs="Times New Roman"/>
        </w:rPr>
        <w:t xml:space="preserve"> to manipulate, coerce or deceive a child under the age of 18</w:t>
      </w:r>
      <w:r w:rsidR="00F836BA" w:rsidRPr="00F24135">
        <w:rPr>
          <w:rFonts w:ascii="Times New Roman" w:hAnsi="Times New Roman" w:cs="Times New Roman"/>
        </w:rPr>
        <w:t>,</w:t>
      </w:r>
      <w:r w:rsidRPr="00BA1064">
        <w:rPr>
          <w:rFonts w:ascii="Times New Roman" w:hAnsi="Times New Roman" w:cs="Times New Roman"/>
        </w:rPr>
        <w:t xml:space="preserve"> into participating in sexual activities in exchange for something they need or desire, such as affection, money, drugs, alcohol, or material goods (NSPCC, 2019). Exploitation may involve grooming both online and in person, with abusive dynamics not of the connection potentially concealed by presumed consent or emotional attachment. The consequences of CSE can be significant and enduring, influencing victims' physical, psychological, and emotional health (C</w:t>
      </w:r>
      <w:r w:rsidR="00F836BA" w:rsidRPr="00F24135">
        <w:rPr>
          <w:rFonts w:ascii="Times New Roman" w:hAnsi="Times New Roman" w:cs="Times New Roman"/>
        </w:rPr>
        <w:t xml:space="preserve">rime </w:t>
      </w:r>
      <w:r w:rsidRPr="00BA1064">
        <w:rPr>
          <w:rFonts w:ascii="Times New Roman" w:hAnsi="Times New Roman" w:cs="Times New Roman"/>
        </w:rPr>
        <w:t>P</w:t>
      </w:r>
      <w:r w:rsidR="00F836BA" w:rsidRPr="00F24135">
        <w:rPr>
          <w:rFonts w:ascii="Times New Roman" w:hAnsi="Times New Roman" w:cs="Times New Roman"/>
        </w:rPr>
        <w:t xml:space="preserve">rosecution </w:t>
      </w:r>
      <w:r w:rsidRPr="00BA1064">
        <w:rPr>
          <w:rFonts w:ascii="Times New Roman" w:hAnsi="Times New Roman" w:cs="Times New Roman"/>
        </w:rPr>
        <w:t>S</w:t>
      </w:r>
      <w:r w:rsidR="00F836BA" w:rsidRPr="00F24135">
        <w:rPr>
          <w:rFonts w:ascii="Times New Roman" w:hAnsi="Times New Roman" w:cs="Times New Roman"/>
        </w:rPr>
        <w:t>ervice</w:t>
      </w:r>
      <w:r w:rsidRPr="00BA1064">
        <w:rPr>
          <w:rFonts w:ascii="Times New Roman" w:hAnsi="Times New Roman" w:cs="Times New Roman"/>
        </w:rPr>
        <w:t>, 2017).</w:t>
      </w:r>
    </w:p>
    <w:p w14:paraId="7902A336"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Child sexual exploitation (CSE) continues to be a substantial and persistent issue throughout the United Kingdom, including Wales, posing complex challenges for the police, social services, and other collaborative agencies in detecting, preventing, and addressing harm. In 2022/2023, the police documented about 87,000 sexual offences against minors, encompassing rape, sexual assault, grooming, and exploitation, underscoring the magnitude of abuse and the persistent strain on safety mechanisms (NSPCC, 2024). Despite increased awareness, CSE remains inadequately acknowledged and documented, with more than 17,000 exploitation-related offences reported each year and an estimated 27,000 youths at risk, a trend that persists in escalating annually. (Roberts, Chatoo, and Jacob 2024). Prominent investigations and inspections have revealed systemic deficiencies in professional curiosity, information dissemination, and early intervention, especially concerning at-risk adolescents (Jay, 2014; HMICFRS, 2025), leading to a transition towards vulnerability-focused policing and enhanced multi-agency safeguarding strategies.</w:t>
      </w:r>
    </w:p>
    <w:p w14:paraId="753C44A1" w14:textId="5ED607BF"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Policing plays a key role in addressing CSE, Response officers are often the first professional to engage with children at risk of CSE, whether this be through missing person reports, domestic incidents, public disorder calls, or concerns expressed by members of the public. In the U</w:t>
      </w:r>
      <w:r w:rsidR="00F836BA" w:rsidRPr="00F24135">
        <w:rPr>
          <w:rFonts w:ascii="Times New Roman" w:hAnsi="Times New Roman" w:cs="Times New Roman"/>
        </w:rPr>
        <w:t>K</w:t>
      </w:r>
      <w:r w:rsidRPr="00BA1064">
        <w:rPr>
          <w:rFonts w:ascii="Times New Roman" w:hAnsi="Times New Roman" w:cs="Times New Roman"/>
        </w:rPr>
        <w:t>, response policing is associated with the highest rates of mental health-related sickness, reflecting the considerable demands and pressures officers face in balancing crime control duties and safeguarding responsibilities (Health, 2025).</w:t>
      </w:r>
    </w:p>
    <w:p w14:paraId="2421C88E"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 </w:t>
      </w:r>
    </w:p>
    <w:p w14:paraId="3F17B100" w14:textId="06E4905E"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lastRenderedPageBreak/>
        <w:t xml:space="preserve">In addition to response policing, multi-agency collaborative working has become a fundamental </w:t>
      </w:r>
      <w:r w:rsidR="00F836BA" w:rsidRPr="00F24135">
        <w:rPr>
          <w:rFonts w:ascii="Times New Roman" w:hAnsi="Times New Roman" w:cs="Times New Roman"/>
        </w:rPr>
        <w:t xml:space="preserve">factor </w:t>
      </w:r>
      <w:r w:rsidRPr="00BA1064">
        <w:rPr>
          <w:rFonts w:ascii="Times New Roman" w:hAnsi="Times New Roman" w:cs="Times New Roman"/>
        </w:rPr>
        <w:t>to safeguarding, helping to reduce and prevent CSE (NSPCC, 2023).</w:t>
      </w:r>
    </w:p>
    <w:p w14:paraId="0AEE166F"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 </w:t>
      </w:r>
    </w:p>
    <w:p w14:paraId="14AA30A1" w14:textId="08635F4E"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b/>
          <w:bCs/>
          <w:u w:val="single"/>
        </w:rPr>
        <w:t>Defining Child Sexual Exploitation.</w:t>
      </w:r>
    </w:p>
    <w:p w14:paraId="6018598B"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Child sexual exploitation constitutes a variant of child sexual abuse. It emerges when an individual or group exploits a power disparity to coerce, mislead, or deceive a child or young person under the age of 18 into sexual activities (H. Beckett, D. Holmes, J. Walker, 2017). This definition underscores that children are incapable of consenting to their own exploitation and that coercion may manifest in subtle, psychological, or emotional forms rather than through overt violence.</w:t>
      </w:r>
    </w:p>
    <w:p w14:paraId="21300729"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Research indicates that Child Sexual Exploitation (CSE) is often linked to broader contextual vulnerabilities, such as neglect, domestic violence, substance abuse, mental health issues, and social isolation (Beckett et al. 2017). In Wales, safeguarding reviews have illustrated that children are vulnerable to exploitation due to adverse childhood experiences (ACEs) such as abuse or unstable home environments. Evidence indicates that children that face trauma and instability are more likely to suffer from poor well-being, low self-esteem, and educational difficulties. These factors can increase their vulnerability and heighten the risk of involvement in child sexual exploitation (Welsh Government, 2014). The connected vulnerabilities hinder the detection of exploitation and present considerable difficulties for conventional policing methods, which are often designed to address distinct and separate criminal events.</w:t>
      </w:r>
    </w:p>
    <w:p w14:paraId="4A8F6551"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In addition, many boys do not report or recognise exploitation due to the stigma surrounding victimisation and fears of judgement, often reinforced by religious or cultural norms (Leon and Raws, 2016). Victims may also fail to identify their experiences as exploitative, particularly in cases involving grooming or perceived romantic relationships (Cockbain and Brayley, 2012). This has considerable implications for the police force, since officers may face resistance, non-disclosure, or recurrent missed incidents without explicit charges of abuse. Moreover, evidence indicates that when professionals identify children engaged in exploitation as offenders or as individuals leading "risky lifestyles," instead of recognising their victimisation, it can intensify harm, diminish trust, and hinder the efficacy of safeguarding measures (M Coy, N Sharp-Jeffs, L Kelly 2017).</w:t>
      </w:r>
    </w:p>
    <w:p w14:paraId="55AC49DC" w14:textId="7709680A" w:rsidR="00F836BA"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lastRenderedPageBreak/>
        <w:t xml:space="preserve">As reported by Internet World Stats (2012), more than </w:t>
      </w:r>
      <w:r w:rsidR="00F836BA" w:rsidRPr="00F24135">
        <w:rPr>
          <w:rFonts w:ascii="Times New Roman" w:hAnsi="Times New Roman" w:cs="Times New Roman"/>
        </w:rPr>
        <w:t xml:space="preserve">two </w:t>
      </w:r>
      <w:r w:rsidRPr="00BA1064">
        <w:rPr>
          <w:rFonts w:ascii="Times New Roman" w:hAnsi="Times New Roman" w:cs="Times New Roman"/>
        </w:rPr>
        <w:t xml:space="preserve">billion individuals were </w:t>
      </w:r>
      <w:r w:rsidR="00F836BA" w:rsidRPr="00F24135">
        <w:rPr>
          <w:rFonts w:ascii="Times New Roman" w:hAnsi="Times New Roman" w:cs="Times New Roman"/>
        </w:rPr>
        <w:t>using</w:t>
      </w:r>
      <w:r w:rsidRPr="00BA1064">
        <w:rPr>
          <w:rFonts w:ascii="Times New Roman" w:hAnsi="Times New Roman" w:cs="Times New Roman"/>
        </w:rPr>
        <w:t xml:space="preserve"> the </w:t>
      </w:r>
      <w:r w:rsidR="00F836BA" w:rsidRPr="00F24135">
        <w:rPr>
          <w:rFonts w:ascii="Times New Roman" w:hAnsi="Times New Roman" w:cs="Times New Roman"/>
        </w:rPr>
        <w:t>i</w:t>
      </w:r>
      <w:r w:rsidRPr="00BA1064">
        <w:rPr>
          <w:rFonts w:ascii="Times New Roman" w:hAnsi="Times New Roman" w:cs="Times New Roman"/>
        </w:rPr>
        <w:t>nternet globally by June 2012, and this swift expansion has led to a notable rise in online sexual activity (Cooper, Golden, and Marshall, 2006). The nature of child sexual exploitation (CSE) has altered, with more focus on online-facilitated abuse via social media, gaming platforms, and encrypted messaging systems (Kloess, Beech, Harkins, 2014). This transition imposes further obligations on response officers, who may lack specialised digital investigation skills while still being accountable for initial safeguarding measures, underscoring the necessity for improved training and resources in digital safeguarding methodologies</w:t>
      </w:r>
      <w:r w:rsidR="00F836BA" w:rsidRPr="00F24135">
        <w:rPr>
          <w:rFonts w:ascii="Times New Roman" w:hAnsi="Times New Roman" w:cs="Times New Roman"/>
        </w:rPr>
        <w:t>.</w:t>
      </w:r>
    </w:p>
    <w:p w14:paraId="6ECE769E"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CSE's theoretical foundations emphasise how critical it is to comprehend both personal and environmental risk factors. Routine Activity Theory (Ungvarsky, 2024) supports proactive policing and multi-agency interventions by explaining how the combination of vulnerable children, motivated perpetrators, and the lack of capable guardians increases danger. Similar to this, vulnerability and risk frameworks (Beckett et al., 2017) shed light on how trauma, social isolation, and unfavourable childhood experiences increase susceptibility, guiding focused protection tactics. In order to ensure victim-centred participation and prevent re-traumatisation, trauma-informed policing tactics place a strong emphasis on identifying and addressing the psychological and emotional effects of exploitation.</w:t>
      </w:r>
    </w:p>
    <w:p w14:paraId="01A989CE"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 </w:t>
      </w:r>
    </w:p>
    <w:p w14:paraId="601867CB"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b/>
          <w:bCs/>
          <w:u w:val="single"/>
        </w:rPr>
        <w:t>Response policing in safeguarding.</w:t>
      </w:r>
    </w:p>
    <w:p w14:paraId="2352CD49"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Response officers hold a crucial role in uniformed policing; nevertheless, the extensive scope of their duties reveals significant conflicts within the function. Charged with addressing occurrences, safeguarding the public, monitoring neighbourhoods, handling crises, mediating disputes, providing emergency care, and assisting vulnerable groups, they are anticipated to function as enforcers, mediators, and carers simultaneously (College of Policing, 2024). Officers frequently act as the first point of contact for children at risk of CSE, often in circumstances not explicitly labelled as exploitation. This untenable balancing act imposes considerable strain, resulting in officers being overextended and compelled to make rapid, high-stakes judgements that may jeopardise both efficacy and equity.</w:t>
      </w:r>
    </w:p>
    <w:p w14:paraId="3A9A3619"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 xml:space="preserve">Research constantly underscores the conflict between the reactive mandate of response policing and the intricate, persistent nature of CSE (McVeigh and Heward-Belle, 2024). South Wales Police operate within a geographically diverse region encompassing urban, </w:t>
      </w:r>
      <w:r w:rsidRPr="00BA1064">
        <w:rPr>
          <w:rFonts w:ascii="Times New Roman" w:hAnsi="Times New Roman" w:cs="Times New Roman"/>
        </w:rPr>
        <w:lastRenderedPageBreak/>
        <w:t>rural, and coastal communities (HMICFRS, 2024), necessitating adaptation to varying local demands, which may restrict access to specialised safeguarding services in less accessible areas.</w:t>
      </w:r>
    </w:p>
    <w:p w14:paraId="491A28FC"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Response policing remains a central mechanism for identifying and addressing child sexual exploitation (CSE), especially during initial contact. The literature identifies several operational strengths, including the ability of response officers to attend incidents rapidly, disrupt immediate harm, secure evidence, and remove children from unsafe environments (Brown et al., 2019). The police being visible may also act as a deterrent to perpetrators and provide reassurance to victims and their communities.</w:t>
      </w:r>
    </w:p>
    <w:p w14:paraId="0BA32577" w14:textId="22D5D479"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However, extensive research and inspection evidence demonstrate that the efficacy of police response in CSE situations is inconsistent and frequently limited by structural and cultural issues. The HM Inspectorate of Constabulary and Fire &amp; Rescue Services (HMICFRS) has consistently noted inconsistencies in frontline officers' capacity to identify signs of exploitation and effectively evaluate vulnerability during the initial response and investigative phases (HMICFRS, 2021). The Independent Inquiry into Child Sexual Exploitation in Rotherham revealed serious deficiencies in police responses, particularly the erroneous classification of exploited children as offenders or willing participants, which severely compromised safeguarding results (Jay, 2014). Notwithstanding subsequent national directives and training, response policing remains influenced by elevated demand, constrained specialised capacity, and an excessive dependence on reactive, incident-centric enforcement strategies (Home Office, 2020).</w:t>
      </w:r>
      <w:r w:rsidRPr="00BA1064">
        <w:rPr>
          <w:rFonts w:ascii="Times New Roman" w:hAnsi="Times New Roman" w:cs="Times New Roman"/>
        </w:rPr>
        <w:br/>
      </w:r>
      <w:r w:rsidRPr="00BA1064">
        <w:rPr>
          <w:rFonts w:ascii="Times New Roman" w:hAnsi="Times New Roman" w:cs="Times New Roman"/>
        </w:rPr>
        <w:br/>
        <w:t xml:space="preserve">The literature emphasises that the </w:t>
      </w:r>
      <w:r w:rsidR="004A0410" w:rsidRPr="00F24135">
        <w:rPr>
          <w:rFonts w:ascii="Times New Roman" w:hAnsi="Times New Roman" w:cs="Times New Roman"/>
        </w:rPr>
        <w:t>efficiency</w:t>
      </w:r>
      <w:r w:rsidRPr="00BA1064">
        <w:rPr>
          <w:rFonts w:ascii="Times New Roman" w:hAnsi="Times New Roman" w:cs="Times New Roman"/>
        </w:rPr>
        <w:t xml:space="preserve"> of response policing is diminished by variable vulnerability thresholds and fragmented information-sharing methods among safeguarding partners. Although law enforcement often recognises significant risk levels during call management and initial response, these evaluations are not consistently communicated or acknowledged by children's social care or health agencies, leading to lost opportunities for early intervention (Ford et al., 2019). Welsh safeguarding reviews indicate that limited, incident-focused responses may result in recurrent police interactions without progression to specialised help, especially for adolescents deemed difficult or non-compliant (Welsh Government, 2020). Training deficiencies persist as a significant issue, with research indicating that responding officers frequently perceive themselves as inadequately equipped </w:t>
      </w:r>
      <w:r w:rsidRPr="00BA1064">
        <w:rPr>
          <w:rFonts w:ascii="Times New Roman" w:hAnsi="Times New Roman" w:cs="Times New Roman"/>
        </w:rPr>
        <w:lastRenderedPageBreak/>
        <w:t xml:space="preserve">to recognise </w:t>
      </w:r>
      <w:r w:rsidR="004A0410" w:rsidRPr="00F24135">
        <w:rPr>
          <w:rFonts w:ascii="Times New Roman" w:hAnsi="Times New Roman" w:cs="Times New Roman"/>
        </w:rPr>
        <w:t>subtle</w:t>
      </w:r>
      <w:r w:rsidRPr="00BA1064">
        <w:rPr>
          <w:rFonts w:ascii="Times New Roman" w:hAnsi="Times New Roman" w:cs="Times New Roman"/>
        </w:rPr>
        <w:t xml:space="preserve"> or contextual signs of exploitation, hence heightening the probability that vulnerability goes ignored (Davidson et al., 2021).</w:t>
      </w:r>
    </w:p>
    <w:p w14:paraId="2DAA687F" w14:textId="0044D7DD"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 xml:space="preserve">Response effectiveness is also impacted by organisational demands and officer well-being. Mental health issues, sick leave, and decision-making tiredness are all influenced by heavy workloads, trauma exposure, and recurrent CSE cases (Shane, 2019). </w:t>
      </w:r>
      <w:r w:rsidRPr="00BA1064">
        <w:rPr>
          <w:rFonts w:ascii="Times New Roman" w:hAnsi="Times New Roman" w:cs="Times New Roman"/>
        </w:rPr>
        <w:br/>
      </w:r>
      <w:r w:rsidRPr="00BA1064">
        <w:rPr>
          <w:rFonts w:ascii="Times New Roman" w:hAnsi="Times New Roman" w:cs="Times New Roman"/>
        </w:rPr>
        <w:br/>
        <w:t>The need for organisational support and resilience-focused training is further supported by research showing that officer stress can result in inconsistent risk assessments, missed opportunities for referral to specialist support, and a preference for immediate enforcement over safeguarding (McVeigh et al., 2024).</w:t>
      </w:r>
      <w:r w:rsidRPr="00BA1064">
        <w:rPr>
          <w:rFonts w:ascii="Times New Roman" w:hAnsi="Times New Roman" w:cs="Times New Roman"/>
        </w:rPr>
        <w:br/>
      </w:r>
      <w:r w:rsidRPr="00BA1064">
        <w:rPr>
          <w:rFonts w:ascii="Times New Roman" w:hAnsi="Times New Roman" w:cs="Times New Roman"/>
        </w:rPr>
        <w:br/>
        <w:t>Recent advancements in UK policing indicate a steady transition towards vulnerability-centric and trauma-informed response frameworks, which exhibit enhanced potential for improving CSE results. The implementation of child-first policing policies and the proliferation of multi-agency safeguarding hubs (MASH) have improved information exchange and victim involvement in certain police agencies (College of Policing, 2023). Research indicates that when response officers emphasise safety, trust-building, and long-term protection rather than solely evidential results, children are more inclined to disclose abuse and maintain engagement with support services (Hickle and Hallett, 2015). However, the literature warns that without ongoing investment, regular training, and enhanced multi-agency coordination, response policing may continue to be reactive instead of proactive in combating child sexual exploitation.</w:t>
      </w:r>
    </w:p>
    <w:p w14:paraId="7D779EBC"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Collaborative efforts among multiple agencies are fundamental to preserving policy and practice in Wales. The Social Services and Well-being (Wales) Act 2014 mandates police, local authorities, and health organisations to collaborate, facilitated by regional partnership boards aimed at improving welfare and service delivery efficiency (Welsh Government, 2025). The Act establishes regional Safeguarding Children Boards that coordinate multi-agency responses to abuse and exploitation via operational frameworks such as Multi-Agency Safeguarding Hubs (MASH) and Child Exploitation Panels. The arrangements are bolstered by Working Together to Safeguard People (Welsh Government, 2019), which delineates collective responsibilities for preventing abuse and neglect, including child sexual exploitation, and advocates for prompt information sharing, collaborative risk assessment, and coordinated intervention.</w:t>
      </w:r>
    </w:p>
    <w:p w14:paraId="711180E3"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lastRenderedPageBreak/>
        <w:t>Research demonstrates that multi-agency collaboration via Multi-Agency Safeguarding Hubs (MASH) has improved safeguarding outcomes by enhancing information sharing and cooperation among agencies, thereby enabling earlier and more effective identification and management of vulnerabilities (Shorrock, McManus and Kirby, 2020). In instances of child sexual exploitation (CSE), collaborative strategies allow organisations to tackle both urgent safety issues and prolonged welfare requirements, encompassing mental health assistance, educational help, and family intervention. Research indicates that police participation in multi-agency forums enhances intelligence gathering and disrupts exploitative networks (Cockbain et al., 2019). In Wales, regional exploitation teams frequently depend on intelligence supplied by response officers to discern growing patterns and high-risk areas.</w:t>
      </w:r>
      <w:r w:rsidRPr="00BA1064">
        <w:rPr>
          <w:rFonts w:ascii="Times New Roman" w:hAnsi="Times New Roman" w:cs="Times New Roman"/>
        </w:rPr>
        <w:br/>
      </w:r>
      <w:r w:rsidRPr="00BA1064">
        <w:rPr>
          <w:rFonts w:ascii="Times New Roman" w:hAnsi="Times New Roman" w:cs="Times New Roman"/>
        </w:rPr>
        <w:br/>
        <w:t>Nonetheless, comprehensive multi-agency collaboration has not yet been routinely realised. Obstacles such as uneven practices, absence of cohesive management, and resource constraints hinder the potential effectiveness of these arrangements (Shorrock, McManus and Kirby, 2020). Literature emphasises structural and professional obstacles, such as enduring silos, varying intervention thresholds, and ambiguity around information-sharing legislation (Atkinson et al., 2007). Law enforcement officials may exercise restraint in disseminating intelligence, whilst social services could prioritise welfare over evidentiary norms, resulting in tensions that can hinder the efficacy of integrated safeguarding efforts.</w:t>
      </w:r>
    </w:p>
    <w:p w14:paraId="478A8890" w14:textId="77777777"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t>Evidence from the UK reveals that multi-agency working varies by region. For instance, integrated data systems in Greater Manchester and London enable quicker risk identification, but staffing shortages and specialised services may cause delays in Wales’s rural areas. (HMICFRS, 2024, Welsh Government, 2020). These differences highlight the significance of resource allocation, context-specific techniques, and continuous assessment to maximise protection results.</w:t>
      </w:r>
      <w:r w:rsidRPr="00BA1064">
        <w:rPr>
          <w:rFonts w:ascii="Times New Roman" w:hAnsi="Times New Roman" w:cs="Times New Roman"/>
        </w:rPr>
        <w:br/>
      </w:r>
      <w:r w:rsidRPr="00BA1064">
        <w:rPr>
          <w:rFonts w:ascii="Times New Roman" w:hAnsi="Times New Roman" w:cs="Times New Roman"/>
        </w:rPr>
        <w:br/>
      </w:r>
      <w:r w:rsidRPr="00BA1064">
        <w:rPr>
          <w:rFonts w:ascii="Times New Roman" w:hAnsi="Times New Roman" w:cs="Times New Roman"/>
        </w:rPr>
        <w:br/>
        <w:t>Additionally, digital protection makes multi-agency work more difficult. Coordination between police cyber units, social services, and schools is necessary due to the increase of child sexual abuse material (CSAM), online grooming, and exploitation through encrypted chat platforms. Research indicates that children's exposure to danger may remain unchecked in the absence of prompt intelligence sharing and digital literacy training for officers (Kloess, Beech &amp; Harkins, 2014, Cockbain et al., 2019).</w:t>
      </w:r>
    </w:p>
    <w:p w14:paraId="28A5DF25" w14:textId="2E651256" w:rsidR="00BA1064" w:rsidRPr="00BA1064" w:rsidRDefault="00BA1064" w:rsidP="006B4AC6">
      <w:pPr>
        <w:spacing w:line="360" w:lineRule="auto"/>
        <w:rPr>
          <w:rFonts w:ascii="Times New Roman" w:hAnsi="Times New Roman" w:cs="Times New Roman"/>
        </w:rPr>
      </w:pPr>
      <w:r w:rsidRPr="00BA1064">
        <w:rPr>
          <w:rFonts w:ascii="Times New Roman" w:hAnsi="Times New Roman" w:cs="Times New Roman"/>
        </w:rPr>
        <w:lastRenderedPageBreak/>
        <w:t>Despite the fact that child sexual exploitation (CSE) is widely acknowledged as a serious safeguarding concern, there are significant gaps in the literature that directly impact the goals of this study. Previous research has mostly concentrated on post-incident reviews, policy creation, and specialised safeguarding units; reaction policing has received less attention. Since response officers are often the first professionals to come across children who are at danger of exploitation, this poses a significant gap. As a result, little is known about how response policing affects early detection, safeguarding choices, and referral processes for kids at risk for CSE. This is especially true when kids are transferred across local authority boundaries, out of the county, or abroad, which can make it more difficult to identify and maintain safeguarding responses.</w:t>
      </w:r>
      <w:r w:rsidRPr="00BA1064">
        <w:rPr>
          <w:rFonts w:ascii="Times New Roman" w:hAnsi="Times New Roman" w:cs="Times New Roman"/>
        </w:rPr>
        <w:br/>
      </w:r>
      <w:r w:rsidRPr="00BA1064">
        <w:rPr>
          <w:rFonts w:ascii="Times New Roman" w:hAnsi="Times New Roman" w:cs="Times New Roman"/>
        </w:rPr>
        <w:br/>
        <w:t>Inspection reports, major case review</w:t>
      </w:r>
      <w:r w:rsidR="004A0410" w:rsidRPr="00F24135">
        <w:rPr>
          <w:rFonts w:ascii="Times New Roman" w:hAnsi="Times New Roman" w:cs="Times New Roman"/>
        </w:rPr>
        <w:t xml:space="preserve">s </w:t>
      </w:r>
      <w:r w:rsidRPr="00BA1064">
        <w:rPr>
          <w:rFonts w:ascii="Times New Roman" w:hAnsi="Times New Roman" w:cs="Times New Roman"/>
        </w:rPr>
        <w:t xml:space="preserve"> and public enquiries—which typically assess organisational performance in the past—make up a large portion of the existing body of information. Despite their value, these sources don't provide much insight into the real-world experiences of frontline police or the difficulties they encounter in juggling their operational priorities, high demand, and time constraints with their safeguarding duties. The influence of resource limitations, such as personnel shortages, heavy workloads, and the cumulative stress faced by response officers, all of which may have an impact on the calibre and consistency of safeguarding choices, is also not given enough consideration in the literature. This restriction helps the study's goal of examining the difficulties responding officers encounter when protecting children who are at risk of CSE.</w:t>
      </w:r>
      <w:r w:rsidRPr="00BA1064">
        <w:rPr>
          <w:rFonts w:ascii="Times New Roman" w:hAnsi="Times New Roman" w:cs="Times New Roman"/>
        </w:rPr>
        <w:br/>
      </w:r>
      <w:r w:rsidRPr="00BA1064">
        <w:rPr>
          <w:rFonts w:ascii="Times New Roman" w:hAnsi="Times New Roman" w:cs="Times New Roman"/>
        </w:rPr>
        <w:br/>
        <w:t xml:space="preserve">The literature also emphasises the </w:t>
      </w:r>
      <w:r w:rsidR="004A0410" w:rsidRPr="00F24135">
        <w:rPr>
          <w:rFonts w:ascii="Times New Roman" w:hAnsi="Times New Roman" w:cs="Times New Roman"/>
        </w:rPr>
        <w:t>lack</w:t>
      </w:r>
      <w:r w:rsidRPr="00BA1064">
        <w:rPr>
          <w:rFonts w:ascii="Times New Roman" w:hAnsi="Times New Roman" w:cs="Times New Roman"/>
        </w:rPr>
        <w:t xml:space="preserve"> of critical analysis about the functioning of response policing in multi-agency safeguarding settings. Despite the fact that collaborative working is frequently marketed as best practice, the research that is currently available frequently concentrates on structural frameworks rather than investigating the ways in which communication, information exchange, and varying professional standards impact frontline practice. Tighter operational procedures are required because persistent obstacles to effective safeguarding have been discovered, including unclear or loosely applied policies and inconsistent communication between partner agencies. This gap is consistent with the goal of evaluating multi-agency collaboration's efficacy from a response policing standpoint.</w:t>
      </w:r>
      <w:r w:rsidRPr="00BA1064">
        <w:rPr>
          <w:rFonts w:ascii="Times New Roman" w:hAnsi="Times New Roman" w:cs="Times New Roman"/>
        </w:rPr>
        <w:br/>
      </w:r>
      <w:r w:rsidRPr="00BA1064">
        <w:rPr>
          <w:rFonts w:ascii="Times New Roman" w:hAnsi="Times New Roman" w:cs="Times New Roman"/>
        </w:rPr>
        <w:br/>
        <w:t xml:space="preserve">Lastly, there is little emphasis on Wales in the literature, which is mostly based on English </w:t>
      </w:r>
      <w:r w:rsidRPr="00BA1064">
        <w:rPr>
          <w:rFonts w:ascii="Times New Roman" w:hAnsi="Times New Roman" w:cs="Times New Roman"/>
        </w:rPr>
        <w:lastRenderedPageBreak/>
        <w:t>metropolitan situations. By offering context-specific insight into police response and multi-agency safeguarding within a Welsh policing setting, this study aims to close this gap.</w:t>
      </w:r>
    </w:p>
    <w:p w14:paraId="7D14EFF1" w14:textId="77777777" w:rsidR="00A97A76" w:rsidRDefault="00A97A76" w:rsidP="00F24135">
      <w:pPr>
        <w:spacing w:line="360" w:lineRule="auto"/>
        <w:jc w:val="both"/>
        <w:rPr>
          <w:rFonts w:ascii="Times New Roman" w:hAnsi="Times New Roman" w:cs="Times New Roman"/>
        </w:rPr>
      </w:pPr>
    </w:p>
    <w:p w14:paraId="23A02334" w14:textId="77777777" w:rsidR="006B4AC6" w:rsidRDefault="006B4AC6" w:rsidP="00F24135">
      <w:pPr>
        <w:spacing w:line="360" w:lineRule="auto"/>
        <w:jc w:val="both"/>
        <w:rPr>
          <w:rFonts w:ascii="Times New Roman" w:hAnsi="Times New Roman" w:cs="Times New Roman"/>
        </w:rPr>
      </w:pPr>
    </w:p>
    <w:p w14:paraId="51568952" w14:textId="77777777" w:rsidR="006B4AC6" w:rsidRDefault="006B4AC6" w:rsidP="00F24135">
      <w:pPr>
        <w:spacing w:line="360" w:lineRule="auto"/>
        <w:jc w:val="both"/>
        <w:rPr>
          <w:rFonts w:ascii="Times New Roman" w:hAnsi="Times New Roman" w:cs="Times New Roman"/>
        </w:rPr>
      </w:pPr>
    </w:p>
    <w:p w14:paraId="26F689FF" w14:textId="77777777" w:rsidR="006B4AC6" w:rsidRDefault="006B4AC6" w:rsidP="00F24135">
      <w:pPr>
        <w:spacing w:line="360" w:lineRule="auto"/>
        <w:jc w:val="both"/>
        <w:rPr>
          <w:rFonts w:ascii="Times New Roman" w:hAnsi="Times New Roman" w:cs="Times New Roman"/>
        </w:rPr>
      </w:pPr>
    </w:p>
    <w:p w14:paraId="603E97F6" w14:textId="77777777" w:rsidR="006B4AC6" w:rsidRDefault="006B4AC6" w:rsidP="00F24135">
      <w:pPr>
        <w:spacing w:line="360" w:lineRule="auto"/>
        <w:jc w:val="both"/>
        <w:rPr>
          <w:rFonts w:ascii="Times New Roman" w:hAnsi="Times New Roman" w:cs="Times New Roman"/>
        </w:rPr>
      </w:pPr>
    </w:p>
    <w:p w14:paraId="4D388990" w14:textId="77777777" w:rsidR="006B4AC6" w:rsidRDefault="006B4AC6" w:rsidP="00F24135">
      <w:pPr>
        <w:spacing w:line="360" w:lineRule="auto"/>
        <w:jc w:val="both"/>
        <w:rPr>
          <w:rFonts w:ascii="Times New Roman" w:hAnsi="Times New Roman" w:cs="Times New Roman"/>
        </w:rPr>
      </w:pPr>
    </w:p>
    <w:p w14:paraId="2990A3E9" w14:textId="77777777" w:rsidR="006B4AC6" w:rsidRDefault="006B4AC6" w:rsidP="00F24135">
      <w:pPr>
        <w:spacing w:line="360" w:lineRule="auto"/>
        <w:jc w:val="both"/>
        <w:rPr>
          <w:rFonts w:ascii="Times New Roman" w:hAnsi="Times New Roman" w:cs="Times New Roman"/>
        </w:rPr>
      </w:pPr>
    </w:p>
    <w:p w14:paraId="162307A4" w14:textId="77777777" w:rsidR="006B4AC6" w:rsidRDefault="006B4AC6" w:rsidP="00F24135">
      <w:pPr>
        <w:spacing w:line="360" w:lineRule="auto"/>
        <w:jc w:val="both"/>
        <w:rPr>
          <w:rFonts w:ascii="Times New Roman" w:hAnsi="Times New Roman" w:cs="Times New Roman"/>
        </w:rPr>
      </w:pPr>
    </w:p>
    <w:p w14:paraId="796A16C0" w14:textId="77777777" w:rsidR="006B4AC6" w:rsidRDefault="006B4AC6" w:rsidP="00F24135">
      <w:pPr>
        <w:spacing w:line="360" w:lineRule="auto"/>
        <w:jc w:val="both"/>
        <w:rPr>
          <w:rFonts w:ascii="Times New Roman" w:hAnsi="Times New Roman" w:cs="Times New Roman"/>
        </w:rPr>
      </w:pPr>
    </w:p>
    <w:p w14:paraId="3D86F4FE" w14:textId="77777777" w:rsidR="006B4AC6" w:rsidRDefault="006B4AC6" w:rsidP="00F24135">
      <w:pPr>
        <w:spacing w:line="360" w:lineRule="auto"/>
        <w:jc w:val="both"/>
        <w:rPr>
          <w:rFonts w:ascii="Times New Roman" w:hAnsi="Times New Roman" w:cs="Times New Roman"/>
        </w:rPr>
      </w:pPr>
    </w:p>
    <w:p w14:paraId="05A2A006" w14:textId="77777777" w:rsidR="006B4AC6" w:rsidRDefault="006B4AC6" w:rsidP="00F24135">
      <w:pPr>
        <w:spacing w:line="360" w:lineRule="auto"/>
        <w:jc w:val="both"/>
        <w:rPr>
          <w:rFonts w:ascii="Times New Roman" w:hAnsi="Times New Roman" w:cs="Times New Roman"/>
        </w:rPr>
      </w:pPr>
    </w:p>
    <w:p w14:paraId="52FD9849" w14:textId="77777777" w:rsidR="006B4AC6" w:rsidRDefault="006B4AC6" w:rsidP="00F24135">
      <w:pPr>
        <w:spacing w:line="360" w:lineRule="auto"/>
        <w:jc w:val="both"/>
        <w:rPr>
          <w:rFonts w:ascii="Times New Roman" w:hAnsi="Times New Roman" w:cs="Times New Roman"/>
        </w:rPr>
      </w:pPr>
    </w:p>
    <w:p w14:paraId="464B86DE" w14:textId="77777777" w:rsidR="006B4AC6" w:rsidRDefault="006B4AC6" w:rsidP="00F24135">
      <w:pPr>
        <w:spacing w:line="360" w:lineRule="auto"/>
        <w:jc w:val="both"/>
        <w:rPr>
          <w:rFonts w:ascii="Times New Roman" w:hAnsi="Times New Roman" w:cs="Times New Roman"/>
        </w:rPr>
      </w:pPr>
    </w:p>
    <w:p w14:paraId="418B9DB4" w14:textId="77777777" w:rsidR="006B4AC6" w:rsidRDefault="006B4AC6" w:rsidP="00F24135">
      <w:pPr>
        <w:spacing w:line="360" w:lineRule="auto"/>
        <w:jc w:val="both"/>
        <w:rPr>
          <w:rFonts w:ascii="Times New Roman" w:hAnsi="Times New Roman" w:cs="Times New Roman"/>
        </w:rPr>
      </w:pPr>
    </w:p>
    <w:p w14:paraId="0BBA73E3" w14:textId="77777777" w:rsidR="006B4AC6" w:rsidRDefault="006B4AC6" w:rsidP="00F24135">
      <w:pPr>
        <w:spacing w:line="360" w:lineRule="auto"/>
        <w:jc w:val="both"/>
        <w:rPr>
          <w:rFonts w:ascii="Times New Roman" w:hAnsi="Times New Roman" w:cs="Times New Roman"/>
        </w:rPr>
      </w:pPr>
    </w:p>
    <w:p w14:paraId="16CF107F" w14:textId="77777777" w:rsidR="006B4AC6" w:rsidRDefault="006B4AC6" w:rsidP="00F24135">
      <w:pPr>
        <w:spacing w:line="360" w:lineRule="auto"/>
        <w:jc w:val="both"/>
        <w:rPr>
          <w:rFonts w:ascii="Times New Roman" w:hAnsi="Times New Roman" w:cs="Times New Roman"/>
        </w:rPr>
      </w:pPr>
    </w:p>
    <w:p w14:paraId="6593F7E4" w14:textId="77777777" w:rsidR="006B4AC6" w:rsidRDefault="006B4AC6" w:rsidP="00F24135">
      <w:pPr>
        <w:spacing w:line="360" w:lineRule="auto"/>
        <w:jc w:val="both"/>
        <w:rPr>
          <w:rFonts w:ascii="Times New Roman" w:hAnsi="Times New Roman" w:cs="Times New Roman"/>
        </w:rPr>
      </w:pPr>
    </w:p>
    <w:p w14:paraId="4096AF8C" w14:textId="77777777" w:rsidR="006B4AC6" w:rsidRDefault="006B4AC6" w:rsidP="00F24135">
      <w:pPr>
        <w:spacing w:line="360" w:lineRule="auto"/>
        <w:jc w:val="both"/>
        <w:rPr>
          <w:rFonts w:ascii="Times New Roman" w:hAnsi="Times New Roman" w:cs="Times New Roman"/>
        </w:rPr>
      </w:pPr>
    </w:p>
    <w:p w14:paraId="02BC8C15" w14:textId="77777777" w:rsidR="006B4AC6" w:rsidRDefault="006B4AC6" w:rsidP="00F24135">
      <w:pPr>
        <w:spacing w:line="360" w:lineRule="auto"/>
        <w:jc w:val="both"/>
        <w:rPr>
          <w:rFonts w:ascii="Times New Roman" w:hAnsi="Times New Roman" w:cs="Times New Roman"/>
        </w:rPr>
      </w:pPr>
    </w:p>
    <w:p w14:paraId="17579F85" w14:textId="77777777" w:rsidR="006B4AC6" w:rsidRDefault="006B4AC6" w:rsidP="00F24135">
      <w:pPr>
        <w:spacing w:line="360" w:lineRule="auto"/>
        <w:jc w:val="both"/>
        <w:rPr>
          <w:rFonts w:ascii="Times New Roman" w:hAnsi="Times New Roman" w:cs="Times New Roman"/>
        </w:rPr>
      </w:pPr>
    </w:p>
    <w:p w14:paraId="75ACD3CD" w14:textId="77777777" w:rsidR="006B4AC6" w:rsidRDefault="006B4AC6" w:rsidP="00F24135">
      <w:pPr>
        <w:spacing w:line="360" w:lineRule="auto"/>
        <w:jc w:val="both"/>
        <w:rPr>
          <w:rFonts w:ascii="Times New Roman" w:hAnsi="Times New Roman" w:cs="Times New Roman"/>
        </w:rPr>
      </w:pPr>
    </w:p>
    <w:p w14:paraId="2E0EBFB1" w14:textId="77777777" w:rsidR="006B4AC6" w:rsidRDefault="006B4AC6" w:rsidP="00F24135">
      <w:pPr>
        <w:spacing w:line="360" w:lineRule="auto"/>
        <w:jc w:val="both"/>
        <w:rPr>
          <w:rFonts w:ascii="Times New Roman" w:hAnsi="Times New Roman" w:cs="Times New Roman"/>
        </w:rPr>
      </w:pPr>
    </w:p>
    <w:p w14:paraId="5C3A44A4" w14:textId="77777777" w:rsidR="006B4AC6" w:rsidRPr="00F24135" w:rsidRDefault="006B4AC6" w:rsidP="00F24135">
      <w:pPr>
        <w:spacing w:line="360" w:lineRule="auto"/>
        <w:jc w:val="both"/>
        <w:rPr>
          <w:rFonts w:ascii="Times New Roman" w:hAnsi="Times New Roman" w:cs="Times New Roman"/>
        </w:rPr>
      </w:pPr>
    </w:p>
    <w:p w14:paraId="5A2A4112" w14:textId="5D814CCC" w:rsidR="005131CD" w:rsidRPr="00F24135" w:rsidRDefault="005131CD" w:rsidP="00F24135">
      <w:pPr>
        <w:spacing w:line="360" w:lineRule="auto"/>
        <w:jc w:val="both"/>
        <w:rPr>
          <w:rFonts w:ascii="Times New Roman" w:hAnsi="Times New Roman" w:cs="Times New Roman"/>
          <w:b/>
          <w:bCs/>
          <w:u w:val="single"/>
        </w:rPr>
      </w:pPr>
      <w:r w:rsidRPr="00F24135">
        <w:rPr>
          <w:rFonts w:ascii="Times New Roman" w:hAnsi="Times New Roman" w:cs="Times New Roman"/>
          <w:b/>
          <w:bCs/>
          <w:u w:val="single"/>
        </w:rPr>
        <w:lastRenderedPageBreak/>
        <w:t>Bibliography</w:t>
      </w:r>
      <w:r w:rsidR="00F24135" w:rsidRPr="00F24135">
        <w:rPr>
          <w:rFonts w:ascii="Times New Roman" w:hAnsi="Times New Roman" w:cs="Times New Roman"/>
          <w:b/>
          <w:bCs/>
          <w:u w:val="single"/>
        </w:rPr>
        <w:t>.</w:t>
      </w:r>
    </w:p>
    <w:p w14:paraId="6ED2A0D1" w14:textId="77777777" w:rsidR="008441F0" w:rsidRPr="008441F0" w:rsidRDefault="008441F0" w:rsidP="008441F0">
      <w:r w:rsidRPr="008441F0">
        <w:t xml:space="preserve">Beckett, H. </w:t>
      </w:r>
      <w:r w:rsidRPr="008441F0">
        <w:rPr>
          <w:i/>
          <w:iCs/>
        </w:rPr>
        <w:t>et al.</w:t>
      </w:r>
      <w:r w:rsidRPr="008441F0">
        <w:t xml:space="preserve"> (2017) </w:t>
      </w:r>
      <w:r w:rsidRPr="008441F0">
        <w:rPr>
          <w:i/>
          <w:iCs/>
        </w:rPr>
        <w:t>Child sexual exploitation: definition and guide for professionals</w:t>
      </w:r>
      <w:r w:rsidRPr="008441F0">
        <w:t>. London: [Publisher if known].</w:t>
      </w:r>
    </w:p>
    <w:p w14:paraId="217074FA" w14:textId="77777777" w:rsidR="008441F0" w:rsidRPr="008441F0" w:rsidRDefault="008441F0" w:rsidP="008441F0">
      <w:r w:rsidRPr="008441F0">
        <w:t xml:space="preserve">Cockbain, E. and Brayley, H. (2012) ‘Child sexual exploitation and youth offending: a research note’, </w:t>
      </w:r>
      <w:r w:rsidRPr="008441F0">
        <w:rPr>
          <w:i/>
          <w:iCs/>
        </w:rPr>
        <w:t>European Journal of Criminology</w:t>
      </w:r>
      <w:r w:rsidRPr="008441F0">
        <w:t xml:space="preserve">, 9(6), pp. 689–700. </w:t>
      </w:r>
      <w:hyperlink r:id="rId8" w:tgtFrame="_new" w:history="1">
        <w:r w:rsidRPr="008441F0">
          <w:rPr>
            <w:rStyle w:val="Hyperlink"/>
            <w:u w:val="none"/>
          </w:rPr>
          <w:t>https://doi.org/10.1177/1477370812453401</w:t>
        </w:r>
      </w:hyperlink>
      <w:r w:rsidRPr="008441F0">
        <w:t>.</w:t>
      </w:r>
    </w:p>
    <w:p w14:paraId="724468D1" w14:textId="77777777" w:rsidR="008441F0" w:rsidRPr="008441F0" w:rsidRDefault="008441F0" w:rsidP="008441F0">
      <w:r w:rsidRPr="008441F0">
        <w:t xml:space="preserve">College of Policing (2024) </w:t>
      </w:r>
      <w:r w:rsidRPr="008441F0">
        <w:rPr>
          <w:i/>
          <w:iCs/>
        </w:rPr>
        <w:t>Response policing career pathway</w:t>
      </w:r>
      <w:r w:rsidRPr="008441F0">
        <w:t xml:space="preserve">. Available at: </w:t>
      </w:r>
      <w:hyperlink r:id="rId9" w:tgtFrame="_new" w:history="1">
        <w:r w:rsidRPr="008441F0">
          <w:rPr>
            <w:rStyle w:val="Hyperlink"/>
            <w:u w:val="none"/>
          </w:rPr>
          <w:t>https://www.college.police.uk/career-learning/career-development/career-pathways/response-policing</w:t>
        </w:r>
      </w:hyperlink>
      <w:r w:rsidRPr="008441F0">
        <w:t xml:space="preserve"> (Accessed: 16 January 2026).</w:t>
      </w:r>
    </w:p>
    <w:p w14:paraId="45761D80" w14:textId="77777777" w:rsidR="008441F0" w:rsidRPr="008441F0" w:rsidRDefault="008441F0" w:rsidP="008441F0">
      <w:r w:rsidRPr="008441F0">
        <w:t xml:space="preserve">Cooper, A. (2006) ‘Online sexuality and online sexual problems: skating on thin ice’, in </w:t>
      </w:r>
      <w:r w:rsidRPr="008441F0">
        <w:rPr>
          <w:i/>
          <w:iCs/>
        </w:rPr>
        <w:t>Sexual offender treatment: controversial issues</w:t>
      </w:r>
      <w:r w:rsidRPr="008441F0">
        <w:t>. Chichester: Wiley, pp. [page numbers if known].</w:t>
      </w:r>
    </w:p>
    <w:p w14:paraId="5F568FD7" w14:textId="77777777" w:rsidR="008441F0" w:rsidRPr="008441F0" w:rsidRDefault="008441F0" w:rsidP="008441F0">
      <w:r w:rsidRPr="008441F0">
        <w:t xml:space="preserve">Coy, M. </w:t>
      </w:r>
      <w:r w:rsidRPr="008441F0">
        <w:rPr>
          <w:i/>
          <w:iCs/>
        </w:rPr>
        <w:t>et al.</w:t>
      </w:r>
      <w:r w:rsidRPr="008441F0">
        <w:t xml:space="preserve"> (2017) </w:t>
      </w:r>
      <w:r w:rsidRPr="008441F0">
        <w:rPr>
          <w:i/>
          <w:iCs/>
        </w:rPr>
        <w:t>Child sexual exploitation: social workers</w:t>
      </w:r>
      <w:r w:rsidRPr="008441F0">
        <w:t xml:space="preserve">. London: CSA Centre. Available at: </w:t>
      </w:r>
      <w:hyperlink r:id="rId10" w:tgtFrame="_new" w:history="1">
        <w:r w:rsidRPr="008441F0">
          <w:rPr>
            <w:rStyle w:val="Hyperlink"/>
            <w:u w:val="none"/>
          </w:rPr>
          <w:t>https://www.csacentre.org.uk/research-resources/key-messages/social-workers/</w:t>
        </w:r>
      </w:hyperlink>
      <w:r w:rsidRPr="008441F0">
        <w:t xml:space="preserve"> (Accessed: 16 January 2026).</w:t>
      </w:r>
    </w:p>
    <w:p w14:paraId="16D90ADE" w14:textId="77777777" w:rsidR="008441F0" w:rsidRPr="008441F0" w:rsidRDefault="008441F0" w:rsidP="008441F0">
      <w:r w:rsidRPr="008441F0">
        <w:t xml:space="preserve">Crown Prosecution Service (CPS) (2017) </w:t>
      </w:r>
      <w:r w:rsidRPr="008441F0">
        <w:rPr>
          <w:i/>
          <w:iCs/>
        </w:rPr>
        <w:t>Child sexual abuse: guidelines on prosecuting cases of child sexual abuse</w:t>
      </w:r>
      <w:r w:rsidRPr="008441F0">
        <w:t xml:space="preserve">. Available at: </w:t>
      </w:r>
      <w:hyperlink r:id="rId11" w:tgtFrame="_new" w:history="1">
        <w:r w:rsidRPr="008441F0">
          <w:rPr>
            <w:rStyle w:val="Hyperlink"/>
            <w:u w:val="none"/>
          </w:rPr>
          <w:t>https://www.cps.gov.uk/prosecution-guidance/child-sexual-abuse-guidelines-prosecuting-cases-child-sexual-abuse</w:t>
        </w:r>
      </w:hyperlink>
      <w:r w:rsidRPr="008441F0">
        <w:t xml:space="preserve"> (Accessed: 16 January 2026).</w:t>
      </w:r>
    </w:p>
    <w:p w14:paraId="1F829F5F" w14:textId="77777777" w:rsidR="008441F0" w:rsidRPr="008441F0" w:rsidRDefault="008441F0" w:rsidP="008441F0">
      <w:r w:rsidRPr="008441F0">
        <w:t xml:space="preserve">Ford, K. </w:t>
      </w:r>
      <w:r w:rsidRPr="008441F0">
        <w:rPr>
          <w:i/>
          <w:iCs/>
        </w:rPr>
        <w:t>et al.</w:t>
      </w:r>
      <w:r w:rsidRPr="008441F0">
        <w:t xml:space="preserve"> (2019) ‘Understanding the outcome of police safeguarding notifications to social services in South Wales’, </w:t>
      </w:r>
      <w:r w:rsidRPr="008441F0">
        <w:rPr>
          <w:i/>
          <w:iCs/>
        </w:rPr>
        <w:t>The Police Journal: Theory, Practice and Principles</w:t>
      </w:r>
      <w:r w:rsidRPr="008441F0">
        <w:t xml:space="preserve">, 93(2), pp. 1–16. </w:t>
      </w:r>
      <w:hyperlink r:id="rId12" w:tgtFrame="_new" w:history="1">
        <w:r w:rsidRPr="008441F0">
          <w:rPr>
            <w:rStyle w:val="Hyperlink"/>
            <w:u w:val="none"/>
          </w:rPr>
          <w:t>https://doi.org/10.1177/0032258X19836144</w:t>
        </w:r>
      </w:hyperlink>
      <w:r w:rsidRPr="008441F0">
        <w:t>.</w:t>
      </w:r>
    </w:p>
    <w:p w14:paraId="7128C63E" w14:textId="77777777" w:rsidR="008441F0" w:rsidRPr="008441F0" w:rsidRDefault="008441F0" w:rsidP="008441F0">
      <w:r w:rsidRPr="008441F0">
        <w:t xml:space="preserve">HM Inspectorate of Constabulary and Fire &amp; Rescue Services (HMICFRS) (2021) </w:t>
      </w:r>
      <w:r w:rsidRPr="008441F0">
        <w:rPr>
          <w:i/>
          <w:iCs/>
        </w:rPr>
        <w:t>Integrated vulnerability inspection post-inspection review</w:t>
      </w:r>
      <w:r w:rsidRPr="008441F0">
        <w:t xml:space="preserve">. Available at: </w:t>
      </w:r>
      <w:hyperlink r:id="rId13" w:tgtFrame="_new" w:history="1">
        <w:r w:rsidRPr="008441F0">
          <w:rPr>
            <w:rStyle w:val="Hyperlink"/>
            <w:u w:val="none"/>
          </w:rPr>
          <w:t>https://hmicfrs.justiceinspectorates.gov.uk/publications/integrated-vulnerability-inspection-post-inspection-review/</w:t>
        </w:r>
      </w:hyperlink>
      <w:r w:rsidRPr="008441F0">
        <w:t xml:space="preserve"> (Accessed: 16 January 2026).</w:t>
      </w:r>
    </w:p>
    <w:p w14:paraId="444A2458" w14:textId="77777777" w:rsidR="008441F0" w:rsidRPr="008441F0" w:rsidRDefault="008441F0" w:rsidP="008441F0">
      <w:r w:rsidRPr="008441F0">
        <w:t xml:space="preserve">HM Inspectorate of Constabulary and Fire &amp; Rescue Services (HMICFRS) (2024) </w:t>
      </w:r>
      <w:r w:rsidRPr="008441F0">
        <w:rPr>
          <w:i/>
          <w:iCs/>
        </w:rPr>
        <w:t>More about this area: South Wales</w:t>
      </w:r>
      <w:r w:rsidRPr="008441F0">
        <w:t xml:space="preserve">. Available at: </w:t>
      </w:r>
      <w:hyperlink r:id="rId14" w:tgtFrame="_new" w:history="1">
        <w:r w:rsidRPr="008441F0">
          <w:rPr>
            <w:rStyle w:val="Hyperlink"/>
            <w:u w:val="none"/>
          </w:rPr>
          <w:t>https://hmicfrs.justiceinspectorates.gov.uk/police-forces/south-wales/more-about-this-area/</w:t>
        </w:r>
      </w:hyperlink>
      <w:r w:rsidRPr="008441F0">
        <w:t xml:space="preserve"> (Accessed: 16 January 2026).</w:t>
      </w:r>
    </w:p>
    <w:p w14:paraId="6B612C7E" w14:textId="77777777" w:rsidR="008441F0" w:rsidRPr="008441F0" w:rsidRDefault="008441F0" w:rsidP="008441F0">
      <w:r w:rsidRPr="008441F0">
        <w:t xml:space="preserve">HM Inspectorate of Constabulary and Fire &amp; Rescue Services (HMICFRS) (2025) </w:t>
      </w:r>
      <w:r w:rsidRPr="008441F0">
        <w:rPr>
          <w:i/>
          <w:iCs/>
        </w:rPr>
        <w:t>Inspection of the effectiveness of police and law enforcement bodies’ response to group-based child sexual exploitation: a progress report</w:t>
      </w:r>
      <w:r w:rsidRPr="008441F0">
        <w:t xml:space="preserve">. Available at: </w:t>
      </w:r>
      <w:hyperlink r:id="rId15" w:tgtFrame="_new" w:history="1">
        <w:r w:rsidRPr="008441F0">
          <w:rPr>
            <w:rStyle w:val="Hyperlink"/>
            <w:u w:val="none"/>
          </w:rPr>
          <w:t>https://hmicfrs.justiceinspectorates.gov.uk/publication-html/effectiveness-of-police-and-law-enforcement-response-to-group-based-child-sexual-exploitation-progress/</w:t>
        </w:r>
      </w:hyperlink>
      <w:r w:rsidRPr="008441F0">
        <w:t xml:space="preserve"> (Accessed: 16 January 2026).</w:t>
      </w:r>
    </w:p>
    <w:p w14:paraId="09F4C687" w14:textId="77777777" w:rsidR="008441F0" w:rsidRPr="008441F0" w:rsidRDefault="008441F0" w:rsidP="008441F0">
      <w:r w:rsidRPr="008441F0">
        <w:lastRenderedPageBreak/>
        <w:t xml:space="preserve">Hickle, K. and Hallett, S. (2015) ‘Mitigating harm: considering harm reduction principles in work with sexually exploited young people’, </w:t>
      </w:r>
      <w:r w:rsidRPr="008441F0">
        <w:rPr>
          <w:i/>
          <w:iCs/>
        </w:rPr>
        <w:t>Children &amp; Society</w:t>
      </w:r>
      <w:r w:rsidRPr="008441F0">
        <w:t xml:space="preserve">, 30(4), pp. 302–313. </w:t>
      </w:r>
      <w:hyperlink r:id="rId16" w:tgtFrame="_new" w:history="1">
        <w:r w:rsidRPr="008441F0">
          <w:rPr>
            <w:rStyle w:val="Hyperlink"/>
            <w:u w:val="none"/>
          </w:rPr>
          <w:t>https://doi.org/10.1111/chso.12145</w:t>
        </w:r>
      </w:hyperlink>
      <w:r w:rsidRPr="008441F0">
        <w:t>.</w:t>
      </w:r>
    </w:p>
    <w:p w14:paraId="0E70DA20" w14:textId="77777777" w:rsidR="008441F0" w:rsidRPr="008441F0" w:rsidRDefault="008441F0" w:rsidP="008441F0">
      <w:r w:rsidRPr="008441F0">
        <w:t xml:space="preserve">Home Office (2020) </w:t>
      </w:r>
      <w:r w:rsidRPr="008441F0">
        <w:rPr>
          <w:i/>
          <w:iCs/>
        </w:rPr>
        <w:t>Characteristics of group-based child sexual exploitation in the community: literature review</w:t>
      </w:r>
      <w:r w:rsidRPr="008441F0">
        <w:t>. London: Home Office.</w:t>
      </w:r>
    </w:p>
    <w:p w14:paraId="1A6CB021" w14:textId="77777777" w:rsidR="008441F0" w:rsidRPr="008441F0" w:rsidRDefault="008441F0" w:rsidP="008441F0">
      <w:r w:rsidRPr="008441F0">
        <w:t xml:space="preserve">Jay, A. (2014) </w:t>
      </w:r>
      <w:r w:rsidRPr="008441F0">
        <w:rPr>
          <w:i/>
          <w:iCs/>
        </w:rPr>
        <w:t>Independent inquiry into child sexual exploitation in Rotherham (1997–2013)</w:t>
      </w:r>
      <w:r w:rsidRPr="008441F0">
        <w:t>. Rotherham: Rotherham Metropolitan Borough Council.</w:t>
      </w:r>
    </w:p>
    <w:p w14:paraId="56ADA5CC" w14:textId="77777777" w:rsidR="008441F0" w:rsidRPr="008441F0" w:rsidRDefault="008441F0" w:rsidP="008441F0">
      <w:r w:rsidRPr="008441F0">
        <w:t xml:space="preserve">Kloess, J.A. </w:t>
      </w:r>
      <w:r w:rsidRPr="008441F0">
        <w:rPr>
          <w:i/>
          <w:iCs/>
        </w:rPr>
        <w:t>et al.</w:t>
      </w:r>
      <w:r w:rsidRPr="008441F0">
        <w:t xml:space="preserve"> (2014) ‘Online child sexual exploitation’, </w:t>
      </w:r>
      <w:r w:rsidRPr="008441F0">
        <w:rPr>
          <w:i/>
          <w:iCs/>
        </w:rPr>
        <w:t>Trauma, Violence, &amp; Abuse</w:t>
      </w:r>
      <w:r w:rsidRPr="008441F0">
        <w:t>, 15(2), pp. 126–139. https://doi.org/10.1177/1524838013511543.</w:t>
      </w:r>
    </w:p>
    <w:p w14:paraId="5EBE6BB5" w14:textId="77777777" w:rsidR="008441F0" w:rsidRPr="008441F0" w:rsidRDefault="008441F0" w:rsidP="008441F0">
      <w:r w:rsidRPr="008441F0">
        <w:t xml:space="preserve">Leon, L. and Raws, P. (2016) </w:t>
      </w:r>
      <w:r w:rsidRPr="008441F0">
        <w:rPr>
          <w:i/>
          <w:iCs/>
        </w:rPr>
        <w:t>Boys don’t cry: improving identification and disclosure of sexual exploitation among boys and young men trafficked to the UK</w:t>
      </w:r>
      <w:r w:rsidRPr="008441F0">
        <w:t>. London: Barnardo’s.</w:t>
      </w:r>
    </w:p>
    <w:p w14:paraId="4A36EE79" w14:textId="77777777" w:rsidR="008441F0" w:rsidRPr="008441F0" w:rsidRDefault="008441F0" w:rsidP="008441F0">
      <w:r w:rsidRPr="008441F0">
        <w:t xml:space="preserve">McVeigh, M.J. and Heward-Belle, S. (2024) ‘Analysing the scientific literature on policing approaches to disrupt child sexual exploitation’, </w:t>
      </w:r>
      <w:r w:rsidRPr="008441F0">
        <w:rPr>
          <w:i/>
          <w:iCs/>
        </w:rPr>
        <w:t>Policing: A Journal of Policy and Practice</w:t>
      </w:r>
      <w:r w:rsidRPr="008441F0">
        <w:t xml:space="preserve">, 18(1), pp. 1–13. </w:t>
      </w:r>
      <w:hyperlink r:id="rId17" w:tgtFrame="_new" w:history="1">
        <w:r w:rsidRPr="008441F0">
          <w:rPr>
            <w:rStyle w:val="Hyperlink"/>
            <w:u w:val="none"/>
          </w:rPr>
          <w:t>https://doi.org/10.1093/police/paae088</w:t>
        </w:r>
      </w:hyperlink>
      <w:r w:rsidRPr="008441F0">
        <w:t>.</w:t>
      </w:r>
    </w:p>
    <w:p w14:paraId="38676B21" w14:textId="77777777" w:rsidR="008441F0" w:rsidRPr="008441F0" w:rsidRDefault="008441F0" w:rsidP="008441F0">
      <w:r w:rsidRPr="008441F0">
        <w:t xml:space="preserve">Mental Health (2025) </w:t>
      </w:r>
      <w:r w:rsidRPr="008441F0">
        <w:rPr>
          <w:i/>
          <w:iCs/>
        </w:rPr>
        <w:t>Mental health</w:t>
      </w:r>
      <w:r w:rsidRPr="008441F0">
        <w:t xml:space="preserve">. Available at: </w:t>
      </w:r>
      <w:hyperlink r:id="rId18" w:tgtFrame="_new" w:history="1">
        <w:r w:rsidRPr="008441F0">
          <w:rPr>
            <w:rStyle w:val="Hyperlink"/>
            <w:u w:val="none"/>
          </w:rPr>
          <w:t>https://www.polfed.org/our-work/wellbeing/mental-health/</w:t>
        </w:r>
      </w:hyperlink>
      <w:r w:rsidRPr="008441F0">
        <w:t xml:space="preserve"> (Accessed: 16 January 2026).</w:t>
      </w:r>
    </w:p>
    <w:p w14:paraId="72859C4A" w14:textId="77777777" w:rsidR="008441F0" w:rsidRPr="008441F0" w:rsidRDefault="008441F0" w:rsidP="008441F0">
      <w:r w:rsidRPr="008441F0">
        <w:t xml:space="preserve">NSPCC (2019) </w:t>
      </w:r>
      <w:r w:rsidRPr="008441F0">
        <w:rPr>
          <w:i/>
          <w:iCs/>
        </w:rPr>
        <w:t>Child sexual exploitation</w:t>
      </w:r>
      <w:r w:rsidRPr="008441F0">
        <w:t xml:space="preserve">. Available at: </w:t>
      </w:r>
      <w:hyperlink r:id="rId19" w:tgtFrame="_new" w:history="1">
        <w:r w:rsidRPr="008441F0">
          <w:rPr>
            <w:rStyle w:val="Hyperlink"/>
            <w:u w:val="none"/>
          </w:rPr>
          <w:t>https://www.nspcc.org.uk/keeping-children-safe/types-of-abuse/child-sexual-exploitation/</w:t>
        </w:r>
      </w:hyperlink>
      <w:r w:rsidRPr="008441F0">
        <w:t xml:space="preserve"> (Accessed: 16 January 2026).</w:t>
      </w:r>
    </w:p>
    <w:p w14:paraId="0AC9B1C8" w14:textId="77777777" w:rsidR="008441F0" w:rsidRPr="008441F0" w:rsidRDefault="008441F0" w:rsidP="008441F0">
      <w:r w:rsidRPr="008441F0">
        <w:t xml:space="preserve">NSPCC (2023) </w:t>
      </w:r>
      <w:r w:rsidRPr="008441F0">
        <w:rPr>
          <w:i/>
          <w:iCs/>
        </w:rPr>
        <w:t>Multi-agency and interdisciplinary working</w:t>
      </w:r>
      <w:r w:rsidRPr="008441F0">
        <w:t xml:space="preserve">. Available at: </w:t>
      </w:r>
      <w:hyperlink r:id="rId20" w:tgtFrame="_new" w:history="1">
        <w:r w:rsidRPr="008441F0">
          <w:rPr>
            <w:rStyle w:val="Hyperlink"/>
            <w:u w:val="none"/>
          </w:rPr>
          <w:t>https://learning.nspcc.org.uk/child-protection-system/multi-agency-working-child-protection</w:t>
        </w:r>
      </w:hyperlink>
      <w:r w:rsidRPr="008441F0">
        <w:t xml:space="preserve"> (Accessed: 16 January 2026).</w:t>
      </w:r>
    </w:p>
    <w:p w14:paraId="76B5F289" w14:textId="77777777" w:rsidR="008441F0" w:rsidRPr="008441F0" w:rsidRDefault="008441F0" w:rsidP="008441F0">
      <w:r w:rsidRPr="008441F0">
        <w:t xml:space="preserve">NSPCC (2024) </w:t>
      </w:r>
      <w:r w:rsidRPr="008441F0">
        <w:rPr>
          <w:i/>
          <w:iCs/>
        </w:rPr>
        <w:t>Almost 87,000 sexual offences against children were recorded by police in the past year</w:t>
      </w:r>
      <w:r w:rsidRPr="008441F0">
        <w:t xml:space="preserve">. Available at: </w:t>
      </w:r>
      <w:hyperlink r:id="rId21" w:tgtFrame="_new" w:history="1">
        <w:r w:rsidRPr="008441F0">
          <w:rPr>
            <w:rStyle w:val="Hyperlink"/>
            <w:u w:val="none"/>
          </w:rPr>
          <w:t>https://www.nspcc.org.uk/about-us/news-opinion/2024/2024-01-10-almost-87000-sexual-offences-against-children-were-recorded-by-police-in-the-past-year/</w:t>
        </w:r>
      </w:hyperlink>
      <w:r w:rsidRPr="008441F0">
        <w:t xml:space="preserve"> (Accessed: 16 January 2026).</w:t>
      </w:r>
    </w:p>
    <w:p w14:paraId="3D266A68" w14:textId="77777777" w:rsidR="008441F0" w:rsidRPr="008441F0" w:rsidRDefault="008441F0" w:rsidP="008441F0">
      <w:r w:rsidRPr="008441F0">
        <w:t xml:space="preserve">Roberts, R. </w:t>
      </w:r>
      <w:r w:rsidRPr="008441F0">
        <w:rPr>
          <w:i/>
          <w:iCs/>
        </w:rPr>
        <w:t>et al.</w:t>
      </w:r>
      <w:r w:rsidRPr="008441F0">
        <w:t xml:space="preserve"> (2024) ‘Identifying young people who are experiencing criminal and sexual exploitation’, </w:t>
      </w:r>
      <w:r w:rsidRPr="008441F0">
        <w:rPr>
          <w:i/>
          <w:iCs/>
        </w:rPr>
        <w:t>BMJ</w:t>
      </w:r>
      <w:r w:rsidRPr="008441F0">
        <w:t xml:space="preserve">, 387, e079497. </w:t>
      </w:r>
      <w:hyperlink r:id="rId22" w:tgtFrame="_new" w:history="1">
        <w:r w:rsidRPr="008441F0">
          <w:rPr>
            <w:rStyle w:val="Hyperlink"/>
            <w:u w:val="none"/>
          </w:rPr>
          <w:t>https://doi.org/10.1136/bmj-2024-079497</w:t>
        </w:r>
      </w:hyperlink>
      <w:r w:rsidRPr="008441F0">
        <w:t>.</w:t>
      </w:r>
    </w:p>
    <w:p w14:paraId="05CCDC58" w14:textId="77777777" w:rsidR="008441F0" w:rsidRPr="008441F0" w:rsidRDefault="008441F0" w:rsidP="008441F0">
      <w:r w:rsidRPr="008441F0">
        <w:t xml:space="preserve">Shane, J.M. (2019) ‘Police stress in today’s world’, in </w:t>
      </w:r>
      <w:r w:rsidRPr="008441F0">
        <w:rPr>
          <w:i/>
          <w:iCs/>
        </w:rPr>
        <w:t>Stress inside police departments</w:t>
      </w:r>
      <w:r w:rsidRPr="008441F0">
        <w:t xml:space="preserve">. Abingdon: Routledge, pp. 1–9. </w:t>
      </w:r>
      <w:hyperlink r:id="rId23" w:tgtFrame="_new" w:history="1">
        <w:r w:rsidRPr="008441F0">
          <w:rPr>
            <w:rStyle w:val="Hyperlink"/>
            <w:u w:val="none"/>
          </w:rPr>
          <w:t>https://doi.org/10.4324/9780429297229-1</w:t>
        </w:r>
      </w:hyperlink>
      <w:r w:rsidRPr="008441F0">
        <w:t>.</w:t>
      </w:r>
    </w:p>
    <w:p w14:paraId="1F2DD72A" w14:textId="77777777" w:rsidR="008441F0" w:rsidRPr="008441F0" w:rsidRDefault="008441F0" w:rsidP="008441F0">
      <w:r w:rsidRPr="008441F0">
        <w:t xml:space="preserve">Shorrock, S., McManus, M.M. and Kirby, S. (2020) ‘Practitioner perspectives of multi-agency safeguarding hubs (MASH)’, </w:t>
      </w:r>
      <w:r w:rsidRPr="008441F0">
        <w:rPr>
          <w:i/>
          <w:iCs/>
        </w:rPr>
        <w:t>The Journal of Adult Protection</w:t>
      </w:r>
      <w:r w:rsidRPr="008441F0">
        <w:t>, 22(1), pp. 9–20.</w:t>
      </w:r>
    </w:p>
    <w:p w14:paraId="3CA42CC4" w14:textId="77777777" w:rsidR="008441F0" w:rsidRPr="008441F0" w:rsidRDefault="008441F0" w:rsidP="008441F0">
      <w:r w:rsidRPr="008441F0">
        <w:lastRenderedPageBreak/>
        <w:t xml:space="preserve">Ungvarsky, J. (2024) </w:t>
      </w:r>
      <w:r w:rsidRPr="008441F0">
        <w:rPr>
          <w:i/>
          <w:iCs/>
        </w:rPr>
        <w:t>Routine activity theory</w:t>
      </w:r>
      <w:r w:rsidRPr="008441F0">
        <w:t xml:space="preserve">. Available at: </w:t>
      </w:r>
      <w:hyperlink r:id="rId24" w:tgtFrame="_new" w:history="1">
        <w:r w:rsidRPr="008441F0">
          <w:rPr>
            <w:rStyle w:val="Hyperlink"/>
            <w:u w:val="none"/>
          </w:rPr>
          <w:t>https://www.ebsco.com/research-starters/law/routine-activity-theory</w:t>
        </w:r>
      </w:hyperlink>
      <w:r w:rsidRPr="008441F0">
        <w:t xml:space="preserve"> (Accessed: 16 January 2026).</w:t>
      </w:r>
    </w:p>
    <w:p w14:paraId="01563220" w14:textId="77777777" w:rsidR="008441F0" w:rsidRPr="008441F0" w:rsidRDefault="008441F0" w:rsidP="008441F0">
      <w:r w:rsidRPr="008441F0">
        <w:t xml:space="preserve">Welsh Government (2021) </w:t>
      </w:r>
      <w:r w:rsidRPr="008441F0">
        <w:rPr>
          <w:i/>
          <w:iCs/>
        </w:rPr>
        <w:t>Working together to safeguard people: volume 7 – safeguarding children from child sexual exploitation</w:t>
      </w:r>
      <w:r w:rsidRPr="008441F0">
        <w:t>. Cardiff: Welsh Government.</w:t>
      </w:r>
    </w:p>
    <w:p w14:paraId="62CD9DB6" w14:textId="77777777" w:rsidR="008441F0" w:rsidRPr="008441F0" w:rsidRDefault="008441F0" w:rsidP="008441F0">
      <w:r w:rsidRPr="008441F0">
        <w:t xml:space="preserve">Welsh Government (2025) </w:t>
      </w:r>
      <w:r w:rsidRPr="008441F0">
        <w:rPr>
          <w:i/>
          <w:iCs/>
        </w:rPr>
        <w:t>National multi-agency practice framework for children’s services</w:t>
      </w:r>
      <w:r w:rsidRPr="008441F0">
        <w:t xml:space="preserve">. Available at: </w:t>
      </w:r>
      <w:hyperlink r:id="rId25" w:tgtFrame="_new" w:history="1">
        <w:r w:rsidRPr="008441F0">
          <w:rPr>
            <w:rStyle w:val="Hyperlink"/>
            <w:u w:val="none"/>
          </w:rPr>
          <w:t>https://www.gov.wales/national-multi-agency-practice-framework-childrens-services-html</w:t>
        </w:r>
      </w:hyperlink>
      <w:r w:rsidRPr="008441F0">
        <w:t xml:space="preserve"> (Accessed: 16 January 2026).</w:t>
      </w:r>
    </w:p>
    <w:p w14:paraId="7FB9041A" w14:textId="77777777" w:rsidR="00F24135" w:rsidRPr="008441F0" w:rsidRDefault="00F24135" w:rsidP="00493110"/>
    <w:p w14:paraId="1EAEF9AD" w14:textId="77777777" w:rsidR="005131CD" w:rsidRPr="005131CD" w:rsidRDefault="005131CD" w:rsidP="00493110">
      <w:pPr>
        <w:rPr>
          <w:b/>
          <w:bCs/>
          <w:u w:val="single"/>
        </w:rPr>
      </w:pPr>
    </w:p>
    <w:p w14:paraId="674A6D49" w14:textId="1EDC4F8F" w:rsidR="00493110" w:rsidRPr="00493110" w:rsidRDefault="00493110" w:rsidP="00493110"/>
    <w:p w14:paraId="6A2DE331" w14:textId="2D4F87A0" w:rsidR="00342802" w:rsidRPr="00342802" w:rsidRDefault="00342802" w:rsidP="00342802"/>
    <w:p w14:paraId="1E5C7065" w14:textId="7D71B8AC" w:rsidR="00342802" w:rsidRPr="00342802" w:rsidRDefault="00342802" w:rsidP="00342802"/>
    <w:p w14:paraId="2C267F9F" w14:textId="5B509587" w:rsidR="00340DDF" w:rsidRPr="00340DDF" w:rsidRDefault="00340DDF" w:rsidP="00340DDF"/>
    <w:p w14:paraId="4259630F" w14:textId="77777777" w:rsidR="00492110" w:rsidRPr="00063164" w:rsidRDefault="00492110" w:rsidP="00063164">
      <w:pPr>
        <w:rPr>
          <w:rFonts w:ascii="Times New Roman" w:eastAsia="Times New Roman" w:hAnsi="Times New Roman" w:cs="Times New Roman"/>
          <w:kern w:val="0"/>
          <w:lang w:eastAsia="en-GB"/>
          <w14:ligatures w14:val="none"/>
        </w:rPr>
      </w:pPr>
    </w:p>
    <w:p w14:paraId="1EAE03D6" w14:textId="5AFCE91D" w:rsidR="00063164" w:rsidRPr="00063164" w:rsidRDefault="00063164" w:rsidP="00063164">
      <w:pPr>
        <w:rPr>
          <w:rFonts w:ascii="Times New Roman" w:eastAsia="Times New Roman" w:hAnsi="Times New Roman" w:cs="Times New Roman"/>
          <w:kern w:val="0"/>
          <w:lang w:eastAsia="en-GB"/>
          <w14:ligatures w14:val="none"/>
        </w:rPr>
      </w:pPr>
    </w:p>
    <w:p w14:paraId="08B3B6F8" w14:textId="77777777" w:rsidR="00063164" w:rsidRDefault="00063164" w:rsidP="00F56C97">
      <w:pPr>
        <w:rPr>
          <w:rFonts w:ascii="Times New Roman" w:eastAsia="Times New Roman" w:hAnsi="Times New Roman" w:cs="Times New Roman"/>
          <w:kern w:val="0"/>
          <w:lang w:eastAsia="en-GB"/>
          <w14:ligatures w14:val="none"/>
        </w:rPr>
      </w:pPr>
    </w:p>
    <w:p w14:paraId="16AD9A74" w14:textId="77777777" w:rsidR="00587397" w:rsidRPr="00F56C97" w:rsidRDefault="00587397" w:rsidP="00F56C97">
      <w:pPr>
        <w:rPr>
          <w:rFonts w:ascii="Times New Roman" w:eastAsia="Times New Roman" w:hAnsi="Times New Roman" w:cs="Times New Roman"/>
          <w:kern w:val="0"/>
          <w:lang w:eastAsia="en-GB"/>
          <w14:ligatures w14:val="none"/>
        </w:rPr>
      </w:pPr>
    </w:p>
    <w:p w14:paraId="665D89BE" w14:textId="617FE036" w:rsidR="00264B96" w:rsidRPr="00264B96" w:rsidRDefault="00264B96" w:rsidP="00264B96">
      <w:pPr>
        <w:rPr>
          <w:rFonts w:ascii="Times New Roman" w:eastAsia="Times New Roman" w:hAnsi="Times New Roman" w:cs="Times New Roman"/>
          <w:kern w:val="0"/>
          <w:lang w:eastAsia="en-GB"/>
          <w14:ligatures w14:val="none"/>
        </w:rPr>
      </w:pPr>
    </w:p>
    <w:p w14:paraId="202AC0A0" w14:textId="2D7A2666" w:rsidR="00264B96" w:rsidRPr="00264B96" w:rsidRDefault="00264B96" w:rsidP="00CE4164">
      <w:pPr>
        <w:spacing w:after="0" w:line="240" w:lineRule="auto"/>
        <w:rPr>
          <w:rFonts w:ascii="Times New Roman" w:eastAsia="Times New Roman" w:hAnsi="Times New Roman" w:cs="Times New Roman"/>
          <w:kern w:val="0"/>
          <w:lang w:eastAsia="en-GB"/>
          <w14:ligatures w14:val="none"/>
        </w:rPr>
      </w:pPr>
    </w:p>
    <w:p w14:paraId="58E151A7" w14:textId="033774B9" w:rsidR="00940596" w:rsidRDefault="00940596" w:rsidP="002A344F">
      <w:pPr>
        <w:spacing w:after="0" w:line="240" w:lineRule="auto"/>
      </w:pPr>
    </w:p>
    <w:p w14:paraId="6BEED762" w14:textId="77777777" w:rsidR="008E3FE6" w:rsidRDefault="008E3FE6" w:rsidP="008E3FE6">
      <w:pPr>
        <w:rPr>
          <w:b/>
          <w:bCs/>
        </w:rPr>
      </w:pPr>
    </w:p>
    <w:p w14:paraId="085FC1A9" w14:textId="77777777" w:rsidR="008E3FE6" w:rsidRDefault="008E3FE6" w:rsidP="008E3FE6">
      <w:pPr>
        <w:rPr>
          <w:b/>
          <w:bCs/>
        </w:rPr>
      </w:pPr>
    </w:p>
    <w:p w14:paraId="621D81B5" w14:textId="77777777" w:rsidR="008E3FE6" w:rsidRDefault="008E3FE6" w:rsidP="008E3FE6">
      <w:pPr>
        <w:rPr>
          <w:b/>
          <w:bCs/>
        </w:rPr>
      </w:pPr>
    </w:p>
    <w:p w14:paraId="7859B323" w14:textId="77777777" w:rsidR="008E3FE6" w:rsidRDefault="008E3FE6" w:rsidP="008E3FE6">
      <w:pPr>
        <w:rPr>
          <w:b/>
          <w:bCs/>
        </w:rPr>
      </w:pPr>
    </w:p>
    <w:p w14:paraId="44F2653F" w14:textId="133AF921" w:rsidR="006E3459" w:rsidRDefault="006E3459"/>
    <w:sectPr w:rsidR="006E3459">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723C5D" w14:textId="77777777" w:rsidR="00D0125A" w:rsidRDefault="00D0125A" w:rsidP="00D0125A">
      <w:pPr>
        <w:spacing w:after="0" w:line="240" w:lineRule="auto"/>
      </w:pPr>
      <w:r>
        <w:separator/>
      </w:r>
    </w:p>
  </w:endnote>
  <w:endnote w:type="continuationSeparator" w:id="0">
    <w:p w14:paraId="573707E8" w14:textId="77777777" w:rsidR="00D0125A" w:rsidRDefault="00D0125A" w:rsidP="00D012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1D4973" w14:textId="77777777" w:rsidR="00D0125A" w:rsidRDefault="00D012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65FAC" w14:textId="77777777" w:rsidR="00D0125A" w:rsidRDefault="00D012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EF9FB4" w14:textId="77777777" w:rsidR="00D0125A" w:rsidRDefault="00D012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128E0" w14:textId="77777777" w:rsidR="00D0125A" w:rsidRDefault="00D0125A" w:rsidP="00D0125A">
      <w:pPr>
        <w:spacing w:after="0" w:line="240" w:lineRule="auto"/>
      </w:pPr>
      <w:r>
        <w:separator/>
      </w:r>
    </w:p>
  </w:footnote>
  <w:footnote w:type="continuationSeparator" w:id="0">
    <w:p w14:paraId="441A03BF" w14:textId="77777777" w:rsidR="00D0125A" w:rsidRDefault="00D0125A" w:rsidP="00D012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646B90" w14:textId="77777777" w:rsidR="00D0125A" w:rsidRDefault="00D012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6B6D0A" w14:textId="19AF23F4" w:rsidR="00D0125A" w:rsidRDefault="00D0125A">
    <w:pPr>
      <w:pStyle w:val="Header"/>
    </w:pPr>
    <w:r>
      <w:t xml:space="preserve"> Leah Davies - 2319981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3C7A53" w14:textId="77777777" w:rsidR="00D0125A" w:rsidRDefault="00D012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96257"/>
    <w:multiLevelType w:val="multilevel"/>
    <w:tmpl w:val="EDB4A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90148F"/>
    <w:multiLevelType w:val="multilevel"/>
    <w:tmpl w:val="B6E01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ED1FD9"/>
    <w:multiLevelType w:val="multilevel"/>
    <w:tmpl w:val="EE62C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0C3FF0"/>
    <w:multiLevelType w:val="multilevel"/>
    <w:tmpl w:val="54327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0769CB"/>
    <w:multiLevelType w:val="multilevel"/>
    <w:tmpl w:val="A7D89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5F4636"/>
    <w:multiLevelType w:val="multilevel"/>
    <w:tmpl w:val="A1386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2363306">
    <w:abstractNumId w:val="2"/>
  </w:num>
  <w:num w:numId="2" w16cid:durableId="1203516803">
    <w:abstractNumId w:val="5"/>
  </w:num>
  <w:num w:numId="3" w16cid:durableId="1258832801">
    <w:abstractNumId w:val="1"/>
  </w:num>
  <w:num w:numId="4" w16cid:durableId="959727448">
    <w:abstractNumId w:val="4"/>
  </w:num>
  <w:num w:numId="5" w16cid:durableId="1395929157">
    <w:abstractNumId w:val="3"/>
  </w:num>
  <w:num w:numId="6" w16cid:durableId="260797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57D"/>
    <w:rsid w:val="00063164"/>
    <w:rsid w:val="001925F6"/>
    <w:rsid w:val="002633FF"/>
    <w:rsid w:val="00264B96"/>
    <w:rsid w:val="0029657D"/>
    <w:rsid w:val="002A344F"/>
    <w:rsid w:val="00340DDF"/>
    <w:rsid w:val="00342802"/>
    <w:rsid w:val="003C7782"/>
    <w:rsid w:val="003D6410"/>
    <w:rsid w:val="003E2588"/>
    <w:rsid w:val="00492110"/>
    <w:rsid w:val="00493110"/>
    <w:rsid w:val="004A0410"/>
    <w:rsid w:val="005131CD"/>
    <w:rsid w:val="00587397"/>
    <w:rsid w:val="005903EF"/>
    <w:rsid w:val="005A12B8"/>
    <w:rsid w:val="006055AD"/>
    <w:rsid w:val="00671BD8"/>
    <w:rsid w:val="00676923"/>
    <w:rsid w:val="006B4AC6"/>
    <w:rsid w:val="006E3459"/>
    <w:rsid w:val="00716751"/>
    <w:rsid w:val="00732A2C"/>
    <w:rsid w:val="007405C2"/>
    <w:rsid w:val="007A5479"/>
    <w:rsid w:val="007F4A10"/>
    <w:rsid w:val="008441F0"/>
    <w:rsid w:val="008E253B"/>
    <w:rsid w:val="008E3FE6"/>
    <w:rsid w:val="00940596"/>
    <w:rsid w:val="009D3333"/>
    <w:rsid w:val="00A542DD"/>
    <w:rsid w:val="00A80F35"/>
    <w:rsid w:val="00A97A76"/>
    <w:rsid w:val="00AD6F2F"/>
    <w:rsid w:val="00BA0E77"/>
    <w:rsid w:val="00BA1064"/>
    <w:rsid w:val="00C4443A"/>
    <w:rsid w:val="00C9629C"/>
    <w:rsid w:val="00CE4164"/>
    <w:rsid w:val="00D0125A"/>
    <w:rsid w:val="00DD45A4"/>
    <w:rsid w:val="00DD6E75"/>
    <w:rsid w:val="00DF129D"/>
    <w:rsid w:val="00EC061B"/>
    <w:rsid w:val="00EC1241"/>
    <w:rsid w:val="00F24135"/>
    <w:rsid w:val="00F56C97"/>
    <w:rsid w:val="00F836BA"/>
    <w:rsid w:val="00FA73AA"/>
    <w:rsid w:val="00FE0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05B86"/>
  <w15:chartTrackingRefBased/>
  <w15:docId w15:val="{0AD09836-5550-4E31-8BAD-9285B2E83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5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65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65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65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65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65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65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65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65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5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65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65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65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65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65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65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65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657D"/>
    <w:rPr>
      <w:rFonts w:eastAsiaTheme="majorEastAsia" w:cstheme="majorBidi"/>
      <w:color w:val="272727" w:themeColor="text1" w:themeTint="D8"/>
    </w:rPr>
  </w:style>
  <w:style w:type="paragraph" w:styleId="Title">
    <w:name w:val="Title"/>
    <w:basedOn w:val="Normal"/>
    <w:next w:val="Normal"/>
    <w:link w:val="TitleChar"/>
    <w:uiPriority w:val="10"/>
    <w:qFormat/>
    <w:rsid w:val="002965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65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65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65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657D"/>
    <w:pPr>
      <w:spacing w:before="160"/>
      <w:jc w:val="center"/>
    </w:pPr>
    <w:rPr>
      <w:i/>
      <w:iCs/>
      <w:color w:val="404040" w:themeColor="text1" w:themeTint="BF"/>
    </w:rPr>
  </w:style>
  <w:style w:type="character" w:customStyle="1" w:styleId="QuoteChar">
    <w:name w:val="Quote Char"/>
    <w:basedOn w:val="DefaultParagraphFont"/>
    <w:link w:val="Quote"/>
    <w:uiPriority w:val="29"/>
    <w:rsid w:val="0029657D"/>
    <w:rPr>
      <w:i/>
      <w:iCs/>
      <w:color w:val="404040" w:themeColor="text1" w:themeTint="BF"/>
    </w:rPr>
  </w:style>
  <w:style w:type="paragraph" w:styleId="ListParagraph">
    <w:name w:val="List Paragraph"/>
    <w:basedOn w:val="Normal"/>
    <w:uiPriority w:val="34"/>
    <w:qFormat/>
    <w:rsid w:val="0029657D"/>
    <w:pPr>
      <w:ind w:left="720"/>
      <w:contextualSpacing/>
    </w:pPr>
  </w:style>
  <w:style w:type="character" w:styleId="IntenseEmphasis">
    <w:name w:val="Intense Emphasis"/>
    <w:basedOn w:val="DefaultParagraphFont"/>
    <w:uiPriority w:val="21"/>
    <w:qFormat/>
    <w:rsid w:val="0029657D"/>
    <w:rPr>
      <w:i/>
      <w:iCs/>
      <w:color w:val="0F4761" w:themeColor="accent1" w:themeShade="BF"/>
    </w:rPr>
  </w:style>
  <w:style w:type="paragraph" w:styleId="IntenseQuote">
    <w:name w:val="Intense Quote"/>
    <w:basedOn w:val="Normal"/>
    <w:next w:val="Normal"/>
    <w:link w:val="IntenseQuoteChar"/>
    <w:uiPriority w:val="30"/>
    <w:qFormat/>
    <w:rsid w:val="002965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657D"/>
    <w:rPr>
      <w:i/>
      <w:iCs/>
      <w:color w:val="0F4761" w:themeColor="accent1" w:themeShade="BF"/>
    </w:rPr>
  </w:style>
  <w:style w:type="character" w:styleId="IntenseReference">
    <w:name w:val="Intense Reference"/>
    <w:basedOn w:val="DefaultParagraphFont"/>
    <w:uiPriority w:val="32"/>
    <w:qFormat/>
    <w:rsid w:val="0029657D"/>
    <w:rPr>
      <w:b/>
      <w:bCs/>
      <w:smallCaps/>
      <w:color w:val="0F4761" w:themeColor="accent1" w:themeShade="BF"/>
      <w:spacing w:val="5"/>
    </w:rPr>
  </w:style>
  <w:style w:type="character" w:styleId="Hyperlink">
    <w:name w:val="Hyperlink"/>
    <w:basedOn w:val="DefaultParagraphFont"/>
    <w:uiPriority w:val="99"/>
    <w:unhideWhenUsed/>
    <w:rsid w:val="00F24135"/>
    <w:rPr>
      <w:color w:val="467886" w:themeColor="hyperlink"/>
      <w:u w:val="single"/>
    </w:rPr>
  </w:style>
  <w:style w:type="character" w:styleId="UnresolvedMention">
    <w:name w:val="Unresolved Mention"/>
    <w:basedOn w:val="DefaultParagraphFont"/>
    <w:uiPriority w:val="99"/>
    <w:semiHidden/>
    <w:unhideWhenUsed/>
    <w:rsid w:val="00F24135"/>
    <w:rPr>
      <w:color w:val="605E5C"/>
      <w:shd w:val="clear" w:color="auto" w:fill="E1DFDD"/>
    </w:rPr>
  </w:style>
  <w:style w:type="paragraph" w:styleId="Header">
    <w:name w:val="header"/>
    <w:basedOn w:val="Normal"/>
    <w:link w:val="HeaderChar"/>
    <w:uiPriority w:val="99"/>
    <w:unhideWhenUsed/>
    <w:rsid w:val="00D012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25A"/>
  </w:style>
  <w:style w:type="paragraph" w:styleId="Footer">
    <w:name w:val="footer"/>
    <w:basedOn w:val="Normal"/>
    <w:link w:val="FooterChar"/>
    <w:uiPriority w:val="99"/>
    <w:unhideWhenUsed/>
    <w:rsid w:val="00D012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2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micfrs.justiceinspectorates.gov.uk/publications/integrated-vulnerability-inspection-post-inspection-review/" TargetMode="External"/><Relationship Id="rId18" Type="http://schemas.openxmlformats.org/officeDocument/2006/relationships/hyperlink" Target="https://www.polfed.org/our-work/wellbeing/mental-health/"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nspcc.org.uk/about-us/news-opinion/2024/2024-01-10-almost-87000-sexual-offences-against-children-were-recorded-by-police-in-the-past-year/" TargetMode="External"/><Relationship Id="rId7" Type="http://schemas.openxmlformats.org/officeDocument/2006/relationships/endnotes" Target="endnotes.xml"/><Relationship Id="rId12" Type="http://schemas.openxmlformats.org/officeDocument/2006/relationships/hyperlink" Target="https://doi.org/10.1177/0032258X19836144" TargetMode="External"/><Relationship Id="rId17" Type="http://schemas.openxmlformats.org/officeDocument/2006/relationships/hyperlink" Target="https://doi.org/10.1093/police/paae088" TargetMode="External"/><Relationship Id="rId25" Type="http://schemas.openxmlformats.org/officeDocument/2006/relationships/hyperlink" Target="https://www.gov.wales/national-multi-agency-practice-framework-childrens-services-htm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11/chso.12145" TargetMode="External"/><Relationship Id="rId20" Type="http://schemas.openxmlformats.org/officeDocument/2006/relationships/hyperlink" Target="https://learning.nspcc.org.uk/child-protection-system/multi-agency-working-child-protection"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ps.gov.uk/prosecution-guidance/child-sexual-abuse-guidelines-prosecuting-cases-child-sexual-abuse" TargetMode="External"/><Relationship Id="rId24" Type="http://schemas.openxmlformats.org/officeDocument/2006/relationships/hyperlink" Target="https://www.ebsco.com/research-starters/law/routine-activity-theory"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micfrs.justiceinspectorates.gov.uk/publication-html/effectiveness-of-police-and-law-enforcement-response-to-group-based-child-sexual-exploitation-progress/" TargetMode="External"/><Relationship Id="rId23" Type="http://schemas.openxmlformats.org/officeDocument/2006/relationships/hyperlink" Target="https://doi.org/10.4324/9780429297229-1" TargetMode="External"/><Relationship Id="rId28" Type="http://schemas.openxmlformats.org/officeDocument/2006/relationships/footer" Target="footer1.xml"/><Relationship Id="rId10" Type="http://schemas.openxmlformats.org/officeDocument/2006/relationships/hyperlink" Target="https://www.csacentre.org.uk/research-resources/key-messages/social-workers/" TargetMode="External"/><Relationship Id="rId19" Type="http://schemas.openxmlformats.org/officeDocument/2006/relationships/hyperlink" Target="https://www.nspcc.org.uk/keeping-children-safe/types-of-abuse/child-sexual-exploitation/"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college.police.uk/career-learning/career-development/career-pathways/response-policing" TargetMode="External"/><Relationship Id="rId14" Type="http://schemas.openxmlformats.org/officeDocument/2006/relationships/hyperlink" Target="https://hmicfrs.justiceinspectorates.gov.uk/police-forces/south-wales/more-about-this-area/" TargetMode="External"/><Relationship Id="rId22" Type="http://schemas.openxmlformats.org/officeDocument/2006/relationships/hyperlink" Target="https://doi.org/10.1136/bmj-2024-079497"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https://doi.org/10.1177/14773708124534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222D6D-BE8F-46F9-BD67-52CCBB983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11</Pages>
  <Words>3352</Words>
  <Characters>22030</Characters>
  <Application>Microsoft Office Word</Application>
  <DocSecurity>0</DocSecurity>
  <Lines>393</Lines>
  <Paragraphs>41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25341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Davies,Leah swp8751</dc:creator>
  <cp:keywords/>
  <dc:description/>
  <cp:lastModifiedBy>Davies,Leah swp8751</cp:lastModifiedBy>
  <cp:revision>9</cp:revision>
  <dcterms:created xsi:type="dcterms:W3CDTF">2026-01-14T11:35:00Z</dcterms:created>
  <dcterms:modified xsi:type="dcterms:W3CDTF">2026-01-16T21:24:00Z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2026-01-14T13:37:31Z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eb54c43d-fa9f-49e6-9413-1c21de6ebe61</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