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F4F4D" w14:textId="2A079EA1" w:rsidR="00006B3A" w:rsidRDefault="00E51294" w:rsidP="00E51294">
      <w:pPr>
        <w:pStyle w:val="Title"/>
        <w:jc w:val="center"/>
      </w:pPr>
      <w:r>
        <w:t xml:space="preserve">Section 1: Post Traumatic Stress Disorder </w:t>
      </w:r>
      <w:r w:rsidR="00EB75DA">
        <w:t>–</w:t>
      </w:r>
      <w:r>
        <w:t xml:space="preserve"> Paraphrased</w:t>
      </w:r>
      <w:r w:rsidR="00EB75DA">
        <w:t xml:space="preserve"> – 475 words</w:t>
      </w:r>
    </w:p>
    <w:p w14:paraId="72C1029E" w14:textId="77777777" w:rsidR="00E51294" w:rsidRDefault="00E51294"/>
    <w:p w14:paraId="0BCA78D2" w14:textId="3BECFF7B" w:rsidR="00695801" w:rsidRDefault="00695801">
      <w:r>
        <w:t xml:space="preserve">PTSD (Post Traumatic Stress Disorder) during the first world war was dubbed ‘shell shock’ and in the second world war </w:t>
      </w:r>
      <w:r w:rsidR="00E51294">
        <w:t xml:space="preserve">the term </w:t>
      </w:r>
      <w:r>
        <w:t>‘combat fatigue’ was used. It was only after the Vietnam War that it was renamed PTSD and first appeared in DSM-III (1980</w:t>
      </w:r>
      <w:r w:rsidR="00E75B6C" w:rsidRPr="00E75B6C">
        <w:t xml:space="preserve"> </w:t>
      </w:r>
      <w:r w:rsidR="00E75B6C">
        <w:t xml:space="preserve">cited in </w:t>
      </w:r>
      <w:r w:rsidR="00E75B6C" w:rsidRPr="00E75B6C">
        <w:t>Gross</w:t>
      </w:r>
      <w:r w:rsidR="00E75B6C">
        <w:t>, 2010, p.705</w:t>
      </w:r>
      <w:r>
        <w:t>).</w:t>
      </w:r>
    </w:p>
    <w:p w14:paraId="3FD46BDC" w14:textId="533ABEC6" w:rsidR="00E51294" w:rsidRDefault="00E51294"/>
    <w:p w14:paraId="0FB58255" w14:textId="490A5B5E" w:rsidR="00E51294" w:rsidRDefault="00E51294">
      <w:r>
        <w:t>In the Vietnam war there wasn’t a lot of cases of shell shock/combat fatigue, however when returning home the soldiers found it hard to adjust back into civilian life</w:t>
      </w:r>
      <w:r w:rsidR="00724EC3">
        <w:t>, more so than World War 1 and 2. Survivors of Vietnam often also felt a sense of guilt that they had survived and their fellow soldiers didn’t, which can be seen in survivors of disasters as well.</w:t>
      </w:r>
    </w:p>
    <w:p w14:paraId="0DE0A3A1" w14:textId="7DF2124E" w:rsidR="00695801" w:rsidRDefault="00695801"/>
    <w:p w14:paraId="4AB52ABA" w14:textId="0B94DA5F" w:rsidR="00695801" w:rsidRPr="00E75B6C" w:rsidRDefault="00695801">
      <w:r>
        <w:t xml:space="preserve">PTSD can be explained as a response to an extreme psychological or physical trauma in which </w:t>
      </w:r>
      <w:r w:rsidR="008F2717">
        <w:t>symptoms</w:t>
      </w:r>
      <w:r>
        <w:t xml:space="preserve"> can occur immediately </w:t>
      </w:r>
      <w:r w:rsidR="00463AED">
        <w:t xml:space="preserve">or </w:t>
      </w:r>
      <w:r>
        <w:t xml:space="preserve">up to some years after the event. </w:t>
      </w:r>
      <w:r w:rsidR="009C3B5E">
        <w:t>Charney et al. (1993</w:t>
      </w:r>
      <w:r w:rsidR="00E75B6C">
        <w:t xml:space="preserve"> cited in </w:t>
      </w:r>
      <w:r w:rsidR="00E75B6C" w:rsidRPr="00E75B6C">
        <w:t>Gross</w:t>
      </w:r>
      <w:r w:rsidR="00E75B6C">
        <w:t>, 2010, p.705</w:t>
      </w:r>
      <w:r w:rsidR="009C3B5E">
        <w:t xml:space="preserve">) found PTSD tends to show conditioned responses to </w:t>
      </w:r>
      <w:r w:rsidR="008F2717">
        <w:t>stimulus</w:t>
      </w:r>
      <w:r w:rsidR="009C3B5E">
        <w:t xml:space="preserve"> present at the traumatic event.</w:t>
      </w:r>
    </w:p>
    <w:p w14:paraId="55DE7352" w14:textId="51FB077A" w:rsidR="00A238FA" w:rsidRDefault="00A238FA"/>
    <w:p w14:paraId="265AA25F" w14:textId="354201BF" w:rsidR="00A238FA" w:rsidRPr="00006B3A" w:rsidRDefault="00A238FA" w:rsidP="00006B3A">
      <w:pPr>
        <w:pStyle w:val="Heading2"/>
        <w:rPr>
          <w:u w:val="single"/>
        </w:rPr>
      </w:pPr>
      <w:r w:rsidRPr="00006B3A">
        <w:rPr>
          <w:u w:val="single"/>
        </w:rPr>
        <w:t>Characteristics</w:t>
      </w:r>
    </w:p>
    <w:p w14:paraId="4FDFAB5C" w14:textId="527F5B08" w:rsidR="00006B3A" w:rsidRDefault="00006B3A"/>
    <w:p w14:paraId="7DFFA478" w14:textId="2E83195C" w:rsidR="00020DCD" w:rsidRDefault="00020DCD">
      <w:r>
        <w:t>Like other conditions, PTSD has a variety of characteristics that are evident, whilst an individual may not display them all, these are the major ones evident in individuals suffering:</w:t>
      </w:r>
    </w:p>
    <w:p w14:paraId="7670AFA4" w14:textId="77777777" w:rsidR="00020DCD" w:rsidRDefault="00020DCD"/>
    <w:p w14:paraId="0D26C7B0" w14:textId="2DF58702" w:rsidR="00A238FA" w:rsidRDefault="00A238FA" w:rsidP="00020DCD">
      <w:pPr>
        <w:pStyle w:val="ListParagraph"/>
        <w:numPr>
          <w:ilvl w:val="0"/>
          <w:numId w:val="1"/>
        </w:numPr>
      </w:pPr>
      <w:r>
        <w:t>Increased arousal represented by severe anxiety, irritability, insomnia</w:t>
      </w:r>
      <w:r w:rsidR="00E51294">
        <w:t xml:space="preserve"> and</w:t>
      </w:r>
      <w:r>
        <w:t xml:space="preserve"> poor concentration. </w:t>
      </w:r>
      <w:r w:rsidR="00020DCD">
        <w:t>P</w:t>
      </w:r>
      <w:r>
        <w:t>anic attacks and episodes of aggression in some cases.</w:t>
      </w:r>
    </w:p>
    <w:p w14:paraId="777B2605" w14:textId="70AA90D5" w:rsidR="00020DCD" w:rsidRDefault="00020DCD" w:rsidP="00020DCD">
      <w:pPr>
        <w:pStyle w:val="ListParagraph"/>
        <w:numPr>
          <w:ilvl w:val="0"/>
          <w:numId w:val="1"/>
        </w:numPr>
      </w:pPr>
      <w:r>
        <w:t xml:space="preserve">Persistent defences of avoidance and repression, which may include; avoidance of reminders of the events and difficulty recalling them, </w:t>
      </w:r>
      <w:r w:rsidR="008F2717">
        <w:t>detachment</w:t>
      </w:r>
      <w:r>
        <w:t>, an inability to feel emotions and diminished interest in activities.</w:t>
      </w:r>
    </w:p>
    <w:p w14:paraId="23C7690E" w14:textId="1740D9F0" w:rsidR="00A238FA" w:rsidRDefault="00020DCD" w:rsidP="00A238FA">
      <w:pPr>
        <w:pStyle w:val="ListParagraph"/>
        <w:numPr>
          <w:ilvl w:val="0"/>
          <w:numId w:val="1"/>
        </w:numPr>
      </w:pPr>
      <w:r>
        <w:t>Intrusions cause memories of the traumatic events to break through the repression, causing intense imagery (flashbacks), anxiety and distressing dreams. Other maladaptive coping responses may be present such as excessive use of alcohol or drugs.</w:t>
      </w:r>
    </w:p>
    <w:p w14:paraId="4C36AC93" w14:textId="77777777" w:rsidR="00A238FA" w:rsidRDefault="00A238FA" w:rsidP="00A238FA"/>
    <w:p w14:paraId="489DE93C" w14:textId="6D098F37" w:rsidR="00695801" w:rsidRDefault="00695801"/>
    <w:p w14:paraId="1B3E1DD8" w14:textId="390BABCE" w:rsidR="00006B3A" w:rsidRDefault="00006B3A"/>
    <w:p w14:paraId="0FCACA7E" w14:textId="7B13700E" w:rsidR="00006B3A" w:rsidRPr="00006B3A" w:rsidRDefault="00006B3A" w:rsidP="00006B3A">
      <w:pPr>
        <w:pStyle w:val="Heading2"/>
        <w:rPr>
          <w:u w:val="single"/>
        </w:rPr>
      </w:pPr>
      <w:r w:rsidRPr="00006B3A">
        <w:rPr>
          <w:u w:val="single"/>
        </w:rPr>
        <w:t>Research into PTSD</w:t>
      </w:r>
    </w:p>
    <w:p w14:paraId="5C216EF8" w14:textId="09AB088C" w:rsidR="00463AED" w:rsidRDefault="00463AED"/>
    <w:p w14:paraId="01739E48" w14:textId="50B684C6" w:rsidR="00463AED" w:rsidRDefault="00463AED">
      <w:r>
        <w:t>There has been research into PTSD since its inclusion in DSM (1980</w:t>
      </w:r>
      <w:r w:rsidR="00E75B6C">
        <w:t xml:space="preserve"> </w:t>
      </w:r>
      <w:r w:rsidR="00E75B6C">
        <w:t xml:space="preserve">cited in </w:t>
      </w:r>
      <w:r w:rsidR="00E75B6C" w:rsidRPr="00E75B6C">
        <w:t>Gross</w:t>
      </w:r>
      <w:r w:rsidR="00E75B6C">
        <w:t>, 2010, p.705</w:t>
      </w:r>
      <w:r>
        <w:t xml:space="preserve">) that has highlighted the weakness of an </w:t>
      </w:r>
      <w:r w:rsidR="008F2717">
        <w:t>individual’s</w:t>
      </w:r>
      <w:r>
        <w:t xml:space="preserve"> memory</w:t>
      </w:r>
      <w:r w:rsidR="00006B3A">
        <w:t xml:space="preserve"> which could affect the </w:t>
      </w:r>
      <w:r w:rsidR="008F2717">
        <w:t>individual’s</w:t>
      </w:r>
      <w:r w:rsidR="00006B3A">
        <w:t xml:space="preserve"> perception and thus complicating the condition</w:t>
      </w:r>
      <w:r>
        <w:t>. McNally (2003a</w:t>
      </w:r>
      <w:r w:rsidR="00E75B6C">
        <w:t xml:space="preserve"> </w:t>
      </w:r>
      <w:r w:rsidR="00E75B6C">
        <w:t xml:space="preserve">cited in </w:t>
      </w:r>
      <w:r w:rsidR="00E75B6C" w:rsidRPr="00E75B6C">
        <w:t>Gross</w:t>
      </w:r>
      <w:r w:rsidR="00E75B6C">
        <w:t>, 2010, p</w:t>
      </w:r>
      <w:r w:rsidR="00E75B6C">
        <w:t>.706</w:t>
      </w:r>
      <w:r>
        <w:t>) believes ‘late-onset’ PTSD</w:t>
      </w:r>
      <w:r w:rsidR="00F360ED">
        <w:t xml:space="preserve"> may be attributing symptoms to memories that have been </w:t>
      </w:r>
      <w:r w:rsidR="00295903">
        <w:t>elaborated, given a new significance or even subconsciously fabricated.</w:t>
      </w:r>
    </w:p>
    <w:p w14:paraId="5A1B5A09" w14:textId="6659E2A2" w:rsidR="00020DCD" w:rsidRDefault="00020DCD"/>
    <w:p w14:paraId="555F7577" w14:textId="4D99DCBA" w:rsidR="00020DCD" w:rsidRDefault="00020DCD" w:rsidP="00020DCD">
      <w:r>
        <w:t xml:space="preserve">With Freud considering the root of many neurotic experiences is the </w:t>
      </w:r>
      <w:r w:rsidR="008F2717">
        <w:t>inability</w:t>
      </w:r>
      <w:r>
        <w:t xml:space="preserve"> to remember bad experiences, the opposite is true in the case of PTSD. This is also unlike other anxiety disorders as PTSD is largely environmental.</w:t>
      </w:r>
    </w:p>
    <w:p w14:paraId="4A2A3E75" w14:textId="77777777" w:rsidR="00020DCD" w:rsidRDefault="00020DCD" w:rsidP="00020DCD"/>
    <w:p w14:paraId="51AADB61" w14:textId="4CE5AA47" w:rsidR="00020DCD" w:rsidRDefault="00020DCD" w:rsidP="00020DCD">
      <w:r>
        <w:t xml:space="preserve">The return of memories years after the event shows that a busy social life causes a delay in processing traumatic events, preventing memories from becoming part of the </w:t>
      </w:r>
      <w:r w:rsidR="008F2717">
        <w:t>individual’s</w:t>
      </w:r>
      <w:r>
        <w:t xml:space="preserve"> world view. This suggests, in conditioning terms, thinking of the event would lead to the </w:t>
      </w:r>
      <w:r>
        <w:t>cessation</w:t>
      </w:r>
      <w:r>
        <w:t xml:space="preserve"> of the associated responses.</w:t>
      </w:r>
    </w:p>
    <w:p w14:paraId="2158591D" w14:textId="77777777" w:rsidR="00020DCD" w:rsidRDefault="00020DCD"/>
    <w:p w14:paraId="1F0866A6" w14:textId="2056B723" w:rsidR="00295903" w:rsidRDefault="00295903"/>
    <w:p w14:paraId="39BC8279" w14:textId="59DFA1B6" w:rsidR="00295903" w:rsidRDefault="00295903">
      <w:r>
        <w:t>There are objections to the current diagnosis criteria for PTSD</w:t>
      </w:r>
      <w:r w:rsidR="00E75B6C">
        <w:t xml:space="preserve">, including McNally, </w:t>
      </w:r>
      <w:r>
        <w:t>and there are discussions suggesting that depression, anxiety and even normal adjustment may be being misdiagnosed as PTSD. Another factor to consider in diagnosing is that traumatic brain injuries from bomb blasts have been shown to produce almost identical symptoms as PTSD.</w:t>
      </w:r>
    </w:p>
    <w:p w14:paraId="21E0F52F" w14:textId="4E2AD4AE" w:rsidR="00E75B6C" w:rsidRDefault="00E75B6C"/>
    <w:p w14:paraId="5C2DF16C" w14:textId="6993B0BF" w:rsidR="00E75B6C" w:rsidRDefault="00E75B6C"/>
    <w:p w14:paraId="61F07A88" w14:textId="23532F3A" w:rsidR="00E75B6C" w:rsidRDefault="00E75B6C" w:rsidP="00E75B6C">
      <w:pPr>
        <w:pStyle w:val="Title"/>
      </w:pPr>
      <w:r>
        <w:t>References</w:t>
      </w:r>
    </w:p>
    <w:p w14:paraId="3176890D" w14:textId="2B747D68" w:rsidR="00E75B6C" w:rsidRDefault="00E75B6C"/>
    <w:p w14:paraId="2EFBD5C6" w14:textId="0E44E25A" w:rsidR="00E75B6C" w:rsidRDefault="00E75B6C"/>
    <w:p w14:paraId="1C4A6416" w14:textId="6370B797" w:rsidR="00E75B6C" w:rsidRDefault="00E75B6C" w:rsidP="00E75B6C">
      <w:r>
        <w:t xml:space="preserve">    </w:t>
      </w:r>
      <w:r>
        <w:t>Gross, R. (2010). Psychology: The science of mind and behaviour. London: Hodder</w:t>
      </w:r>
      <w:r>
        <w:t xml:space="preserve"> </w:t>
      </w:r>
      <w:r>
        <w:t xml:space="preserve">Education. </w:t>
      </w:r>
      <w:r>
        <w:t xml:space="preserve">                </w:t>
      </w:r>
    </w:p>
    <w:p w14:paraId="398EC844" w14:textId="1A101929" w:rsidR="00E75B6C" w:rsidRPr="00E75B6C" w:rsidRDefault="00E75B6C" w:rsidP="00E75B6C"/>
    <w:p w14:paraId="6D156D46" w14:textId="77777777" w:rsidR="00E75B6C" w:rsidRPr="00E75B6C" w:rsidRDefault="00E75B6C" w:rsidP="00E75B6C"/>
    <w:p w14:paraId="03AC4CDF" w14:textId="77777777" w:rsidR="00E75B6C" w:rsidRDefault="00E75B6C"/>
    <w:p w14:paraId="2BD93C29" w14:textId="47E5AFE9" w:rsidR="00EB75DA" w:rsidRDefault="00EB75DA"/>
    <w:p w14:paraId="519A4E44" w14:textId="27B971A1" w:rsidR="00EB75DA" w:rsidRDefault="00EB75DA"/>
    <w:p w14:paraId="1048E8AF" w14:textId="6E2656A2" w:rsidR="00EB75DA" w:rsidRPr="00EB75DA" w:rsidRDefault="00EB75DA" w:rsidP="00EB75DA">
      <w:pPr>
        <w:pStyle w:val="Title"/>
      </w:pPr>
      <w:r>
        <w:t>S</w:t>
      </w:r>
      <w:r w:rsidRPr="00EB75DA">
        <w:t xml:space="preserve">ection 2 – </w:t>
      </w:r>
      <w:r>
        <w:t>J</w:t>
      </w:r>
      <w:r w:rsidRPr="00EB75DA">
        <w:t xml:space="preserve">ournal </w:t>
      </w:r>
      <w:r>
        <w:t>A</w:t>
      </w:r>
      <w:r w:rsidRPr="00EB75DA">
        <w:t>bstracts</w:t>
      </w:r>
    </w:p>
    <w:p w14:paraId="20DFCAB2" w14:textId="446FC98F" w:rsidR="00EB75DA" w:rsidRDefault="00EB75DA"/>
    <w:p w14:paraId="0F9443F3" w14:textId="7E7FC985" w:rsidR="00EB75DA" w:rsidRPr="00EB75DA" w:rsidRDefault="00EB75DA" w:rsidP="00EB75DA">
      <w:pPr>
        <w:pStyle w:val="Heading1"/>
        <w:rPr>
          <w:u w:val="single"/>
        </w:rPr>
      </w:pPr>
      <w:r w:rsidRPr="00EB75DA">
        <w:rPr>
          <w:u w:val="single"/>
        </w:rPr>
        <w:t>Article 1 – 1</w:t>
      </w:r>
      <w:r w:rsidR="001A0844">
        <w:rPr>
          <w:u w:val="single"/>
        </w:rPr>
        <w:t>4</w:t>
      </w:r>
      <w:r w:rsidRPr="00EB75DA">
        <w:rPr>
          <w:u w:val="single"/>
        </w:rPr>
        <w:t>3 words</w:t>
      </w:r>
    </w:p>
    <w:p w14:paraId="75090EEE" w14:textId="778EB9D7" w:rsidR="00EB75DA" w:rsidRDefault="00EB75DA"/>
    <w:p w14:paraId="76F5B05F" w14:textId="77777777" w:rsidR="00EB75DA" w:rsidRDefault="00EB75DA" w:rsidP="00EB75DA">
      <w:r>
        <w:t>Background</w:t>
      </w:r>
    </w:p>
    <w:p w14:paraId="4A7C2C57" w14:textId="77777777" w:rsidR="00EB75DA" w:rsidRDefault="00EB75DA" w:rsidP="00EB75DA"/>
    <w:p w14:paraId="18BDDAF4" w14:textId="5AB46E07" w:rsidR="00EB75DA" w:rsidRDefault="00EB75DA" w:rsidP="00EB75DA">
      <w:r>
        <w:t>Gambling has become a socially acceptable activity and provides tax revenue to the UK. Different types of gambling create different levels of risk of harm to individuals and the wider community, as well as financial implications such as fraud and theft.</w:t>
      </w:r>
    </w:p>
    <w:p w14:paraId="468571D8" w14:textId="77777777" w:rsidR="00EB75DA" w:rsidRDefault="00EB75DA" w:rsidP="00EB75DA"/>
    <w:p w14:paraId="086D55F2" w14:textId="77777777" w:rsidR="00EB75DA" w:rsidRDefault="00EB75DA" w:rsidP="00EB75DA">
      <w:r>
        <w:t>Methods</w:t>
      </w:r>
    </w:p>
    <w:p w14:paraId="6586DCA9" w14:textId="77777777" w:rsidR="00EB75DA" w:rsidRDefault="00EB75DA" w:rsidP="00EB75DA"/>
    <w:p w14:paraId="01CC1EA2" w14:textId="77777777" w:rsidR="00EB75DA" w:rsidRDefault="00EB75DA" w:rsidP="00EB75DA">
      <w:r>
        <w:t>This study reviews published papers to assess the risk of harm that gambling presents and if any population level interventions are required.</w:t>
      </w:r>
    </w:p>
    <w:p w14:paraId="0EBFDB29" w14:textId="77777777" w:rsidR="00EB75DA" w:rsidRDefault="00EB75DA" w:rsidP="00EB75DA"/>
    <w:p w14:paraId="7147711C" w14:textId="77777777" w:rsidR="00EB75DA" w:rsidRDefault="00EB75DA" w:rsidP="00EB75DA">
      <w:r>
        <w:t>Results</w:t>
      </w:r>
    </w:p>
    <w:p w14:paraId="5CCB3F5F" w14:textId="77777777" w:rsidR="00EB75DA" w:rsidRDefault="00EB75DA" w:rsidP="00EB75DA"/>
    <w:p w14:paraId="7C4B179E" w14:textId="77777777" w:rsidR="00EB75DA" w:rsidRDefault="00EB75DA" w:rsidP="00EB75DA">
      <w:r>
        <w:t>1.5 million people in Wales have gambled in the past 12 months, 61% of adults. 30,000 people self-report as having a problem with gambling and this group is 5 times more likely to be a hospital inpatient.</w:t>
      </w:r>
    </w:p>
    <w:p w14:paraId="67D60F1E" w14:textId="77777777" w:rsidR="00EB75DA" w:rsidRDefault="00EB75DA" w:rsidP="00EB75DA"/>
    <w:p w14:paraId="1A0EE285" w14:textId="77777777" w:rsidR="00EB75DA" w:rsidRDefault="00EB75DA" w:rsidP="00EB75DA">
      <w:r>
        <w:t>Conclusion</w:t>
      </w:r>
    </w:p>
    <w:p w14:paraId="4814BC04" w14:textId="77777777" w:rsidR="00EB75DA" w:rsidRDefault="00EB75DA" w:rsidP="00EB75DA"/>
    <w:p w14:paraId="5E7DCC07" w14:textId="67E50C6A" w:rsidR="00EB75DA" w:rsidRPr="00DB4088" w:rsidRDefault="00EB75DA" w:rsidP="00EB75DA">
      <w:r>
        <w:t xml:space="preserve">The existing literature considered in this study suggests gambling should be considered as an emerging public health issue in </w:t>
      </w:r>
      <w:r w:rsidR="001A0844">
        <w:t>W</w:t>
      </w:r>
      <w:r>
        <w:t>ales. M</w:t>
      </w:r>
      <w:r w:rsidRPr="00DB4088">
        <w:t>ultiple, co-ordinated population level interventions</w:t>
      </w:r>
      <w:r>
        <w:t xml:space="preserve"> should be introduced over a sustained period to protect individuals and the wider community.</w:t>
      </w:r>
    </w:p>
    <w:p w14:paraId="1B091BEF" w14:textId="77777777" w:rsidR="00EB75DA" w:rsidRDefault="00EB75DA" w:rsidP="00EB75DA"/>
    <w:p w14:paraId="397C7733" w14:textId="1763AE03" w:rsidR="00EB75DA" w:rsidRPr="00747597" w:rsidRDefault="00EB75DA" w:rsidP="00747597">
      <w:pPr>
        <w:pStyle w:val="Heading1"/>
        <w:rPr>
          <w:u w:val="single"/>
        </w:rPr>
      </w:pPr>
      <w:r w:rsidRPr="00747597">
        <w:rPr>
          <w:u w:val="single"/>
        </w:rPr>
        <w:t>Article 2 –</w:t>
      </w:r>
      <w:r w:rsidR="00747597" w:rsidRPr="00747597">
        <w:rPr>
          <w:u w:val="single"/>
        </w:rPr>
        <w:t xml:space="preserve"> 1</w:t>
      </w:r>
      <w:r w:rsidR="00E75B6C">
        <w:rPr>
          <w:u w:val="single"/>
        </w:rPr>
        <w:t>47</w:t>
      </w:r>
      <w:r w:rsidR="00747597" w:rsidRPr="00747597">
        <w:rPr>
          <w:u w:val="single"/>
        </w:rPr>
        <w:t xml:space="preserve"> words</w:t>
      </w:r>
    </w:p>
    <w:p w14:paraId="2F5DAAA7" w14:textId="4E59A5F1" w:rsidR="00EB75DA" w:rsidRDefault="00EB75DA"/>
    <w:p w14:paraId="603FEB29" w14:textId="4A64D973" w:rsidR="00EB75DA" w:rsidRDefault="00EB75DA">
      <w:r>
        <w:t>Background</w:t>
      </w:r>
    </w:p>
    <w:p w14:paraId="19F6EA2B" w14:textId="308241D9" w:rsidR="00EB75DA" w:rsidRDefault="00EB75DA"/>
    <w:p w14:paraId="02970ECF" w14:textId="5E155C1C" w:rsidR="001A0844" w:rsidRDefault="00E75B6C" w:rsidP="001A0844">
      <w:r>
        <w:t>C</w:t>
      </w:r>
      <w:r w:rsidR="001A0844">
        <w:t>ultural pressure on girls and women to portray themselves as sexy has continued with current trends of media. The current media environment has increased exposure of such media to close to 11 hours</w:t>
      </w:r>
      <w:r>
        <w:t xml:space="preserve"> per </w:t>
      </w:r>
      <w:r w:rsidR="001A0844">
        <w:t xml:space="preserve">day in 8 to </w:t>
      </w:r>
      <w:r w:rsidR="001A0844">
        <w:t>18-year</w:t>
      </w:r>
      <w:r w:rsidR="001A0844">
        <w:t xml:space="preserve"> olds</w:t>
      </w:r>
      <w:r w:rsidR="001A0844">
        <w:t>. Girls</w:t>
      </w:r>
      <w:r w:rsidR="001A0844">
        <w:t xml:space="preserve"> </w:t>
      </w:r>
      <w:r>
        <w:t>from</w:t>
      </w:r>
      <w:r w:rsidR="001A0844">
        <w:t xml:space="preserve"> 11 </w:t>
      </w:r>
      <w:r>
        <w:t xml:space="preserve">years </w:t>
      </w:r>
      <w:r w:rsidR="001A0844">
        <w:t>report higher levels of body shame and depression compared with male peers.</w:t>
      </w:r>
    </w:p>
    <w:p w14:paraId="781FB9FE" w14:textId="77777777" w:rsidR="001A0844" w:rsidRDefault="001A0844" w:rsidP="001A0844"/>
    <w:p w14:paraId="742F3837" w14:textId="77777777" w:rsidR="001A0844" w:rsidRDefault="001A0844" w:rsidP="001A0844">
      <w:r>
        <w:t>Methods</w:t>
      </w:r>
    </w:p>
    <w:p w14:paraId="528C78F6" w14:textId="77777777" w:rsidR="001A0844" w:rsidRDefault="001A0844" w:rsidP="001A0844"/>
    <w:p w14:paraId="72094D41" w14:textId="1D1F7CDE" w:rsidR="001A0844" w:rsidRDefault="001A0844" w:rsidP="001A0844">
      <w:r>
        <w:t xml:space="preserve">58 adolescent and 60 young adult women were shown sexualised and </w:t>
      </w:r>
      <w:r>
        <w:t>non-sexualised</w:t>
      </w:r>
      <w:r>
        <w:t xml:space="preserve"> </w:t>
      </w:r>
      <w:r w:rsidR="008F2717">
        <w:t xml:space="preserve">Facebook </w:t>
      </w:r>
      <w:r>
        <w:t>profile pictures and respond</w:t>
      </w:r>
      <w:r>
        <w:t>ed</w:t>
      </w:r>
      <w:r>
        <w:t xml:space="preserve"> to questions</w:t>
      </w:r>
      <w:r w:rsidR="008F2717">
        <w:t xml:space="preserve"> to assess peer appearance of self-sexualization</w:t>
      </w:r>
      <w:r>
        <w:t>.</w:t>
      </w:r>
    </w:p>
    <w:p w14:paraId="69E5B949" w14:textId="77777777" w:rsidR="001A0844" w:rsidRDefault="001A0844" w:rsidP="001A0844"/>
    <w:p w14:paraId="2D021D55" w14:textId="77777777" w:rsidR="001A0844" w:rsidRDefault="001A0844" w:rsidP="001A0844">
      <w:r>
        <w:t>Results</w:t>
      </w:r>
    </w:p>
    <w:p w14:paraId="452C0A5D" w14:textId="77777777" w:rsidR="001A0844" w:rsidRDefault="001A0844" w:rsidP="001A0844"/>
    <w:p w14:paraId="45966C60" w14:textId="6D7C33AD" w:rsidR="001A0844" w:rsidRDefault="001A0844" w:rsidP="001A0844">
      <w:r>
        <w:t xml:space="preserve">Social attractiveness was positively </w:t>
      </w:r>
      <w:r>
        <w:t>correlated</w:t>
      </w:r>
      <w:r>
        <w:t xml:space="preserve"> with physical attractiveness and task competence. </w:t>
      </w:r>
      <w:r>
        <w:t>A</w:t>
      </w:r>
      <w:r>
        <w:t>dolescent girls may be especially attuned to sexualized self-presentations.</w:t>
      </w:r>
    </w:p>
    <w:p w14:paraId="36C86981" w14:textId="77777777" w:rsidR="001A0844" w:rsidRDefault="001A0844" w:rsidP="001A0844"/>
    <w:p w14:paraId="41845068" w14:textId="77777777" w:rsidR="001A0844" w:rsidRDefault="001A0844" w:rsidP="001A0844">
      <w:r>
        <w:t>Conclusion</w:t>
      </w:r>
    </w:p>
    <w:p w14:paraId="0C0D77C2" w14:textId="77777777" w:rsidR="001A0844" w:rsidRDefault="001A0844" w:rsidP="001A0844"/>
    <w:p w14:paraId="7BB7F602" w14:textId="5769E403" w:rsidR="001A0844" w:rsidRDefault="001A0844" w:rsidP="001A0844">
      <w:r>
        <w:t>Young women who post sexualized profile photos will likely be judged by their female peers as being less competent</w:t>
      </w:r>
      <w:r w:rsidR="00747597">
        <w:t xml:space="preserve"> and</w:t>
      </w:r>
      <w:r>
        <w:t xml:space="preserve"> less socially and physically attractive. It is essential that everyone working with children need to help them consider how they portray themselves.</w:t>
      </w:r>
    </w:p>
    <w:p w14:paraId="145D1DDC" w14:textId="534F416F" w:rsidR="00747597" w:rsidRDefault="00747597" w:rsidP="001A0844"/>
    <w:p w14:paraId="228E283A" w14:textId="49EAE3D7" w:rsidR="00747597" w:rsidRPr="00E75B6C" w:rsidRDefault="00747597" w:rsidP="00E75B6C">
      <w:pPr>
        <w:pStyle w:val="Heading1"/>
        <w:rPr>
          <w:u w:val="single"/>
        </w:rPr>
      </w:pPr>
      <w:r w:rsidRPr="00E75B6C">
        <w:rPr>
          <w:u w:val="single"/>
        </w:rPr>
        <w:t>Article 3</w:t>
      </w:r>
      <w:r w:rsidR="00E75B6C" w:rsidRPr="00E75B6C">
        <w:rPr>
          <w:u w:val="single"/>
        </w:rPr>
        <w:t xml:space="preserve"> – 128 words</w:t>
      </w:r>
    </w:p>
    <w:p w14:paraId="4D7B0D31" w14:textId="04B5EFD0" w:rsidR="00747597" w:rsidRDefault="00747597" w:rsidP="001A0844"/>
    <w:p w14:paraId="52BDBE53" w14:textId="3701F017" w:rsidR="00747597" w:rsidRDefault="00747597" w:rsidP="001A0844">
      <w:r>
        <w:t>Background</w:t>
      </w:r>
    </w:p>
    <w:p w14:paraId="6064711A" w14:textId="0853EEFB" w:rsidR="00E75B6C" w:rsidRDefault="00E75B6C" w:rsidP="001A0844"/>
    <w:p w14:paraId="1703C251" w14:textId="30AEB0F4" w:rsidR="00E75B6C" w:rsidRDefault="00E75B6C" w:rsidP="001A0844">
      <w:r>
        <w:t xml:space="preserve">The link between personality and health has shown to be an important factor influencing morbidity and mortality. Narcissism has been linked to psychological health and risk-taking behaviours as well as other conditions such as anxiety, depression and loneliness. </w:t>
      </w:r>
    </w:p>
    <w:p w14:paraId="24DFDDD9" w14:textId="3B4E941E" w:rsidR="00747597" w:rsidRDefault="00747597" w:rsidP="001A0844"/>
    <w:p w14:paraId="509504E9" w14:textId="38C75AA1" w:rsidR="00747597" w:rsidRDefault="00747597" w:rsidP="001A0844">
      <w:r>
        <w:t>Methods</w:t>
      </w:r>
    </w:p>
    <w:p w14:paraId="52ECB219" w14:textId="77777777" w:rsidR="00E75B6C" w:rsidRDefault="00E75B6C" w:rsidP="001A0844"/>
    <w:p w14:paraId="5EE955EF" w14:textId="5871F7B3" w:rsidR="00747597" w:rsidRDefault="00E75B6C" w:rsidP="001A0844">
      <w:r>
        <w:t>To examine the relationship between narcissism and health-risk and health-protective behaviours by studying 365 undergraduate students. Participants engaged by completing a questionnaire.</w:t>
      </w:r>
    </w:p>
    <w:p w14:paraId="581F5825" w14:textId="77777777" w:rsidR="00E75B6C" w:rsidRDefault="00E75B6C" w:rsidP="001A0844"/>
    <w:p w14:paraId="6AEA9492" w14:textId="5D793A3A" w:rsidR="00747597" w:rsidRDefault="00747597" w:rsidP="001A0844">
      <w:r>
        <w:t>Results</w:t>
      </w:r>
    </w:p>
    <w:p w14:paraId="0EBBB869" w14:textId="77777777" w:rsidR="00E75B6C" w:rsidRDefault="00E75B6C" w:rsidP="001A0844"/>
    <w:p w14:paraId="23DC696C" w14:textId="35733EF7" w:rsidR="00E75B6C" w:rsidRDefault="00E75B6C" w:rsidP="001A0844">
      <w:r>
        <w:t>Students that displayed qualities of narcissism showed an influence on health-risk behaviours such as alcohol and drug use. Narcissism also showed an effect on health-protective behaviours such as eating patterns and physical activity.</w:t>
      </w:r>
    </w:p>
    <w:p w14:paraId="15460D86" w14:textId="74B376AB" w:rsidR="00747597" w:rsidRDefault="00E75B6C" w:rsidP="001A0844">
      <w:r>
        <w:t xml:space="preserve"> </w:t>
      </w:r>
    </w:p>
    <w:p w14:paraId="76246095" w14:textId="49208CC6" w:rsidR="00747597" w:rsidRDefault="00747597" w:rsidP="001A0844">
      <w:r>
        <w:t>Conclusion</w:t>
      </w:r>
    </w:p>
    <w:p w14:paraId="786EEA36" w14:textId="59C50BE8" w:rsidR="00FD715C" w:rsidRDefault="00FD715C" w:rsidP="001A0844"/>
    <w:p w14:paraId="77669B8B" w14:textId="5A6E880B" w:rsidR="00E75B6C" w:rsidRDefault="00E75B6C" w:rsidP="001A0844">
      <w:r>
        <w:t>Narcissism appears to be influencing both health-risk and health protective behaviours which has important implications for physical and mental health. Further research is needed to understand other factors underlying the association.</w:t>
      </w:r>
    </w:p>
    <w:p w14:paraId="15742459" w14:textId="23A332A4" w:rsidR="00E75B6C" w:rsidRDefault="00E75B6C" w:rsidP="001A0844"/>
    <w:p w14:paraId="46DA7BEB" w14:textId="3CF300A0" w:rsidR="00E75B6C" w:rsidRPr="00E75B6C" w:rsidRDefault="00E75B6C" w:rsidP="00E75B6C">
      <w:pPr>
        <w:pStyle w:val="Title"/>
      </w:pPr>
      <w:r w:rsidRPr="00E75B6C">
        <w:t>Section 3 – Reference List</w:t>
      </w:r>
    </w:p>
    <w:p w14:paraId="516BD9E2" w14:textId="31929230" w:rsidR="00E75B6C" w:rsidRDefault="00E75B6C" w:rsidP="001A0844"/>
    <w:p w14:paraId="78031771"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Bennett, P. (2011). Abnormal and clinical psychology (3rd ed.). Maidenhead, Berkshire, England: Open university press.</w:t>
      </w:r>
    </w:p>
    <w:p w14:paraId="29A73281" w14:textId="77777777" w:rsidR="00E75B6C" w:rsidRPr="00256423" w:rsidRDefault="00E75B6C" w:rsidP="00E75B6C">
      <w:pPr>
        <w:rPr>
          <w:rFonts w:ascii="Arial" w:hAnsi="Arial" w:cs="Arial"/>
          <w:color w:val="000000" w:themeColor="text1"/>
          <w:sz w:val="20"/>
          <w:szCs w:val="20"/>
          <w:shd w:val="clear" w:color="auto" w:fill="FFFFFF"/>
        </w:rPr>
      </w:pPr>
    </w:p>
    <w:p w14:paraId="0E493A6F"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Davey, G. (2014). Psychopathology: Research, Assessment, and Treatment in Clinical Psychology (2nd ed.). Oxford: Blackwell.</w:t>
      </w:r>
    </w:p>
    <w:p w14:paraId="2A537750" w14:textId="77777777" w:rsidR="00E75B6C" w:rsidRPr="00256423" w:rsidRDefault="00E75B6C" w:rsidP="00E75B6C">
      <w:pPr>
        <w:rPr>
          <w:rFonts w:ascii="Arial" w:hAnsi="Arial" w:cs="Arial"/>
          <w:color w:val="000000" w:themeColor="text1"/>
          <w:sz w:val="20"/>
          <w:szCs w:val="20"/>
          <w:shd w:val="clear" w:color="auto" w:fill="FFFFFF"/>
        </w:rPr>
      </w:pPr>
    </w:p>
    <w:p w14:paraId="5F14FA5F"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Day, S. (2015). Families experience of Poverty Stigma in Education. Oral presentation, University of Central Lancashire.</w:t>
      </w:r>
    </w:p>
    <w:p w14:paraId="42D60533" w14:textId="77777777" w:rsidR="00E75B6C" w:rsidRPr="00256423" w:rsidRDefault="00E75B6C" w:rsidP="00E75B6C">
      <w:pPr>
        <w:rPr>
          <w:rFonts w:ascii="Arial" w:hAnsi="Arial" w:cs="Arial"/>
          <w:color w:val="000000" w:themeColor="text1"/>
          <w:sz w:val="20"/>
          <w:szCs w:val="20"/>
          <w:shd w:val="clear" w:color="auto" w:fill="FFFFFF"/>
        </w:rPr>
      </w:pPr>
    </w:p>
    <w:p w14:paraId="27924494"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Evans, L., Mitchell, I., &amp; Jones, S. (2006). Psychological Response to Sport Injury. In S. Hanton &amp; S. Mellalieu, Literature reviews in Sport Psychology (pp. 289-319). Hauppage, NY: Nova Science Publications.</w:t>
      </w:r>
    </w:p>
    <w:p w14:paraId="315DAD72" w14:textId="77777777" w:rsidR="00E75B6C" w:rsidRPr="00256423" w:rsidRDefault="00E75B6C" w:rsidP="00E75B6C">
      <w:pPr>
        <w:rPr>
          <w:rFonts w:ascii="Arial" w:hAnsi="Arial" w:cs="Arial"/>
          <w:color w:val="000000" w:themeColor="text1"/>
          <w:sz w:val="20"/>
          <w:szCs w:val="20"/>
        </w:rPr>
      </w:pPr>
    </w:p>
    <w:p w14:paraId="71D3B36C" w14:textId="77777777" w:rsidR="00E75B6C" w:rsidRPr="00256423" w:rsidRDefault="00E75B6C" w:rsidP="00E75B6C">
      <w:pPr>
        <w:rPr>
          <w:rFonts w:ascii="Arial" w:hAnsi="Arial" w:cs="Arial"/>
          <w:color w:val="000000" w:themeColor="text1"/>
          <w:sz w:val="20"/>
          <w:szCs w:val="20"/>
        </w:rPr>
      </w:pPr>
      <w:r w:rsidRPr="00256423">
        <w:rPr>
          <w:rFonts w:ascii="Arial" w:hAnsi="Arial" w:cs="Arial"/>
          <w:color w:val="000000" w:themeColor="text1"/>
          <w:sz w:val="20"/>
          <w:szCs w:val="20"/>
        </w:rPr>
        <w:t xml:space="preserve">    Hefferon, K. and Boniwell, I. (2011). Positive psychology: theory, research and applications. New York, New York: Open University Press.</w:t>
      </w:r>
    </w:p>
    <w:p w14:paraId="61971B3C" w14:textId="77777777" w:rsidR="00E75B6C" w:rsidRPr="00256423" w:rsidRDefault="00E75B6C" w:rsidP="00E75B6C">
      <w:pPr>
        <w:rPr>
          <w:rFonts w:ascii="Arial" w:hAnsi="Arial" w:cs="Arial"/>
          <w:color w:val="000000" w:themeColor="text1"/>
          <w:sz w:val="20"/>
          <w:szCs w:val="20"/>
        </w:rPr>
      </w:pPr>
    </w:p>
    <w:p w14:paraId="7CFCC74D"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Hill, E. M. (2016). The role of narcissism in health-risk and health-protective behaviors. Journal of Health Psychology, 21(9), 2021–2032. DOI: 10.1177/1359105315569858</w:t>
      </w:r>
    </w:p>
    <w:p w14:paraId="0876D481" w14:textId="77777777" w:rsidR="00E75B6C" w:rsidRPr="00256423" w:rsidRDefault="00E75B6C" w:rsidP="00E75B6C">
      <w:pPr>
        <w:rPr>
          <w:rFonts w:ascii="Arial" w:hAnsi="Arial" w:cs="Arial"/>
          <w:color w:val="000000" w:themeColor="text1"/>
          <w:sz w:val="20"/>
        </w:rPr>
      </w:pPr>
    </w:p>
    <w:p w14:paraId="51C31255"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Mazetti, G., Schaufeli, W., &amp; Guglielmi, D. (2014). Are workaholics born or made? Relations of workaholism with person characteristics and overwork climate. International Journal Of Stress Management, 23(3), 227-254.</w:t>
      </w:r>
    </w:p>
    <w:p w14:paraId="43A32CEE" w14:textId="77777777" w:rsidR="00E75B6C" w:rsidRPr="00256423" w:rsidRDefault="00E75B6C" w:rsidP="00E75B6C">
      <w:pPr>
        <w:rPr>
          <w:rFonts w:ascii="Arial" w:hAnsi="Arial" w:cs="Arial"/>
          <w:color w:val="000000" w:themeColor="text1"/>
          <w:sz w:val="20"/>
          <w:szCs w:val="20"/>
          <w:shd w:val="clear" w:color="auto" w:fill="FFFFFF"/>
        </w:rPr>
      </w:pPr>
    </w:p>
    <w:p w14:paraId="65FF8F6F"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Mental Health Foundation. (2017). Computerised cognitive behavioural therapy [Podcast]. Retrieved 15 October 2019, from http://www.mentalhealth.org.uk/podcastsand-videos/computerised-cognitivebehavioural-therapy</w:t>
      </w:r>
    </w:p>
    <w:p w14:paraId="182E8186" w14:textId="77777777" w:rsidR="00E75B6C" w:rsidRPr="00256423" w:rsidRDefault="00E75B6C" w:rsidP="00E75B6C">
      <w:pPr>
        <w:rPr>
          <w:rFonts w:ascii="Arial" w:hAnsi="Arial" w:cs="Arial"/>
          <w:color w:val="000000" w:themeColor="text1"/>
          <w:sz w:val="20"/>
        </w:rPr>
      </w:pPr>
    </w:p>
    <w:p w14:paraId="4B2BB03F"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Mohamed, S. (2011). Stigma and mental illness: are there cultural differences (Ph.D). University of East Anglia. EThOS, uk.bl.ethos.573771</w:t>
      </w:r>
    </w:p>
    <w:p w14:paraId="66152E10" w14:textId="77777777" w:rsidR="00E75B6C" w:rsidRPr="00256423" w:rsidRDefault="00E75B6C" w:rsidP="00E75B6C">
      <w:pPr>
        <w:rPr>
          <w:rFonts w:ascii="Arial" w:hAnsi="Arial" w:cs="Arial"/>
          <w:color w:val="000000" w:themeColor="text1"/>
          <w:sz w:val="20"/>
        </w:rPr>
      </w:pPr>
    </w:p>
    <w:p w14:paraId="5594F919"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Phelps, C., Minou, M., Baker, A., Hughes, C., French, H., &amp; Hawkins, W. Leeuwenberg, A., Crabtree, R. and Hutchings, P. B. (2017). Engaging young people in the development of an avatar</w:t>
      </w:r>
      <w:r w:rsidRPr="00256423">
        <w:rPr>
          <w:rFonts w:ascii="Cambria Math" w:hAnsi="Cambria Math" w:cs="Cambria Math"/>
          <w:color w:val="000000" w:themeColor="text1"/>
          <w:sz w:val="20"/>
          <w:szCs w:val="20"/>
          <w:shd w:val="clear" w:color="auto" w:fill="FFFFFF"/>
        </w:rPr>
        <w:t>‐</w:t>
      </w:r>
      <w:r w:rsidRPr="00256423">
        <w:rPr>
          <w:rFonts w:ascii="Arial" w:hAnsi="Arial" w:cs="Arial"/>
          <w:color w:val="000000" w:themeColor="text1"/>
          <w:sz w:val="20"/>
          <w:szCs w:val="20"/>
          <w:shd w:val="clear" w:color="auto" w:fill="FFFFFF"/>
        </w:rPr>
        <w:t>based online intervention designed to provide psychosocial support to young people affected by their own or a family member's cancer diagnosis. Health Expectations, 20(3), 459-470.</w:t>
      </w:r>
    </w:p>
    <w:p w14:paraId="4F251364" w14:textId="77777777" w:rsidR="00E75B6C" w:rsidRPr="00256423" w:rsidRDefault="00E75B6C" w:rsidP="00E75B6C">
      <w:pPr>
        <w:rPr>
          <w:rFonts w:ascii="Arial" w:hAnsi="Arial" w:cs="Arial"/>
          <w:color w:val="000000" w:themeColor="text1"/>
          <w:sz w:val="20"/>
        </w:rPr>
      </w:pPr>
    </w:p>
    <w:p w14:paraId="5C65BEF7"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Routledge Taylor &amp; Francis. (2009). Making sense of madness: Contesting the meaning of schizophrenia [</w:t>
      </w:r>
      <w:proofErr w:type="spellStart"/>
      <w:r w:rsidRPr="00256423">
        <w:rPr>
          <w:rFonts w:ascii="Arial" w:hAnsi="Arial" w:cs="Arial"/>
          <w:color w:val="000000" w:themeColor="text1"/>
          <w:sz w:val="20"/>
          <w:szCs w:val="20"/>
          <w:shd w:val="clear" w:color="auto" w:fill="FFFFFF"/>
        </w:rPr>
        <w:t>Ebook</w:t>
      </w:r>
      <w:bookmarkStart w:id="0" w:name="_GoBack"/>
      <w:bookmarkEnd w:id="0"/>
      <w:proofErr w:type="spellEnd"/>
      <w:r w:rsidRPr="00256423">
        <w:rPr>
          <w:rFonts w:ascii="Arial" w:hAnsi="Arial" w:cs="Arial"/>
          <w:color w:val="000000" w:themeColor="text1"/>
          <w:sz w:val="20"/>
          <w:szCs w:val="20"/>
          <w:shd w:val="clear" w:color="auto" w:fill="FFFFFF"/>
        </w:rPr>
        <w:t>]. London. Retrieved from http://www.tandfebooks.com/doi/view/10.4324/9780203878422</w:t>
      </w:r>
    </w:p>
    <w:p w14:paraId="465BE930" w14:textId="77777777" w:rsidR="00E75B6C" w:rsidRPr="00256423" w:rsidRDefault="00E75B6C" w:rsidP="00E75B6C">
      <w:pPr>
        <w:rPr>
          <w:rFonts w:ascii="Arial" w:hAnsi="Arial" w:cs="Arial"/>
          <w:color w:val="000000" w:themeColor="text1"/>
          <w:sz w:val="20"/>
        </w:rPr>
      </w:pPr>
    </w:p>
    <w:p w14:paraId="4F0DC003"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Tarrier, N., Liversidge, T., &amp; Gregg, L. (2006). The acceptability and preference for the psychological treatment of PTSD. Behaviour Research and Therapy, 44(11), 1643-1656.</w:t>
      </w:r>
    </w:p>
    <w:p w14:paraId="5D8C0A4E" w14:textId="77777777" w:rsidR="00E75B6C" w:rsidRPr="00256423" w:rsidRDefault="00E75B6C" w:rsidP="00E75B6C">
      <w:pPr>
        <w:rPr>
          <w:rFonts w:ascii="Arial" w:hAnsi="Arial" w:cs="Arial"/>
          <w:color w:val="000000" w:themeColor="text1"/>
          <w:sz w:val="20"/>
          <w:szCs w:val="20"/>
          <w:shd w:val="clear" w:color="auto" w:fill="FFFFFF"/>
        </w:rPr>
      </w:pPr>
    </w:p>
    <w:p w14:paraId="60743CA8" w14:textId="489FD6D8"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The Office </w:t>
      </w:r>
      <w:r w:rsidRPr="00256423">
        <w:rPr>
          <w:rFonts w:ascii="Arial" w:hAnsi="Arial" w:cs="Arial"/>
          <w:color w:val="000000" w:themeColor="text1"/>
          <w:sz w:val="20"/>
          <w:szCs w:val="20"/>
          <w:shd w:val="clear" w:color="auto" w:fill="FFFFFF"/>
        </w:rPr>
        <w:t>Stationery</w:t>
      </w:r>
      <w:r w:rsidRPr="00256423">
        <w:rPr>
          <w:rFonts w:ascii="Arial" w:hAnsi="Arial" w:cs="Arial"/>
          <w:color w:val="000000" w:themeColor="text1"/>
          <w:sz w:val="20"/>
          <w:szCs w:val="20"/>
          <w:shd w:val="clear" w:color="auto" w:fill="FFFFFF"/>
        </w:rPr>
        <w:t xml:space="preserve"> Limited. Well-being of future generations (Wales) act 2015 (2015). United Kingdom.</w:t>
      </w:r>
    </w:p>
    <w:p w14:paraId="6647EF91" w14:textId="77777777" w:rsidR="00E75B6C" w:rsidRPr="00256423" w:rsidRDefault="00E75B6C" w:rsidP="00E75B6C">
      <w:pPr>
        <w:rPr>
          <w:rFonts w:ascii="Arial" w:hAnsi="Arial" w:cs="Arial"/>
          <w:color w:val="000000" w:themeColor="text1"/>
          <w:sz w:val="20"/>
          <w:szCs w:val="20"/>
          <w:shd w:val="clear" w:color="auto" w:fill="FFFFFF"/>
        </w:rPr>
      </w:pPr>
    </w:p>
    <w:p w14:paraId="70BE7526"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w:t>
      </w:r>
      <w:proofErr w:type="spellStart"/>
      <w:r w:rsidRPr="00256423">
        <w:rPr>
          <w:rFonts w:ascii="Arial" w:hAnsi="Arial" w:cs="Arial"/>
          <w:color w:val="000000" w:themeColor="text1"/>
          <w:sz w:val="20"/>
          <w:szCs w:val="20"/>
          <w:shd w:val="clear" w:color="auto" w:fill="FFFFFF"/>
        </w:rPr>
        <w:t>Ulleberg</w:t>
      </w:r>
      <w:proofErr w:type="spellEnd"/>
      <w:r w:rsidRPr="00256423">
        <w:rPr>
          <w:rFonts w:ascii="Arial" w:hAnsi="Arial" w:cs="Arial"/>
          <w:color w:val="000000" w:themeColor="text1"/>
          <w:sz w:val="20"/>
          <w:szCs w:val="20"/>
          <w:shd w:val="clear" w:color="auto" w:fill="FFFFFF"/>
        </w:rPr>
        <w:t xml:space="preserve">, P., &amp; </w:t>
      </w:r>
      <w:proofErr w:type="spellStart"/>
      <w:r w:rsidRPr="00256423">
        <w:rPr>
          <w:rFonts w:ascii="Arial" w:hAnsi="Arial" w:cs="Arial"/>
          <w:color w:val="000000" w:themeColor="text1"/>
          <w:sz w:val="20"/>
          <w:szCs w:val="20"/>
          <w:shd w:val="clear" w:color="auto" w:fill="FFFFFF"/>
        </w:rPr>
        <w:t>Rundmo</w:t>
      </w:r>
      <w:proofErr w:type="spellEnd"/>
      <w:r w:rsidRPr="00256423">
        <w:rPr>
          <w:rFonts w:ascii="Arial" w:hAnsi="Arial" w:cs="Arial"/>
          <w:color w:val="000000" w:themeColor="text1"/>
          <w:sz w:val="20"/>
          <w:szCs w:val="20"/>
          <w:shd w:val="clear" w:color="auto" w:fill="FFFFFF"/>
        </w:rPr>
        <w:t>, T. (2003). Personality, attitudes and risk perception as predictors of risky driving behaviour among young drivers. Safety science, 41(5), 427-443.</w:t>
      </w:r>
    </w:p>
    <w:p w14:paraId="55A12D16" w14:textId="77777777" w:rsidR="00E75B6C" w:rsidRPr="00256423" w:rsidRDefault="00E75B6C" w:rsidP="00E75B6C">
      <w:pPr>
        <w:rPr>
          <w:rFonts w:ascii="Arial" w:hAnsi="Arial" w:cs="Arial"/>
          <w:color w:val="000000" w:themeColor="text1"/>
          <w:sz w:val="20"/>
          <w:szCs w:val="20"/>
          <w:shd w:val="clear" w:color="auto" w:fill="FFFFFF"/>
        </w:rPr>
      </w:pPr>
    </w:p>
    <w:p w14:paraId="234B8F9E" w14:textId="77777777" w:rsidR="00E75B6C" w:rsidRPr="00256423" w:rsidRDefault="00E75B6C" w:rsidP="00E75B6C">
      <w:pPr>
        <w:rPr>
          <w:rFonts w:ascii="Arial" w:hAnsi="Arial" w:cs="Arial"/>
          <w:color w:val="000000" w:themeColor="text1"/>
          <w:sz w:val="20"/>
          <w:szCs w:val="21"/>
          <w:shd w:val="clear" w:color="auto" w:fill="FFFFFF"/>
        </w:rPr>
      </w:pPr>
      <w:r w:rsidRPr="00256423">
        <w:rPr>
          <w:rFonts w:ascii="Arial" w:hAnsi="Arial" w:cs="Arial"/>
          <w:color w:val="000000" w:themeColor="text1"/>
          <w:sz w:val="20"/>
          <w:szCs w:val="21"/>
          <w:shd w:val="clear" w:color="auto" w:fill="FFFFFF"/>
        </w:rPr>
        <w:t xml:space="preserve">    Van Hasselt, V. B., Romano, S. J., &amp; </w:t>
      </w:r>
      <w:proofErr w:type="spellStart"/>
      <w:r w:rsidRPr="00256423">
        <w:rPr>
          <w:rFonts w:ascii="Arial" w:hAnsi="Arial" w:cs="Arial"/>
          <w:color w:val="000000" w:themeColor="text1"/>
          <w:sz w:val="20"/>
          <w:szCs w:val="21"/>
          <w:shd w:val="clear" w:color="auto" w:fill="FFFFFF"/>
        </w:rPr>
        <w:t>Vecchi</w:t>
      </w:r>
      <w:proofErr w:type="spellEnd"/>
      <w:r w:rsidRPr="00256423">
        <w:rPr>
          <w:rFonts w:ascii="Arial" w:hAnsi="Arial" w:cs="Arial"/>
          <w:color w:val="000000" w:themeColor="text1"/>
          <w:sz w:val="20"/>
          <w:szCs w:val="21"/>
          <w:shd w:val="clear" w:color="auto" w:fill="FFFFFF"/>
        </w:rPr>
        <w:t>, G. M. (2008). Role Playing: Applications in Hostage and Crisis Negotiation Skills Training. </w:t>
      </w:r>
      <w:proofErr w:type="spellStart"/>
      <w:r w:rsidRPr="00256423">
        <w:rPr>
          <w:rFonts w:ascii="Arial" w:hAnsi="Arial" w:cs="Arial"/>
          <w:color w:val="000000" w:themeColor="text1"/>
          <w:sz w:val="20"/>
          <w:szCs w:val="21"/>
          <w:shd w:val="clear" w:color="auto" w:fill="FFFFFF"/>
        </w:rPr>
        <w:t>Behavior</w:t>
      </w:r>
      <w:proofErr w:type="spellEnd"/>
      <w:r w:rsidRPr="00256423">
        <w:rPr>
          <w:rFonts w:ascii="Arial" w:hAnsi="Arial" w:cs="Arial"/>
          <w:color w:val="000000" w:themeColor="text1"/>
          <w:sz w:val="20"/>
          <w:szCs w:val="21"/>
          <w:shd w:val="clear" w:color="auto" w:fill="FFFFFF"/>
        </w:rPr>
        <w:t xml:space="preserve"> Modification, 32(2), DOI: 10.1177/0145445507308281</w:t>
      </w:r>
    </w:p>
    <w:p w14:paraId="24D16615" w14:textId="77777777" w:rsidR="00E75B6C" w:rsidRPr="00256423" w:rsidRDefault="00E75B6C" w:rsidP="00E75B6C">
      <w:pPr>
        <w:rPr>
          <w:rFonts w:ascii="Arial" w:hAnsi="Arial" w:cs="Arial"/>
          <w:color w:val="000000" w:themeColor="text1"/>
          <w:sz w:val="20"/>
        </w:rPr>
      </w:pPr>
    </w:p>
    <w:p w14:paraId="10460AA0"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t>
      </w:r>
      <w:proofErr w:type="spellStart"/>
      <w:r w:rsidRPr="00256423">
        <w:rPr>
          <w:rFonts w:ascii="Arial" w:hAnsi="Arial" w:cs="Arial"/>
          <w:color w:val="000000" w:themeColor="text1"/>
          <w:sz w:val="20"/>
          <w:szCs w:val="20"/>
          <w:shd w:val="clear" w:color="auto" w:fill="FFFFFF"/>
        </w:rPr>
        <w:t>Vartanian</w:t>
      </w:r>
      <w:proofErr w:type="spellEnd"/>
      <w:r w:rsidRPr="00256423">
        <w:rPr>
          <w:rFonts w:ascii="Arial" w:hAnsi="Arial" w:cs="Arial"/>
          <w:color w:val="000000" w:themeColor="text1"/>
          <w:sz w:val="20"/>
          <w:szCs w:val="20"/>
          <w:shd w:val="clear" w:color="auto" w:fill="FFFFFF"/>
        </w:rPr>
        <w:t xml:space="preserve">, L., Trewartha, T., &amp; </w:t>
      </w:r>
      <w:proofErr w:type="spellStart"/>
      <w:r w:rsidRPr="00256423">
        <w:rPr>
          <w:rFonts w:ascii="Arial" w:hAnsi="Arial" w:cs="Arial"/>
          <w:color w:val="000000" w:themeColor="text1"/>
          <w:sz w:val="20"/>
          <w:szCs w:val="20"/>
          <w:shd w:val="clear" w:color="auto" w:fill="FFFFFF"/>
        </w:rPr>
        <w:t>Vanman</w:t>
      </w:r>
      <w:proofErr w:type="spellEnd"/>
      <w:r w:rsidRPr="00256423">
        <w:rPr>
          <w:rFonts w:ascii="Arial" w:hAnsi="Arial" w:cs="Arial"/>
          <w:color w:val="000000" w:themeColor="text1"/>
          <w:sz w:val="20"/>
          <w:szCs w:val="20"/>
          <w:shd w:val="clear" w:color="auto" w:fill="FFFFFF"/>
        </w:rPr>
        <w:t xml:space="preserve">, E. (2016). Disgust predicts prejudice and discrimination toward individuals with obesity. Journal </w:t>
      </w:r>
      <w:proofErr w:type="gramStart"/>
      <w:r w:rsidRPr="00256423">
        <w:rPr>
          <w:rFonts w:ascii="Arial" w:hAnsi="Arial" w:cs="Arial"/>
          <w:color w:val="000000" w:themeColor="text1"/>
          <w:sz w:val="20"/>
          <w:szCs w:val="20"/>
          <w:shd w:val="clear" w:color="auto" w:fill="FFFFFF"/>
        </w:rPr>
        <w:t>Of</w:t>
      </w:r>
      <w:proofErr w:type="gramEnd"/>
      <w:r w:rsidRPr="00256423">
        <w:rPr>
          <w:rFonts w:ascii="Arial" w:hAnsi="Arial" w:cs="Arial"/>
          <w:color w:val="000000" w:themeColor="text1"/>
          <w:sz w:val="20"/>
          <w:szCs w:val="20"/>
          <w:shd w:val="clear" w:color="auto" w:fill="FFFFFF"/>
        </w:rPr>
        <w:t xml:space="preserve"> Applied Social Psychology, 46(6), 369-375.</w:t>
      </w:r>
    </w:p>
    <w:p w14:paraId="6A124B2D" w14:textId="77777777" w:rsidR="00E75B6C" w:rsidRPr="00256423" w:rsidRDefault="00E75B6C" w:rsidP="00E75B6C">
      <w:pPr>
        <w:rPr>
          <w:rFonts w:ascii="Arial" w:hAnsi="Arial" w:cs="Arial"/>
          <w:color w:val="000000" w:themeColor="text1"/>
          <w:sz w:val="20"/>
        </w:rPr>
      </w:pPr>
    </w:p>
    <w:p w14:paraId="5ADB003F" w14:textId="77777777" w:rsidR="00E75B6C"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Williamson, H. (2016). Supporting adolescents struggling with appearance altering conditions: the feasibility of using an online psychosocial intervention. Conference poster, Centre for Appearance Research, University of the West of England, Annual Primary Care Conference, Royal College of General Practitioners.</w:t>
      </w:r>
    </w:p>
    <w:p w14:paraId="1EA5573E" w14:textId="77777777" w:rsidR="00E75B6C" w:rsidRPr="00256423" w:rsidRDefault="00E75B6C" w:rsidP="00E75B6C">
      <w:pPr>
        <w:rPr>
          <w:rFonts w:ascii="Arial" w:hAnsi="Arial" w:cs="Arial"/>
          <w:color w:val="000000" w:themeColor="text1"/>
          <w:sz w:val="20"/>
          <w:szCs w:val="20"/>
          <w:shd w:val="clear" w:color="auto" w:fill="FFFFFF"/>
        </w:rPr>
      </w:pPr>
    </w:p>
    <w:p w14:paraId="48109DA5" w14:textId="77777777" w:rsidR="00E75B6C" w:rsidRPr="00256423" w:rsidRDefault="00E75B6C" w:rsidP="00E75B6C">
      <w:pPr>
        <w:rPr>
          <w:rFonts w:ascii="Arial" w:hAnsi="Arial" w:cs="Arial"/>
          <w:color w:val="000000" w:themeColor="text1"/>
          <w:sz w:val="20"/>
          <w:szCs w:val="20"/>
          <w:shd w:val="clear" w:color="auto" w:fill="FFFFFF"/>
        </w:rPr>
      </w:pPr>
      <w:r w:rsidRPr="00256423">
        <w:rPr>
          <w:rFonts w:ascii="Arial" w:hAnsi="Arial" w:cs="Arial"/>
          <w:color w:val="000000" w:themeColor="text1"/>
          <w:sz w:val="20"/>
          <w:szCs w:val="20"/>
          <w:shd w:val="clear" w:color="auto" w:fill="FFFFFF"/>
        </w:rPr>
        <w:t xml:space="preserve">    Windsor-</w:t>
      </w:r>
      <w:proofErr w:type="spellStart"/>
      <w:r w:rsidRPr="00256423">
        <w:rPr>
          <w:rFonts w:ascii="Arial" w:hAnsi="Arial" w:cs="Arial"/>
          <w:color w:val="000000" w:themeColor="text1"/>
          <w:sz w:val="20"/>
          <w:szCs w:val="20"/>
          <w:shd w:val="clear" w:color="auto" w:fill="FFFFFF"/>
        </w:rPr>
        <w:t>Shellard</w:t>
      </w:r>
      <w:proofErr w:type="spellEnd"/>
      <w:r w:rsidRPr="00256423">
        <w:rPr>
          <w:rFonts w:ascii="Arial" w:hAnsi="Arial" w:cs="Arial"/>
          <w:color w:val="000000" w:themeColor="text1"/>
          <w:sz w:val="20"/>
          <w:szCs w:val="20"/>
          <w:shd w:val="clear" w:color="auto" w:fill="FFFFFF"/>
        </w:rPr>
        <w:t xml:space="preserve">, B. (2017). Adult drinking habits in Great </w:t>
      </w:r>
      <w:proofErr w:type="gramStart"/>
      <w:r w:rsidRPr="00256423">
        <w:rPr>
          <w:rFonts w:ascii="Arial" w:hAnsi="Arial" w:cs="Arial"/>
          <w:color w:val="000000" w:themeColor="text1"/>
          <w:sz w:val="20"/>
          <w:szCs w:val="20"/>
          <w:shd w:val="clear" w:color="auto" w:fill="FFFFFF"/>
        </w:rPr>
        <w:t>Britain :</w:t>
      </w:r>
      <w:proofErr w:type="gramEnd"/>
      <w:r w:rsidRPr="00256423">
        <w:rPr>
          <w:rFonts w:ascii="Arial" w:hAnsi="Arial" w:cs="Arial"/>
          <w:color w:val="000000" w:themeColor="text1"/>
          <w:sz w:val="20"/>
          <w:szCs w:val="20"/>
          <w:shd w:val="clear" w:color="auto" w:fill="FFFFFF"/>
        </w:rPr>
        <w:t xml:space="preserve"> 2005 to 2016. Retrieved 14 October 2019, from https://www.ons.gov.uk/peoplepopulationandcommunity/healthandsocialcare/drugusealcoholandsmoking/bulletins/opinionsandlifestylesurveyadultdrinkinghabitsingreatbritain/2005to2016</w:t>
      </w:r>
    </w:p>
    <w:p w14:paraId="407C9EA7" w14:textId="77777777" w:rsidR="00E75B6C" w:rsidRPr="00256423" w:rsidRDefault="00E75B6C" w:rsidP="00E75B6C">
      <w:pPr>
        <w:rPr>
          <w:rFonts w:ascii="Arial" w:hAnsi="Arial" w:cs="Arial"/>
          <w:color w:val="000000" w:themeColor="text1"/>
          <w:sz w:val="20"/>
        </w:rPr>
      </w:pPr>
    </w:p>
    <w:p w14:paraId="07DF5319" w14:textId="77777777" w:rsidR="00E75B6C" w:rsidRPr="00256423" w:rsidRDefault="00E75B6C" w:rsidP="00E75B6C">
      <w:pPr>
        <w:rPr>
          <w:rFonts w:ascii="Arial" w:hAnsi="Arial" w:cs="Arial"/>
          <w:color w:val="000000" w:themeColor="text1"/>
          <w:sz w:val="20"/>
        </w:rPr>
      </w:pPr>
      <w:r w:rsidRPr="00256423">
        <w:rPr>
          <w:rFonts w:ascii="Arial" w:hAnsi="Arial" w:cs="Arial"/>
          <w:color w:val="000000" w:themeColor="text1"/>
          <w:sz w:val="20"/>
          <w:szCs w:val="20"/>
          <w:shd w:val="clear" w:color="auto" w:fill="FFFFFF"/>
        </w:rPr>
        <w:t xml:space="preserve">    Young, E. (2017). Women know better than men what other women are thinking and feeling. Retrieved 15 October 2019, from https://digest.bps.org.uk/2017/09/18/women-know-better-than-men-what-other-women-are-thinking-and-feeling/</w:t>
      </w:r>
    </w:p>
    <w:p w14:paraId="1D83A52D" w14:textId="77777777" w:rsidR="00E75B6C" w:rsidRPr="00256423" w:rsidRDefault="00E75B6C" w:rsidP="00E75B6C">
      <w:pPr>
        <w:rPr>
          <w:rFonts w:ascii="Arial" w:hAnsi="Arial" w:cs="Arial"/>
          <w:color w:val="000000" w:themeColor="text1"/>
          <w:sz w:val="20"/>
        </w:rPr>
      </w:pPr>
    </w:p>
    <w:p w14:paraId="5E646093" w14:textId="77777777" w:rsidR="00E75B6C" w:rsidRPr="00256423" w:rsidRDefault="00E75B6C" w:rsidP="00E75B6C">
      <w:pPr>
        <w:rPr>
          <w:rFonts w:ascii="Arial" w:hAnsi="Arial" w:cs="Arial"/>
          <w:color w:val="000000" w:themeColor="text1"/>
          <w:sz w:val="20"/>
          <w:szCs w:val="21"/>
          <w:shd w:val="clear" w:color="auto" w:fill="FFFFFF"/>
        </w:rPr>
      </w:pPr>
    </w:p>
    <w:p w14:paraId="4BD9CE34" w14:textId="77777777" w:rsidR="00E75B6C" w:rsidRPr="00256423" w:rsidRDefault="00E75B6C" w:rsidP="00E75B6C">
      <w:pPr>
        <w:rPr>
          <w:rFonts w:ascii="Arial" w:hAnsi="Arial" w:cs="Arial"/>
          <w:color w:val="000000" w:themeColor="text1"/>
          <w:sz w:val="20"/>
        </w:rPr>
      </w:pPr>
    </w:p>
    <w:p w14:paraId="7DC882D2" w14:textId="77777777" w:rsidR="00E75B6C" w:rsidRPr="00256423" w:rsidRDefault="00E75B6C" w:rsidP="00E75B6C">
      <w:pPr>
        <w:rPr>
          <w:rFonts w:ascii="Arial" w:hAnsi="Arial" w:cs="Arial"/>
          <w:color w:val="000000" w:themeColor="text1"/>
          <w:sz w:val="20"/>
          <w:szCs w:val="20"/>
          <w:shd w:val="clear" w:color="auto" w:fill="FFFFFF"/>
        </w:rPr>
      </w:pPr>
    </w:p>
    <w:p w14:paraId="104F9BA4" w14:textId="77777777" w:rsidR="00E75B6C" w:rsidRPr="00256423" w:rsidRDefault="00E75B6C" w:rsidP="00E75B6C">
      <w:pPr>
        <w:rPr>
          <w:rFonts w:ascii="Arial" w:hAnsi="Arial" w:cs="Arial"/>
          <w:color w:val="000000" w:themeColor="text1"/>
          <w:sz w:val="20"/>
        </w:rPr>
      </w:pPr>
    </w:p>
    <w:p w14:paraId="5912A50A" w14:textId="77777777" w:rsidR="00E75B6C" w:rsidRPr="00256423" w:rsidRDefault="00E75B6C" w:rsidP="00E75B6C">
      <w:pPr>
        <w:rPr>
          <w:rFonts w:ascii="Arial" w:hAnsi="Arial" w:cs="Arial"/>
          <w:color w:val="000000" w:themeColor="text1"/>
          <w:sz w:val="20"/>
        </w:rPr>
      </w:pPr>
    </w:p>
    <w:p w14:paraId="3B524EE5" w14:textId="77777777" w:rsidR="00E75B6C" w:rsidRPr="00256423" w:rsidRDefault="00E75B6C" w:rsidP="00E75B6C">
      <w:pPr>
        <w:rPr>
          <w:rFonts w:ascii="Arial" w:hAnsi="Arial" w:cs="Arial"/>
          <w:color w:val="000000" w:themeColor="text1"/>
          <w:sz w:val="20"/>
        </w:rPr>
      </w:pPr>
    </w:p>
    <w:p w14:paraId="5FA96DFF" w14:textId="77777777" w:rsidR="00E75B6C" w:rsidRPr="00256423" w:rsidRDefault="00E75B6C" w:rsidP="00E75B6C">
      <w:pPr>
        <w:rPr>
          <w:rFonts w:ascii="Arial" w:hAnsi="Arial" w:cs="Arial"/>
          <w:color w:val="000000" w:themeColor="text1"/>
          <w:sz w:val="20"/>
        </w:rPr>
      </w:pPr>
    </w:p>
    <w:p w14:paraId="01EDC26E" w14:textId="77777777" w:rsidR="00E75B6C" w:rsidRPr="00256423" w:rsidRDefault="00E75B6C" w:rsidP="00E75B6C">
      <w:pPr>
        <w:rPr>
          <w:rFonts w:ascii="Arial" w:hAnsi="Arial" w:cs="Arial"/>
          <w:color w:val="000000" w:themeColor="text1"/>
          <w:sz w:val="20"/>
        </w:rPr>
      </w:pPr>
    </w:p>
    <w:p w14:paraId="1948B3EE" w14:textId="77777777" w:rsidR="00E75B6C" w:rsidRPr="00256423" w:rsidRDefault="00E75B6C" w:rsidP="00E75B6C">
      <w:pPr>
        <w:rPr>
          <w:rFonts w:ascii="Arial" w:hAnsi="Arial" w:cs="Arial"/>
          <w:color w:val="000000" w:themeColor="text1"/>
          <w:sz w:val="20"/>
        </w:rPr>
      </w:pPr>
    </w:p>
    <w:p w14:paraId="152B6D42" w14:textId="77777777" w:rsidR="00E75B6C" w:rsidRPr="00256423" w:rsidRDefault="00E75B6C" w:rsidP="00E75B6C">
      <w:pPr>
        <w:rPr>
          <w:rFonts w:ascii="Arial" w:hAnsi="Arial" w:cs="Arial"/>
          <w:color w:val="000000" w:themeColor="text1"/>
          <w:sz w:val="20"/>
        </w:rPr>
      </w:pPr>
    </w:p>
    <w:p w14:paraId="3E0B4582" w14:textId="77777777" w:rsidR="00E75B6C" w:rsidRPr="00256423" w:rsidRDefault="00E75B6C" w:rsidP="00E75B6C">
      <w:pPr>
        <w:rPr>
          <w:rFonts w:ascii="Arial" w:hAnsi="Arial" w:cs="Arial"/>
          <w:color w:val="000000" w:themeColor="text1"/>
          <w:sz w:val="20"/>
        </w:rPr>
      </w:pPr>
    </w:p>
    <w:p w14:paraId="51765F79" w14:textId="77777777" w:rsidR="00E75B6C" w:rsidRPr="00256423" w:rsidRDefault="00E75B6C" w:rsidP="00E75B6C">
      <w:pPr>
        <w:rPr>
          <w:rFonts w:ascii="Arial" w:hAnsi="Arial" w:cs="Arial"/>
          <w:color w:val="000000" w:themeColor="text1"/>
          <w:sz w:val="20"/>
        </w:rPr>
      </w:pPr>
    </w:p>
    <w:p w14:paraId="5EFF022B" w14:textId="77777777" w:rsidR="00E75B6C" w:rsidRDefault="00E75B6C" w:rsidP="001A0844"/>
    <w:sectPr w:rsidR="00E75B6C" w:rsidSect="005505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0E4BB9"/>
    <w:multiLevelType w:val="hybridMultilevel"/>
    <w:tmpl w:val="7C902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01"/>
    <w:rsid w:val="00006B3A"/>
    <w:rsid w:val="00020DCD"/>
    <w:rsid w:val="001A0844"/>
    <w:rsid w:val="00295903"/>
    <w:rsid w:val="00463AED"/>
    <w:rsid w:val="0055054C"/>
    <w:rsid w:val="00603D6E"/>
    <w:rsid w:val="00695801"/>
    <w:rsid w:val="00724EC3"/>
    <w:rsid w:val="00747597"/>
    <w:rsid w:val="008F2717"/>
    <w:rsid w:val="009C3B5E"/>
    <w:rsid w:val="00A238FA"/>
    <w:rsid w:val="00D229D1"/>
    <w:rsid w:val="00D65B11"/>
    <w:rsid w:val="00E51294"/>
    <w:rsid w:val="00E75B6C"/>
    <w:rsid w:val="00EB75DA"/>
    <w:rsid w:val="00F360ED"/>
    <w:rsid w:val="00FD7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20A0E4"/>
  <w15:chartTrackingRefBased/>
  <w15:docId w15:val="{99F27697-AA88-D94A-A92C-2F3D7B39B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75B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5129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06B3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6B3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5129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51294"/>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5129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20DCD"/>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20882">
      <w:bodyDiv w:val="1"/>
      <w:marLeft w:val="0"/>
      <w:marRight w:val="0"/>
      <w:marTop w:val="0"/>
      <w:marBottom w:val="0"/>
      <w:divBdr>
        <w:top w:val="none" w:sz="0" w:space="0" w:color="auto"/>
        <w:left w:val="none" w:sz="0" w:space="0" w:color="auto"/>
        <w:bottom w:val="none" w:sz="0" w:space="0" w:color="auto"/>
        <w:right w:val="none" w:sz="0" w:space="0" w:color="auto"/>
      </w:divBdr>
    </w:div>
    <w:div w:id="694159660">
      <w:bodyDiv w:val="1"/>
      <w:marLeft w:val="0"/>
      <w:marRight w:val="0"/>
      <w:marTop w:val="0"/>
      <w:marBottom w:val="0"/>
      <w:divBdr>
        <w:top w:val="none" w:sz="0" w:space="0" w:color="auto"/>
        <w:left w:val="none" w:sz="0" w:space="0" w:color="auto"/>
        <w:bottom w:val="none" w:sz="0" w:space="0" w:color="auto"/>
        <w:right w:val="none" w:sz="0" w:space="0" w:color="auto"/>
      </w:divBdr>
    </w:div>
    <w:div w:id="729504755">
      <w:bodyDiv w:val="1"/>
      <w:marLeft w:val="0"/>
      <w:marRight w:val="0"/>
      <w:marTop w:val="0"/>
      <w:marBottom w:val="0"/>
      <w:divBdr>
        <w:top w:val="none" w:sz="0" w:space="0" w:color="auto"/>
        <w:left w:val="none" w:sz="0" w:space="0" w:color="auto"/>
        <w:bottom w:val="none" w:sz="0" w:space="0" w:color="auto"/>
        <w:right w:val="none" w:sz="0" w:space="0" w:color="auto"/>
      </w:divBdr>
    </w:div>
    <w:div w:id="1227883496">
      <w:bodyDiv w:val="1"/>
      <w:marLeft w:val="0"/>
      <w:marRight w:val="0"/>
      <w:marTop w:val="0"/>
      <w:marBottom w:val="0"/>
      <w:divBdr>
        <w:top w:val="none" w:sz="0" w:space="0" w:color="auto"/>
        <w:left w:val="none" w:sz="0" w:space="0" w:color="auto"/>
        <w:bottom w:val="none" w:sz="0" w:space="0" w:color="auto"/>
        <w:right w:val="none" w:sz="0" w:space="0" w:color="auto"/>
      </w:divBdr>
    </w:div>
    <w:div w:id="1330986182">
      <w:bodyDiv w:val="1"/>
      <w:marLeft w:val="0"/>
      <w:marRight w:val="0"/>
      <w:marTop w:val="0"/>
      <w:marBottom w:val="0"/>
      <w:divBdr>
        <w:top w:val="none" w:sz="0" w:space="0" w:color="auto"/>
        <w:left w:val="none" w:sz="0" w:space="0" w:color="auto"/>
        <w:bottom w:val="none" w:sz="0" w:space="0" w:color="auto"/>
        <w:right w:val="none" w:sz="0" w:space="0" w:color="auto"/>
      </w:divBdr>
    </w:div>
    <w:div w:id="1403989409">
      <w:bodyDiv w:val="1"/>
      <w:marLeft w:val="0"/>
      <w:marRight w:val="0"/>
      <w:marTop w:val="0"/>
      <w:marBottom w:val="0"/>
      <w:divBdr>
        <w:top w:val="none" w:sz="0" w:space="0" w:color="auto"/>
        <w:left w:val="none" w:sz="0" w:space="0" w:color="auto"/>
        <w:bottom w:val="none" w:sz="0" w:space="0" w:color="auto"/>
        <w:right w:val="none" w:sz="0" w:space="0" w:color="auto"/>
      </w:divBdr>
    </w:div>
    <w:div w:id="186377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1511</Words>
  <Characters>8618</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Characteristics</vt:lpstr>
      <vt:lpstr>    Research into PTSD</vt:lpstr>
      <vt:lpstr>Article 1 – 143 words</vt:lpstr>
      <vt:lpstr>Article 2 – 152 words</vt:lpstr>
    </vt:vector>
  </TitlesOfParts>
  <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Griffiths (1903978)</dc:creator>
  <cp:keywords/>
  <dc:description/>
  <cp:lastModifiedBy>Peter Griffiths (1903978)</cp:lastModifiedBy>
  <cp:revision>2</cp:revision>
  <dcterms:created xsi:type="dcterms:W3CDTF">2019-10-15T18:51:00Z</dcterms:created>
  <dcterms:modified xsi:type="dcterms:W3CDTF">2019-10-15T18:51:00Z</dcterms:modified>
</cp:coreProperties>
</file>