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612427112"/>
        <w:docPartObj>
          <w:docPartGallery w:val="Cover Pages"/>
          <w:docPartUnique/>
        </w:docPartObj>
      </w:sdtPr>
      <w:sdtEndPr>
        <w:rPr>
          <w:rFonts w:ascii="Arial" w:eastAsia="Arial" w:hAnsi="Arial" w:cs="Arial"/>
          <w:b/>
          <w:color w:val="000000"/>
          <w:sz w:val="28"/>
          <w:szCs w:val="24"/>
          <w:lang w:eastAsia="en-GB"/>
        </w:rPr>
      </w:sdtEndPr>
      <w:sdtContent>
        <w:p w14:paraId="0A1F8595" w14:textId="2742FD0D" w:rsidR="00C424FA" w:rsidRDefault="00C424FA">
          <w:r>
            <w:rPr>
              <w:noProof/>
            </w:rPr>
            <mc:AlternateContent>
              <mc:Choice Requires="wpg">
                <w:drawing>
                  <wp:anchor distT="0" distB="0" distL="114300" distR="114300" simplePos="0" relativeHeight="251658243" behindDoc="0" locked="0" layoutInCell="1" allowOverlap="1" wp14:anchorId="76546351" wp14:editId="1E73117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i="http://schemas.microsoft.com/office/word/2026/wordml/cei">
                <w:pict>
                  <v:group w14:anchorId="29D70B7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F72B403" wp14:editId="2E70BB7F">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A3D840" w14:textId="5F67DE44" w:rsidR="00C424FA" w:rsidRDefault="00C424FA">
                                    <w:pPr>
                                      <w:pStyle w:val="NoSpacing"/>
                                      <w:jc w:val="right"/>
                                      <w:rPr>
                                        <w:color w:val="595959" w:themeColor="text1" w:themeTint="A6"/>
                                        <w:sz w:val="28"/>
                                        <w:szCs w:val="28"/>
                                      </w:rPr>
                                    </w:pPr>
                                    <w:r>
                                      <w:rPr>
                                        <w:color w:val="595959" w:themeColor="text1" w:themeTint="A6"/>
                                        <w:sz w:val="28"/>
                                        <w:szCs w:val="28"/>
                                      </w:rPr>
                                      <w:t xml:space="preserve">Keith Dixon </w:t>
                                    </w:r>
                                    <w:r w:rsidR="00F52E4B">
                                      <w:rPr>
                                        <w:color w:val="595959" w:themeColor="text1" w:themeTint="A6"/>
                                        <w:sz w:val="28"/>
                                        <w:szCs w:val="28"/>
                                      </w:rPr>
                                      <w:t>2439121</w:t>
                                    </w:r>
                                  </w:p>
                                </w:sdtContent>
                              </w:sdt>
                              <w:p w14:paraId="6EAC033D" w14:textId="1B9CE610" w:rsidR="00C424FA" w:rsidRDefault="0053316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2E4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72B403"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A3D840" w14:textId="5F67DE44" w:rsidR="00C424FA" w:rsidRDefault="00C424FA">
                              <w:pPr>
                                <w:pStyle w:val="NoSpacing"/>
                                <w:jc w:val="right"/>
                                <w:rPr>
                                  <w:color w:val="595959" w:themeColor="text1" w:themeTint="A6"/>
                                  <w:sz w:val="28"/>
                                  <w:szCs w:val="28"/>
                                </w:rPr>
                              </w:pPr>
                              <w:r>
                                <w:rPr>
                                  <w:color w:val="595959" w:themeColor="text1" w:themeTint="A6"/>
                                  <w:sz w:val="28"/>
                                  <w:szCs w:val="28"/>
                                </w:rPr>
                                <w:t xml:space="preserve">Keith Dixon </w:t>
                              </w:r>
                              <w:r w:rsidR="00F52E4B">
                                <w:rPr>
                                  <w:color w:val="595959" w:themeColor="text1" w:themeTint="A6"/>
                                  <w:sz w:val="28"/>
                                  <w:szCs w:val="28"/>
                                </w:rPr>
                                <w:t>2439121</w:t>
                              </w:r>
                            </w:p>
                          </w:sdtContent>
                        </w:sdt>
                        <w:p w14:paraId="6EAC033D" w14:textId="1B9CE610" w:rsidR="00C424FA" w:rsidRDefault="0053316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2E4B">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35D5B9E6" wp14:editId="63498053">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11312" w14:textId="5D6EE66F" w:rsidR="00F52E4B" w:rsidRDefault="00F52E4B" w:rsidP="00123817">
                                <w:pPr>
                                  <w:pStyle w:val="NoSpacing"/>
                                  <w:jc w:val="right"/>
                                  <w:rPr>
                                    <w:color w:val="156082" w:themeColor="accent1"/>
                                    <w:sz w:val="28"/>
                                    <w:szCs w:val="28"/>
                                  </w:rPr>
                                </w:pPr>
                                <w:r>
                                  <w:rPr>
                                    <w:color w:val="156082" w:themeColor="accent1"/>
                                    <w:sz w:val="28"/>
                                    <w:szCs w:val="28"/>
                                  </w:rPr>
                                  <w:t>BMHP5016</w:t>
                                </w:r>
                                <w:r w:rsidR="00123817">
                                  <w:rPr>
                                    <w:color w:val="156082" w:themeColor="accent1"/>
                                    <w:sz w:val="28"/>
                                    <w:szCs w:val="28"/>
                                  </w:rPr>
                                  <w:t xml:space="preserve"> </w:t>
                                </w:r>
                                <w:r>
                                  <w:rPr>
                                    <w:color w:val="156082" w:themeColor="accent1"/>
                                    <w:sz w:val="28"/>
                                    <w:szCs w:val="28"/>
                                  </w:rPr>
                                  <w:t>DR. Itse Olaoye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EA3F7AF" w14:textId="4B70D1BE" w:rsidR="00C424FA" w:rsidRDefault="00F52E4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5D5B9E6"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4A411312" w14:textId="5D6EE66F" w:rsidR="00F52E4B" w:rsidRDefault="00F52E4B" w:rsidP="00123817">
                          <w:pPr>
                            <w:pStyle w:val="NoSpacing"/>
                            <w:jc w:val="right"/>
                            <w:rPr>
                              <w:color w:val="156082" w:themeColor="accent1"/>
                              <w:sz w:val="28"/>
                              <w:szCs w:val="28"/>
                            </w:rPr>
                          </w:pPr>
                          <w:r>
                            <w:rPr>
                              <w:color w:val="156082" w:themeColor="accent1"/>
                              <w:sz w:val="28"/>
                              <w:szCs w:val="28"/>
                            </w:rPr>
                            <w:t>BMHP5016</w:t>
                          </w:r>
                          <w:r w:rsidR="00123817">
                            <w:rPr>
                              <w:color w:val="156082" w:themeColor="accent1"/>
                              <w:sz w:val="28"/>
                              <w:szCs w:val="28"/>
                            </w:rPr>
                            <w:t xml:space="preserve"> </w:t>
                          </w:r>
                          <w:r>
                            <w:rPr>
                              <w:color w:val="156082" w:themeColor="accent1"/>
                              <w:sz w:val="28"/>
                              <w:szCs w:val="28"/>
                            </w:rPr>
                            <w:t>DR. Itse Olaoye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EA3F7AF" w14:textId="4B70D1BE" w:rsidR="00C424FA" w:rsidRDefault="00F52E4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5CCCCD7" wp14:editId="6CDB2207">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729ED" w14:textId="0F8917CA" w:rsidR="00C424FA" w:rsidRDefault="00533166">
                                <w:pPr>
                                  <w:jc w:val="right"/>
                                  <w:rPr>
                                    <w:color w:val="156082" w:themeColor="accent1"/>
                                    <w:sz w:val="38"/>
                                    <w:szCs w:val="48"/>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3817">
                                      <w:rPr>
                                        <w:caps/>
                                        <w:color w:val="156082" w:themeColor="accent1"/>
                                        <w:sz w:val="64"/>
                                        <w:szCs w:val="64"/>
                                      </w:rPr>
                                      <w:t xml:space="preserve">     </w:t>
                                    </w:r>
                                  </w:sdtContent>
                                </w:sdt>
                                <w:r w:rsidR="00123817" w:rsidRPr="00123817">
                                  <w:rPr>
                                    <w:color w:val="156082" w:themeColor="accent1"/>
                                    <w:sz w:val="28"/>
                                    <w:szCs w:val="28"/>
                                  </w:rPr>
                                  <w:t xml:space="preserve"> </w:t>
                                </w:r>
                                <w:r w:rsidR="00123817" w:rsidRPr="00123817">
                                  <w:rPr>
                                    <w:color w:val="156082" w:themeColor="accent1"/>
                                    <w:sz w:val="38"/>
                                    <w:szCs w:val="48"/>
                                  </w:rPr>
                                  <w:t>Principles of Health and Social Care Practice</w:t>
                                </w:r>
                              </w:p>
                              <w:p w14:paraId="31337AB2" w14:textId="6A0ACA55" w:rsidR="00123817" w:rsidRDefault="00123817">
                                <w:pPr>
                                  <w:jc w:val="right"/>
                                  <w:rPr>
                                    <w:color w:val="156082" w:themeColor="accent1"/>
                                    <w:sz w:val="64"/>
                                    <w:szCs w:val="64"/>
                                  </w:rPr>
                                </w:pPr>
                                <w:r>
                                  <w:rPr>
                                    <w:color w:val="156082" w:themeColor="accent1"/>
                                    <w:sz w:val="38"/>
                                    <w:szCs w:val="48"/>
                                  </w:rPr>
                                  <w:t>Written Assignment (Essay)</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6E028B6" w14:textId="2B5C7B92" w:rsidR="00C424FA" w:rsidRDefault="0012381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CCCCD7" id="Text Box 163"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0D0729ED" w14:textId="0F8917CA" w:rsidR="00C424FA" w:rsidRDefault="00533166">
                          <w:pPr>
                            <w:jc w:val="right"/>
                            <w:rPr>
                              <w:color w:val="156082" w:themeColor="accent1"/>
                              <w:sz w:val="38"/>
                              <w:szCs w:val="48"/>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3817">
                                <w:rPr>
                                  <w:caps/>
                                  <w:color w:val="156082" w:themeColor="accent1"/>
                                  <w:sz w:val="64"/>
                                  <w:szCs w:val="64"/>
                                </w:rPr>
                                <w:t xml:space="preserve">     </w:t>
                              </w:r>
                            </w:sdtContent>
                          </w:sdt>
                          <w:r w:rsidR="00123817" w:rsidRPr="00123817">
                            <w:rPr>
                              <w:color w:val="156082" w:themeColor="accent1"/>
                              <w:sz w:val="28"/>
                              <w:szCs w:val="28"/>
                            </w:rPr>
                            <w:t xml:space="preserve"> </w:t>
                          </w:r>
                          <w:r w:rsidR="00123817" w:rsidRPr="00123817">
                            <w:rPr>
                              <w:color w:val="156082" w:themeColor="accent1"/>
                              <w:sz w:val="38"/>
                              <w:szCs w:val="48"/>
                            </w:rPr>
                            <w:t>Principles of Health and Social Care Practice</w:t>
                          </w:r>
                        </w:p>
                        <w:p w14:paraId="31337AB2" w14:textId="6A0ACA55" w:rsidR="00123817" w:rsidRDefault="00123817">
                          <w:pPr>
                            <w:jc w:val="right"/>
                            <w:rPr>
                              <w:color w:val="156082" w:themeColor="accent1"/>
                              <w:sz w:val="64"/>
                              <w:szCs w:val="64"/>
                            </w:rPr>
                          </w:pPr>
                          <w:r>
                            <w:rPr>
                              <w:color w:val="156082" w:themeColor="accent1"/>
                              <w:sz w:val="38"/>
                              <w:szCs w:val="48"/>
                            </w:rPr>
                            <w:t>Written Assignment (Essay)</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6E028B6" w14:textId="2B5C7B92" w:rsidR="00C424FA" w:rsidRDefault="0012381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F35A127" w14:textId="4FC27C64" w:rsidR="00C424FA" w:rsidRDefault="00C424FA">
          <w:pPr>
            <w:rPr>
              <w:rFonts w:ascii="Arial" w:eastAsia="Arial" w:hAnsi="Arial" w:cs="Arial"/>
              <w:b/>
              <w:color w:val="000000"/>
              <w:sz w:val="28"/>
              <w:szCs w:val="24"/>
              <w:lang w:eastAsia="en-GB"/>
            </w:rPr>
          </w:pPr>
          <w:r>
            <w:rPr>
              <w:rFonts w:ascii="Arial" w:eastAsia="Arial" w:hAnsi="Arial" w:cs="Arial"/>
              <w:b/>
              <w:color w:val="000000"/>
              <w:sz w:val="28"/>
              <w:szCs w:val="24"/>
              <w:lang w:eastAsia="en-GB"/>
            </w:rPr>
            <w:br w:type="page"/>
          </w:r>
        </w:p>
      </w:sdtContent>
    </w:sdt>
    <w:p w14:paraId="4DA94113" w14:textId="3D17F442" w:rsidR="00C424FA" w:rsidRPr="00C424FA" w:rsidRDefault="00C424FA" w:rsidP="00123817">
      <w:pPr>
        <w:rPr>
          <w:rFonts w:ascii="Times New Roman" w:eastAsia="Times New Roman" w:hAnsi="Times New Roman" w:cs="Times New Roman"/>
          <w:color w:val="222222"/>
          <w:sz w:val="24"/>
          <w:szCs w:val="24"/>
          <w:lang w:eastAsia="en-GB"/>
        </w:rPr>
      </w:pPr>
    </w:p>
    <w:p w14:paraId="71325343"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Cs w:val="24"/>
          <w:lang w:eastAsia="en-GB"/>
        </w:rPr>
        <w:t xml:space="preserve"> </w:t>
      </w:r>
    </w:p>
    <w:p w14:paraId="32B1179E"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Cs w:val="24"/>
          <w:lang w:eastAsia="en-GB"/>
        </w:rPr>
        <w:t xml:space="preserve"> </w:t>
      </w:r>
    </w:p>
    <w:p w14:paraId="2C20F804" w14:textId="77777777" w:rsidR="00C424FA" w:rsidRPr="00C424FA" w:rsidRDefault="00C424FA" w:rsidP="00C424FA">
      <w:pPr>
        <w:spacing w:after="161"/>
        <w:rPr>
          <w:rFonts w:ascii="Times New Roman" w:eastAsia="Times New Roman" w:hAnsi="Times New Roman" w:cs="Times New Roman"/>
          <w:color w:val="222222"/>
          <w:sz w:val="24"/>
          <w:szCs w:val="24"/>
          <w:lang w:eastAsia="en-GB"/>
        </w:rPr>
      </w:pPr>
    </w:p>
    <w:p w14:paraId="41282B92"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Cs w:val="24"/>
          <w:lang w:eastAsia="en-GB"/>
        </w:rPr>
        <w:t xml:space="preserve"> </w:t>
      </w:r>
    </w:p>
    <w:p w14:paraId="3D1C4BB8" w14:textId="77777777" w:rsidR="00C424FA" w:rsidRPr="00C424FA" w:rsidRDefault="00C424FA" w:rsidP="00C424FA">
      <w:pPr>
        <w:spacing w:after="0"/>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Cs w:val="24"/>
          <w:lang w:eastAsia="en-GB"/>
        </w:rPr>
        <w:t xml:space="preserve"> </w:t>
      </w:r>
    </w:p>
    <w:sdt>
      <w:sdtPr>
        <w:rPr>
          <w:rFonts w:asciiTheme="minorHAnsi" w:eastAsiaTheme="minorHAnsi" w:hAnsiTheme="minorHAnsi" w:cstheme="minorBidi"/>
          <w:color w:val="auto"/>
          <w:kern w:val="2"/>
          <w:sz w:val="22"/>
          <w:szCs w:val="22"/>
          <w:lang w:val="en-GB"/>
          <w14:ligatures w14:val="standardContextual"/>
        </w:rPr>
        <w:id w:val="-1159688390"/>
        <w:docPartObj>
          <w:docPartGallery w:val="Table of Contents"/>
          <w:docPartUnique/>
        </w:docPartObj>
      </w:sdtPr>
      <w:sdtEndPr>
        <w:rPr>
          <w:b/>
          <w:bCs/>
          <w:noProof/>
        </w:rPr>
      </w:sdtEndPr>
      <w:sdtContent>
        <w:p w14:paraId="07D77B30" w14:textId="3953C31B" w:rsidR="00C424FA" w:rsidRDefault="00C424FA">
          <w:pPr>
            <w:pStyle w:val="TOCHeading"/>
          </w:pPr>
          <w:r>
            <w:t>Contents</w:t>
          </w:r>
        </w:p>
        <w:p w14:paraId="34A54563" w14:textId="3FF55EF8" w:rsidR="00FB0EF5" w:rsidRDefault="00C424FA">
          <w:pPr>
            <w:pStyle w:val="TOC1"/>
            <w:tabs>
              <w:tab w:val="right" w:leader="dot" w:pos="10044"/>
            </w:tabs>
            <w:rPr>
              <w:rFonts w:eastAsiaTheme="minorEastAsia"/>
              <w:noProof/>
              <w:sz w:val="24"/>
              <w:szCs w:val="24"/>
              <w:lang w:eastAsia="en-GB"/>
            </w:rPr>
          </w:pPr>
          <w:r>
            <w:fldChar w:fldCharType="begin"/>
          </w:r>
          <w:r>
            <w:instrText xml:space="preserve"> TOC \o "1-3" \h \z \u </w:instrText>
          </w:r>
          <w:r>
            <w:fldChar w:fldCharType="separate"/>
          </w:r>
          <w:hyperlink w:anchor="_Toc236997878" w:history="1">
            <w:r w:rsidR="00FB0EF5" w:rsidRPr="00311E43">
              <w:rPr>
                <w:rStyle w:val="Hyperlink"/>
                <w:rFonts w:eastAsia="Times New Roman"/>
                <w:noProof/>
                <w:lang w:eastAsia="en-GB"/>
              </w:rPr>
              <w:t>Introduction</w:t>
            </w:r>
            <w:r w:rsidR="00FB0EF5">
              <w:rPr>
                <w:noProof/>
                <w:webHidden/>
              </w:rPr>
              <w:tab/>
            </w:r>
            <w:r w:rsidR="00FB0EF5">
              <w:rPr>
                <w:noProof/>
                <w:webHidden/>
              </w:rPr>
              <w:fldChar w:fldCharType="begin"/>
            </w:r>
            <w:r w:rsidR="00FB0EF5">
              <w:rPr>
                <w:noProof/>
                <w:webHidden/>
              </w:rPr>
              <w:instrText xml:space="preserve"> PAGEREF _Toc236997878 \h </w:instrText>
            </w:r>
            <w:r w:rsidR="00FB0EF5">
              <w:rPr>
                <w:noProof/>
                <w:webHidden/>
              </w:rPr>
            </w:r>
            <w:r w:rsidR="00FB0EF5">
              <w:rPr>
                <w:noProof/>
                <w:webHidden/>
              </w:rPr>
              <w:fldChar w:fldCharType="separate"/>
            </w:r>
            <w:r w:rsidR="00FB0EF5">
              <w:rPr>
                <w:noProof/>
                <w:webHidden/>
              </w:rPr>
              <w:t>2</w:t>
            </w:r>
            <w:r w:rsidR="00FB0EF5">
              <w:rPr>
                <w:noProof/>
                <w:webHidden/>
              </w:rPr>
              <w:fldChar w:fldCharType="end"/>
            </w:r>
          </w:hyperlink>
        </w:p>
        <w:p w14:paraId="4363C1B4" w14:textId="65C6EAEE" w:rsidR="00FB0EF5" w:rsidRDefault="00FB0EF5">
          <w:pPr>
            <w:pStyle w:val="TOC1"/>
            <w:tabs>
              <w:tab w:val="right" w:leader="dot" w:pos="10044"/>
            </w:tabs>
            <w:rPr>
              <w:rFonts w:eastAsiaTheme="minorEastAsia"/>
              <w:noProof/>
              <w:sz w:val="24"/>
              <w:szCs w:val="24"/>
              <w:lang w:eastAsia="en-GB"/>
            </w:rPr>
          </w:pPr>
          <w:hyperlink w:anchor="_Toc236997879" w:history="1">
            <w:r w:rsidRPr="00311E43">
              <w:rPr>
                <w:rStyle w:val="Hyperlink"/>
                <w:noProof/>
              </w:rPr>
              <w:t>Reflection on the Importance of Principles of Health and Social Care</w:t>
            </w:r>
            <w:r>
              <w:rPr>
                <w:noProof/>
                <w:webHidden/>
              </w:rPr>
              <w:tab/>
            </w:r>
            <w:r>
              <w:rPr>
                <w:noProof/>
                <w:webHidden/>
              </w:rPr>
              <w:fldChar w:fldCharType="begin"/>
            </w:r>
            <w:r>
              <w:rPr>
                <w:noProof/>
                <w:webHidden/>
              </w:rPr>
              <w:instrText xml:space="preserve"> PAGEREF _Toc236997879 \h </w:instrText>
            </w:r>
            <w:r>
              <w:rPr>
                <w:noProof/>
                <w:webHidden/>
              </w:rPr>
            </w:r>
            <w:r>
              <w:rPr>
                <w:noProof/>
                <w:webHidden/>
              </w:rPr>
              <w:fldChar w:fldCharType="separate"/>
            </w:r>
            <w:r>
              <w:rPr>
                <w:noProof/>
                <w:webHidden/>
              </w:rPr>
              <w:t>3</w:t>
            </w:r>
            <w:r>
              <w:rPr>
                <w:noProof/>
                <w:webHidden/>
              </w:rPr>
              <w:fldChar w:fldCharType="end"/>
            </w:r>
          </w:hyperlink>
        </w:p>
        <w:p w14:paraId="650AEEF4" w14:textId="0BACEDB7" w:rsidR="00FB0EF5" w:rsidRDefault="00FB0EF5">
          <w:pPr>
            <w:pStyle w:val="TOC1"/>
            <w:tabs>
              <w:tab w:val="right" w:leader="dot" w:pos="10044"/>
            </w:tabs>
            <w:rPr>
              <w:rFonts w:eastAsiaTheme="minorEastAsia"/>
              <w:noProof/>
              <w:sz w:val="24"/>
              <w:szCs w:val="24"/>
              <w:lang w:eastAsia="en-GB"/>
            </w:rPr>
          </w:pPr>
          <w:hyperlink w:anchor="_Toc236997880" w:history="1">
            <w:r w:rsidRPr="00311E43">
              <w:rPr>
                <w:rStyle w:val="Hyperlink"/>
                <w:noProof/>
              </w:rPr>
              <w:t>Practical Example of Concepts in Practice</w:t>
            </w:r>
            <w:r>
              <w:rPr>
                <w:noProof/>
                <w:webHidden/>
              </w:rPr>
              <w:tab/>
            </w:r>
            <w:r>
              <w:rPr>
                <w:noProof/>
                <w:webHidden/>
              </w:rPr>
              <w:fldChar w:fldCharType="begin"/>
            </w:r>
            <w:r>
              <w:rPr>
                <w:noProof/>
                <w:webHidden/>
              </w:rPr>
              <w:instrText xml:space="preserve"> PAGEREF _Toc236997880 \h </w:instrText>
            </w:r>
            <w:r>
              <w:rPr>
                <w:noProof/>
                <w:webHidden/>
              </w:rPr>
            </w:r>
            <w:r>
              <w:rPr>
                <w:noProof/>
                <w:webHidden/>
              </w:rPr>
              <w:fldChar w:fldCharType="separate"/>
            </w:r>
            <w:r>
              <w:rPr>
                <w:noProof/>
                <w:webHidden/>
              </w:rPr>
              <w:t>4</w:t>
            </w:r>
            <w:r>
              <w:rPr>
                <w:noProof/>
                <w:webHidden/>
              </w:rPr>
              <w:fldChar w:fldCharType="end"/>
            </w:r>
          </w:hyperlink>
        </w:p>
        <w:p w14:paraId="6F7DFB4D" w14:textId="14E1AEE8" w:rsidR="00FB0EF5" w:rsidRDefault="00FB0EF5">
          <w:pPr>
            <w:pStyle w:val="TOC1"/>
            <w:tabs>
              <w:tab w:val="right" w:leader="dot" w:pos="10044"/>
            </w:tabs>
            <w:rPr>
              <w:rFonts w:eastAsiaTheme="minorEastAsia"/>
              <w:noProof/>
              <w:sz w:val="24"/>
              <w:szCs w:val="24"/>
              <w:lang w:eastAsia="en-GB"/>
            </w:rPr>
          </w:pPr>
          <w:hyperlink w:anchor="_Toc236997881" w:history="1">
            <w:r w:rsidRPr="00311E43">
              <w:rPr>
                <w:rStyle w:val="Hyperlink"/>
                <w:noProof/>
              </w:rPr>
              <w:t>Self- Reflection as a Health and Social Care Professional</w:t>
            </w:r>
            <w:r>
              <w:rPr>
                <w:noProof/>
                <w:webHidden/>
              </w:rPr>
              <w:tab/>
            </w:r>
            <w:r>
              <w:rPr>
                <w:noProof/>
                <w:webHidden/>
              </w:rPr>
              <w:fldChar w:fldCharType="begin"/>
            </w:r>
            <w:r>
              <w:rPr>
                <w:noProof/>
                <w:webHidden/>
              </w:rPr>
              <w:instrText xml:space="preserve"> PAGEREF _Toc236997881 \h </w:instrText>
            </w:r>
            <w:r>
              <w:rPr>
                <w:noProof/>
                <w:webHidden/>
              </w:rPr>
            </w:r>
            <w:r>
              <w:rPr>
                <w:noProof/>
                <w:webHidden/>
              </w:rPr>
              <w:fldChar w:fldCharType="separate"/>
            </w:r>
            <w:r>
              <w:rPr>
                <w:noProof/>
                <w:webHidden/>
              </w:rPr>
              <w:t>5</w:t>
            </w:r>
            <w:r>
              <w:rPr>
                <w:noProof/>
                <w:webHidden/>
              </w:rPr>
              <w:fldChar w:fldCharType="end"/>
            </w:r>
          </w:hyperlink>
        </w:p>
        <w:p w14:paraId="4F1EB20E" w14:textId="5A9A4A14" w:rsidR="00FB0EF5" w:rsidRDefault="00FB0EF5">
          <w:pPr>
            <w:pStyle w:val="TOC1"/>
            <w:tabs>
              <w:tab w:val="right" w:leader="dot" w:pos="10044"/>
            </w:tabs>
            <w:rPr>
              <w:rFonts w:eastAsiaTheme="minorEastAsia"/>
              <w:noProof/>
              <w:sz w:val="24"/>
              <w:szCs w:val="24"/>
              <w:lang w:eastAsia="en-GB"/>
            </w:rPr>
          </w:pPr>
          <w:hyperlink w:anchor="_Toc236997882" w:history="1">
            <w:r w:rsidRPr="00311E43">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_Toc236997882 \h </w:instrText>
            </w:r>
            <w:r>
              <w:rPr>
                <w:noProof/>
                <w:webHidden/>
              </w:rPr>
            </w:r>
            <w:r>
              <w:rPr>
                <w:noProof/>
                <w:webHidden/>
              </w:rPr>
              <w:fldChar w:fldCharType="separate"/>
            </w:r>
            <w:r>
              <w:rPr>
                <w:noProof/>
                <w:webHidden/>
              </w:rPr>
              <w:t>8</w:t>
            </w:r>
            <w:r>
              <w:rPr>
                <w:noProof/>
                <w:webHidden/>
              </w:rPr>
              <w:fldChar w:fldCharType="end"/>
            </w:r>
          </w:hyperlink>
        </w:p>
        <w:p w14:paraId="67A1B14E" w14:textId="1001DC1E" w:rsidR="00FB0EF5" w:rsidRDefault="00FB0EF5">
          <w:pPr>
            <w:pStyle w:val="TOC1"/>
            <w:tabs>
              <w:tab w:val="right" w:leader="dot" w:pos="10044"/>
            </w:tabs>
            <w:rPr>
              <w:rFonts w:eastAsiaTheme="minorEastAsia"/>
              <w:noProof/>
              <w:sz w:val="24"/>
              <w:szCs w:val="24"/>
              <w:lang w:eastAsia="en-GB"/>
            </w:rPr>
          </w:pPr>
          <w:hyperlink w:anchor="_Toc236997883" w:history="1">
            <w:r w:rsidRPr="00311E43">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_Toc236997883 \h </w:instrText>
            </w:r>
            <w:r>
              <w:rPr>
                <w:noProof/>
                <w:webHidden/>
              </w:rPr>
            </w:r>
            <w:r>
              <w:rPr>
                <w:noProof/>
                <w:webHidden/>
              </w:rPr>
              <w:fldChar w:fldCharType="separate"/>
            </w:r>
            <w:r>
              <w:rPr>
                <w:noProof/>
                <w:webHidden/>
              </w:rPr>
              <w:t>9</w:t>
            </w:r>
            <w:r>
              <w:rPr>
                <w:noProof/>
                <w:webHidden/>
              </w:rPr>
              <w:fldChar w:fldCharType="end"/>
            </w:r>
          </w:hyperlink>
        </w:p>
        <w:p w14:paraId="709D89B8" w14:textId="411BDE98" w:rsidR="00C424FA" w:rsidRDefault="00C424FA">
          <w:r>
            <w:rPr>
              <w:b/>
              <w:bCs/>
              <w:noProof/>
            </w:rPr>
            <w:fldChar w:fldCharType="end"/>
          </w:r>
        </w:p>
      </w:sdtContent>
    </w:sdt>
    <w:p w14:paraId="3F233983" w14:textId="085A96D2" w:rsidR="00C424FA" w:rsidRPr="00C424FA" w:rsidRDefault="00C424FA" w:rsidP="00C424FA">
      <w:pPr>
        <w:spacing w:after="166"/>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r w:rsidRPr="00C424FA">
        <w:rPr>
          <w:rFonts w:ascii="Times New Roman" w:eastAsia="Times New Roman" w:hAnsi="Times New Roman" w:cs="Times New Roman"/>
          <w:color w:val="000000"/>
          <w:sz w:val="24"/>
          <w:szCs w:val="24"/>
          <w:lang w:eastAsia="en-GB"/>
        </w:rPr>
        <w:tab/>
        <w:t xml:space="preserve"> </w:t>
      </w:r>
    </w:p>
    <w:p w14:paraId="456227AA"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61986CC3"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2F916409"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77B77606" w14:textId="77777777" w:rsidR="00C424FA" w:rsidRPr="00C424FA" w:rsidRDefault="00C424FA" w:rsidP="00C424FA">
      <w:pPr>
        <w:spacing w:after="164"/>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5437AC54"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76DAFEEF"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4A7310A8"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3B52E45C"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760F6367" w14:textId="77777777" w:rsidR="00C424FA" w:rsidRPr="00C424FA" w:rsidRDefault="00C424FA" w:rsidP="00C424FA">
      <w:pPr>
        <w:spacing w:after="164"/>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47655948"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161F0A88" w14:textId="77777777" w:rsidR="00C424FA" w:rsidRPr="00C424FA" w:rsidRDefault="00C424FA" w:rsidP="00C424FA">
      <w:pPr>
        <w:spacing w:after="158"/>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3FE3C20C"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1F981A82" w14:textId="77777777" w:rsidR="00C424FA" w:rsidRPr="00C424FA" w:rsidRDefault="00C424FA" w:rsidP="00C424FA">
      <w:pPr>
        <w:spacing w:after="164"/>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293DA008"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3C310C3A"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40AEE530" w14:textId="77777777" w:rsidR="00C424FA" w:rsidRPr="00C424FA" w:rsidRDefault="00C424FA" w:rsidP="00C424FA">
      <w:pPr>
        <w:spacing w:after="159"/>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109B2D4B" w14:textId="77777777" w:rsidR="00C424FA" w:rsidRPr="00C424FA" w:rsidRDefault="00C424FA" w:rsidP="00C424FA">
      <w:pPr>
        <w:spacing w:after="164"/>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lastRenderedPageBreak/>
        <w:t xml:space="preserve"> </w:t>
      </w:r>
    </w:p>
    <w:p w14:paraId="2C255B55" w14:textId="77777777" w:rsidR="00C424FA" w:rsidRPr="00C424FA" w:rsidRDefault="00C424FA" w:rsidP="00C424FA">
      <w:pPr>
        <w:spacing w:after="0"/>
        <w:rPr>
          <w:rFonts w:ascii="Times New Roman" w:eastAsia="Times New Roman" w:hAnsi="Times New Roman" w:cs="Times New Roman"/>
          <w:color w:val="222222"/>
          <w:sz w:val="24"/>
          <w:szCs w:val="24"/>
          <w:lang w:eastAsia="en-GB"/>
        </w:rPr>
      </w:pPr>
      <w:r w:rsidRPr="00C424FA">
        <w:rPr>
          <w:rFonts w:ascii="Calibri" w:eastAsia="Calibri" w:hAnsi="Calibri" w:cs="Calibri"/>
          <w:color w:val="000000"/>
          <w:sz w:val="24"/>
          <w:szCs w:val="24"/>
          <w:lang w:eastAsia="en-GB"/>
        </w:rPr>
        <w:t xml:space="preserve"> </w:t>
      </w:r>
    </w:p>
    <w:p w14:paraId="5F33386F" w14:textId="4E7B767B" w:rsidR="00C424FA" w:rsidRPr="00FB0EF5" w:rsidRDefault="00C424FA" w:rsidP="00FB0EF5">
      <w:pPr>
        <w:pStyle w:val="Heading1"/>
        <w:rPr>
          <w:rFonts w:eastAsia="Times New Roman"/>
          <w:u w:color="000000"/>
          <w:lang w:eastAsia="en-GB"/>
        </w:rPr>
      </w:pPr>
      <w:bookmarkStart w:id="0" w:name="_Toc236997878"/>
      <w:r w:rsidRPr="00C424FA">
        <w:rPr>
          <w:rFonts w:eastAsia="Times New Roman"/>
          <w:u w:color="000000"/>
          <w:lang w:eastAsia="en-GB"/>
        </w:rPr>
        <w:t>Introduction</w:t>
      </w:r>
      <w:bookmarkEnd w:id="0"/>
      <w:r w:rsidRPr="00C424FA">
        <w:rPr>
          <w:rFonts w:eastAsia="Times New Roman"/>
          <w:sz w:val="28"/>
          <w:u w:color="000000"/>
          <w:lang w:eastAsia="en-GB"/>
        </w:rPr>
        <w:t xml:space="preserve"> </w:t>
      </w:r>
    </w:p>
    <w:p w14:paraId="4B08D3DD" w14:textId="77777777" w:rsidR="00C424FA" w:rsidRPr="001B3700" w:rsidRDefault="00C424FA" w:rsidP="00B01863">
      <w:pPr>
        <w:spacing w:after="149" w:line="360" w:lineRule="auto"/>
        <w:ind w:left="-5" w:right="1090" w:hanging="10"/>
        <w:jc w:val="both"/>
        <w:rPr>
          <w:rFonts w:ascii="Arial" w:eastAsia="Times New Roman" w:hAnsi="Arial" w:cs="Arial"/>
          <w:color w:val="222222"/>
          <w:lang w:eastAsia="en-GB"/>
        </w:rPr>
      </w:pPr>
      <w:r w:rsidRPr="001B3700">
        <w:rPr>
          <w:rFonts w:ascii="Arial" w:eastAsia="Times New Roman" w:hAnsi="Arial" w:cs="Arial"/>
          <w:color w:val="222222"/>
          <w:lang w:eastAsia="en-GB"/>
        </w:rPr>
        <w:t xml:space="preserve">In the contemporary UK health and social care sector, delivering high-quality, safe, and effective service relies on a robust framework of core guiding principles. This assignment explores the vital intersection of three foundational pillars within British care practice: person-centred care, partnership working, and ethical frameworks. As service demands evolve and become more complex, health and social care professionals must move away from traditional, paternalistic models of care toward holistic approaches that actively empower individuals. </w:t>
      </w:r>
    </w:p>
    <w:p w14:paraId="2CB4A173" w14:textId="77777777" w:rsidR="00C424FA" w:rsidRPr="001B3700" w:rsidRDefault="00C424FA" w:rsidP="00B01863">
      <w:pPr>
        <w:spacing w:after="149" w:line="360" w:lineRule="auto"/>
        <w:ind w:left="-5" w:right="1090" w:hanging="10"/>
        <w:jc w:val="both"/>
        <w:rPr>
          <w:rFonts w:ascii="Arial" w:eastAsia="Times New Roman" w:hAnsi="Arial" w:cs="Arial"/>
          <w:color w:val="222222"/>
          <w:lang w:eastAsia="en-GB"/>
        </w:rPr>
      </w:pPr>
      <w:r w:rsidRPr="001B3700">
        <w:rPr>
          <w:rFonts w:ascii="Arial" w:eastAsia="Times New Roman" w:hAnsi="Arial" w:cs="Arial"/>
          <w:color w:val="222222"/>
          <w:lang w:eastAsia="en-GB"/>
        </w:rPr>
        <w:t xml:space="preserve">Person-centred care ensures that service users remain at the very heart of all decision-making processes, respecting their autonomy, unique values, and personal choices. However, achieving truly holistic care cannot happen in isolation; it requires seamless partnership working. This involves collaborative practice across multi-disciplinary teams, diverse agencies, and directly with service users and their families to achieve integrated outcomes. Guiding both principles are rigid ethical frameworks and professional codes of conduct, which provide practitioners with the necessary tools to navigate complex moral dilemmas, safeguard vulnerable populations, and ensure justice and equity in service delivery. </w:t>
      </w:r>
    </w:p>
    <w:p w14:paraId="28A27C4A" w14:textId="77777777" w:rsidR="00C424FA" w:rsidRPr="001B3700" w:rsidRDefault="00C424FA" w:rsidP="00B01863">
      <w:pPr>
        <w:spacing w:after="154" w:line="360" w:lineRule="auto"/>
        <w:ind w:left="-5" w:right="1090" w:hanging="10"/>
        <w:jc w:val="both"/>
        <w:rPr>
          <w:rFonts w:ascii="Arial" w:eastAsia="Times New Roman" w:hAnsi="Arial" w:cs="Arial"/>
          <w:color w:val="222222"/>
          <w:lang w:eastAsia="en-GB"/>
        </w:rPr>
      </w:pPr>
      <w:r w:rsidRPr="001B3700">
        <w:rPr>
          <w:rFonts w:ascii="Arial" w:eastAsia="Times New Roman" w:hAnsi="Arial" w:cs="Arial"/>
          <w:color w:val="222222"/>
          <w:lang w:eastAsia="en-GB"/>
        </w:rPr>
        <w:t xml:space="preserve">The purpose of this assignment is to critically reflect on these three core principles within the specific context of UK health and social care practice. By examining how person-centred care, partnership working, and ethics manifest in daily operations, this paper will analyse their practical application, identify systemic challenges, and discuss their collective impact on improving service user outcomes. </w:t>
      </w:r>
    </w:p>
    <w:p w14:paraId="7C86EF9B"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5FA30D82"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0D4A2C57"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7193BF99"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4C2A410D"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0C0E5BEE"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1DE96286"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1D7576D7"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55086B5A" w14:textId="36375CE5" w:rsidR="00C424FA" w:rsidRPr="00C424FA" w:rsidRDefault="00C424FA" w:rsidP="00FB0EF5">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 w:val="24"/>
          <w:szCs w:val="24"/>
          <w:lang w:eastAsia="en-GB"/>
        </w:rPr>
        <w:t xml:space="preserve"> </w:t>
      </w:r>
    </w:p>
    <w:p w14:paraId="3F0B500F" w14:textId="77777777" w:rsidR="00C424FA" w:rsidRPr="00C424FA" w:rsidRDefault="00C424FA" w:rsidP="00CD5D61">
      <w:pPr>
        <w:pStyle w:val="Heading1"/>
        <w:rPr>
          <w:rFonts w:ascii="Times New Roman" w:eastAsia="Times New Roman" w:hAnsi="Times New Roman" w:cs="Times New Roman"/>
          <w:b/>
          <w:color w:val="000000"/>
          <w:sz w:val="28"/>
          <w:szCs w:val="24"/>
          <w:u w:val="single" w:color="000000"/>
          <w:lang w:eastAsia="en-GB"/>
        </w:rPr>
      </w:pPr>
      <w:bookmarkStart w:id="1" w:name="_Toc236997879"/>
      <w:r w:rsidRPr="00CD5D61">
        <w:lastRenderedPageBreak/>
        <w:t>Reflection on the Importance of Principles of Health and Social Care</w:t>
      </w:r>
      <w:bookmarkEnd w:id="1"/>
      <w:r w:rsidRPr="00C424FA">
        <w:rPr>
          <w:rFonts w:ascii="Times New Roman" w:eastAsia="Times New Roman" w:hAnsi="Times New Roman" w:cs="Times New Roman"/>
          <w:b/>
          <w:color w:val="000000"/>
          <w:sz w:val="28"/>
          <w:szCs w:val="24"/>
          <w:u w:color="000000"/>
          <w:lang w:eastAsia="en-GB"/>
        </w:rPr>
        <w:t xml:space="preserve"> </w:t>
      </w:r>
    </w:p>
    <w:p w14:paraId="300B2CA9" w14:textId="5D4538D3" w:rsidR="00C424FA" w:rsidRPr="00B01863" w:rsidRDefault="00C424FA" w:rsidP="00B01863">
      <w:pPr>
        <w:spacing w:after="159" w:line="360" w:lineRule="auto"/>
        <w:ind w:left="-5" w:right="1035" w:hanging="10"/>
        <w:jc w:val="both"/>
        <w:rPr>
          <w:rFonts w:ascii="Arial" w:eastAsia="Times New Roman" w:hAnsi="Arial" w:cs="Arial"/>
          <w:color w:val="222222"/>
          <w:lang w:eastAsia="en-GB"/>
        </w:rPr>
      </w:pPr>
      <w:r w:rsidRPr="00B01863">
        <w:rPr>
          <w:rFonts w:ascii="Arial" w:eastAsia="Times New Roman" w:hAnsi="Arial" w:cs="Arial"/>
          <w:color w:val="000000"/>
          <w:lang w:eastAsia="en-GB"/>
        </w:rPr>
        <w:t xml:space="preserve">Person </w:t>
      </w:r>
      <w:r w:rsidR="00B01863" w:rsidRPr="00B01863">
        <w:rPr>
          <w:rFonts w:ascii="Arial" w:eastAsia="Times New Roman" w:hAnsi="Arial" w:cs="Arial"/>
          <w:color w:val="000000"/>
          <w:lang w:eastAsia="en-GB"/>
        </w:rPr>
        <w:t>centred</w:t>
      </w:r>
      <w:r w:rsidRPr="00B01863">
        <w:rPr>
          <w:rFonts w:ascii="Arial" w:eastAsia="Times New Roman" w:hAnsi="Arial" w:cs="Arial"/>
          <w:color w:val="000000"/>
          <w:lang w:eastAsia="en-GB"/>
        </w:rPr>
        <w:t xml:space="preserve"> care is very important to Health and Social Care as the carers has a moral and ethical responsibility towards each patient, which is treat them with dignity, care, and respect whilst upholding the patients’ values for a cohesive outcome. </w:t>
      </w:r>
    </w:p>
    <w:p w14:paraId="37BD27BC" w14:textId="77777777" w:rsidR="00C424FA" w:rsidRPr="00B01863" w:rsidRDefault="00C424FA" w:rsidP="00B01863">
      <w:pPr>
        <w:spacing w:after="159" w:line="360" w:lineRule="auto"/>
        <w:ind w:left="-5" w:right="1035" w:hanging="10"/>
        <w:jc w:val="both"/>
        <w:rPr>
          <w:rFonts w:ascii="Arial" w:eastAsia="Times New Roman" w:hAnsi="Arial" w:cs="Arial"/>
          <w:color w:val="222222"/>
          <w:lang w:eastAsia="en-GB"/>
        </w:rPr>
      </w:pPr>
      <w:r w:rsidRPr="00B01863">
        <w:rPr>
          <w:rFonts w:ascii="Arial" w:eastAsia="Times New Roman" w:hAnsi="Arial" w:cs="Arial"/>
          <w:color w:val="000000"/>
          <w:lang w:eastAsia="en-GB"/>
        </w:rPr>
        <w:t xml:space="preserve">All carers have a responsibility of duty of care to deliver exceptional services to patient in the Health and Care sector within the United Kingdom as the basic concept and principles are built on partnership and ethical practices which forms the foundation for maintaining clinical safety, protecting the patients’ dignity and to achieve positive outcomes within the National Health Service. </w:t>
      </w:r>
    </w:p>
    <w:p w14:paraId="6EAA370D" w14:textId="11EDD430" w:rsidR="00C424FA" w:rsidRPr="00B01863" w:rsidRDefault="00C424FA" w:rsidP="00B01863">
      <w:pPr>
        <w:spacing w:after="159" w:line="360" w:lineRule="auto"/>
        <w:ind w:left="-5" w:right="1035" w:hanging="10"/>
        <w:jc w:val="both"/>
        <w:rPr>
          <w:rFonts w:ascii="Arial" w:eastAsia="Times New Roman" w:hAnsi="Arial" w:cs="Arial"/>
          <w:color w:val="222222"/>
          <w:lang w:eastAsia="en-GB"/>
        </w:rPr>
      </w:pPr>
      <w:r w:rsidRPr="00B01863">
        <w:rPr>
          <w:rFonts w:ascii="Arial" w:eastAsia="Times New Roman" w:hAnsi="Arial" w:cs="Arial"/>
          <w:color w:val="000000"/>
          <w:lang w:eastAsia="en-GB"/>
        </w:rPr>
        <w:t xml:space="preserve">There are two statutory charters - National Health Service constitution and the Care Act, that clearly outlines the legislative approaches and guidelines that governs all care workers and practitioners within the Health and Social Care services. These regulatory requirements give strict directives on the principled approaches to person </w:t>
      </w:r>
      <w:r w:rsidR="00AF07EE" w:rsidRPr="00B01863">
        <w:rPr>
          <w:rFonts w:ascii="Arial" w:eastAsia="Times New Roman" w:hAnsi="Arial" w:cs="Arial"/>
          <w:color w:val="000000"/>
          <w:lang w:eastAsia="en-GB"/>
        </w:rPr>
        <w:t>centred</w:t>
      </w:r>
      <w:r w:rsidRPr="00B01863">
        <w:rPr>
          <w:rFonts w:ascii="Arial" w:eastAsia="Times New Roman" w:hAnsi="Arial" w:cs="Arial"/>
          <w:color w:val="000000"/>
          <w:lang w:eastAsia="en-GB"/>
        </w:rPr>
        <w:t xml:space="preserve"> practices and care service delivery; hence the reason why it is important for carers and social care practitioners to understand the patient’s personal identity, their specific need and choices in order to better able to bridge the gap between the regulatory framework and excellent service delivery. </w:t>
      </w:r>
    </w:p>
    <w:p w14:paraId="130EF32C" w14:textId="06C8BAB6" w:rsidR="00C424FA" w:rsidRPr="00B01863" w:rsidRDefault="00C424FA" w:rsidP="00B01863">
      <w:pPr>
        <w:spacing w:after="159" w:line="360" w:lineRule="auto"/>
        <w:ind w:left="-5" w:right="1035" w:hanging="10"/>
        <w:jc w:val="both"/>
        <w:rPr>
          <w:rFonts w:ascii="Arial" w:eastAsia="Times New Roman" w:hAnsi="Arial" w:cs="Arial"/>
          <w:color w:val="222222"/>
          <w:lang w:eastAsia="en-GB"/>
        </w:rPr>
      </w:pPr>
      <w:r w:rsidRPr="00B01863">
        <w:rPr>
          <w:rFonts w:ascii="Arial" w:eastAsia="Times New Roman" w:hAnsi="Arial" w:cs="Arial"/>
          <w:color w:val="000000"/>
          <w:lang w:eastAsia="en-GB"/>
        </w:rPr>
        <w:t xml:space="preserve">Tom Kitwood’s model of parenthood explains that </w:t>
      </w:r>
      <w:r w:rsidR="004F7492" w:rsidRPr="00B01863">
        <w:rPr>
          <w:rFonts w:ascii="Arial" w:eastAsia="Times New Roman" w:hAnsi="Arial" w:cs="Arial"/>
          <w:color w:val="000000"/>
          <w:lang w:eastAsia="en-GB"/>
        </w:rPr>
        <w:t>keeping</w:t>
      </w:r>
      <w:r w:rsidRPr="00B01863">
        <w:rPr>
          <w:rFonts w:ascii="Arial" w:eastAsia="Times New Roman" w:hAnsi="Arial" w:cs="Arial"/>
          <w:color w:val="000000"/>
          <w:lang w:eastAsia="en-GB"/>
        </w:rPr>
        <w:t xml:space="preserve"> a person’s psychological wellbeing, social inclusion and comfort is just as important as addressing their respective physical illness and condition. In support of this model, Carl Rogers’ humanistic theory point out the importance of empathy, treating the patient with respect, having a positive attitude, views and outlook when talking and caring for the patient can ultimately improve the quality of care for the patient, increase their independence and eventually foster a beneficial environment for both to the patient and carer. </w:t>
      </w:r>
    </w:p>
    <w:p w14:paraId="3F93A5CB" w14:textId="77777777" w:rsidR="00C424FA" w:rsidRPr="00B01863" w:rsidRDefault="00C424FA" w:rsidP="00B01863">
      <w:pPr>
        <w:spacing w:after="159" w:line="360" w:lineRule="auto"/>
        <w:ind w:left="-5" w:right="1035" w:hanging="10"/>
        <w:jc w:val="both"/>
        <w:rPr>
          <w:rFonts w:ascii="Arial" w:eastAsia="Times New Roman" w:hAnsi="Arial" w:cs="Arial"/>
          <w:color w:val="222222"/>
          <w:lang w:eastAsia="en-GB"/>
        </w:rPr>
      </w:pPr>
      <w:r w:rsidRPr="00B01863">
        <w:rPr>
          <w:rFonts w:ascii="Arial" w:eastAsia="Times New Roman" w:hAnsi="Arial" w:cs="Arial"/>
          <w:color w:val="000000"/>
          <w:lang w:eastAsia="en-GB"/>
        </w:rPr>
        <w:t xml:space="preserve">This British Health and Social Care system relies heavily on partnership from multi-agency in different sectors of health and social care to collaborate for the success of a transformational and excellent service delivery for the patient. Sectors such as local social services, primary medical care, occupational therapists and therapy and many times family as caregivers work together to mitigate risks to patient safety and to derive positive outcomes.  </w:t>
      </w:r>
    </w:p>
    <w:p w14:paraId="1E4C292D" w14:textId="4B079D5F" w:rsidR="00C424FA" w:rsidRPr="00AF07EE" w:rsidRDefault="00C424FA" w:rsidP="00AF07EE">
      <w:pPr>
        <w:spacing w:after="159" w:line="360" w:lineRule="auto"/>
        <w:ind w:left="-5" w:right="1035" w:hanging="10"/>
        <w:jc w:val="both"/>
        <w:rPr>
          <w:rFonts w:ascii="Arial" w:eastAsia="Times New Roman" w:hAnsi="Arial" w:cs="Arial"/>
          <w:color w:val="222222"/>
          <w:lang w:eastAsia="en-GB"/>
        </w:rPr>
      </w:pPr>
      <w:r w:rsidRPr="00AF07EE">
        <w:rPr>
          <w:rFonts w:ascii="Arial" w:eastAsia="Times New Roman" w:hAnsi="Arial" w:cs="Arial"/>
          <w:color w:val="000000"/>
          <w:lang w:eastAsia="en-GB"/>
        </w:rPr>
        <w:t xml:space="preserve">Tuckman’s stages of group development </w:t>
      </w:r>
      <w:r w:rsidR="004F7492" w:rsidRPr="00AF07EE">
        <w:rPr>
          <w:rFonts w:ascii="Arial" w:eastAsia="Times New Roman" w:hAnsi="Arial" w:cs="Arial"/>
          <w:color w:val="000000"/>
          <w:lang w:eastAsia="en-GB"/>
        </w:rPr>
        <w:t>prove</w:t>
      </w:r>
      <w:r w:rsidRPr="00AF07EE">
        <w:rPr>
          <w:rFonts w:ascii="Arial" w:eastAsia="Times New Roman" w:hAnsi="Arial" w:cs="Arial"/>
          <w:color w:val="000000"/>
          <w:lang w:eastAsia="en-GB"/>
        </w:rPr>
        <w:t xml:space="preserve"> how teamwork in multi-disciplinary sector through effective communication, unified recording systems, directly satisfying the Care Quality Commission standards especially in safety, will result in the high performance. In addition, when complex clinical situations arise, it is the practitioner’s professional duty to protect the patient right in respect to the service or treatment the patient want to be </w:t>
      </w:r>
      <w:r w:rsidRPr="00AF07EE">
        <w:rPr>
          <w:rFonts w:ascii="Arial" w:eastAsia="Times New Roman" w:hAnsi="Arial" w:cs="Arial"/>
          <w:color w:val="000000"/>
          <w:lang w:eastAsia="en-GB"/>
        </w:rPr>
        <w:lastRenderedPageBreak/>
        <w:t xml:space="preserve">administered. Many times, personalization and collaboration are necessary derive at a reasonable and ethical decision </w:t>
      </w:r>
      <w:r w:rsidR="002E0D6B" w:rsidRPr="00AF07EE">
        <w:rPr>
          <w:rFonts w:ascii="Arial" w:eastAsia="Times New Roman" w:hAnsi="Arial" w:cs="Arial"/>
          <w:color w:val="000000"/>
          <w:lang w:eastAsia="en-GB"/>
        </w:rPr>
        <w:t>about</w:t>
      </w:r>
      <w:r w:rsidRPr="00AF07EE">
        <w:rPr>
          <w:rFonts w:ascii="Arial" w:eastAsia="Times New Roman" w:hAnsi="Arial" w:cs="Arial"/>
          <w:color w:val="000000"/>
          <w:lang w:eastAsia="en-GB"/>
        </w:rPr>
        <w:t xml:space="preserve"> the patient as the carer tries to manage their professional duty and the patient’s expressed desire to choose without causing conflicts</w:t>
      </w:r>
      <w:r w:rsidR="002E0D6B" w:rsidRPr="00AF07EE">
        <w:rPr>
          <w:rFonts w:ascii="Arial" w:eastAsia="Times New Roman" w:hAnsi="Arial" w:cs="Arial"/>
          <w:color w:val="000000"/>
          <w:lang w:eastAsia="en-GB"/>
        </w:rPr>
        <w:t xml:space="preserve">. </w:t>
      </w:r>
      <w:r w:rsidRPr="00AF07EE">
        <w:rPr>
          <w:rFonts w:ascii="Arial" w:eastAsia="Times New Roman" w:hAnsi="Arial" w:cs="Arial"/>
          <w:color w:val="000000"/>
          <w:lang w:eastAsia="en-GB"/>
        </w:rPr>
        <w:t xml:space="preserve"> </w:t>
      </w:r>
    </w:p>
    <w:p w14:paraId="40A1076B" w14:textId="79A18E63" w:rsidR="00C424FA" w:rsidRPr="00FB0EF5" w:rsidRDefault="00C424FA" w:rsidP="00FB0EF5">
      <w:pPr>
        <w:spacing w:after="164"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To manage these tensions without falling into restrictive paternalism, practitioners </w:t>
      </w:r>
      <w:r w:rsidR="002E0D6B" w:rsidRPr="00AF07EE">
        <w:rPr>
          <w:rFonts w:ascii="Arial" w:eastAsia="Times New Roman" w:hAnsi="Arial" w:cs="Arial"/>
          <w:color w:val="222222"/>
          <w:lang w:eastAsia="en-GB"/>
        </w:rPr>
        <w:t>use</w:t>
      </w:r>
      <w:r w:rsidRPr="00AF07EE">
        <w:rPr>
          <w:rFonts w:ascii="Arial" w:eastAsia="Times New Roman" w:hAnsi="Arial" w:cs="Arial"/>
          <w:color w:val="222222"/>
          <w:lang w:eastAsia="en-GB"/>
        </w:rPr>
        <w:t xml:space="preserve"> Beauchamp and Childress’s four principles of biomedical ethics, carefully balancing autonomy, beneficence, non-maleficence, and justice. This delicate balancing act is legally reinforced by the Mental Capacity Act, which dictates that any protective intervention must represent the least restrictive option possible; therefore, integrating these ethical frameworks with collaborative partnerships forms a deep commitment to personalization where healthcare professionals can confidently deliver safe, legal, and high-quality care that honour their patient with human dignity.</w:t>
      </w:r>
      <w:r w:rsidRPr="00AF07EE">
        <w:rPr>
          <w:rFonts w:ascii="Arial" w:eastAsia="Times New Roman" w:hAnsi="Arial" w:cs="Arial"/>
          <w:color w:val="000000"/>
          <w:lang w:eastAsia="en-GB"/>
        </w:rPr>
        <w:t xml:space="preserve"> </w:t>
      </w:r>
    </w:p>
    <w:p w14:paraId="7CA65821" w14:textId="77777777" w:rsidR="00C424FA" w:rsidRPr="00C424FA" w:rsidRDefault="00C424FA" w:rsidP="003E7056">
      <w:pPr>
        <w:pStyle w:val="Heading1"/>
        <w:rPr>
          <w:rFonts w:ascii="Times New Roman" w:eastAsia="Times New Roman" w:hAnsi="Times New Roman" w:cs="Times New Roman"/>
          <w:b/>
          <w:color w:val="000000"/>
          <w:sz w:val="28"/>
          <w:szCs w:val="24"/>
          <w:u w:val="single" w:color="000000"/>
          <w:lang w:eastAsia="en-GB"/>
        </w:rPr>
      </w:pPr>
      <w:bookmarkStart w:id="2" w:name="_Toc236997880"/>
      <w:r w:rsidRPr="003E7056">
        <w:t>Practical Example of Concepts in Practice</w:t>
      </w:r>
      <w:bookmarkEnd w:id="2"/>
      <w:r w:rsidRPr="00C424FA">
        <w:rPr>
          <w:rFonts w:ascii="Times New Roman" w:eastAsia="Times New Roman" w:hAnsi="Times New Roman" w:cs="Times New Roman"/>
          <w:b/>
          <w:color w:val="000000"/>
          <w:sz w:val="28"/>
          <w:szCs w:val="24"/>
          <w:u w:color="000000"/>
          <w:lang w:eastAsia="en-GB"/>
        </w:rPr>
        <w:t xml:space="preserve"> </w:t>
      </w:r>
    </w:p>
    <w:p w14:paraId="148FD60A" w14:textId="77777777" w:rsidR="00C424FA" w:rsidRPr="00AF07EE" w:rsidRDefault="00C424FA" w:rsidP="00AF07EE">
      <w:pPr>
        <w:spacing w:after="166"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000000"/>
          <w:lang w:eastAsia="en-GB"/>
        </w:rPr>
        <w:t>According</w:t>
      </w:r>
      <w:r w:rsidRPr="00AF07EE">
        <w:rPr>
          <w:rFonts w:ascii="Arial" w:eastAsia="Times New Roman" w:hAnsi="Arial" w:cs="Arial"/>
          <w:b/>
          <w:color w:val="000000"/>
          <w:lang w:eastAsia="en-GB"/>
        </w:rPr>
        <w:t xml:space="preserve"> </w:t>
      </w:r>
      <w:r w:rsidRPr="00AF07EE">
        <w:rPr>
          <w:rFonts w:ascii="Arial" w:eastAsia="Times New Roman" w:hAnsi="Arial" w:cs="Arial"/>
          <w:color w:val="000000"/>
          <w:lang w:eastAsia="en-GB"/>
        </w:rPr>
        <w:t>to</w:t>
      </w:r>
      <w:r w:rsidRPr="00AF07EE">
        <w:rPr>
          <w:rFonts w:ascii="Arial" w:eastAsia="Times New Roman" w:hAnsi="Arial" w:cs="Arial"/>
          <w:b/>
          <w:color w:val="000000"/>
          <w:lang w:eastAsia="en-GB"/>
        </w:rPr>
        <w:t xml:space="preserve"> ‘</w:t>
      </w:r>
      <w:r w:rsidRPr="00AF07EE">
        <w:rPr>
          <w:rFonts w:ascii="Arial" w:eastAsia="Times New Roman" w:hAnsi="Arial" w:cs="Arial"/>
          <w:color w:val="222222"/>
          <w:lang w:eastAsia="en-GB"/>
        </w:rPr>
        <w:t xml:space="preserve">Introduction and Case Context in UK health and social care” (2004), integrating core principles is critical in the delivery high-quality social and health care for a successful outcome. This is illustrated in the discharge planning of "Margaret," an 83-yearold hospital inpatient who is recovering from a stroke and lives with mild cognitive impairment and wishes to return home rather than enter residential care.  </w:t>
      </w:r>
    </w:p>
    <w:p w14:paraId="6D12EE69" w14:textId="3B0DEB41" w:rsidR="00C424FA" w:rsidRPr="00AF07EE" w:rsidRDefault="00C424FA" w:rsidP="00AF07EE">
      <w:pPr>
        <w:spacing w:after="171"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In applying the principle of Person-Centred Care, the carer/practitioners centre the discharge plan based on Margaret’s explicit wish to </w:t>
      </w:r>
      <w:r w:rsidR="00E2405F" w:rsidRPr="00AF07EE">
        <w:rPr>
          <w:rFonts w:ascii="Arial" w:eastAsia="Times New Roman" w:hAnsi="Arial" w:cs="Arial"/>
          <w:color w:val="222222"/>
          <w:lang w:eastAsia="en-GB"/>
        </w:rPr>
        <w:t>support</w:t>
      </w:r>
      <w:r w:rsidRPr="00AF07EE">
        <w:rPr>
          <w:rFonts w:ascii="Arial" w:eastAsia="Times New Roman" w:hAnsi="Arial" w:cs="Arial"/>
          <w:color w:val="222222"/>
          <w:lang w:eastAsia="en-GB"/>
        </w:rPr>
        <w:t xml:space="preserve"> her independence at home. Therefore, the assessments that is done in her hospital room is done at her own pace whilst </w:t>
      </w:r>
      <w:r w:rsidR="00E2405F" w:rsidRPr="00AF07EE">
        <w:rPr>
          <w:rFonts w:ascii="Arial" w:eastAsia="Times New Roman" w:hAnsi="Arial" w:cs="Arial"/>
          <w:color w:val="222222"/>
          <w:lang w:eastAsia="en-GB"/>
        </w:rPr>
        <w:t>using</w:t>
      </w:r>
      <w:r w:rsidRPr="00AF07EE">
        <w:rPr>
          <w:rFonts w:ascii="Arial" w:eastAsia="Times New Roman" w:hAnsi="Arial" w:cs="Arial"/>
          <w:color w:val="222222"/>
          <w:lang w:eastAsia="en-GB"/>
        </w:rPr>
        <w:t xml:space="preserve"> communication aids to counter her mild aphasia. Her personal routines, values, and safety preferences will directly inform her domiciliary care package which will adhere to the personalization mandates of the Care Act 2014. </w:t>
      </w:r>
    </w:p>
    <w:p w14:paraId="0A511581" w14:textId="77777777" w:rsidR="00C424FA" w:rsidRPr="00AF07EE" w:rsidRDefault="00C424FA" w:rsidP="00AF07EE">
      <w:pPr>
        <w:spacing w:after="166"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The partnership will be through a joint Multi-Disciplinary Team (MDT) approached in collaboration with the hospital discharge nurse, a community social worker, an occupational therapist (OT), I addition to Margaret’s daughter shared critical insights via a shared integrated electronic record system. The OT will assess her home environment for grab rails, while the social worker coordinated a localized care agency, illustrating seamless multiagency integration under the Health and Social Care Act 2012. </w:t>
      </w:r>
    </w:p>
    <w:p w14:paraId="63B2A3F1" w14:textId="3D6AA10A" w:rsidR="00C424FA" w:rsidRPr="00AF07EE" w:rsidRDefault="00C424FA" w:rsidP="00AF07EE">
      <w:pPr>
        <w:spacing w:after="171"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The Ethical practice will be </w:t>
      </w:r>
      <w:r w:rsidR="00AF32E6" w:rsidRPr="00AF07EE">
        <w:rPr>
          <w:rFonts w:ascii="Arial" w:eastAsia="Times New Roman" w:hAnsi="Arial" w:cs="Arial"/>
          <w:color w:val="222222"/>
          <w:lang w:eastAsia="en-GB"/>
        </w:rPr>
        <w:t>shown</w:t>
      </w:r>
      <w:r w:rsidRPr="00AF07EE">
        <w:rPr>
          <w:rFonts w:ascii="Arial" w:eastAsia="Times New Roman" w:hAnsi="Arial" w:cs="Arial"/>
          <w:color w:val="222222"/>
          <w:lang w:eastAsia="en-GB"/>
        </w:rPr>
        <w:t xml:space="preserve"> in balancing Margaret's right to choose her living environment against beneficence and non-maleficence. A risk assessment will be conducted, and monitoring mechanisms put in place such as daily care visits to prevent the risk of Margaret falling at home. In addition, sensory mats will be installed for her comfort. In applying </w:t>
      </w:r>
      <w:r w:rsidRPr="00AF07EE">
        <w:rPr>
          <w:rFonts w:ascii="Arial" w:eastAsia="Times New Roman" w:hAnsi="Arial" w:cs="Arial"/>
          <w:color w:val="222222"/>
          <w:lang w:eastAsia="en-GB"/>
        </w:rPr>
        <w:lastRenderedPageBreak/>
        <w:t xml:space="preserve">the Beauchamp and Childress's biomedical ethics framework to Margaret’s case, we will see that the MDT will be beneficial to Margaret’s desire of being care for in her home as she will feel respected and not still have a sense of independence.  </w:t>
      </w:r>
    </w:p>
    <w:p w14:paraId="54A7A6A5" w14:textId="25FE963C" w:rsidR="00AF07EE" w:rsidRDefault="00C424FA" w:rsidP="003E7056">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The challenges that arose when Margaret’s daughter expressed severe anxiety regarding her mother’s safety in preferring her residential home rather than a care home was resolved by the team inviting the daughter into the MDT meeting, aligning with the Care Quality Commission (CQC) standards on involving families. In referencing the Mental Capacity Act 2005, the team </w:t>
      </w:r>
      <w:r w:rsidR="0091119C" w:rsidRPr="00AF07EE">
        <w:rPr>
          <w:rFonts w:ascii="Arial" w:eastAsia="Times New Roman" w:hAnsi="Arial" w:cs="Arial"/>
          <w:color w:val="222222"/>
          <w:lang w:eastAsia="en-GB"/>
        </w:rPr>
        <w:t>showed</w:t>
      </w:r>
      <w:r w:rsidRPr="00AF07EE">
        <w:rPr>
          <w:rFonts w:ascii="Arial" w:eastAsia="Times New Roman" w:hAnsi="Arial" w:cs="Arial"/>
          <w:color w:val="222222"/>
          <w:lang w:eastAsia="en-GB"/>
        </w:rPr>
        <w:t xml:space="preserve"> that Margaret </w:t>
      </w:r>
      <w:r w:rsidR="00477F01" w:rsidRPr="00AF07EE">
        <w:rPr>
          <w:rFonts w:ascii="Arial" w:eastAsia="Times New Roman" w:hAnsi="Arial" w:cs="Arial"/>
          <w:color w:val="222222"/>
          <w:lang w:eastAsia="en-GB"/>
        </w:rPr>
        <w:t>kept</w:t>
      </w:r>
      <w:r w:rsidRPr="00AF07EE">
        <w:rPr>
          <w:rFonts w:ascii="Arial" w:eastAsia="Times New Roman" w:hAnsi="Arial" w:cs="Arial"/>
          <w:color w:val="222222"/>
          <w:lang w:eastAsia="en-GB"/>
        </w:rPr>
        <w:t xml:space="preserve"> capacity to make decisions </w:t>
      </w:r>
      <w:r w:rsidR="000F0587" w:rsidRPr="00AF07EE">
        <w:rPr>
          <w:rFonts w:ascii="Arial" w:eastAsia="Times New Roman" w:hAnsi="Arial" w:cs="Arial"/>
          <w:color w:val="222222"/>
          <w:lang w:eastAsia="en-GB"/>
        </w:rPr>
        <w:t>about</w:t>
      </w:r>
      <w:r w:rsidRPr="00AF07EE">
        <w:rPr>
          <w:rFonts w:ascii="Arial" w:eastAsia="Times New Roman" w:hAnsi="Arial" w:cs="Arial"/>
          <w:color w:val="222222"/>
          <w:lang w:eastAsia="en-GB"/>
        </w:rPr>
        <w:t xml:space="preserve"> her residence, this </w:t>
      </w:r>
      <w:r w:rsidR="000220E5" w:rsidRPr="00AF07EE">
        <w:rPr>
          <w:rFonts w:ascii="Arial" w:eastAsia="Times New Roman" w:hAnsi="Arial" w:cs="Arial"/>
          <w:color w:val="222222"/>
          <w:lang w:eastAsia="en-GB"/>
        </w:rPr>
        <w:t>showed</w:t>
      </w:r>
      <w:r w:rsidRPr="00AF07EE">
        <w:rPr>
          <w:rFonts w:ascii="Arial" w:eastAsia="Times New Roman" w:hAnsi="Arial" w:cs="Arial"/>
          <w:color w:val="222222"/>
          <w:lang w:eastAsia="en-GB"/>
        </w:rPr>
        <w:t xml:space="preserve"> to her daughter that home-based care was both </w:t>
      </w:r>
      <w:r w:rsidR="00B07F8E" w:rsidRPr="00AF07EE">
        <w:rPr>
          <w:rFonts w:ascii="Arial" w:eastAsia="Times New Roman" w:hAnsi="Arial" w:cs="Arial"/>
          <w:color w:val="222222"/>
          <w:lang w:eastAsia="en-GB"/>
        </w:rPr>
        <w:t>practical</w:t>
      </w:r>
      <w:r w:rsidRPr="00AF07EE">
        <w:rPr>
          <w:rFonts w:ascii="Arial" w:eastAsia="Times New Roman" w:hAnsi="Arial" w:cs="Arial"/>
          <w:color w:val="222222"/>
          <w:lang w:eastAsia="en-GB"/>
        </w:rPr>
        <w:t xml:space="preserve"> and legally compliant. Thus, alleviating her concerns, </w:t>
      </w:r>
      <w:r w:rsidR="000F0587" w:rsidRPr="00AF07EE">
        <w:rPr>
          <w:rFonts w:ascii="Arial" w:eastAsia="Times New Roman" w:hAnsi="Arial" w:cs="Arial"/>
          <w:color w:val="222222"/>
          <w:lang w:eastAsia="en-GB"/>
        </w:rPr>
        <w:t>optimising</w:t>
      </w:r>
      <w:r w:rsidRPr="00AF07EE">
        <w:rPr>
          <w:rFonts w:ascii="Arial" w:eastAsia="Times New Roman" w:hAnsi="Arial" w:cs="Arial"/>
          <w:color w:val="222222"/>
          <w:lang w:eastAsia="en-GB"/>
        </w:rPr>
        <w:t xml:space="preserve"> Margaret's </w:t>
      </w:r>
      <w:r w:rsidR="000F0587" w:rsidRPr="00AF07EE">
        <w:rPr>
          <w:rFonts w:ascii="Arial" w:eastAsia="Times New Roman" w:hAnsi="Arial" w:cs="Arial"/>
          <w:color w:val="222222"/>
          <w:lang w:eastAsia="en-GB"/>
        </w:rPr>
        <w:t>transition,</w:t>
      </w:r>
      <w:r w:rsidRPr="00AF07EE">
        <w:rPr>
          <w:rFonts w:ascii="Arial" w:eastAsia="Times New Roman" w:hAnsi="Arial" w:cs="Arial"/>
          <w:color w:val="222222"/>
          <w:lang w:eastAsia="en-GB"/>
        </w:rPr>
        <w:t xml:space="preserve"> and well-being. </w:t>
      </w:r>
    </w:p>
    <w:p w14:paraId="44ED1F70" w14:textId="77777777" w:rsidR="00AF07EE" w:rsidRPr="00AF07EE" w:rsidRDefault="00AF07EE" w:rsidP="003E7056">
      <w:pPr>
        <w:pStyle w:val="Heading1"/>
        <w:rPr>
          <w:rFonts w:ascii="Times New Roman" w:eastAsia="Times New Roman" w:hAnsi="Times New Roman" w:cs="Times New Roman"/>
          <w:color w:val="222222"/>
          <w:sz w:val="24"/>
          <w:szCs w:val="24"/>
          <w:lang w:eastAsia="en-GB"/>
        </w:rPr>
      </w:pPr>
      <w:bookmarkStart w:id="3" w:name="_Toc236997881"/>
      <w:r w:rsidRPr="003E7056">
        <w:t>Self- Reflection as a Health and Social Care Professional</w:t>
      </w:r>
      <w:bookmarkEnd w:id="3"/>
      <w:r w:rsidRPr="00C424FA">
        <w:rPr>
          <w:rFonts w:ascii="Times New Roman" w:eastAsia="Times New Roman" w:hAnsi="Times New Roman" w:cs="Times New Roman"/>
          <w:b/>
          <w:color w:val="000000"/>
          <w:sz w:val="28"/>
          <w:szCs w:val="24"/>
          <w:u w:color="000000"/>
          <w:lang w:eastAsia="en-GB"/>
        </w:rPr>
        <w:t xml:space="preserve"> </w:t>
      </w:r>
    </w:p>
    <w:p w14:paraId="57DBD5A4" w14:textId="77777777" w:rsidR="00AF07EE" w:rsidRPr="00AF07EE" w:rsidRDefault="00AF07EE" w:rsidP="00AF07EE">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Being a healthcare professional carer within the Health and Social Care sector, requires continuous self-reflection as it is a foundational element as well as the cornerstone to professional growth and development. Self-evaluation enables a carer / practitioner to evaluate their daily experiences and make the necessary adjust to improve the quality of care they deliver (Nursing and Midwifery Council [NMC], 2020).  </w:t>
      </w:r>
    </w:p>
    <w:p w14:paraId="279FD922" w14:textId="513C83B9" w:rsidR="00AF07EE" w:rsidRPr="00AF07EE" w:rsidRDefault="00AF07EE" w:rsidP="00AF07EE">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As a health and social care professional operating within the United Kingdom, my practice is fundamentally guided by core ethical frameworks, legislative mandates, and national quality standards. This self-reflection explores how the core principles of person-centred care, partnership working, and professional ethics influence my day-to-day work activities. I analyse these concepts alongside relevant statutory frameworks such as the Care Act 2014 and the Health and Social Care Act 2012, by which I set the standard to critically evaluate my current skills, </w:t>
      </w:r>
      <w:r w:rsidR="009F05F6" w:rsidRPr="00AF07EE">
        <w:rPr>
          <w:rFonts w:ascii="Arial" w:eastAsia="Times New Roman" w:hAnsi="Arial" w:cs="Arial"/>
          <w:color w:val="222222"/>
          <w:lang w:eastAsia="en-GB"/>
        </w:rPr>
        <w:t>show</w:t>
      </w:r>
      <w:r w:rsidRPr="00AF07EE">
        <w:rPr>
          <w:rFonts w:ascii="Arial" w:eastAsia="Times New Roman" w:hAnsi="Arial" w:cs="Arial"/>
          <w:color w:val="222222"/>
          <w:lang w:eastAsia="en-GB"/>
        </w:rPr>
        <w:t xml:space="preserve"> my strengths and the areas needed for improvement. I then conceptualize a clear plan of action for future professional development in refence to Gibbs’ Reflective Cycle (Gibbs, 1988). </w:t>
      </w:r>
    </w:p>
    <w:p w14:paraId="3A59BE0D" w14:textId="77777777" w:rsidR="00AF07EE" w:rsidRPr="00AF07EE" w:rsidRDefault="00AF07EE" w:rsidP="00AF07EE">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Person-Centred Care shifts the focus of health and social care from a paternalistic model of </w:t>
      </w:r>
    </w:p>
    <w:p w14:paraId="1FDCC441" w14:textId="21BF65A1" w:rsidR="00AF07EE" w:rsidRPr="00AF07EE" w:rsidRDefault="00AF07EE" w:rsidP="00AF07EE">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"Doing to" an individual to a collaborative model of "working with" them (The Access Group, 2026). In my daily work activities, this means recognizing that every individual has unique values, preferences, life histories, and needs. This approach is legally underpinned by Section 1 of the Care Act 2014, which explicitly places the promotion of individual well-being at the heart of all care and support functions (</w:t>
      </w:r>
      <w:hyperlink r:id="rId10">
        <w:r w:rsidRPr="00AF07EE">
          <w:rPr>
            <w:rFonts w:ascii="Arial" w:eastAsia="Times New Roman" w:hAnsi="Arial" w:cs="Arial"/>
            <w:color w:val="1155CC"/>
            <w:u w:val="single" w:color="1155CC"/>
            <w:lang w:eastAsia="en-GB"/>
          </w:rPr>
          <w:t>GOV.UK</w:t>
        </w:r>
      </w:hyperlink>
      <w:hyperlink r:id="rId11">
        <w:r w:rsidRPr="00AF07EE">
          <w:rPr>
            <w:rFonts w:ascii="Arial" w:eastAsia="Times New Roman" w:hAnsi="Arial" w:cs="Arial"/>
            <w:color w:val="222222"/>
            <w:lang w:eastAsia="en-GB"/>
          </w:rPr>
          <w:t>,</w:t>
        </w:r>
      </w:hyperlink>
      <w:r w:rsidRPr="00AF07EE">
        <w:rPr>
          <w:rFonts w:ascii="Arial" w:eastAsia="Times New Roman" w:hAnsi="Arial" w:cs="Arial"/>
          <w:color w:val="222222"/>
          <w:lang w:eastAsia="en-GB"/>
        </w:rPr>
        <w:t xml:space="preserve"> 2025). Furthermore, the Care Quality Commission (CQC) sets out fundamental regulatory standards requiring that care must always be tailored to the individual, ensuring their dignity, autonomy, and choices are fully respected (CQC, 2023). </w:t>
      </w:r>
    </w:p>
    <w:p w14:paraId="0EEA8B9C" w14:textId="5C2E6E03" w:rsidR="00FB0EF5" w:rsidRDefault="00AF07EE" w:rsidP="00AF07EE">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lastRenderedPageBreak/>
        <w:t xml:space="preserve">In my day-to-day practice, I implement person-centred care during routine care planning and assessment processes. Instead of using the standard generic care package, I engage my patient in a good deep conversation about how they wish to receive my support and what they would desire in order to make them more comfortable and compliant. An example of this is when working with an elderly patient named Mary who was transitioning from a hospital setting back to her home, a standard care plan was focused strictly on her physical mobility and medication schedules. However, by adopting a person-centred approach, I discovered that </w:t>
      </w:r>
      <w:r w:rsidR="00D34CB2" w:rsidRPr="00AF07EE">
        <w:rPr>
          <w:rFonts w:ascii="Arial" w:eastAsia="Times New Roman" w:hAnsi="Arial" w:cs="Arial"/>
          <w:color w:val="222222"/>
          <w:lang w:eastAsia="en-GB"/>
        </w:rPr>
        <w:t>keeping</w:t>
      </w:r>
      <w:r w:rsidRPr="00AF07EE">
        <w:rPr>
          <w:rFonts w:ascii="Arial" w:eastAsia="Times New Roman" w:hAnsi="Arial" w:cs="Arial"/>
          <w:color w:val="222222"/>
          <w:lang w:eastAsia="en-GB"/>
        </w:rPr>
        <w:t xml:space="preserve"> her independent morning routine—specifically making her own cup of tea and reading the local newspaper—was vital to her mental well-being and sense of identity. I then integrated these specific preferences into her daily support plan and ensuring that the other care workers supported these tasks as well and so we preserved her independence. This practical application aligns directly with guidance from the Social Care Institute for Excellence (SCIE), which highlights those involving individuals directly in their care design prevents dependencies and significantly </w:t>
      </w:r>
      <w:r w:rsidR="00E65178" w:rsidRPr="00AF07EE">
        <w:rPr>
          <w:rFonts w:ascii="Arial" w:eastAsia="Times New Roman" w:hAnsi="Arial" w:cs="Arial"/>
          <w:color w:val="222222"/>
          <w:lang w:eastAsia="en-GB"/>
        </w:rPr>
        <w:t>improves</w:t>
      </w:r>
      <w:r w:rsidRPr="00AF07EE">
        <w:rPr>
          <w:rFonts w:ascii="Arial" w:eastAsia="Times New Roman" w:hAnsi="Arial" w:cs="Arial"/>
          <w:color w:val="222222"/>
          <w:lang w:eastAsia="en-GB"/>
        </w:rPr>
        <w:t xml:space="preserve"> personal health outcomes (SCIE, 2020).  Working in partnership with single professional or agency can also meet the multifaceted needs of individuals requiring health and social care services as partnership involves collaborating across professional boundaries to include an integrated care system, multidisciplinary teams (MDTs), voluntary organizations, and, crucially, the patient and their families, Department of Health and Social Care [DHSC], 2021). </w:t>
      </w:r>
    </w:p>
    <w:p w14:paraId="65CC4BE6" w14:textId="77777777" w:rsidR="00FB0EF5" w:rsidRDefault="00FB0EF5" w:rsidP="00AF07EE">
      <w:pPr>
        <w:spacing w:after="0" w:line="360" w:lineRule="auto"/>
        <w:ind w:left="-5" w:right="1090" w:hanging="10"/>
        <w:jc w:val="both"/>
        <w:rPr>
          <w:rFonts w:ascii="Arial" w:eastAsia="Times New Roman" w:hAnsi="Arial" w:cs="Arial"/>
          <w:color w:val="222222"/>
          <w:lang w:eastAsia="en-GB"/>
        </w:rPr>
      </w:pPr>
    </w:p>
    <w:p w14:paraId="7361A8AF" w14:textId="1F08468A" w:rsidR="00AF07EE" w:rsidRPr="00AF07EE" w:rsidRDefault="00AF07EE" w:rsidP="00AF07EE">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The Health and Social Care Act 2012 heavily emphasized the duty of integration and collaboration across the NHS and local authorities to reduce fragmentation and improve the continuity of care continuity.  In my day-to-day role, partnership working translates into active participation in MDT meetings, for instance, when I am supporting a patient with a complex mental health need and co-occurring physical disabilities, I regularly collaborate with general practitioners, social workers, community psychiatric nurses, and occupational therapists. This effective partnership requires clear and transparent communication and a mutual respect for each professional’s </w:t>
      </w:r>
      <w:r w:rsidR="00E65178" w:rsidRPr="00AF07EE">
        <w:rPr>
          <w:rFonts w:ascii="Arial" w:eastAsia="Times New Roman" w:hAnsi="Arial" w:cs="Arial"/>
          <w:color w:val="222222"/>
          <w:lang w:eastAsia="en-GB"/>
        </w:rPr>
        <w:t>ability</w:t>
      </w:r>
      <w:r w:rsidRPr="00AF07EE">
        <w:rPr>
          <w:rFonts w:ascii="Arial" w:eastAsia="Times New Roman" w:hAnsi="Arial" w:cs="Arial"/>
          <w:color w:val="222222"/>
          <w:lang w:eastAsia="en-GB"/>
        </w:rPr>
        <w:t xml:space="preserve">. A key element of this is also partnering with the service user’s informal caregivers and family members, who often </w:t>
      </w:r>
      <w:r w:rsidR="00E65178" w:rsidRPr="00AF07EE">
        <w:rPr>
          <w:rFonts w:ascii="Arial" w:eastAsia="Times New Roman" w:hAnsi="Arial" w:cs="Arial"/>
          <w:color w:val="222222"/>
          <w:lang w:eastAsia="en-GB"/>
        </w:rPr>
        <w:t>have</w:t>
      </w:r>
      <w:r w:rsidRPr="00AF07EE">
        <w:rPr>
          <w:rFonts w:ascii="Arial" w:eastAsia="Times New Roman" w:hAnsi="Arial" w:cs="Arial"/>
          <w:color w:val="222222"/>
          <w:lang w:eastAsia="en-GB"/>
        </w:rPr>
        <w:t xml:space="preserve"> the deepest knowledge of the individual’s baseline health and behavioural triggers. If a breakdown in communication occurred between a patients’ family and a clinical team </w:t>
      </w:r>
      <w:r w:rsidR="00E65178" w:rsidRPr="00AF07EE">
        <w:rPr>
          <w:rFonts w:ascii="Arial" w:eastAsia="Times New Roman" w:hAnsi="Arial" w:cs="Arial"/>
          <w:color w:val="222222"/>
          <w:lang w:eastAsia="en-GB"/>
        </w:rPr>
        <w:t>about</w:t>
      </w:r>
      <w:r w:rsidRPr="00AF07EE">
        <w:rPr>
          <w:rFonts w:ascii="Arial" w:eastAsia="Times New Roman" w:hAnsi="Arial" w:cs="Arial"/>
          <w:color w:val="222222"/>
          <w:lang w:eastAsia="en-GB"/>
        </w:rPr>
        <w:t xml:space="preserve"> medication adjustments, I acted as a facilitator, organizing a joint meeting where the family could voice their observations and the clinicians could explain the pharmacological rationale. This collaborative intervention successfully defused tension ensured an aligned approach, and prevented an unnecessary hospital readmission, illustrating how robust partnership working directly elevates care standards in line with National Institute for Health and Care Excellence (NICE) guidelines on service user experience (NICE, 2022)</w:t>
      </w:r>
      <w:r w:rsidR="00E65178" w:rsidRPr="00AF07EE">
        <w:rPr>
          <w:rFonts w:ascii="Arial" w:eastAsia="Times New Roman" w:hAnsi="Arial" w:cs="Arial"/>
          <w:color w:val="222222"/>
          <w:lang w:eastAsia="en-GB"/>
        </w:rPr>
        <w:t xml:space="preserve">. </w:t>
      </w:r>
    </w:p>
    <w:p w14:paraId="04912ED3" w14:textId="77777777" w:rsidR="00AF07EE" w:rsidRPr="00AF07EE" w:rsidRDefault="00AF07EE" w:rsidP="00AF07EE">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lastRenderedPageBreak/>
        <w:t xml:space="preserve">Ethics practices and Legal Frameworks forms the moral framework that guides every decision I make as a health and social care professional. The key ethical principles I use are: </w:t>
      </w:r>
    </w:p>
    <w:p w14:paraId="50BE01D5" w14:textId="77777777" w:rsidR="00AF07EE" w:rsidRPr="00AF07EE" w:rsidRDefault="00AF07EE" w:rsidP="00AF07EE">
      <w:pPr>
        <w:numPr>
          <w:ilvl w:val="0"/>
          <w:numId w:val="1"/>
        </w:numPr>
        <w:spacing w:after="0" w:line="360" w:lineRule="auto"/>
        <w:ind w:right="1090" w:hanging="36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beneficence (acting in the best interest of the individual) </w:t>
      </w:r>
    </w:p>
    <w:p w14:paraId="24593687" w14:textId="77777777" w:rsidR="00AF07EE" w:rsidRPr="00AF07EE" w:rsidRDefault="00AF07EE" w:rsidP="00AF07EE">
      <w:pPr>
        <w:numPr>
          <w:ilvl w:val="0"/>
          <w:numId w:val="1"/>
        </w:numPr>
        <w:spacing w:after="0" w:line="360" w:lineRule="auto"/>
        <w:ind w:right="1090" w:hanging="36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non-maleficence (doing no harm),  </w:t>
      </w:r>
    </w:p>
    <w:p w14:paraId="0D8D8CF9" w14:textId="77777777" w:rsidR="00AF07EE" w:rsidRPr="00AF07EE" w:rsidRDefault="00AF07EE" w:rsidP="00AF07EE">
      <w:pPr>
        <w:numPr>
          <w:ilvl w:val="0"/>
          <w:numId w:val="1"/>
        </w:numPr>
        <w:spacing w:after="0" w:line="360" w:lineRule="auto"/>
        <w:ind w:right="1090" w:hanging="36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autonomy (respecting choice), and  </w:t>
      </w:r>
    </w:p>
    <w:p w14:paraId="0A65DB37" w14:textId="77777777" w:rsidR="00AF07EE" w:rsidRPr="00AF07EE" w:rsidRDefault="00AF07EE" w:rsidP="00AF07EE">
      <w:pPr>
        <w:numPr>
          <w:ilvl w:val="0"/>
          <w:numId w:val="1"/>
        </w:numPr>
        <w:spacing w:after="0" w:line="360" w:lineRule="auto"/>
        <w:ind w:right="1090" w:hanging="36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justice (distributing care fairly) (Beauchamp and Childress, 2019).  </w:t>
      </w:r>
    </w:p>
    <w:p w14:paraId="3A0CE493" w14:textId="426A26C1" w:rsidR="00E538D2" w:rsidRDefault="00AF07EE" w:rsidP="00AF07EE">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Balancing these principles often creates complex ethical dilemmas in my daily practice, particularly when an individual’s choices conflict with professional judgments </w:t>
      </w:r>
      <w:r w:rsidR="00E65178" w:rsidRPr="00AF07EE">
        <w:rPr>
          <w:rFonts w:ascii="Arial" w:eastAsia="Times New Roman" w:hAnsi="Arial" w:cs="Arial"/>
          <w:color w:val="222222"/>
          <w:lang w:eastAsia="en-GB"/>
        </w:rPr>
        <w:t>about</w:t>
      </w:r>
      <w:r w:rsidRPr="00AF07EE">
        <w:rPr>
          <w:rFonts w:ascii="Arial" w:eastAsia="Times New Roman" w:hAnsi="Arial" w:cs="Arial"/>
          <w:color w:val="222222"/>
          <w:lang w:eastAsia="en-GB"/>
        </w:rPr>
        <w:t xml:space="preserve"> their safety. A fundamental piece of legislation that </w:t>
      </w:r>
      <w:r w:rsidR="00E65178" w:rsidRPr="00AF07EE">
        <w:rPr>
          <w:rFonts w:ascii="Arial" w:eastAsia="Times New Roman" w:hAnsi="Arial" w:cs="Arial"/>
          <w:color w:val="222222"/>
          <w:lang w:eastAsia="en-GB"/>
        </w:rPr>
        <w:t>aids</w:t>
      </w:r>
      <w:r w:rsidRPr="00AF07EE">
        <w:rPr>
          <w:rFonts w:ascii="Arial" w:eastAsia="Times New Roman" w:hAnsi="Arial" w:cs="Arial"/>
          <w:color w:val="222222"/>
          <w:lang w:eastAsia="en-GB"/>
        </w:rPr>
        <w:t xml:space="preserve"> me in navigating these dilemmas is the Mental Capacity Act 2005 (MCA). The MCA presumes that adults have the capacity to make their own decisions unless proven otherwise and dictates that individuals must be supported to make their own decisions before being treated as lacking capacity. It also</w:t>
      </w:r>
      <w:r w:rsidRPr="00AF07EE">
        <w:rPr>
          <w:rFonts w:ascii="Times New Roman" w:eastAsia="Times New Roman" w:hAnsi="Times New Roman" w:cs="Times New Roman"/>
          <w:color w:val="222222"/>
          <w:lang w:eastAsia="en-GB"/>
        </w:rPr>
        <w:t xml:space="preserve"> </w:t>
      </w:r>
      <w:r w:rsidRPr="00AF07EE">
        <w:rPr>
          <w:rFonts w:ascii="Arial" w:eastAsia="Times New Roman" w:hAnsi="Arial" w:cs="Arial"/>
          <w:color w:val="222222"/>
          <w:lang w:eastAsia="en-GB"/>
        </w:rPr>
        <w:t xml:space="preserve">protects the right of individuals to make what others might consider unwise decisions. In my practice, I </w:t>
      </w:r>
      <w:r w:rsidR="00E65178" w:rsidRPr="00AF07EE">
        <w:rPr>
          <w:rFonts w:ascii="Arial" w:eastAsia="Times New Roman" w:hAnsi="Arial" w:cs="Arial"/>
          <w:color w:val="222222"/>
          <w:lang w:eastAsia="en-GB"/>
        </w:rPr>
        <w:t>often</w:t>
      </w:r>
      <w:r w:rsidRPr="00AF07EE">
        <w:rPr>
          <w:rFonts w:ascii="Arial" w:eastAsia="Times New Roman" w:hAnsi="Arial" w:cs="Arial"/>
          <w:color w:val="222222"/>
          <w:lang w:eastAsia="en-GB"/>
        </w:rPr>
        <w:t xml:space="preserve"> apply these principles when dealing with risk management. </w:t>
      </w:r>
    </w:p>
    <w:p w14:paraId="35183748" w14:textId="77777777" w:rsidR="00EB7F01" w:rsidRPr="00356388" w:rsidRDefault="00EB7F01" w:rsidP="00356388">
      <w:pPr>
        <w:spacing w:after="0" w:line="360" w:lineRule="auto"/>
        <w:ind w:left="-5" w:right="1090" w:hanging="10"/>
        <w:jc w:val="both"/>
        <w:rPr>
          <w:rFonts w:ascii="Arial" w:eastAsia="Times New Roman" w:hAnsi="Arial" w:cs="Arial"/>
          <w:color w:val="222222"/>
          <w:lang w:eastAsia="en-GB"/>
        </w:rPr>
      </w:pPr>
    </w:p>
    <w:p w14:paraId="2491AF19" w14:textId="7EC8FE80" w:rsidR="00356388" w:rsidRDefault="00AF07EE" w:rsidP="00356388">
      <w:pPr>
        <w:spacing w:after="0" w:line="360" w:lineRule="auto"/>
        <w:ind w:left="-5" w:right="1090" w:hanging="10"/>
        <w:jc w:val="both"/>
        <w:rPr>
          <w:rFonts w:ascii="Arial" w:eastAsia="Times New Roman" w:hAnsi="Arial" w:cs="Arial"/>
          <w:color w:val="222222"/>
          <w:lang w:eastAsia="en-GB"/>
        </w:rPr>
      </w:pPr>
      <w:r w:rsidRPr="00AF07EE">
        <w:rPr>
          <w:rFonts w:ascii="Arial" w:eastAsia="Times New Roman" w:hAnsi="Arial" w:cs="Arial"/>
          <w:color w:val="222222"/>
          <w:lang w:eastAsia="en-GB"/>
        </w:rPr>
        <w:t xml:space="preserve">For example, a patient with early-stage dementia insisted on walking to the local shops unassisted despite </w:t>
      </w:r>
      <w:r w:rsidR="00E65178" w:rsidRPr="00AF07EE">
        <w:rPr>
          <w:rFonts w:ascii="Arial" w:eastAsia="Times New Roman" w:hAnsi="Arial" w:cs="Arial"/>
          <w:color w:val="222222"/>
          <w:lang w:eastAsia="en-GB"/>
        </w:rPr>
        <w:t>an elevated risk</w:t>
      </w:r>
      <w:r w:rsidRPr="00AF07EE">
        <w:rPr>
          <w:rFonts w:ascii="Arial" w:eastAsia="Times New Roman" w:hAnsi="Arial" w:cs="Arial"/>
          <w:color w:val="222222"/>
          <w:lang w:eastAsia="en-GB"/>
        </w:rPr>
        <w:t xml:space="preserve"> of falls. I would ethically try to use a protective approach which will restricts their movement to prevent physical harm (beneficence/non-maleficence). However, </w:t>
      </w:r>
      <w:r w:rsidR="00E65178" w:rsidRPr="00AF07EE">
        <w:rPr>
          <w:rFonts w:ascii="Arial" w:eastAsia="Times New Roman" w:hAnsi="Arial" w:cs="Arial"/>
          <w:color w:val="222222"/>
          <w:lang w:eastAsia="en-GB"/>
        </w:rPr>
        <w:t>legally,</w:t>
      </w:r>
      <w:r w:rsidRPr="00AF07EE">
        <w:rPr>
          <w:rFonts w:ascii="Arial" w:eastAsia="Times New Roman" w:hAnsi="Arial" w:cs="Arial"/>
          <w:color w:val="222222"/>
          <w:lang w:eastAsia="en-GB"/>
        </w:rPr>
        <w:t xml:space="preserve"> and ethically under the MCA, I must respect their autonomy if they have the capacity to understand that risk. Instead of restricting them, I worked with the individual, their family, and an occupational therapist to implement a positive risk-taking strategy. We </w:t>
      </w:r>
      <w:r w:rsidR="00E65178" w:rsidRPr="00AF07EE">
        <w:rPr>
          <w:rFonts w:ascii="Arial" w:eastAsia="Times New Roman" w:hAnsi="Arial" w:cs="Arial"/>
          <w:color w:val="222222"/>
          <w:lang w:eastAsia="en-GB"/>
        </w:rPr>
        <w:t>found</w:t>
      </w:r>
      <w:r w:rsidRPr="00AF07EE">
        <w:rPr>
          <w:rFonts w:ascii="Arial" w:eastAsia="Times New Roman" w:hAnsi="Arial" w:cs="Arial"/>
          <w:color w:val="222222"/>
          <w:lang w:eastAsia="en-GB"/>
        </w:rPr>
        <w:t xml:space="preserve"> safer routes, introduced a mobility aid, and </w:t>
      </w:r>
      <w:r w:rsidR="00E65178" w:rsidRPr="00AF07EE">
        <w:rPr>
          <w:rFonts w:ascii="Arial" w:eastAsia="Times New Roman" w:hAnsi="Arial" w:cs="Arial"/>
          <w:color w:val="222222"/>
          <w:lang w:eastAsia="en-GB"/>
        </w:rPr>
        <w:t>used</w:t>
      </w:r>
      <w:r w:rsidRPr="00AF07EE">
        <w:rPr>
          <w:rFonts w:ascii="Arial" w:eastAsia="Times New Roman" w:hAnsi="Arial" w:cs="Arial"/>
          <w:color w:val="222222"/>
          <w:lang w:eastAsia="en-GB"/>
        </w:rPr>
        <w:t xml:space="preserve"> a discrete GPS tracker with their consent. This balanced approach respected their right to take risks while mitigating hazards, ensuring that ethical and legal compliance remained embedded in daily practice.</w:t>
      </w:r>
      <w:r w:rsidRPr="00356388">
        <w:rPr>
          <w:rFonts w:ascii="Arial" w:eastAsia="Times New Roman" w:hAnsi="Arial" w:cs="Arial"/>
          <w:color w:val="222222"/>
          <w:lang w:eastAsia="en-GB"/>
        </w:rPr>
        <w:t xml:space="preserve">  </w:t>
      </w:r>
    </w:p>
    <w:p w14:paraId="7432A269" w14:textId="77777777" w:rsidR="00EB7F01" w:rsidRDefault="00EB7F01" w:rsidP="00356388">
      <w:pPr>
        <w:spacing w:after="0" w:line="360" w:lineRule="auto"/>
        <w:ind w:left="-5" w:right="1090" w:hanging="10"/>
        <w:jc w:val="both"/>
        <w:rPr>
          <w:rFonts w:ascii="Arial" w:eastAsia="Times New Roman" w:hAnsi="Arial" w:cs="Arial"/>
          <w:color w:val="222222"/>
          <w:lang w:eastAsia="en-GB"/>
        </w:rPr>
      </w:pPr>
    </w:p>
    <w:p w14:paraId="16E0F261" w14:textId="395FC9B0" w:rsidR="00F60BF3" w:rsidRPr="00356388" w:rsidRDefault="00F60BF3" w:rsidP="00356388">
      <w:pPr>
        <w:spacing w:after="0" w:line="360" w:lineRule="auto"/>
        <w:ind w:left="-5" w:right="1090" w:hanging="10"/>
        <w:jc w:val="both"/>
        <w:rPr>
          <w:rFonts w:ascii="Arial" w:eastAsia="Times New Roman" w:hAnsi="Arial" w:cs="Arial"/>
          <w:color w:val="222222"/>
          <w:lang w:eastAsia="en-GB"/>
        </w:rPr>
      </w:pPr>
      <w:r w:rsidRPr="00356388">
        <w:rPr>
          <w:rFonts w:ascii="Arial" w:eastAsia="Times New Roman" w:hAnsi="Arial" w:cs="Arial"/>
          <w:color w:val="222222"/>
          <w:lang w:eastAsia="en-GB"/>
        </w:rPr>
        <w:t xml:space="preserve">A self-assessment of skills, strengths, and weaknesses on my current competencies allows me to clearly </w:t>
      </w:r>
      <w:r w:rsidR="00E65178" w:rsidRPr="00356388">
        <w:rPr>
          <w:rFonts w:ascii="Arial" w:eastAsia="Times New Roman" w:hAnsi="Arial" w:cs="Arial"/>
          <w:color w:val="222222"/>
          <w:lang w:eastAsia="en-GB"/>
        </w:rPr>
        <w:t>find</w:t>
      </w:r>
      <w:r w:rsidRPr="00356388">
        <w:rPr>
          <w:rFonts w:ascii="Arial" w:eastAsia="Times New Roman" w:hAnsi="Arial" w:cs="Arial"/>
          <w:color w:val="222222"/>
          <w:lang w:eastAsia="en-GB"/>
        </w:rPr>
        <w:t xml:space="preserve"> where my practice excels and where it requires structured improvement. One of my primary strengths is my empathetic communication style, which allows me to build strong, trusting therapeutic relationships with service users and their families. This skill is critical for uncovering the subtle preferences that drive successful person-centred care. Additionally, I </w:t>
      </w:r>
      <w:r w:rsidR="00E65178" w:rsidRPr="00356388">
        <w:rPr>
          <w:rFonts w:ascii="Arial" w:eastAsia="Times New Roman" w:hAnsi="Arial" w:cs="Arial"/>
          <w:color w:val="222222"/>
          <w:lang w:eastAsia="en-GB"/>
        </w:rPr>
        <w:t>have</w:t>
      </w:r>
      <w:r w:rsidRPr="00356388">
        <w:rPr>
          <w:rFonts w:ascii="Arial" w:eastAsia="Times New Roman" w:hAnsi="Arial" w:cs="Arial"/>
          <w:color w:val="222222"/>
          <w:lang w:eastAsia="en-GB"/>
        </w:rPr>
        <w:t xml:space="preserve"> a strong working knowledge of UK health and social care legislation, particularly the Care Act 2014 and the Mental Capacity Act 2005, which enables me to advocate effectively for service users' rights during multidisciplinary discussions. Conversely, my self-reflection has highlighted areas where I need to improve. While I understand the value of partnership working, I sometimes find navigating inter-agency bureaucracy and conflicting institutional priorities </w:t>
      </w:r>
      <w:r w:rsidR="00E65178" w:rsidRPr="00356388">
        <w:rPr>
          <w:rFonts w:ascii="Arial" w:eastAsia="Times New Roman" w:hAnsi="Arial" w:cs="Arial"/>
          <w:color w:val="222222"/>
          <w:lang w:eastAsia="en-GB"/>
        </w:rPr>
        <w:t>incredibly challenging</w:t>
      </w:r>
      <w:r w:rsidRPr="00356388">
        <w:rPr>
          <w:rFonts w:ascii="Arial" w:eastAsia="Times New Roman" w:hAnsi="Arial" w:cs="Arial"/>
          <w:color w:val="222222"/>
          <w:lang w:eastAsia="en-GB"/>
        </w:rPr>
        <w:t xml:space="preserve">. For example, when social care budgets clash </w:t>
      </w:r>
      <w:r w:rsidRPr="00356388">
        <w:rPr>
          <w:rFonts w:ascii="Arial" w:eastAsia="Times New Roman" w:hAnsi="Arial" w:cs="Arial"/>
          <w:color w:val="222222"/>
          <w:lang w:eastAsia="en-GB"/>
        </w:rPr>
        <w:lastRenderedPageBreak/>
        <w:t xml:space="preserve">with NHS discharge timelines, </w:t>
      </w:r>
      <w:r w:rsidR="00E65178" w:rsidRPr="00356388">
        <w:rPr>
          <w:rFonts w:ascii="Arial" w:eastAsia="Times New Roman" w:hAnsi="Arial" w:cs="Arial"/>
          <w:color w:val="222222"/>
          <w:lang w:eastAsia="en-GB"/>
        </w:rPr>
        <w:t>claiming</w:t>
      </w:r>
      <w:r w:rsidRPr="00356388">
        <w:rPr>
          <w:rFonts w:ascii="Arial" w:eastAsia="Times New Roman" w:hAnsi="Arial" w:cs="Arial"/>
          <w:color w:val="222222"/>
          <w:lang w:eastAsia="en-GB"/>
        </w:rPr>
        <w:t xml:space="preserve"> a collaborative mindset can be difficult under high pressure, occasionally leading me to adopt a reactive rather than a proactive stance. Furthermore, while my documentation is comprehensive, I need to improve my efficiency in using integrated digital health records. Delays in inputting case notes can inadvertently hinder real-time information sharing among the multidisciplinary team, potentially </w:t>
      </w:r>
      <w:r w:rsidR="00E65178" w:rsidRPr="00356388">
        <w:rPr>
          <w:rFonts w:ascii="Arial" w:eastAsia="Times New Roman" w:hAnsi="Arial" w:cs="Arial"/>
          <w:color w:val="222222"/>
          <w:lang w:eastAsia="en-GB"/>
        </w:rPr>
        <w:t>affecting</w:t>
      </w:r>
      <w:r w:rsidRPr="00356388">
        <w:rPr>
          <w:rFonts w:ascii="Arial" w:eastAsia="Times New Roman" w:hAnsi="Arial" w:cs="Arial"/>
          <w:color w:val="222222"/>
          <w:lang w:eastAsia="en-GB"/>
        </w:rPr>
        <w:t xml:space="preserve"> the seamless delivery of integrated care.  </w:t>
      </w:r>
    </w:p>
    <w:p w14:paraId="7EF723F1" w14:textId="01C87484" w:rsidR="00F60BF3" w:rsidRPr="00FB0EF5" w:rsidRDefault="00F60BF3" w:rsidP="00FB0EF5">
      <w:pPr>
        <w:spacing w:after="0" w:line="360" w:lineRule="auto"/>
        <w:ind w:left="-5" w:right="1090" w:hanging="10"/>
        <w:jc w:val="both"/>
        <w:rPr>
          <w:rFonts w:ascii="Arial" w:eastAsia="Times New Roman" w:hAnsi="Arial" w:cs="Arial"/>
          <w:color w:val="222222"/>
          <w:lang w:eastAsia="en-GB"/>
        </w:rPr>
      </w:pPr>
      <w:r w:rsidRPr="00356388">
        <w:rPr>
          <w:rFonts w:ascii="Arial" w:eastAsia="Times New Roman" w:hAnsi="Arial" w:cs="Arial"/>
          <w:color w:val="222222"/>
          <w:lang w:eastAsia="en-GB"/>
        </w:rPr>
        <w:t xml:space="preserve">Through this reflective process, I have demonstrated how these concepts are deeply woven into my day-to-day activities, supported by vital UK legislative frameworks and thereby recognizing my strengths in empathetic communication and legal awareness, while honestly confronting my development needs in digital efficiency and inter-agency collaboration, I have established a clear path forward. Committing to this continuous learning cycle ensures that my professional practice will evolve to meet changing regulatory demands and, most importantly, deliver </w:t>
      </w:r>
      <w:r w:rsidR="00E65178" w:rsidRPr="00356388">
        <w:rPr>
          <w:rFonts w:ascii="Arial" w:eastAsia="Times New Roman" w:hAnsi="Arial" w:cs="Arial"/>
          <w:color w:val="222222"/>
          <w:lang w:eastAsia="en-GB"/>
        </w:rPr>
        <w:t>best</w:t>
      </w:r>
      <w:r w:rsidRPr="00356388">
        <w:rPr>
          <w:rFonts w:ascii="Arial" w:eastAsia="Times New Roman" w:hAnsi="Arial" w:cs="Arial"/>
          <w:color w:val="222222"/>
          <w:lang w:eastAsia="en-GB"/>
        </w:rPr>
        <w:t xml:space="preserve"> care outcomes for the individuals I support. </w:t>
      </w:r>
    </w:p>
    <w:p w14:paraId="0908583D" w14:textId="06F47B92" w:rsidR="000F50F2" w:rsidRPr="00FB0EF5" w:rsidRDefault="000F50F2" w:rsidP="00FB0EF5">
      <w:pPr>
        <w:pStyle w:val="Heading1"/>
        <w:rPr>
          <w:rFonts w:eastAsia="Times New Roman"/>
          <w:lang w:eastAsia="en-GB"/>
        </w:rPr>
      </w:pPr>
      <w:bookmarkStart w:id="4" w:name="_Toc236997882"/>
      <w:r w:rsidRPr="00FB0EF5">
        <w:rPr>
          <w:rFonts w:eastAsia="Times New Roman"/>
          <w:lang w:eastAsia="en-GB"/>
        </w:rPr>
        <w:t>Concl</w:t>
      </w:r>
      <w:r w:rsidR="002E6001" w:rsidRPr="00FB0EF5">
        <w:rPr>
          <w:rFonts w:eastAsia="Times New Roman"/>
          <w:lang w:eastAsia="en-GB"/>
        </w:rPr>
        <w:t>usion</w:t>
      </w:r>
      <w:bookmarkEnd w:id="4"/>
    </w:p>
    <w:p w14:paraId="51573061" w14:textId="3A18DAC8" w:rsidR="002E6001" w:rsidRPr="002E6001" w:rsidRDefault="002E6001" w:rsidP="002E6001">
      <w:pPr>
        <w:spacing w:after="0" w:line="360" w:lineRule="auto"/>
        <w:ind w:left="-5" w:right="1090" w:hanging="10"/>
        <w:jc w:val="both"/>
        <w:rPr>
          <w:rFonts w:ascii="Aptos" w:eastAsia="Aptos" w:hAnsi="Aptos" w:cs="Times New Roman"/>
          <w:lang w:eastAsia="en-GB"/>
        </w:rPr>
      </w:pPr>
      <w:r w:rsidRPr="002E6001">
        <w:rPr>
          <w:rFonts w:ascii="Arial" w:eastAsia="Aptos" w:hAnsi="Arial" w:cs="Arial"/>
          <w:color w:val="222222"/>
        </w:rPr>
        <w:t xml:space="preserve">In conclusion, this report has shown that effective health and social care practice in the United Kingdom depends on the consistent application of person-centred care, partnership working, and ethical decision-making. Person-centred care ensures that individuals are treated with dignity, respect, and autonomy, while partnership working enables professionals, families, and agencies to collaborate in meeting complex needs. Ethical frameworks, supported by legislation such as the Care Act 2014, the Mental Capacity Act 2005, and the Health and Social Care Act 2012, </w:t>
      </w:r>
      <w:r w:rsidR="00E65178" w:rsidRPr="002E6001">
        <w:rPr>
          <w:rFonts w:ascii="Arial" w:eastAsia="Aptos" w:hAnsi="Arial" w:cs="Arial"/>
          <w:color w:val="222222"/>
        </w:rPr>
        <w:t>offer</w:t>
      </w:r>
      <w:r w:rsidRPr="002E6001">
        <w:rPr>
          <w:rFonts w:ascii="Arial" w:eastAsia="Aptos" w:hAnsi="Arial" w:cs="Arial"/>
          <w:color w:val="222222"/>
        </w:rPr>
        <w:t xml:space="preserve"> clear guidance for balancing individual choice, safety, professional responsibility, and legal compliance.</w:t>
      </w:r>
    </w:p>
    <w:p w14:paraId="74B57B28" w14:textId="6C1F7509" w:rsidR="00FE2AD8" w:rsidRPr="00FE2AD8" w:rsidRDefault="002E6001" w:rsidP="00FE2AD8">
      <w:pPr>
        <w:spacing w:line="360" w:lineRule="auto"/>
        <w:ind w:left="-5" w:right="1090"/>
        <w:jc w:val="both"/>
        <w:rPr>
          <w:rFonts w:ascii="Aptos" w:eastAsia="Aptos" w:hAnsi="Aptos" w:cs="Times New Roman"/>
          <w:lang w:eastAsia="en-GB"/>
        </w:rPr>
      </w:pPr>
      <w:r w:rsidRPr="002E6001">
        <w:rPr>
          <w:rFonts w:ascii="Arial" w:eastAsia="Aptos" w:hAnsi="Arial" w:cs="Arial"/>
          <w:color w:val="222222"/>
        </w:rPr>
        <w:t xml:space="preserve">The practical examples discussed, including discharge planning and positive risk-taking, </w:t>
      </w:r>
      <w:r w:rsidR="00E65178" w:rsidRPr="002E6001">
        <w:rPr>
          <w:rFonts w:ascii="Arial" w:eastAsia="Aptos" w:hAnsi="Arial" w:cs="Arial"/>
          <w:color w:val="222222"/>
        </w:rPr>
        <w:t>prove</w:t>
      </w:r>
      <w:r w:rsidRPr="002E6001">
        <w:rPr>
          <w:rFonts w:ascii="Arial" w:eastAsia="Aptos" w:hAnsi="Arial" w:cs="Arial"/>
          <w:color w:val="222222"/>
        </w:rPr>
        <w:t xml:space="preserve"> that high-quality care requires more than meeting physical needs; it requires understanding the whole person, involving them in decisions, and creating support plans that reflect their values and circumstances. The reflection also highlights that professional development is an ongoing process. Strengths such as empathy, communication, and legal</w:t>
      </w:r>
      <w:r w:rsidR="00FE2AD8">
        <w:rPr>
          <w:rFonts w:ascii="Arial" w:eastAsia="Aptos" w:hAnsi="Arial" w:cs="Arial"/>
          <w:color w:val="222222"/>
        </w:rPr>
        <w:t xml:space="preserve"> </w:t>
      </w:r>
      <w:r w:rsidR="00FE2AD8" w:rsidRPr="00FE2AD8">
        <w:rPr>
          <w:rFonts w:ascii="Arial" w:eastAsia="Aptos" w:hAnsi="Arial" w:cs="Arial"/>
          <w:color w:val="222222"/>
        </w:rPr>
        <w:t xml:space="preserve">awareness must be </w:t>
      </w:r>
      <w:r w:rsidR="00E65178" w:rsidRPr="00FE2AD8">
        <w:rPr>
          <w:rFonts w:ascii="Arial" w:eastAsia="Aptos" w:hAnsi="Arial" w:cs="Arial"/>
          <w:color w:val="222222"/>
        </w:rPr>
        <w:t>kept</w:t>
      </w:r>
      <w:r w:rsidR="00FE2AD8" w:rsidRPr="00FE2AD8">
        <w:rPr>
          <w:rFonts w:ascii="Arial" w:eastAsia="Aptos" w:hAnsi="Arial" w:cs="Arial"/>
          <w:color w:val="222222"/>
        </w:rPr>
        <w:t xml:space="preserve">, while areas such as digital record keeping and inter-agency collaboration require continuous improvement. Overall, the principles explored in this report are essential for safeguarding service users, improving outcomes, and ensuring that health and social care practice </w:t>
      </w:r>
      <w:r w:rsidR="00E65178" w:rsidRPr="00FE2AD8">
        <w:rPr>
          <w:rFonts w:ascii="Arial" w:eastAsia="Aptos" w:hAnsi="Arial" w:cs="Arial"/>
          <w:color w:val="222222"/>
        </w:rPr>
        <w:t>stays</w:t>
      </w:r>
      <w:r w:rsidR="00FE2AD8" w:rsidRPr="00FE2AD8">
        <w:rPr>
          <w:rFonts w:ascii="Arial" w:eastAsia="Aptos" w:hAnsi="Arial" w:cs="Arial"/>
          <w:color w:val="222222"/>
        </w:rPr>
        <w:t xml:space="preserve"> compassionate, lawful, and responsive to individual needs.</w:t>
      </w:r>
    </w:p>
    <w:p w14:paraId="2C12D3E2" w14:textId="77777777" w:rsidR="007872D3" w:rsidRPr="00C424FA" w:rsidRDefault="007872D3" w:rsidP="007872D3">
      <w:pPr>
        <w:spacing w:after="155"/>
        <w:rPr>
          <w:rFonts w:ascii="Times New Roman" w:eastAsia="Times New Roman" w:hAnsi="Times New Roman" w:cs="Times New Roman"/>
          <w:color w:val="222222"/>
          <w:sz w:val="24"/>
          <w:szCs w:val="24"/>
          <w:lang w:eastAsia="en-GB"/>
        </w:rPr>
      </w:pPr>
    </w:p>
    <w:p w14:paraId="695747B6" w14:textId="77777777" w:rsidR="007872D3" w:rsidRPr="00C424FA" w:rsidRDefault="007872D3" w:rsidP="007872D3">
      <w:pPr>
        <w:spacing w:after="0"/>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5466FD50" w14:textId="77777777" w:rsidR="007872D3" w:rsidRDefault="007872D3" w:rsidP="007872D3">
      <w:pPr>
        <w:keepNext/>
        <w:spacing w:after="122"/>
        <w:ind w:left="-5" w:hanging="10"/>
        <w:rPr>
          <w:lang w:eastAsia="en-GB"/>
        </w:rPr>
      </w:pPr>
    </w:p>
    <w:p w14:paraId="0E10CAFF" w14:textId="77777777" w:rsidR="007872D3" w:rsidRPr="00C424FA" w:rsidRDefault="007872D3" w:rsidP="00FB0EF5">
      <w:pPr>
        <w:pStyle w:val="Heading1"/>
        <w:rPr>
          <w:rFonts w:eastAsia="Times New Roman"/>
          <w:u w:color="000000"/>
          <w:lang w:eastAsia="en-GB"/>
        </w:rPr>
      </w:pPr>
      <w:bookmarkStart w:id="5" w:name="_Toc236997883"/>
      <w:r w:rsidRPr="00C424FA">
        <w:rPr>
          <w:rFonts w:eastAsia="Times New Roman"/>
          <w:u w:color="000000"/>
          <w:lang w:eastAsia="en-GB"/>
        </w:rPr>
        <w:t>REFERENCES</w:t>
      </w:r>
      <w:bookmarkEnd w:id="5"/>
      <w:r w:rsidRPr="00C424FA">
        <w:rPr>
          <w:rFonts w:eastAsia="Times New Roman"/>
          <w:u w:color="000000"/>
          <w:lang w:eastAsia="en-GB"/>
        </w:rPr>
        <w:t xml:space="preserve"> </w:t>
      </w:r>
    </w:p>
    <w:p w14:paraId="35483F73"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Beauchamp, T.L. and Childress, J.F. (2019) </w:t>
      </w:r>
      <w:r>
        <w:rPr>
          <w:rFonts w:ascii="Arial" w:hAnsi="Arial" w:cs="Arial"/>
          <w:i/>
          <w:iCs/>
          <w:color w:val="222222"/>
          <w:sz w:val="24"/>
          <w:szCs w:val="24"/>
        </w:rPr>
        <w:t>Principles of Biomedical Ethics</w:t>
      </w:r>
      <w:r>
        <w:rPr>
          <w:rFonts w:ascii="Arial" w:hAnsi="Arial" w:cs="Arial"/>
          <w:color w:val="222222"/>
          <w:sz w:val="24"/>
          <w:szCs w:val="24"/>
        </w:rPr>
        <w:t xml:space="preserve">. 8th </w:t>
      </w:r>
      <w:proofErr w:type="spellStart"/>
      <w:r>
        <w:rPr>
          <w:rFonts w:ascii="Arial" w:hAnsi="Arial" w:cs="Arial"/>
          <w:color w:val="222222"/>
          <w:sz w:val="24"/>
          <w:szCs w:val="24"/>
        </w:rPr>
        <w:t>edn</w:t>
      </w:r>
      <w:proofErr w:type="spellEnd"/>
      <w:r>
        <w:rPr>
          <w:rFonts w:ascii="Arial" w:hAnsi="Arial" w:cs="Arial"/>
          <w:color w:val="222222"/>
          <w:sz w:val="24"/>
          <w:szCs w:val="24"/>
        </w:rPr>
        <w:t>. New York: Oxford University Press.</w:t>
      </w:r>
    </w:p>
    <w:p w14:paraId="2FB6FC10"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Care Quality Commission (CQC) (2025) </w:t>
      </w:r>
      <w:r>
        <w:rPr>
          <w:rFonts w:ascii="Arial" w:hAnsi="Arial" w:cs="Arial"/>
          <w:i/>
          <w:iCs/>
          <w:color w:val="222222"/>
          <w:sz w:val="24"/>
          <w:szCs w:val="24"/>
        </w:rPr>
        <w:t>Regulation 9: Person-centred care</w:t>
      </w:r>
      <w:r>
        <w:rPr>
          <w:rFonts w:ascii="Arial" w:hAnsi="Arial" w:cs="Arial"/>
          <w:color w:val="222222"/>
          <w:sz w:val="24"/>
          <w:szCs w:val="24"/>
        </w:rPr>
        <w:t>. Available at: https://www.cqc.org.uk/guidance-regulation/providers/regulations-service-providers-and-managers/health-social-care-act/regulation-9 (Accessed: 7 August 2026).</w:t>
      </w:r>
    </w:p>
    <w:p w14:paraId="19F0D120"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Department of Health and Social Care (DHSC) (2021) </w:t>
      </w:r>
      <w:r>
        <w:rPr>
          <w:rFonts w:ascii="Arial" w:hAnsi="Arial" w:cs="Arial"/>
          <w:i/>
          <w:iCs/>
          <w:color w:val="222222"/>
          <w:sz w:val="24"/>
          <w:szCs w:val="24"/>
        </w:rPr>
        <w:t>Integration and innovation: working together to improve health and social care for all</w:t>
      </w:r>
      <w:r>
        <w:rPr>
          <w:rFonts w:ascii="Arial" w:hAnsi="Arial" w:cs="Arial"/>
          <w:color w:val="222222"/>
          <w:sz w:val="24"/>
          <w:szCs w:val="24"/>
        </w:rPr>
        <w:t>. London: Department of Health and Social Care.</w:t>
      </w:r>
    </w:p>
    <w:p w14:paraId="46936DE6"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Gibbs, G. (1988) </w:t>
      </w:r>
      <w:r>
        <w:rPr>
          <w:rFonts w:ascii="Arial" w:hAnsi="Arial" w:cs="Arial"/>
          <w:i/>
          <w:iCs/>
          <w:color w:val="222222"/>
          <w:sz w:val="24"/>
          <w:szCs w:val="24"/>
        </w:rPr>
        <w:t>Learning by Doing: A Guide to Teaching and Learning Methods</w:t>
      </w:r>
      <w:r>
        <w:rPr>
          <w:rFonts w:ascii="Arial" w:hAnsi="Arial" w:cs="Arial"/>
          <w:color w:val="222222"/>
          <w:sz w:val="24"/>
          <w:szCs w:val="24"/>
        </w:rPr>
        <w:t>. Oxford: Oxford Polytechnic Further Education Unit.</w:t>
      </w:r>
    </w:p>
    <w:p w14:paraId="20EBF004"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GOV.UK (2026) </w:t>
      </w:r>
      <w:r>
        <w:rPr>
          <w:rFonts w:ascii="Arial" w:hAnsi="Arial" w:cs="Arial"/>
          <w:i/>
          <w:iCs/>
          <w:color w:val="222222"/>
          <w:sz w:val="24"/>
          <w:szCs w:val="24"/>
        </w:rPr>
        <w:t>Care and support statutory guidance</w:t>
      </w:r>
      <w:r>
        <w:rPr>
          <w:rFonts w:ascii="Arial" w:hAnsi="Arial" w:cs="Arial"/>
          <w:color w:val="222222"/>
          <w:sz w:val="24"/>
          <w:szCs w:val="24"/>
        </w:rPr>
        <w:t>. Available at: https://www.gov.uk/government/publications/care-act-statutory-guidance/care-and-support-statutory-guidance (Accessed: 7 August 2026).</w:t>
      </w:r>
    </w:p>
    <w:p w14:paraId="16638CAB"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Great Britain (2005) </w:t>
      </w:r>
      <w:r>
        <w:rPr>
          <w:rFonts w:ascii="Arial" w:hAnsi="Arial" w:cs="Arial"/>
          <w:i/>
          <w:iCs/>
          <w:color w:val="222222"/>
          <w:sz w:val="24"/>
          <w:szCs w:val="24"/>
        </w:rPr>
        <w:t>Mental Capacity Act 2005</w:t>
      </w:r>
      <w:r>
        <w:rPr>
          <w:rFonts w:ascii="Arial" w:hAnsi="Arial" w:cs="Arial"/>
          <w:color w:val="222222"/>
          <w:sz w:val="24"/>
          <w:szCs w:val="24"/>
        </w:rPr>
        <w:t>. London: The Stationery Office. Available at: https://www.legislation.gov.uk/ukpga/2005/9/contents (Accessed: 7 August 2026).</w:t>
      </w:r>
    </w:p>
    <w:p w14:paraId="04182CFA"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Great Britain (2012) </w:t>
      </w:r>
      <w:r>
        <w:rPr>
          <w:rFonts w:ascii="Arial" w:hAnsi="Arial" w:cs="Arial"/>
          <w:i/>
          <w:iCs/>
          <w:color w:val="222222"/>
          <w:sz w:val="24"/>
          <w:szCs w:val="24"/>
        </w:rPr>
        <w:t>Health and Social Care Act 2012</w:t>
      </w:r>
      <w:r>
        <w:rPr>
          <w:rFonts w:ascii="Arial" w:hAnsi="Arial" w:cs="Arial"/>
          <w:color w:val="222222"/>
          <w:sz w:val="24"/>
          <w:szCs w:val="24"/>
        </w:rPr>
        <w:t>. London: The Stationery Office. Available at: https://www.legislation.gov.uk/ukpga/2012/7/contents (Accessed: 7 August 2026).</w:t>
      </w:r>
    </w:p>
    <w:p w14:paraId="2E8236C8"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Great Britain (2014) </w:t>
      </w:r>
      <w:r>
        <w:rPr>
          <w:rFonts w:ascii="Arial" w:hAnsi="Arial" w:cs="Arial"/>
          <w:i/>
          <w:iCs/>
          <w:color w:val="222222"/>
          <w:sz w:val="24"/>
          <w:szCs w:val="24"/>
        </w:rPr>
        <w:t>Care Act 2014</w:t>
      </w:r>
      <w:r>
        <w:rPr>
          <w:rFonts w:ascii="Arial" w:hAnsi="Arial" w:cs="Arial"/>
          <w:color w:val="222222"/>
          <w:sz w:val="24"/>
          <w:szCs w:val="24"/>
        </w:rPr>
        <w:t>. London: The Stationery Office. Available at: https://www.legislation.gov.uk/ukpga/2014/23/contents (Accessed: 7 August 2026).</w:t>
      </w:r>
    </w:p>
    <w:p w14:paraId="547C66D4"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National Institute for Health and Care Excellence (NICE) (2015) </w:t>
      </w:r>
      <w:r>
        <w:rPr>
          <w:rFonts w:ascii="Arial" w:hAnsi="Arial" w:cs="Arial"/>
          <w:i/>
          <w:iCs/>
          <w:color w:val="222222"/>
          <w:sz w:val="24"/>
          <w:szCs w:val="24"/>
        </w:rPr>
        <w:t>Home care: delivering personal care and practical support to older people living in their own homes</w:t>
      </w:r>
      <w:r>
        <w:rPr>
          <w:rFonts w:ascii="Arial" w:hAnsi="Arial" w:cs="Arial"/>
          <w:color w:val="222222"/>
          <w:sz w:val="24"/>
          <w:szCs w:val="24"/>
        </w:rPr>
        <w:t>. NICE guideline NG21. Available at: https://www.nice.org.uk/guidance/ng21 (Accessed: 7 August 2026).</w:t>
      </w:r>
    </w:p>
    <w:p w14:paraId="4381BA7E"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lastRenderedPageBreak/>
        <w:t xml:space="preserve">Nursing and Midwifery Council (NMC) (2018) </w:t>
      </w:r>
      <w:r>
        <w:rPr>
          <w:rFonts w:ascii="Arial" w:hAnsi="Arial" w:cs="Arial"/>
          <w:i/>
          <w:iCs/>
          <w:color w:val="222222"/>
          <w:sz w:val="24"/>
          <w:szCs w:val="24"/>
        </w:rPr>
        <w:t>The Code: Professional standards of practice and behaviour for nurses, midwives and nursing associates</w:t>
      </w:r>
      <w:r>
        <w:rPr>
          <w:rFonts w:ascii="Arial" w:hAnsi="Arial" w:cs="Arial"/>
          <w:color w:val="222222"/>
          <w:sz w:val="24"/>
          <w:szCs w:val="24"/>
        </w:rPr>
        <w:t>. London: Nursing and Midwifery Council.</w:t>
      </w:r>
    </w:p>
    <w:p w14:paraId="62DC47B1"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Social Care Institute for Excellence (SCIE) (2020) </w:t>
      </w:r>
      <w:r>
        <w:rPr>
          <w:rFonts w:ascii="Arial" w:hAnsi="Arial" w:cs="Arial"/>
          <w:i/>
          <w:iCs/>
          <w:color w:val="222222"/>
          <w:sz w:val="24"/>
          <w:szCs w:val="24"/>
        </w:rPr>
        <w:t>MCA: Care planning, involvement and person-centred care</w:t>
      </w:r>
      <w:r>
        <w:rPr>
          <w:rFonts w:ascii="Arial" w:hAnsi="Arial" w:cs="Arial"/>
          <w:color w:val="222222"/>
          <w:sz w:val="24"/>
          <w:szCs w:val="24"/>
        </w:rPr>
        <w:t>. Available at: https://www.scie.org.uk/mca/practice/care-planning/person-centred-care/ (Accessed: 7 August 2026).</w:t>
      </w:r>
    </w:p>
    <w:p w14:paraId="37B73BED" w14:textId="77777777" w:rsidR="007872D3" w:rsidRDefault="007872D3" w:rsidP="007872D3">
      <w:pPr>
        <w:spacing w:after="120" w:line="360" w:lineRule="auto"/>
        <w:ind w:left="-5" w:right="1091" w:hanging="10"/>
        <w:rPr>
          <w:lang w:eastAsia="en-GB"/>
        </w:rPr>
      </w:pPr>
      <w:r>
        <w:rPr>
          <w:rFonts w:ascii="Arial" w:hAnsi="Arial" w:cs="Arial"/>
          <w:color w:val="222222"/>
          <w:sz w:val="24"/>
          <w:szCs w:val="24"/>
        </w:rPr>
        <w:t xml:space="preserve">Tuckman, B.W. (1965) ‘Developmental sequence in small groups’, </w:t>
      </w:r>
      <w:r>
        <w:rPr>
          <w:rFonts w:ascii="Arial" w:hAnsi="Arial" w:cs="Arial"/>
          <w:i/>
          <w:iCs/>
          <w:color w:val="222222"/>
          <w:sz w:val="24"/>
          <w:szCs w:val="24"/>
        </w:rPr>
        <w:t>Psychological Bulletin</w:t>
      </w:r>
      <w:r>
        <w:rPr>
          <w:rFonts w:ascii="Arial" w:hAnsi="Arial" w:cs="Arial"/>
          <w:color w:val="222222"/>
          <w:sz w:val="24"/>
          <w:szCs w:val="24"/>
        </w:rPr>
        <w:t>, 63(6), pp. 384–399.</w:t>
      </w:r>
    </w:p>
    <w:p w14:paraId="71429634" w14:textId="77777777" w:rsidR="00FE2AD8" w:rsidRPr="00FE2AD8" w:rsidRDefault="00FE2AD8" w:rsidP="00FE2AD8">
      <w:pPr>
        <w:rPr>
          <w:rFonts w:ascii="Times New Roman" w:eastAsia="Times New Roman" w:hAnsi="Times New Roman" w:cs="Times New Roman"/>
          <w:color w:val="222222"/>
          <w:sz w:val="24"/>
          <w:szCs w:val="24"/>
          <w:lang w:eastAsia="en-GB"/>
        </w:rPr>
      </w:pPr>
    </w:p>
    <w:p w14:paraId="22893FA7" w14:textId="77777777" w:rsidR="00FE2AD8" w:rsidRPr="00FE2AD8" w:rsidRDefault="00FE2AD8" w:rsidP="00FE2AD8">
      <w:pPr>
        <w:rPr>
          <w:rFonts w:ascii="Times New Roman" w:eastAsia="Times New Roman" w:hAnsi="Times New Roman" w:cs="Times New Roman"/>
          <w:color w:val="222222"/>
          <w:sz w:val="24"/>
          <w:szCs w:val="24"/>
          <w:lang w:eastAsia="en-GB"/>
        </w:rPr>
      </w:pPr>
      <w:r w:rsidRPr="00FE2AD8">
        <w:rPr>
          <w:rFonts w:ascii="Calibri" w:eastAsia="Calibri" w:hAnsi="Calibri" w:cs="Calibri"/>
          <w:color w:val="000000"/>
          <w:szCs w:val="24"/>
          <w:lang w:eastAsia="en-GB"/>
        </w:rPr>
        <w:t xml:space="preserve"> </w:t>
      </w:r>
    </w:p>
    <w:p w14:paraId="5007AC2C" w14:textId="065BBFC4" w:rsidR="002E6001" w:rsidRPr="00356388" w:rsidRDefault="002E6001" w:rsidP="002E6001">
      <w:pPr>
        <w:spacing w:after="0" w:line="360" w:lineRule="auto"/>
        <w:ind w:left="-5" w:right="1090" w:hanging="10"/>
        <w:jc w:val="both"/>
        <w:rPr>
          <w:rFonts w:ascii="Arial" w:eastAsia="Times New Roman" w:hAnsi="Arial" w:cs="Arial"/>
          <w:color w:val="222222"/>
          <w:lang w:eastAsia="en-GB"/>
        </w:rPr>
      </w:pPr>
    </w:p>
    <w:p w14:paraId="15B0327E" w14:textId="77777777" w:rsidR="00F60BF3" w:rsidRPr="00C424FA" w:rsidRDefault="00F60BF3" w:rsidP="00F60BF3">
      <w:pPr>
        <w:spacing w:after="17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000000"/>
          <w:szCs w:val="24"/>
          <w:lang w:eastAsia="en-GB"/>
        </w:rPr>
        <w:t xml:space="preserve"> </w:t>
      </w:r>
    </w:p>
    <w:p w14:paraId="238DC8EB" w14:textId="77777777" w:rsidR="00F60BF3" w:rsidRPr="00C424FA" w:rsidRDefault="00F60BF3" w:rsidP="00F60BF3">
      <w:pPr>
        <w:spacing w:after="1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222222"/>
          <w:sz w:val="24"/>
          <w:szCs w:val="24"/>
          <w:lang w:eastAsia="en-GB"/>
        </w:rPr>
        <w:t xml:space="preserve"> </w:t>
      </w:r>
    </w:p>
    <w:p w14:paraId="11619B3E" w14:textId="77777777" w:rsidR="00F60BF3" w:rsidRPr="00C424FA" w:rsidRDefault="00F60BF3" w:rsidP="00F60BF3">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688D5204" w14:textId="77777777" w:rsidR="00F60BF3" w:rsidRPr="00C424FA" w:rsidRDefault="00F60BF3" w:rsidP="00F60BF3">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10906203" w14:textId="77777777" w:rsidR="00F60BF3" w:rsidRPr="00C424FA" w:rsidRDefault="00F60BF3" w:rsidP="00F60BF3">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0E0CB88D" w14:textId="77777777" w:rsidR="00F60BF3" w:rsidRPr="00C424FA" w:rsidRDefault="00F60BF3" w:rsidP="00F60BF3">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1910BA30" w14:textId="77777777" w:rsidR="00F60BF3" w:rsidRPr="00C424FA" w:rsidRDefault="00F60BF3" w:rsidP="00F60BF3">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31C3896C" w14:textId="77777777" w:rsidR="00F60BF3" w:rsidRPr="00C424FA" w:rsidRDefault="00F60BF3" w:rsidP="00F60BF3">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357BC0BD" w14:textId="77777777" w:rsidR="00F60BF3" w:rsidRPr="00C424FA" w:rsidRDefault="00F60BF3" w:rsidP="00F60BF3">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00978DA6" w14:textId="679DD798" w:rsidR="00AF07EE" w:rsidRPr="00C424FA" w:rsidRDefault="00AF07EE" w:rsidP="00AF07EE">
      <w:pPr>
        <w:spacing w:after="0" w:line="360" w:lineRule="auto"/>
        <w:ind w:left="-5" w:right="1090" w:hanging="10"/>
        <w:jc w:val="both"/>
        <w:rPr>
          <w:rFonts w:ascii="Times New Roman" w:eastAsia="Times New Roman" w:hAnsi="Times New Roman" w:cs="Times New Roman"/>
          <w:color w:val="222222"/>
          <w:sz w:val="24"/>
          <w:szCs w:val="24"/>
          <w:lang w:eastAsia="en-GB"/>
        </w:rPr>
      </w:pPr>
    </w:p>
    <w:p w14:paraId="3AC56DCA" w14:textId="77777777" w:rsidR="00AF07EE" w:rsidRDefault="00AF07EE" w:rsidP="00AF07EE">
      <w:pPr>
        <w:spacing w:after="0" w:line="360" w:lineRule="auto"/>
        <w:ind w:right="1090"/>
        <w:jc w:val="both"/>
        <w:rPr>
          <w:rFonts w:ascii="Arial" w:eastAsia="Times New Roman" w:hAnsi="Arial" w:cs="Arial"/>
          <w:color w:val="222222"/>
          <w:lang w:eastAsia="en-GB"/>
        </w:rPr>
      </w:pPr>
    </w:p>
    <w:p w14:paraId="0B3BF50F" w14:textId="2F5AEDB9" w:rsidR="00F60BF3" w:rsidRPr="00AF07EE" w:rsidRDefault="00F60BF3" w:rsidP="00AF07EE">
      <w:pPr>
        <w:spacing w:after="0" w:line="360" w:lineRule="auto"/>
        <w:ind w:right="1090"/>
        <w:jc w:val="both"/>
        <w:rPr>
          <w:rFonts w:ascii="Arial" w:eastAsia="Times New Roman" w:hAnsi="Arial" w:cs="Arial"/>
          <w:color w:val="222222"/>
          <w:lang w:eastAsia="en-GB"/>
        </w:rPr>
        <w:sectPr w:rsidR="00F60BF3" w:rsidRPr="00AF07EE" w:rsidSect="00C424FA">
          <w:pgSz w:w="11905" w:h="16840"/>
          <w:pgMar w:top="1490" w:right="410" w:bottom="1404" w:left="1441" w:header="720" w:footer="720" w:gutter="0"/>
          <w:pgNumType w:start="0"/>
          <w:cols w:space="720"/>
          <w:titlePg/>
          <w:docGrid w:linePitch="299"/>
        </w:sectPr>
      </w:pPr>
    </w:p>
    <w:p w14:paraId="0875FD29" w14:textId="77777777" w:rsidR="00C424FA" w:rsidRPr="00C424FA" w:rsidRDefault="00C424FA" w:rsidP="00AF07EE">
      <w:pPr>
        <w:spacing w:after="0" w:line="248" w:lineRule="auto"/>
        <w:ind w:right="1012"/>
        <w:rPr>
          <w:rFonts w:ascii="Times New Roman" w:eastAsia="Times New Roman" w:hAnsi="Times New Roman" w:cs="Times New Roman"/>
          <w:color w:val="222222"/>
          <w:sz w:val="24"/>
          <w:szCs w:val="24"/>
          <w:lang w:eastAsia="en-GB"/>
        </w:rPr>
        <w:sectPr w:rsidR="00C424FA" w:rsidRPr="00C424FA" w:rsidSect="00C424FA">
          <w:pgSz w:w="11905" w:h="16840"/>
          <w:pgMar w:top="1440" w:right="1440" w:bottom="1440" w:left="1440" w:header="720" w:footer="720" w:gutter="0"/>
          <w:cols w:space="720"/>
        </w:sectPr>
      </w:pPr>
    </w:p>
    <w:p w14:paraId="4F3BBD23" w14:textId="13E317BD" w:rsidR="00C424FA" w:rsidRPr="00C424FA" w:rsidRDefault="00C424FA" w:rsidP="00C424FA">
      <w:pPr>
        <w:spacing w:after="175"/>
        <w:rPr>
          <w:rFonts w:ascii="Times New Roman" w:eastAsia="Times New Roman" w:hAnsi="Times New Roman" w:cs="Times New Roman"/>
          <w:color w:val="222222"/>
          <w:sz w:val="24"/>
          <w:szCs w:val="24"/>
          <w:lang w:eastAsia="en-GB"/>
        </w:rPr>
      </w:pPr>
    </w:p>
    <w:p w14:paraId="41D3D27D" w14:textId="77777777" w:rsidR="00C424FA" w:rsidRPr="00C424FA" w:rsidRDefault="00C424FA" w:rsidP="00C424FA">
      <w:pPr>
        <w:spacing w:after="1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color w:val="222222"/>
          <w:sz w:val="24"/>
          <w:szCs w:val="24"/>
          <w:lang w:eastAsia="en-GB"/>
        </w:rPr>
        <w:t xml:space="preserve"> </w:t>
      </w:r>
    </w:p>
    <w:p w14:paraId="763ED907"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6418D6A7"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27EFC147"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33D676E4"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459BE836"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0928423A"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6881600B"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464E6FF2"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4A296A9C"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31EBB864"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3B0DA660"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15B486BF"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49A20702"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67F3A55A"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091B4E6E"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779C988A"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4D94EA61"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64F07C01"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78D21A5C" w14:textId="77777777" w:rsidR="00C424FA" w:rsidRPr="00C424FA" w:rsidRDefault="00C424FA" w:rsidP="00C424FA">
      <w:pPr>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2F4A401F" w14:textId="77777777" w:rsidR="00C424FA" w:rsidRPr="00C424FA" w:rsidRDefault="00C424FA" w:rsidP="00C424FA">
      <w:pPr>
        <w:spacing w:after="155"/>
        <w:rPr>
          <w:rFonts w:ascii="Times New Roman" w:eastAsia="Times New Roman" w:hAnsi="Times New Roman" w:cs="Times New Roman"/>
          <w:color w:val="222222"/>
          <w:sz w:val="24"/>
          <w:szCs w:val="24"/>
          <w:lang w:eastAsia="en-GB"/>
        </w:rPr>
      </w:pPr>
      <w:r w:rsidRPr="00C424FA">
        <w:rPr>
          <w:rFonts w:ascii="Times New Roman" w:eastAsia="Times New Roman" w:hAnsi="Times New Roman" w:cs="Times New Roman"/>
          <w:b/>
          <w:color w:val="000000"/>
          <w:sz w:val="28"/>
          <w:szCs w:val="24"/>
          <w:lang w:eastAsia="en-GB"/>
        </w:rPr>
        <w:t xml:space="preserve"> </w:t>
      </w:r>
    </w:p>
    <w:p w14:paraId="7F9AFBB3" w14:textId="187949F2" w:rsidR="004632B8" w:rsidRDefault="00C424FA" w:rsidP="007872D3">
      <w:pPr>
        <w:spacing w:after="0"/>
        <w:rPr>
          <w:lang w:eastAsia="en-GB"/>
        </w:rPr>
      </w:pPr>
      <w:r w:rsidRPr="00C424FA">
        <w:rPr>
          <w:rFonts w:ascii="Times New Roman" w:eastAsia="Times New Roman" w:hAnsi="Times New Roman" w:cs="Times New Roman"/>
          <w:b/>
          <w:color w:val="000000"/>
          <w:sz w:val="28"/>
          <w:szCs w:val="24"/>
          <w:lang w:eastAsia="en-GB"/>
        </w:rPr>
        <w:t xml:space="preserve"> </w:t>
      </w:r>
    </w:p>
    <w:p w14:paraId="4E187E19" w14:textId="77777777" w:rsidR="00D509D5" w:rsidRDefault="00D509D5"/>
    <w:sectPr w:rsidR="00D509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E07923" w14:textId="77777777" w:rsidR="006604C3" w:rsidRDefault="006604C3" w:rsidP="009A73B4">
      <w:pPr>
        <w:spacing w:after="0" w:line="240" w:lineRule="auto"/>
      </w:pPr>
      <w:r>
        <w:separator/>
      </w:r>
    </w:p>
  </w:endnote>
  <w:endnote w:type="continuationSeparator" w:id="0">
    <w:p w14:paraId="0AE6DA98" w14:textId="77777777" w:rsidR="006604C3" w:rsidRDefault="006604C3" w:rsidP="009A7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panose1 w:val="020B0604020202020204"/>
    <w:charset w:val="00"/>
    <w:family w:val="roman"/>
    <w:pitch w:val="default"/>
  </w:font>
  <w:font w:name="Times New Roman">
    <w:altName w:val="Arial"/>
    <w:panose1 w:val="020B0604020202020204"/>
    <w:charset w:val="00"/>
    <w:family w:val="roman"/>
    <w:pitch w:val="variable"/>
    <w:sig w:usb0="E0002EFF" w:usb1="C000785B" w:usb2="00000009" w:usb3="00000000" w:csb0="000001FF" w:csb1="00000000"/>
  </w:font>
  <w:font w:name="Aptos Display">
    <w:altName w:val="Calibri"/>
    <w:panose1 w:val="020B0604020202020204"/>
    <w:charset w:val="00"/>
    <w:family w:val="roman"/>
    <w:pitch w:val="default"/>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4BF1CB" w14:textId="77777777" w:rsidR="006604C3" w:rsidRDefault="006604C3" w:rsidP="009A73B4">
      <w:pPr>
        <w:spacing w:after="0" w:line="240" w:lineRule="auto"/>
      </w:pPr>
      <w:r>
        <w:separator/>
      </w:r>
    </w:p>
  </w:footnote>
  <w:footnote w:type="continuationSeparator" w:id="0">
    <w:p w14:paraId="55AF35C6" w14:textId="77777777" w:rsidR="006604C3" w:rsidRDefault="006604C3" w:rsidP="009A73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1119F8"/>
    <w:multiLevelType w:val="hybridMultilevel"/>
    <w:tmpl w:val="05F28C8E"/>
    <w:lvl w:ilvl="0" w:tplc="B2B44B76">
      <w:start w:val="1"/>
      <w:numFmt w:val="bullet"/>
      <w:lvlText w:val="•"/>
      <w:lvlJc w:val="left"/>
      <w:pPr>
        <w:ind w:left="79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1" w:tplc="7278CDBA">
      <w:start w:val="1"/>
      <w:numFmt w:val="bullet"/>
      <w:lvlText w:val="o"/>
      <w:lvlJc w:val="left"/>
      <w:pPr>
        <w:ind w:left="1511"/>
      </w:pPr>
      <w:rPr>
        <w:rFonts w:ascii="Segoe UI Symbol" w:eastAsia="Segoe UI Symbol" w:hAnsi="Segoe UI Symbol" w:cs="Segoe UI Symbol"/>
        <w:b w:val="0"/>
        <w:i w:val="0"/>
        <w:strike w:val="0"/>
        <w:dstrike w:val="0"/>
        <w:color w:val="222222"/>
        <w:sz w:val="24"/>
        <w:szCs w:val="24"/>
        <w:u w:val="none" w:color="000000"/>
        <w:bdr w:val="none" w:sz="0" w:space="0" w:color="auto"/>
        <w:shd w:val="clear" w:color="auto" w:fill="auto"/>
        <w:vertAlign w:val="baseline"/>
      </w:rPr>
    </w:lvl>
    <w:lvl w:ilvl="2" w:tplc="FCDC18C6">
      <w:start w:val="1"/>
      <w:numFmt w:val="bullet"/>
      <w:lvlText w:val="▪"/>
      <w:lvlJc w:val="left"/>
      <w:pPr>
        <w:ind w:left="2231"/>
      </w:pPr>
      <w:rPr>
        <w:rFonts w:ascii="Segoe UI Symbol" w:eastAsia="Segoe UI Symbol" w:hAnsi="Segoe UI Symbol" w:cs="Segoe UI Symbol"/>
        <w:b w:val="0"/>
        <w:i w:val="0"/>
        <w:strike w:val="0"/>
        <w:dstrike w:val="0"/>
        <w:color w:val="222222"/>
        <w:sz w:val="24"/>
        <w:szCs w:val="24"/>
        <w:u w:val="none" w:color="000000"/>
        <w:bdr w:val="none" w:sz="0" w:space="0" w:color="auto"/>
        <w:shd w:val="clear" w:color="auto" w:fill="auto"/>
        <w:vertAlign w:val="baseline"/>
      </w:rPr>
    </w:lvl>
    <w:lvl w:ilvl="3" w:tplc="C3B8E73E">
      <w:start w:val="1"/>
      <w:numFmt w:val="bullet"/>
      <w:lvlText w:val="•"/>
      <w:lvlJc w:val="left"/>
      <w:pPr>
        <w:ind w:left="295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4" w:tplc="BFDA8A18">
      <w:start w:val="1"/>
      <w:numFmt w:val="bullet"/>
      <w:lvlText w:val="o"/>
      <w:lvlJc w:val="left"/>
      <w:pPr>
        <w:ind w:left="3671"/>
      </w:pPr>
      <w:rPr>
        <w:rFonts w:ascii="Segoe UI Symbol" w:eastAsia="Segoe UI Symbol" w:hAnsi="Segoe UI Symbol" w:cs="Segoe UI Symbol"/>
        <w:b w:val="0"/>
        <w:i w:val="0"/>
        <w:strike w:val="0"/>
        <w:dstrike w:val="0"/>
        <w:color w:val="222222"/>
        <w:sz w:val="24"/>
        <w:szCs w:val="24"/>
        <w:u w:val="none" w:color="000000"/>
        <w:bdr w:val="none" w:sz="0" w:space="0" w:color="auto"/>
        <w:shd w:val="clear" w:color="auto" w:fill="auto"/>
        <w:vertAlign w:val="baseline"/>
      </w:rPr>
    </w:lvl>
    <w:lvl w:ilvl="5" w:tplc="3112D26E">
      <w:start w:val="1"/>
      <w:numFmt w:val="bullet"/>
      <w:lvlText w:val="▪"/>
      <w:lvlJc w:val="left"/>
      <w:pPr>
        <w:ind w:left="4391"/>
      </w:pPr>
      <w:rPr>
        <w:rFonts w:ascii="Segoe UI Symbol" w:eastAsia="Segoe UI Symbol" w:hAnsi="Segoe UI Symbol" w:cs="Segoe UI Symbol"/>
        <w:b w:val="0"/>
        <w:i w:val="0"/>
        <w:strike w:val="0"/>
        <w:dstrike w:val="0"/>
        <w:color w:val="222222"/>
        <w:sz w:val="24"/>
        <w:szCs w:val="24"/>
        <w:u w:val="none" w:color="000000"/>
        <w:bdr w:val="none" w:sz="0" w:space="0" w:color="auto"/>
        <w:shd w:val="clear" w:color="auto" w:fill="auto"/>
        <w:vertAlign w:val="baseline"/>
      </w:rPr>
    </w:lvl>
    <w:lvl w:ilvl="6" w:tplc="5C50F7C2">
      <w:start w:val="1"/>
      <w:numFmt w:val="bullet"/>
      <w:lvlText w:val="•"/>
      <w:lvlJc w:val="left"/>
      <w:pPr>
        <w:ind w:left="511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7" w:tplc="4EF46046">
      <w:start w:val="1"/>
      <w:numFmt w:val="bullet"/>
      <w:lvlText w:val="o"/>
      <w:lvlJc w:val="left"/>
      <w:pPr>
        <w:ind w:left="5831"/>
      </w:pPr>
      <w:rPr>
        <w:rFonts w:ascii="Segoe UI Symbol" w:eastAsia="Segoe UI Symbol" w:hAnsi="Segoe UI Symbol" w:cs="Segoe UI Symbol"/>
        <w:b w:val="0"/>
        <w:i w:val="0"/>
        <w:strike w:val="0"/>
        <w:dstrike w:val="0"/>
        <w:color w:val="222222"/>
        <w:sz w:val="24"/>
        <w:szCs w:val="24"/>
        <w:u w:val="none" w:color="000000"/>
        <w:bdr w:val="none" w:sz="0" w:space="0" w:color="auto"/>
        <w:shd w:val="clear" w:color="auto" w:fill="auto"/>
        <w:vertAlign w:val="baseline"/>
      </w:rPr>
    </w:lvl>
    <w:lvl w:ilvl="8" w:tplc="E54A05C8">
      <w:start w:val="1"/>
      <w:numFmt w:val="bullet"/>
      <w:lvlText w:val="▪"/>
      <w:lvlJc w:val="left"/>
      <w:pPr>
        <w:ind w:left="6551"/>
      </w:pPr>
      <w:rPr>
        <w:rFonts w:ascii="Segoe UI Symbol" w:eastAsia="Segoe UI Symbol" w:hAnsi="Segoe UI Symbol" w:cs="Segoe UI Symbol"/>
        <w:b w:val="0"/>
        <w:i w:val="0"/>
        <w:strike w:val="0"/>
        <w:dstrike w:val="0"/>
        <w:color w:val="222222"/>
        <w:sz w:val="24"/>
        <w:szCs w:val="24"/>
        <w:u w:val="none" w:color="000000"/>
        <w:bdr w:val="none" w:sz="0" w:space="0" w:color="auto"/>
        <w:shd w:val="clear" w:color="auto" w:fill="auto"/>
        <w:vertAlign w:val="baseline"/>
      </w:rPr>
    </w:lvl>
  </w:abstractNum>
  <w:num w:numId="1" w16cid:durableId="102532536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4FA"/>
    <w:rsid w:val="0000309D"/>
    <w:rsid w:val="000220E5"/>
    <w:rsid w:val="000F0587"/>
    <w:rsid w:val="000F50F2"/>
    <w:rsid w:val="00123817"/>
    <w:rsid w:val="00164A08"/>
    <w:rsid w:val="001711EA"/>
    <w:rsid w:val="00180641"/>
    <w:rsid w:val="001B3700"/>
    <w:rsid w:val="002D5C23"/>
    <w:rsid w:val="002E0D6B"/>
    <w:rsid w:val="002E6001"/>
    <w:rsid w:val="002F70BC"/>
    <w:rsid w:val="00346DDD"/>
    <w:rsid w:val="00356388"/>
    <w:rsid w:val="003C3CB3"/>
    <w:rsid w:val="003E7056"/>
    <w:rsid w:val="004632B8"/>
    <w:rsid w:val="00477F01"/>
    <w:rsid w:val="004F7492"/>
    <w:rsid w:val="00533166"/>
    <w:rsid w:val="005522CD"/>
    <w:rsid w:val="005E1551"/>
    <w:rsid w:val="0063482E"/>
    <w:rsid w:val="006604C3"/>
    <w:rsid w:val="00662F16"/>
    <w:rsid w:val="00672607"/>
    <w:rsid w:val="007872D3"/>
    <w:rsid w:val="008204F6"/>
    <w:rsid w:val="00867D73"/>
    <w:rsid w:val="0091119C"/>
    <w:rsid w:val="009343EE"/>
    <w:rsid w:val="009A5C51"/>
    <w:rsid w:val="009A73B4"/>
    <w:rsid w:val="009F05F6"/>
    <w:rsid w:val="00AF07EE"/>
    <w:rsid w:val="00AF32E6"/>
    <w:rsid w:val="00B01863"/>
    <w:rsid w:val="00B07F8E"/>
    <w:rsid w:val="00B15F7C"/>
    <w:rsid w:val="00BC51E0"/>
    <w:rsid w:val="00BF33AE"/>
    <w:rsid w:val="00C424FA"/>
    <w:rsid w:val="00C44A78"/>
    <w:rsid w:val="00C62CDC"/>
    <w:rsid w:val="00CD5D61"/>
    <w:rsid w:val="00D34CB2"/>
    <w:rsid w:val="00D509D5"/>
    <w:rsid w:val="00D56069"/>
    <w:rsid w:val="00D64D48"/>
    <w:rsid w:val="00DA6EEF"/>
    <w:rsid w:val="00DB7860"/>
    <w:rsid w:val="00E2405F"/>
    <w:rsid w:val="00E538D2"/>
    <w:rsid w:val="00E611D9"/>
    <w:rsid w:val="00E65178"/>
    <w:rsid w:val="00EA5E3A"/>
    <w:rsid w:val="00EB7F01"/>
    <w:rsid w:val="00ED1560"/>
    <w:rsid w:val="00F52E4B"/>
    <w:rsid w:val="00F60BF3"/>
    <w:rsid w:val="00FB0EF5"/>
    <w:rsid w:val="00FE2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27574"/>
  <w15:chartTrackingRefBased/>
  <w15:docId w15:val="{CEA2F7EC-979C-429C-B5B7-A3FCBAECC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4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4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4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24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4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4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4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4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4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4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4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4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4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4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4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4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4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4FA"/>
    <w:rPr>
      <w:rFonts w:eastAsiaTheme="majorEastAsia" w:cstheme="majorBidi"/>
      <w:color w:val="272727" w:themeColor="text1" w:themeTint="D8"/>
    </w:rPr>
  </w:style>
  <w:style w:type="paragraph" w:styleId="Title">
    <w:name w:val="Title"/>
    <w:basedOn w:val="Normal"/>
    <w:next w:val="Normal"/>
    <w:link w:val="TitleChar"/>
    <w:uiPriority w:val="10"/>
    <w:qFormat/>
    <w:rsid w:val="00C424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4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4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4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4FA"/>
    <w:pPr>
      <w:spacing w:before="160"/>
      <w:jc w:val="center"/>
    </w:pPr>
    <w:rPr>
      <w:i/>
      <w:iCs/>
      <w:color w:val="404040" w:themeColor="text1" w:themeTint="BF"/>
    </w:rPr>
  </w:style>
  <w:style w:type="character" w:customStyle="1" w:styleId="QuoteChar">
    <w:name w:val="Quote Char"/>
    <w:basedOn w:val="DefaultParagraphFont"/>
    <w:link w:val="Quote"/>
    <w:uiPriority w:val="29"/>
    <w:rsid w:val="00C424FA"/>
    <w:rPr>
      <w:i/>
      <w:iCs/>
      <w:color w:val="404040" w:themeColor="text1" w:themeTint="BF"/>
    </w:rPr>
  </w:style>
  <w:style w:type="paragraph" w:styleId="ListParagraph">
    <w:name w:val="List Paragraph"/>
    <w:basedOn w:val="Normal"/>
    <w:uiPriority w:val="34"/>
    <w:qFormat/>
    <w:rsid w:val="00C424FA"/>
    <w:pPr>
      <w:ind w:left="720"/>
      <w:contextualSpacing/>
    </w:pPr>
  </w:style>
  <w:style w:type="character" w:styleId="IntenseEmphasis">
    <w:name w:val="Intense Emphasis"/>
    <w:basedOn w:val="DefaultParagraphFont"/>
    <w:uiPriority w:val="21"/>
    <w:qFormat/>
    <w:rsid w:val="00C424FA"/>
    <w:rPr>
      <w:i/>
      <w:iCs/>
      <w:color w:val="0F4761" w:themeColor="accent1" w:themeShade="BF"/>
    </w:rPr>
  </w:style>
  <w:style w:type="paragraph" w:styleId="IntenseQuote">
    <w:name w:val="Intense Quote"/>
    <w:basedOn w:val="Normal"/>
    <w:next w:val="Normal"/>
    <w:link w:val="IntenseQuoteChar"/>
    <w:uiPriority w:val="30"/>
    <w:qFormat/>
    <w:rsid w:val="00C424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4FA"/>
    <w:rPr>
      <w:i/>
      <w:iCs/>
      <w:color w:val="0F4761" w:themeColor="accent1" w:themeShade="BF"/>
    </w:rPr>
  </w:style>
  <w:style w:type="character" w:styleId="IntenseReference">
    <w:name w:val="Intense Reference"/>
    <w:basedOn w:val="DefaultParagraphFont"/>
    <w:uiPriority w:val="32"/>
    <w:qFormat/>
    <w:rsid w:val="00C424FA"/>
    <w:rPr>
      <w:b/>
      <w:bCs/>
      <w:smallCaps/>
      <w:color w:val="0F4761" w:themeColor="accent1" w:themeShade="BF"/>
      <w:spacing w:val="5"/>
    </w:rPr>
  </w:style>
  <w:style w:type="paragraph" w:styleId="TOCHeading">
    <w:name w:val="TOC Heading"/>
    <w:basedOn w:val="Heading1"/>
    <w:next w:val="Normal"/>
    <w:uiPriority w:val="39"/>
    <w:unhideWhenUsed/>
    <w:qFormat/>
    <w:rsid w:val="00C424F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424FA"/>
    <w:pPr>
      <w:spacing w:after="100"/>
    </w:pPr>
  </w:style>
  <w:style w:type="paragraph" w:styleId="TOC2">
    <w:name w:val="toc 2"/>
    <w:basedOn w:val="Normal"/>
    <w:next w:val="Normal"/>
    <w:autoRedefine/>
    <w:uiPriority w:val="39"/>
    <w:unhideWhenUsed/>
    <w:rsid w:val="00C424FA"/>
    <w:pPr>
      <w:spacing w:after="100"/>
      <w:ind w:left="220"/>
    </w:pPr>
  </w:style>
  <w:style w:type="character" w:styleId="Hyperlink">
    <w:name w:val="Hyperlink"/>
    <w:basedOn w:val="DefaultParagraphFont"/>
    <w:uiPriority w:val="99"/>
    <w:unhideWhenUsed/>
    <w:rsid w:val="00C424FA"/>
    <w:rPr>
      <w:color w:val="467886" w:themeColor="hyperlink"/>
      <w:u w:val="single"/>
    </w:rPr>
  </w:style>
  <w:style w:type="paragraph" w:styleId="NoSpacing">
    <w:name w:val="No Spacing"/>
    <w:link w:val="NoSpacingChar"/>
    <w:uiPriority w:val="1"/>
    <w:qFormat/>
    <w:rsid w:val="00C424F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424FA"/>
    <w:rPr>
      <w:rFonts w:eastAsiaTheme="minorEastAsia"/>
      <w:kern w:val="0"/>
      <w:lang w:val="en-US"/>
      <w14:ligatures w14:val="none"/>
    </w:rPr>
  </w:style>
  <w:style w:type="paragraph" w:styleId="Header">
    <w:name w:val="header"/>
    <w:basedOn w:val="Normal"/>
    <w:link w:val="HeaderChar"/>
    <w:uiPriority w:val="99"/>
    <w:unhideWhenUsed/>
    <w:rsid w:val="009A7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3B4"/>
  </w:style>
  <w:style w:type="paragraph" w:styleId="Footer">
    <w:name w:val="footer"/>
    <w:basedOn w:val="Normal"/>
    <w:link w:val="FooterChar"/>
    <w:uiPriority w:val="99"/>
    <w:unhideWhenUsed/>
    <w:rsid w:val="009A7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3B4"/>
  </w:style>
  <w:style w:type="character" w:styleId="BookTitle">
    <w:name w:val="Book Title"/>
    <w:basedOn w:val="DefaultParagraphFont"/>
    <w:uiPriority w:val="33"/>
    <w:qFormat/>
    <w:rsid w:val="00346DDD"/>
    <w:rPr>
      <w:b/>
      <w:bCs/>
      <w:i/>
      <w:iCs/>
      <w:spacing w:val="5"/>
    </w:rPr>
  </w:style>
  <w:style w:type="paragraph" w:styleId="Caption">
    <w:name w:val="caption"/>
    <w:basedOn w:val="Normal"/>
    <w:next w:val="Normal"/>
    <w:uiPriority w:val="35"/>
    <w:semiHidden/>
    <w:unhideWhenUsed/>
    <w:qFormat/>
    <w:rsid w:val="00346DDD"/>
    <w:pPr>
      <w:spacing w:after="200" w:line="240" w:lineRule="auto"/>
    </w:pPr>
    <w:rPr>
      <w:i/>
      <w:iCs/>
      <w:color w:val="0E2841" w:themeColor="text2"/>
      <w:sz w:val="18"/>
      <w:szCs w:val="18"/>
    </w:rPr>
  </w:style>
  <w:style w:type="character" w:styleId="Emphasis">
    <w:name w:val="Emphasis"/>
    <w:basedOn w:val="DefaultParagraphFont"/>
    <w:uiPriority w:val="20"/>
    <w:qFormat/>
    <w:rsid w:val="00346DDD"/>
    <w:rPr>
      <w:i/>
      <w:iCs/>
    </w:rPr>
  </w:style>
  <w:style w:type="character" w:styleId="Strong">
    <w:name w:val="Strong"/>
    <w:basedOn w:val="DefaultParagraphFont"/>
    <w:uiPriority w:val="22"/>
    <w:qFormat/>
    <w:rsid w:val="00346DDD"/>
    <w:rPr>
      <w:b/>
      <w:bCs/>
    </w:rPr>
  </w:style>
  <w:style w:type="character" w:styleId="SubtleEmphasis">
    <w:name w:val="Subtle Emphasis"/>
    <w:basedOn w:val="DefaultParagraphFont"/>
    <w:uiPriority w:val="19"/>
    <w:qFormat/>
    <w:rsid w:val="00346DDD"/>
    <w:rPr>
      <w:i/>
      <w:iCs/>
      <w:color w:val="404040" w:themeColor="text1" w:themeTint="BF"/>
    </w:rPr>
  </w:style>
  <w:style w:type="character" w:styleId="SubtleReference">
    <w:name w:val="Subtle Reference"/>
    <w:basedOn w:val="DefaultParagraphFont"/>
    <w:uiPriority w:val="31"/>
    <w:qFormat/>
    <w:rsid w:val="00346DD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uk/" TargetMode="External"/><Relationship Id="rId5" Type="http://schemas.openxmlformats.org/officeDocument/2006/relationships/webSettings" Target="webSettings.xml"/><Relationship Id="rId10" Type="http://schemas.openxmlformats.org/officeDocument/2006/relationships/hyperlink" Target="http://gov.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27797-5563-4FAC-8BC6-4D342423B8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3268</Words>
  <Characters>18630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Dixon 2439121</dc:creator>
  <cp:keywords/>
  <dc:description/>
  <cp:lastModifiedBy>Vanessa Alcid</cp:lastModifiedBy>
  <cp:revision>2</cp:revision>
  <dcterms:created xsi:type="dcterms:W3CDTF">2026-08-07T11:55:00Z</dcterms:created>
  <dcterms:modified xsi:type="dcterms:W3CDTF">2026-08-07T11:55:00Z</dcterms:modified>
</cp:coreProperties>
</file>