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p>
    <w:p>
      <w:pPr>
        <w:pStyle w:val="Body"/>
        <w:bidi w:val="0"/>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Header &amp; Footer"/>
        <w:jc w:val="center"/>
        <w:rPr>
          <w:sz w:val="32"/>
          <w:szCs w:val="32"/>
        </w:rPr>
      </w:pPr>
      <w:r>
        <w:rPr>
          <w:sz w:val="32"/>
          <w:szCs w:val="32"/>
          <w:rtl w:val="0"/>
          <w:lang w:val="en-US"/>
        </w:rPr>
        <w:t>Evaluate the success and limitations of the Police and Criminal Evidence Act 1984 in preventing Miscarriages of justice</w:t>
      </w:r>
    </w:p>
    <w:p>
      <w:pPr>
        <w:pStyle w:val="Header &amp; Footer"/>
        <w:jc w:val="center"/>
        <w:rPr>
          <w:sz w:val="32"/>
          <w:szCs w:val="32"/>
        </w:rPr>
      </w:pPr>
    </w:p>
    <w:p>
      <w:pPr>
        <w:pStyle w:val="Header &amp; Footer"/>
        <w:jc w:val="center"/>
        <w:rPr>
          <w:sz w:val="32"/>
          <w:szCs w:val="32"/>
        </w:rPr>
      </w:pPr>
    </w:p>
    <w:p>
      <w:pPr>
        <w:pStyle w:val="Header &amp; Footer"/>
        <w:jc w:val="center"/>
        <w:rPr>
          <w:sz w:val="32"/>
          <w:szCs w:val="32"/>
        </w:rPr>
      </w:pPr>
    </w:p>
    <w:p>
      <w:pPr>
        <w:pStyle w:val="Header &amp; Footer"/>
        <w:jc w:val="center"/>
        <w:rPr>
          <w:sz w:val="32"/>
          <w:szCs w:val="32"/>
        </w:rPr>
      </w:pPr>
    </w:p>
    <w:p>
      <w:pPr>
        <w:pStyle w:val="Header &amp; Footer"/>
        <w:jc w:val="center"/>
        <w:rPr>
          <w:sz w:val="32"/>
          <w:szCs w:val="32"/>
        </w:rPr>
      </w:pPr>
    </w:p>
    <w:p>
      <w:pPr>
        <w:pStyle w:val="Header &amp; Footer"/>
        <w:jc w:val="center"/>
        <w:rPr>
          <w:sz w:val="32"/>
          <w:szCs w:val="32"/>
        </w:rPr>
      </w:pPr>
      <w:r>
        <w:rPr>
          <w:sz w:val="32"/>
          <w:szCs w:val="32"/>
          <w:rtl w:val="0"/>
          <w:lang w:val="en-US"/>
        </w:rPr>
        <w:t>Sophie Evans</w:t>
      </w:r>
    </w:p>
    <w:p>
      <w:pPr>
        <w:pStyle w:val="Header &amp; Footer"/>
        <w:jc w:val="center"/>
        <w:rPr>
          <w:sz w:val="32"/>
          <w:szCs w:val="32"/>
        </w:rPr>
      </w:pPr>
    </w:p>
    <w:p>
      <w:pPr>
        <w:pStyle w:val="Header &amp; Footer"/>
        <w:jc w:val="center"/>
        <w:rPr>
          <w:sz w:val="32"/>
          <w:szCs w:val="32"/>
        </w:rPr>
      </w:pPr>
    </w:p>
    <w:p>
      <w:pPr>
        <w:pStyle w:val="Header &amp; Footer"/>
        <w:jc w:val="center"/>
        <w:rPr>
          <w:sz w:val="32"/>
          <w:szCs w:val="32"/>
        </w:rPr>
      </w:pPr>
    </w:p>
    <w:p>
      <w:pPr>
        <w:pStyle w:val="Header &amp; Footer"/>
        <w:jc w:val="center"/>
        <w:rPr>
          <w:sz w:val="32"/>
          <w:szCs w:val="32"/>
        </w:rPr>
      </w:pPr>
    </w:p>
    <w:p>
      <w:pPr>
        <w:pStyle w:val="Header &amp; Footer"/>
        <w:jc w:val="center"/>
        <w:rPr>
          <w:sz w:val="32"/>
          <w:szCs w:val="32"/>
        </w:rPr>
      </w:pPr>
    </w:p>
    <w:p>
      <w:pPr>
        <w:pStyle w:val="Header &amp; Footer"/>
        <w:jc w:val="center"/>
        <w:rPr>
          <w:sz w:val="32"/>
          <w:szCs w:val="32"/>
        </w:rPr>
      </w:pPr>
      <w:r>
        <w:rPr>
          <w:sz w:val="32"/>
          <w:szCs w:val="32"/>
          <w:rtl w:val="0"/>
          <w:lang w:val="en-US"/>
        </w:rPr>
        <w:t>170078</w:t>
      </w:r>
    </w:p>
    <w:p>
      <w:pPr>
        <w:pStyle w:val="Header &amp; Footer"/>
        <w:jc w:val="center"/>
        <w:rPr>
          <w:sz w:val="32"/>
          <w:szCs w:val="32"/>
        </w:rPr>
      </w:pPr>
    </w:p>
    <w:p>
      <w:pPr>
        <w:pStyle w:val="Header &amp; Footer"/>
        <w:jc w:val="center"/>
        <w:rPr>
          <w:sz w:val="32"/>
          <w:szCs w:val="32"/>
        </w:rPr>
      </w:pPr>
    </w:p>
    <w:p>
      <w:pPr>
        <w:pStyle w:val="Header &amp; Footer"/>
        <w:jc w:val="center"/>
        <w:rPr>
          <w:sz w:val="32"/>
          <w:szCs w:val="32"/>
        </w:rPr>
      </w:pPr>
    </w:p>
    <w:p>
      <w:pPr>
        <w:pStyle w:val="Header &amp; Footer"/>
        <w:jc w:val="center"/>
        <w:rPr>
          <w:sz w:val="32"/>
          <w:szCs w:val="32"/>
        </w:rPr>
      </w:pPr>
    </w:p>
    <w:p>
      <w:pPr>
        <w:pStyle w:val="Header &amp; Footer"/>
        <w:jc w:val="center"/>
        <w:rPr>
          <w:sz w:val="32"/>
          <w:szCs w:val="32"/>
        </w:rPr>
      </w:pPr>
      <w:r>
        <w:rPr>
          <w:sz w:val="32"/>
          <w:szCs w:val="32"/>
          <w:rtl w:val="0"/>
          <w:lang w:val="en-US"/>
        </w:rPr>
        <w:t xml:space="preserve"> </w:t>
      </w:r>
    </w:p>
    <w:p>
      <w:pPr>
        <w:pStyle w:val="Header &amp; Footer"/>
        <w:jc w:val="center"/>
        <w:rPr>
          <w:sz w:val="32"/>
          <w:szCs w:val="32"/>
        </w:rPr>
      </w:pPr>
      <w:r>
        <w:rPr>
          <w:sz w:val="32"/>
          <w:szCs w:val="32"/>
          <w:rtl w:val="0"/>
          <w:lang w:val="en-US"/>
        </w:rPr>
        <w:t>Word Count: 2470</w:t>
      </w: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r>
        <w:rPr>
          <w:sz w:val="24"/>
          <w:szCs w:val="24"/>
          <w:rtl w:val="0"/>
          <w:lang w:val="en-US"/>
        </w:rPr>
        <w:t>The Police and Criminal Evidence Act (PACE) was designed in 1984, this act allows the police the powers to help reduce crime and protect the public (</w:t>
      </w:r>
      <w:r>
        <w:rPr>
          <w:rStyle w:val="Hyperlink.0"/>
          <w:sz w:val="24"/>
          <w:szCs w:val="24"/>
        </w:rPr>
        <w:fldChar w:fldCharType="begin" w:fldLock="0"/>
      </w:r>
      <w:r>
        <w:rPr>
          <w:rStyle w:val="Hyperlink.0"/>
          <w:sz w:val="24"/>
          <w:szCs w:val="24"/>
        </w:rPr>
        <w:instrText xml:space="preserve"> HYPERLINK "http://gov.uk"</w:instrText>
      </w:r>
      <w:r>
        <w:rPr>
          <w:rStyle w:val="Hyperlink.0"/>
          <w:sz w:val="24"/>
          <w:szCs w:val="24"/>
        </w:rPr>
        <w:fldChar w:fldCharType="separate" w:fldLock="0"/>
      </w:r>
      <w:r>
        <w:rPr>
          <w:rStyle w:val="Hyperlink.0"/>
          <w:sz w:val="24"/>
          <w:szCs w:val="24"/>
          <w:rtl w:val="0"/>
          <w:lang w:val="en-US"/>
        </w:rPr>
        <w:t>gov.uk</w:t>
      </w:r>
      <w:r>
        <w:rPr>
          <w:sz w:val="24"/>
          <w:szCs w:val="24"/>
        </w:rPr>
        <w:fldChar w:fldCharType="end" w:fldLock="0"/>
      </w:r>
      <w:r>
        <w:rPr>
          <w:sz w:val="24"/>
          <w:szCs w:val="24"/>
          <w:rtl w:val="0"/>
          <w:lang w:val="en-US"/>
        </w:rPr>
        <w:t>, 2019).The act is built up from a number of codes. Code A allows the police constables the power to stop and search a person or a vehicle (</w:t>
      </w:r>
      <w:r>
        <w:rPr>
          <w:rStyle w:val="Hyperlink.0"/>
          <w:sz w:val="24"/>
          <w:szCs w:val="24"/>
        </w:rPr>
        <w:fldChar w:fldCharType="begin" w:fldLock="0"/>
      </w:r>
      <w:r>
        <w:rPr>
          <w:rStyle w:val="Hyperlink.0"/>
          <w:sz w:val="24"/>
          <w:szCs w:val="24"/>
        </w:rPr>
        <w:instrText xml:space="preserve"> HYPERLINK "http://legislation.gov.uk"</w:instrText>
      </w:r>
      <w:r>
        <w:rPr>
          <w:rStyle w:val="Hyperlink.0"/>
          <w:sz w:val="24"/>
          <w:szCs w:val="24"/>
        </w:rPr>
        <w:fldChar w:fldCharType="separate" w:fldLock="0"/>
      </w:r>
      <w:r>
        <w:rPr>
          <w:rStyle w:val="Hyperlink.0"/>
          <w:sz w:val="24"/>
          <w:szCs w:val="24"/>
          <w:rtl w:val="0"/>
          <w:lang w:val="en-US"/>
        </w:rPr>
        <w:t>legislation.gov.uk</w:t>
      </w:r>
      <w:r>
        <w:rPr>
          <w:sz w:val="24"/>
          <w:szCs w:val="24"/>
        </w:rPr>
        <w:fldChar w:fldCharType="end" w:fldLock="0"/>
      </w:r>
      <w:r>
        <w:rPr>
          <w:sz w:val="24"/>
          <w:szCs w:val="24"/>
          <w:rtl w:val="0"/>
          <w:lang w:val="en-US"/>
        </w:rPr>
        <w:t xml:space="preserve">, 2019), Code B works in connect with Code A, as it allows the police to search a property under reasonable </w:t>
      </w:r>
      <w:r>
        <w:rPr>
          <w:sz w:val="24"/>
          <w:szCs w:val="24"/>
          <w:rtl w:val="0"/>
          <w:lang w:val="es-ES_tradnl"/>
        </w:rPr>
        <w:t>suspicion</w:t>
      </w:r>
      <w:r>
        <w:rPr>
          <w:sz w:val="24"/>
          <w:szCs w:val="24"/>
          <w:rtl w:val="0"/>
          <w:lang w:val="en-US"/>
        </w:rPr>
        <w:t xml:space="preserve">  (</w:t>
      </w:r>
      <w:r>
        <w:rPr>
          <w:rStyle w:val="Hyperlink.0"/>
          <w:sz w:val="24"/>
          <w:szCs w:val="24"/>
        </w:rPr>
        <w:fldChar w:fldCharType="begin" w:fldLock="0"/>
      </w:r>
      <w:r>
        <w:rPr>
          <w:rStyle w:val="Hyperlink.0"/>
          <w:sz w:val="24"/>
          <w:szCs w:val="24"/>
        </w:rPr>
        <w:instrText xml:space="preserve"> HYPERLINK "http://gov.uk"</w:instrText>
      </w:r>
      <w:r>
        <w:rPr>
          <w:rStyle w:val="Hyperlink.0"/>
          <w:sz w:val="24"/>
          <w:szCs w:val="24"/>
        </w:rPr>
        <w:fldChar w:fldCharType="separate" w:fldLock="0"/>
      </w:r>
      <w:r>
        <w:rPr>
          <w:rStyle w:val="Hyperlink.0"/>
          <w:sz w:val="24"/>
          <w:szCs w:val="24"/>
          <w:rtl w:val="0"/>
          <w:lang w:val="en-US"/>
        </w:rPr>
        <w:t>gov.uk</w:t>
      </w:r>
      <w:r>
        <w:rPr>
          <w:sz w:val="24"/>
          <w:szCs w:val="24"/>
        </w:rPr>
        <w:fldChar w:fldCharType="end" w:fldLock="0"/>
      </w:r>
      <w:r>
        <w:rPr>
          <w:sz w:val="24"/>
          <w:szCs w:val="24"/>
          <w:rtl w:val="0"/>
          <w:lang w:val="en-US"/>
        </w:rPr>
        <w:t>, 2019). The Police and Criminal Justice Act 1984 highlights the laws surround arresting and detention of a person under Code C of PACE (</w:t>
      </w:r>
      <w:r>
        <w:rPr>
          <w:rStyle w:val="Hyperlink.0"/>
          <w:sz w:val="24"/>
          <w:szCs w:val="24"/>
        </w:rPr>
        <w:fldChar w:fldCharType="begin" w:fldLock="0"/>
      </w:r>
      <w:r>
        <w:rPr>
          <w:rStyle w:val="Hyperlink.0"/>
          <w:sz w:val="24"/>
          <w:szCs w:val="24"/>
        </w:rPr>
        <w:instrText xml:space="preserve"> HYPERLINK "http://legislation.gov.uk"</w:instrText>
      </w:r>
      <w:r>
        <w:rPr>
          <w:rStyle w:val="Hyperlink.0"/>
          <w:sz w:val="24"/>
          <w:szCs w:val="24"/>
        </w:rPr>
        <w:fldChar w:fldCharType="separate" w:fldLock="0"/>
      </w:r>
      <w:r>
        <w:rPr>
          <w:rStyle w:val="Hyperlink.0"/>
          <w:sz w:val="24"/>
          <w:szCs w:val="24"/>
          <w:rtl w:val="0"/>
          <w:lang w:val="en-US"/>
        </w:rPr>
        <w:t>legislation.gov.uk</w:t>
      </w:r>
      <w:r>
        <w:rPr>
          <w:sz w:val="24"/>
          <w:szCs w:val="24"/>
        </w:rPr>
        <w:fldChar w:fldCharType="end" w:fldLock="0"/>
      </w:r>
      <w:r>
        <w:rPr>
          <w:sz w:val="24"/>
          <w:szCs w:val="24"/>
          <w:rtl w:val="0"/>
          <w:lang w:val="en-US"/>
        </w:rPr>
        <w:t xml:space="preserve">, 2019). </w:t>
      </w:r>
    </w:p>
    <w:p>
      <w:pPr>
        <w:pStyle w:val="Body"/>
        <w:spacing w:line="480" w:lineRule="auto"/>
        <w:rPr>
          <w:sz w:val="24"/>
          <w:szCs w:val="24"/>
        </w:rPr>
      </w:pPr>
      <w:r>
        <w:rPr>
          <w:sz w:val="24"/>
          <w:szCs w:val="24"/>
          <w:rtl w:val="0"/>
          <w:lang w:val="en-US"/>
        </w:rPr>
        <w:t>Under Code D of the PACE allows the police to identify people who they believe is connected to a crime (</w:t>
      </w:r>
      <w:r>
        <w:rPr>
          <w:rStyle w:val="Hyperlink.0"/>
          <w:sz w:val="24"/>
          <w:szCs w:val="24"/>
        </w:rPr>
        <w:fldChar w:fldCharType="begin" w:fldLock="0"/>
      </w:r>
      <w:r>
        <w:rPr>
          <w:rStyle w:val="Hyperlink.0"/>
          <w:sz w:val="24"/>
          <w:szCs w:val="24"/>
        </w:rPr>
        <w:instrText xml:space="preserve"> HYPERLINK "http://gov.uk"</w:instrText>
      </w:r>
      <w:r>
        <w:rPr>
          <w:rStyle w:val="Hyperlink.0"/>
          <w:sz w:val="24"/>
          <w:szCs w:val="24"/>
        </w:rPr>
        <w:fldChar w:fldCharType="separate" w:fldLock="0"/>
      </w:r>
      <w:r>
        <w:rPr>
          <w:rStyle w:val="Hyperlink.0"/>
          <w:sz w:val="24"/>
          <w:szCs w:val="24"/>
          <w:rtl w:val="0"/>
          <w:lang w:val="en-US"/>
        </w:rPr>
        <w:t>gov.uk</w:t>
      </w:r>
      <w:r>
        <w:rPr>
          <w:sz w:val="24"/>
          <w:szCs w:val="24"/>
        </w:rPr>
        <w:fldChar w:fldCharType="end" w:fldLock="0"/>
      </w:r>
      <w:r>
        <w:rPr>
          <w:sz w:val="24"/>
          <w:szCs w:val="24"/>
          <w:rtl w:val="0"/>
          <w:lang w:val="en-US"/>
        </w:rPr>
        <w:t>, 2019). When questioning a suspects the officers must follow Code E and F where an interview must be recorded visually and have an audio copy (</w:t>
      </w:r>
      <w:r>
        <w:rPr>
          <w:rStyle w:val="Hyperlink.0"/>
          <w:sz w:val="24"/>
          <w:szCs w:val="24"/>
        </w:rPr>
        <w:fldChar w:fldCharType="begin" w:fldLock="0"/>
      </w:r>
      <w:r>
        <w:rPr>
          <w:rStyle w:val="Hyperlink.0"/>
          <w:sz w:val="24"/>
          <w:szCs w:val="24"/>
        </w:rPr>
        <w:instrText xml:space="preserve"> HYPERLINK "http://gov.uk"</w:instrText>
      </w:r>
      <w:r>
        <w:rPr>
          <w:rStyle w:val="Hyperlink.0"/>
          <w:sz w:val="24"/>
          <w:szCs w:val="24"/>
        </w:rPr>
        <w:fldChar w:fldCharType="separate" w:fldLock="0"/>
      </w:r>
      <w:r>
        <w:rPr>
          <w:rStyle w:val="Hyperlink.0"/>
          <w:sz w:val="24"/>
          <w:szCs w:val="24"/>
          <w:rtl w:val="0"/>
          <w:lang w:val="en-US"/>
        </w:rPr>
        <w:t>gov.uk</w:t>
      </w:r>
      <w:r>
        <w:rPr>
          <w:sz w:val="24"/>
          <w:szCs w:val="24"/>
        </w:rPr>
        <w:fldChar w:fldCharType="end" w:fldLock="0"/>
      </w:r>
      <w:r>
        <w:rPr>
          <w:sz w:val="24"/>
          <w:szCs w:val="24"/>
          <w:rtl w:val="0"/>
          <w:lang w:val="en-US"/>
        </w:rPr>
        <w:t>, 2019). The Police and Criminal Evidence Act 1984 was set out to gain the correct balance between the police and their powers but, also for the public to understand their rights and freedom (</w:t>
      </w:r>
      <w:r>
        <w:rPr>
          <w:rStyle w:val="Hyperlink.0"/>
          <w:sz w:val="24"/>
          <w:szCs w:val="24"/>
        </w:rPr>
        <w:fldChar w:fldCharType="begin" w:fldLock="0"/>
      </w:r>
      <w:r>
        <w:rPr>
          <w:rStyle w:val="Hyperlink.0"/>
          <w:sz w:val="24"/>
          <w:szCs w:val="24"/>
        </w:rPr>
        <w:instrText xml:space="preserve"> HYPERLINK "http://gov.uk"</w:instrText>
      </w:r>
      <w:r>
        <w:rPr>
          <w:rStyle w:val="Hyperlink.0"/>
          <w:sz w:val="24"/>
          <w:szCs w:val="24"/>
        </w:rPr>
        <w:fldChar w:fldCharType="separate" w:fldLock="0"/>
      </w:r>
      <w:r>
        <w:rPr>
          <w:rStyle w:val="Hyperlink.0"/>
          <w:sz w:val="24"/>
          <w:szCs w:val="24"/>
          <w:rtl w:val="0"/>
          <w:lang w:val="en-US"/>
        </w:rPr>
        <w:t>gov.uk</w:t>
      </w:r>
      <w:r>
        <w:rPr>
          <w:sz w:val="24"/>
          <w:szCs w:val="24"/>
        </w:rPr>
        <w:fldChar w:fldCharType="end" w:fldLock="0"/>
      </w:r>
      <w:r>
        <w:rPr>
          <w:sz w:val="24"/>
          <w:szCs w:val="24"/>
          <w:rtl w:val="0"/>
          <w:lang w:val="en-US"/>
        </w:rPr>
        <w:t>, 2019) This balance is a key element of this act as it help to protect the police officers and the public (</w:t>
      </w:r>
      <w:r>
        <w:rPr>
          <w:rStyle w:val="Hyperlink.0"/>
          <w:sz w:val="24"/>
          <w:szCs w:val="24"/>
        </w:rPr>
        <w:fldChar w:fldCharType="begin" w:fldLock="0"/>
      </w:r>
      <w:r>
        <w:rPr>
          <w:rStyle w:val="Hyperlink.0"/>
          <w:sz w:val="24"/>
          <w:szCs w:val="24"/>
        </w:rPr>
        <w:instrText xml:space="preserve"> HYPERLINK "http://gov.uk"</w:instrText>
      </w:r>
      <w:r>
        <w:rPr>
          <w:rStyle w:val="Hyperlink.0"/>
          <w:sz w:val="24"/>
          <w:szCs w:val="24"/>
        </w:rPr>
        <w:fldChar w:fldCharType="separate" w:fldLock="0"/>
      </w:r>
      <w:r>
        <w:rPr>
          <w:rStyle w:val="Hyperlink.0"/>
          <w:sz w:val="24"/>
          <w:szCs w:val="24"/>
          <w:rtl w:val="0"/>
          <w:lang w:val="en-US"/>
        </w:rPr>
        <w:t>gov.uk</w:t>
      </w:r>
      <w:r>
        <w:rPr>
          <w:sz w:val="24"/>
          <w:szCs w:val="24"/>
        </w:rPr>
        <w:fldChar w:fldCharType="end" w:fldLock="0"/>
      </w:r>
      <w:r>
        <w:rPr>
          <w:sz w:val="24"/>
          <w:szCs w:val="24"/>
          <w:rtl w:val="0"/>
          <w:lang w:val="en-US"/>
        </w:rPr>
        <w:t xml:space="preserve"> 2019). This act also helps minimise or prevent the risk of a miscarriage of justice. A miscarriage of justice can be defined as </w:t>
      </w:r>
      <w:r>
        <w:rPr>
          <w:sz w:val="24"/>
          <w:szCs w:val="24"/>
          <w:rtl w:val="0"/>
          <w:lang w:val="en-US"/>
        </w:rPr>
        <w:t>‘</w:t>
      </w:r>
      <w:r>
        <w:rPr>
          <w:sz w:val="24"/>
          <w:szCs w:val="24"/>
          <w:rtl w:val="0"/>
          <w:lang w:val="en-US"/>
        </w:rPr>
        <w:t>a grossly unfair outcome in a judicial proceeding, as when a defendant is convicted despite a lack of evidence on an essential element of crime</w:t>
      </w:r>
      <w:r>
        <w:rPr>
          <w:sz w:val="24"/>
          <w:szCs w:val="24"/>
          <w:rtl w:val="0"/>
          <w:lang w:val="en-US"/>
        </w:rPr>
        <w:t xml:space="preserve">’ </w:t>
      </w:r>
      <w:r>
        <w:rPr>
          <w:sz w:val="24"/>
          <w:szCs w:val="24"/>
          <w:rtl w:val="0"/>
          <w:lang w:val="en-US"/>
        </w:rPr>
        <w:t xml:space="preserve">(Bohm, 2005 p.196). </w:t>
      </w:r>
    </w:p>
    <w:p>
      <w:pPr>
        <w:pStyle w:val="Body"/>
        <w:spacing w:line="480" w:lineRule="auto"/>
        <w:rPr>
          <w:sz w:val="24"/>
          <w:szCs w:val="24"/>
        </w:rPr>
      </w:pPr>
    </w:p>
    <w:p>
      <w:pPr>
        <w:pStyle w:val="Body"/>
        <w:spacing w:line="480" w:lineRule="auto"/>
        <w:rPr>
          <w:sz w:val="24"/>
          <w:szCs w:val="24"/>
        </w:rPr>
      </w:pPr>
      <w:r>
        <w:rPr>
          <w:sz w:val="24"/>
          <w:szCs w:val="24"/>
          <w:rtl w:val="0"/>
          <w:lang w:val="en-US"/>
        </w:rPr>
        <w:t>Before the Police and Criminal Justice Act 1984 was implemented there were two cases which were bought to light as miscarriages of justice in the early 1980</w:t>
      </w:r>
      <w:r>
        <w:rPr>
          <w:sz w:val="24"/>
          <w:szCs w:val="24"/>
          <w:rtl w:val="0"/>
          <w:lang w:val="en-US"/>
        </w:rPr>
        <w:t>’</w:t>
      </w:r>
      <w:r>
        <w:rPr>
          <w:sz w:val="24"/>
          <w:szCs w:val="24"/>
          <w:rtl w:val="0"/>
          <w:lang w:val="en-US"/>
        </w:rPr>
        <w:t xml:space="preserve">s, these two being the </w:t>
      </w:r>
      <w:r>
        <w:rPr>
          <w:sz w:val="24"/>
          <w:szCs w:val="24"/>
          <w:rtl w:val="0"/>
          <w:lang w:val="en-US"/>
        </w:rPr>
        <w:t>‘</w:t>
      </w:r>
      <w:r>
        <w:rPr>
          <w:sz w:val="24"/>
          <w:szCs w:val="24"/>
          <w:rtl w:val="0"/>
          <w:lang w:val="en-US"/>
        </w:rPr>
        <w:t>Birmingham Six</w:t>
      </w:r>
      <w:r>
        <w:rPr>
          <w:sz w:val="24"/>
          <w:szCs w:val="24"/>
          <w:rtl w:val="0"/>
          <w:lang w:val="en-US"/>
        </w:rPr>
        <w:t xml:space="preserve">’ </w:t>
      </w:r>
      <w:r>
        <w:rPr>
          <w:sz w:val="24"/>
          <w:szCs w:val="24"/>
          <w:rtl w:val="0"/>
          <w:lang w:val="en-US"/>
        </w:rPr>
        <w:t xml:space="preserve">and the </w:t>
      </w:r>
      <w:r>
        <w:rPr>
          <w:sz w:val="24"/>
          <w:szCs w:val="24"/>
          <w:rtl w:val="0"/>
          <w:lang w:val="en-US"/>
        </w:rPr>
        <w:t>‘</w:t>
      </w:r>
      <w:r>
        <w:rPr>
          <w:sz w:val="24"/>
          <w:szCs w:val="24"/>
          <w:rtl w:val="0"/>
          <w:lang w:val="en-US"/>
        </w:rPr>
        <w:t>Guildford four</w:t>
      </w:r>
      <w:r>
        <w:rPr>
          <w:sz w:val="24"/>
          <w:szCs w:val="24"/>
          <w:rtl w:val="0"/>
          <w:lang w:val="en-US"/>
        </w:rPr>
        <w:t xml:space="preserve">’ </w:t>
      </w:r>
      <w:r>
        <w:rPr>
          <w:sz w:val="24"/>
          <w:szCs w:val="24"/>
          <w:rtl w:val="0"/>
          <w:lang w:val="en-US"/>
        </w:rPr>
        <w:t xml:space="preserve">(BBC New, 2019). Both groups were part of the IRA, who used bombs on civilians target to create a reaction from the British Government (BBC News, 2019). On the 21st of November 1974 the police had quickly found the six </w:t>
      </w:r>
      <w:r>
        <w:rPr>
          <w:sz w:val="24"/>
          <w:szCs w:val="24"/>
          <w:rtl w:val="0"/>
          <w:lang w:val="en-US"/>
        </w:rPr>
        <w:t>‘</w:t>
      </w:r>
      <w:r>
        <w:rPr>
          <w:sz w:val="24"/>
          <w:szCs w:val="24"/>
          <w:rtl w:val="0"/>
          <w:lang w:val="en-US"/>
        </w:rPr>
        <w:t>guilty</w:t>
      </w:r>
      <w:r>
        <w:rPr>
          <w:sz w:val="24"/>
          <w:szCs w:val="24"/>
          <w:rtl w:val="0"/>
          <w:lang w:val="en-US"/>
        </w:rPr>
        <w:t xml:space="preserve">’ </w:t>
      </w:r>
      <w:r>
        <w:rPr>
          <w:sz w:val="24"/>
          <w:szCs w:val="24"/>
          <w:rtl w:val="0"/>
          <w:lang w:val="en-US"/>
        </w:rPr>
        <w:t xml:space="preserve">men who killed 21 people from two bombs inside two separates pubs in Birmingham (Lissaman, 2011). The evidence which was used to find the six men guilty was the test for nitroglycerine which came back as positive as five of the men had the presence of organic nitrate compounds (Lissaman, 2011).  This evidence helped to prosecute the Birmingham Six however, scientists have since argued that the test for nitroglycerine is an unreliable test due to it being in a number of different products (Lissaman 2011). Elevens years after the initial arrest of the Birmingham six in 1985, it was found that shuffling a pack of cards contains the same substance for the test of nitroglycerine to come back positive  (LIssaman, 2011).  The Birmingham six finally got released in 1991 after the hard work of MP Chris Mullin, who was determined to help prove that they were not guilty of the bombings. It was also bought to light that some officers tampered with the evidence from the bombings  (BBC News, 2019). The Guildford four were also falsely imprisoned for a bombing of a pub in Guildford, which killed five people (Holt, 2010). One of the suspects Gerry Conlon had never even been to Guildford but, was sent to prison with a life sentence after he made a confession after days of being mistreated by the Surrey police service (Holt, 2010). The Guildford four were not the only group which were found responsible for this bombing. The Maguire Seven was convicted for producing the explosives for the bombing in the pub (Holt, 2010). This conviction was supported at the time by forensic evidence, which later got discredited (Holt, 2010). The youngest of the Maguire Seven was just thirteen at the time of his arrest, all seven we given a sentence of  between four and fourteen years (Holt, 2010). In 1989, four years after the Police and Criminal Evidence Act was introduced, the Court of Appeal believed there was no evidence to support that the Guildford Four carried out the attack that killed five people (Holt, 2010). They also found evidence to suggest that the police did not write accurate statements for the suspects and had evidence which should that Gerry Conlon was not guilty but, did not show the defence (Holt, 2010). The Maguire Seven were all also seen as innocent and had their names cleared of the criminal act (Holt, 2010). However, by the time this was bought to light all the </w:t>
      </w:r>
      <w:r>
        <w:rPr>
          <w:sz w:val="24"/>
          <w:szCs w:val="24"/>
          <w:rtl w:val="0"/>
          <w:lang w:val="en-US"/>
        </w:rPr>
        <w:t>‘</w:t>
      </w:r>
      <w:r>
        <w:rPr>
          <w:sz w:val="24"/>
          <w:szCs w:val="24"/>
          <w:rtl w:val="0"/>
          <w:lang w:val="en-US"/>
        </w:rPr>
        <w:t>suspects</w:t>
      </w:r>
      <w:r>
        <w:rPr>
          <w:sz w:val="24"/>
          <w:szCs w:val="24"/>
          <w:rtl w:val="0"/>
          <w:lang w:val="en-US"/>
        </w:rPr>
        <w:t xml:space="preserve">’ </w:t>
      </w:r>
      <w:r>
        <w:rPr>
          <w:sz w:val="24"/>
          <w:szCs w:val="24"/>
          <w:rtl w:val="0"/>
          <w:lang w:val="en-US"/>
        </w:rPr>
        <w:t>had been released apart from Gluseppe Conlon who passed away in prison after serving five years (Holt, 2010).Over the next eleven years from 1989 many other innocent people were freed from prison after the evidence against them was found not to be conclusive, these include the Cardiff three, M25 three and finally the Bridgewater four (BBC News, 2019). This shows the success of the police and Criminal Evidence Act 1984, as all the innocent people who got placed in prisons before the act was implemented had finally got freed and proved their innocences. These mistake should also not happen again as under code C of PACE, an officer cannot bully a confession out of a person such as Gerry Colton (Ozin and Norton 2019).</w:t>
      </w:r>
    </w:p>
    <w:p>
      <w:pPr>
        <w:pStyle w:val="Body"/>
        <w:spacing w:line="480" w:lineRule="auto"/>
        <w:rPr>
          <w:sz w:val="24"/>
          <w:szCs w:val="24"/>
        </w:rPr>
      </w:pPr>
    </w:p>
    <w:p>
      <w:pPr>
        <w:pStyle w:val="Body"/>
        <w:spacing w:line="480" w:lineRule="auto"/>
        <w:rPr>
          <w:sz w:val="24"/>
          <w:szCs w:val="24"/>
        </w:rPr>
      </w:pPr>
      <w:r>
        <w:rPr>
          <w:sz w:val="24"/>
          <w:szCs w:val="24"/>
          <w:rtl w:val="0"/>
          <w:lang w:val="en-US"/>
        </w:rPr>
        <w:t xml:space="preserve">The success of the Police and Criminal Evidence Act 1984 is that it has improved the treatment of the suspects. One of the improvement is the interview and questioning stage. Under Code C of the Police and Criminal Justice Act 1984, the person being questioning must have been suspected by the police as being involved in a crime (Ozin and Norton, 2019). Under Code C, the rules of interviewing a person include if a person has been arrested they must be transported to a Police Station or a place which has been authorised to carry out an interview (Ozin and Norton, 2019). The suspect must also be given information surround the offence they are being questioned about. The officers must state why the person has been suspected of being involved with the crime (Ozin and Norton, 2019). Before the officers can question a suspect, they must offer the suspect free legal advice during their interview (Ozin and Norton, 2019). The final rule is that the interview must always be recorded, if it is not then the evidence could become inconclusive and would not be used (Ozin and Norton, 2019). </w:t>
      </w:r>
    </w:p>
    <w:p>
      <w:pPr>
        <w:pStyle w:val="Body"/>
        <w:spacing w:line="480" w:lineRule="auto"/>
        <w:rPr>
          <w:sz w:val="24"/>
          <w:szCs w:val="24"/>
        </w:rPr>
      </w:pPr>
    </w:p>
    <w:p>
      <w:pPr>
        <w:pStyle w:val="Body"/>
        <w:spacing w:line="480" w:lineRule="auto"/>
        <w:rPr>
          <w:sz w:val="24"/>
          <w:szCs w:val="24"/>
        </w:rPr>
      </w:pPr>
      <w:r>
        <w:rPr>
          <w:sz w:val="24"/>
          <w:szCs w:val="24"/>
          <w:rtl w:val="0"/>
          <w:lang w:val="en-US"/>
        </w:rPr>
        <w:t xml:space="preserve">The rules around interviewing a person have not always been in support of the suspects and their rights. In 1976, Stefan Kiszko was sentenced to life imprisonment for the paedophile murder of Lesley Molseed, an eleven year old girl from the Greater Manchester area (McSmith 2007). Stefan Kiszko was at the time of his arrest a 23 year old man who suffered from immaturity has he had not developed (McSmith, 2007). Stefan Kiszko was questioned for two days by police officers but had no legal advice or solicitor present during this time (McSmith, 2007). Before the Police and Criminal Evidence Act was introduced in 1984, before PACE was introduced interviews were recorded on paper and then signed by the suspects, Stefan Kiszko interview shows that he confessed to murder of Lesley Molseed (McSmith, 2007). However, under code C of pace you know have the right to free legal advice before and during the interviewing process (Ozin and Norton, 2019). Kiszko tried to withdraw his confession but was unable to do so. Therefore, kiszko barrister try to defend him by putting the case forward for manslaughter in diminished responsibility. The barrister who put this case forward is now part of the </w:t>
      </w:r>
      <w:r>
        <w:rPr>
          <w:sz w:val="24"/>
          <w:szCs w:val="24"/>
          <w:rtl w:val="0"/>
          <w:lang w:val="fr-FR"/>
        </w:rPr>
        <w:t>Conservative</w:t>
      </w:r>
      <w:r>
        <w:rPr>
          <w:sz w:val="24"/>
          <w:szCs w:val="24"/>
          <w:rtl w:val="0"/>
          <w:lang w:val="en-US"/>
        </w:rPr>
        <w:t xml:space="preserve"> party and was the Home Secretary in 1990, he reopen Kiszko case as the evidence of sperm on Lesley clothes could not be those of Kiszko as he was infertile (McSmith, 2007). This evidence led to the release of Stefan Kiszko in 1992, 16 years after he was found guilty of the murder (McSmith, 2007). Stefan KIszko later complained he got bullied into making the confession of killing Lesley Molseed (BBC News, 2019). Which would not be able to happen under PACE as code C states an officer cannot force a confession out of a suspect (Ozin and Norton, 2019).  For the 16 years he spent in prison, he got told he would receive half a million pounds in compensation (BBC News, 2019). However, this was not the case as in 1993 a year after he was released from prison kiszko died from a heart attack (BBC News, 2019). </w:t>
      </w:r>
    </w:p>
    <w:p>
      <w:pPr>
        <w:pStyle w:val="Body"/>
        <w:spacing w:line="480" w:lineRule="auto"/>
        <w:rPr>
          <w:sz w:val="24"/>
          <w:szCs w:val="24"/>
        </w:rPr>
      </w:pPr>
      <w:r>
        <w:rPr>
          <w:sz w:val="24"/>
          <w:szCs w:val="24"/>
          <w:rtl w:val="0"/>
          <w:lang w:val="en-US"/>
        </w:rPr>
        <w:t xml:space="preserve"> </w:t>
      </w:r>
    </w:p>
    <w:p>
      <w:pPr>
        <w:pStyle w:val="Body"/>
        <w:spacing w:line="480" w:lineRule="auto"/>
        <w:rPr>
          <w:sz w:val="24"/>
          <w:szCs w:val="24"/>
        </w:rPr>
      </w:pPr>
      <w:r>
        <w:rPr>
          <w:sz w:val="24"/>
          <w:szCs w:val="24"/>
          <w:rtl w:val="0"/>
          <w:lang w:val="en-US"/>
        </w:rPr>
        <w:t>The majority of cases which have be stated accorded before the Police and Criminal Evidence Act 1984 came into place. However, this act has also help to release those who have been falsely imprisoned. Miscarriages of Justice have also occurred since the Police and Criminal Evidence Act has been in place. One of the biggest miscarriages of justices since the act was implemented is the murder of eighteen year old Stephen Lawerence. Stephen Lawerence was stabbed twice once in the shoulder and once in the chest, he later died from his injuries (Cathcart, 2000). The gang that carried out the attack on Stephen Lawerence were a group of white youths who fled the scene (Macpherson, 1999), Macpherson (1999) believes that the murder of Stephen Lawerence was a racially motivated attack, which won</w:t>
      </w:r>
      <w:r>
        <w:rPr>
          <w:sz w:val="24"/>
          <w:szCs w:val="24"/>
          <w:rtl w:val="0"/>
          <w:lang w:val="en-US"/>
        </w:rPr>
        <w:t>’</w:t>
      </w:r>
      <w:r>
        <w:rPr>
          <w:sz w:val="24"/>
          <w:szCs w:val="24"/>
          <w:rtl w:val="0"/>
          <w:lang w:val="en-US"/>
        </w:rPr>
        <w:t xml:space="preserve">t just effect Stephens family but all the local community in Greenwich. The evidence of this is that the five suspects were arrested and two being charged with murder (BBC, 2019). However, these charges were dropped in July 1993 as the Crown Prosecution believes that the Identification evidence from Stephen Lawrences friend, Dwayne Brooke is unreliable (BBC, 2019). New evidence into Stephen death was found in December 1993, unfortunately the Crown Prosecution Service refused to take the new evidence into account (BBC, 2019). In 1999 the public inquiry from Sir William Macpherson suggests there was institutional racism within the Metropolitan Police Services (Macpherson 1999). Macpherson defined the term institutional racism as </w:t>
      </w:r>
      <w:r>
        <w:rPr>
          <w:sz w:val="24"/>
          <w:szCs w:val="24"/>
          <w:rtl w:val="0"/>
          <w:lang w:val="en-US"/>
        </w:rPr>
        <w:t>‘</w:t>
      </w:r>
      <w:r>
        <w:rPr>
          <w:sz w:val="24"/>
          <w:szCs w:val="24"/>
          <w:rtl w:val="0"/>
          <w:lang w:val="en-US"/>
        </w:rPr>
        <w:t>the collective failure of an organisation to provide an appropriate and professional service to people because of their colour, culture or ethnic origin</w:t>
      </w:r>
      <w:r>
        <w:rPr>
          <w:sz w:val="24"/>
          <w:szCs w:val="24"/>
          <w:rtl w:val="0"/>
          <w:lang w:val="en-US"/>
        </w:rPr>
        <w:t xml:space="preserve">’ </w:t>
      </w:r>
      <w:r>
        <w:rPr>
          <w:sz w:val="24"/>
          <w:szCs w:val="24"/>
          <w:rtl w:val="0"/>
          <w:lang w:val="en-US"/>
        </w:rPr>
        <w:t>(Booth, 2019).</w:t>
      </w:r>
    </w:p>
    <w:p>
      <w:pPr>
        <w:pStyle w:val="Body"/>
        <w:spacing w:line="480" w:lineRule="auto"/>
        <w:rPr>
          <w:sz w:val="24"/>
          <w:szCs w:val="24"/>
        </w:rPr>
      </w:pPr>
      <w:r>
        <w:rPr>
          <w:sz w:val="24"/>
          <w:szCs w:val="24"/>
          <w:rtl w:val="0"/>
          <w:lang w:val="en-US"/>
        </w:rPr>
        <w:t>In 2012 two of the five suspect which were the same suspect from 1993 went on trail for the murder of Stephen Lawrence, they were found guilty due to microscopic evidence of clothing which was found on Stephen Lawrence is those of the suspects (BBC, 2019). The two men have no had life sentences, the longest being fifteen years and two months (BBC, 2019).</w:t>
      </w:r>
    </w:p>
    <w:p>
      <w:pPr>
        <w:pStyle w:val="Body"/>
        <w:spacing w:line="480" w:lineRule="auto"/>
        <w:rPr>
          <w:sz w:val="24"/>
          <w:szCs w:val="24"/>
        </w:rPr>
      </w:pPr>
    </w:p>
    <w:p>
      <w:pPr>
        <w:pStyle w:val="Body"/>
        <w:spacing w:line="480" w:lineRule="auto"/>
        <w:rPr>
          <w:sz w:val="24"/>
          <w:szCs w:val="24"/>
        </w:rPr>
      </w:pPr>
      <w:r>
        <w:rPr>
          <w:sz w:val="24"/>
          <w:szCs w:val="24"/>
          <w:rtl w:val="0"/>
          <w:lang w:val="en-US"/>
        </w:rPr>
        <w:t>The Police and Criminal Evidence Act 1984 did not prevent the miscarriage of justice for the murder of eighteen year old Stephen Lawrence.</w:t>
      </w:r>
      <w:r>
        <w:rPr>
          <w:sz w:val="24"/>
          <w:szCs w:val="24"/>
          <w:rtl w:val="0"/>
          <w:lang w:val="en-US"/>
        </w:rPr>
        <w:t>Although</w:t>
      </w:r>
      <w:r>
        <w:rPr>
          <w:sz w:val="24"/>
          <w:szCs w:val="24"/>
          <w:rtl w:val="0"/>
          <w:lang w:val="en-US"/>
        </w:rPr>
        <w:t xml:space="preserve"> the evidence would </w:t>
      </w:r>
      <w:r>
        <w:rPr>
          <w:sz w:val="24"/>
          <w:szCs w:val="24"/>
          <w:rtl w:val="0"/>
          <w:lang w:val="en-US"/>
        </w:rPr>
        <w:t>have</w:t>
      </w:r>
      <w:r>
        <w:rPr>
          <w:sz w:val="24"/>
          <w:szCs w:val="24"/>
          <w:rtl w:val="0"/>
          <w:lang w:val="en-US"/>
        </w:rPr>
        <w:t xml:space="preserve"> been difficult to collect due to the nature of the crime. However, Dwayne Brooks witnessed the attack and his evidence was seen as unreliable, according to Dwayne Brooks the Metropolitan Police suggests that the two friends must </w:t>
      </w:r>
      <w:r>
        <w:rPr>
          <w:sz w:val="24"/>
          <w:szCs w:val="24"/>
          <w:rtl w:val="0"/>
          <w:lang w:val="en-US"/>
        </w:rPr>
        <w:t>have</w:t>
      </w:r>
      <w:r>
        <w:rPr>
          <w:sz w:val="24"/>
          <w:szCs w:val="24"/>
          <w:rtl w:val="0"/>
          <w:lang w:val="en-US"/>
        </w:rPr>
        <w:t xml:space="preserve"> </w:t>
      </w:r>
      <w:r>
        <w:rPr>
          <w:sz w:val="24"/>
          <w:szCs w:val="24"/>
          <w:rtl w:val="0"/>
        </w:rPr>
        <w:t>provokes</w:t>
      </w:r>
      <w:r>
        <w:rPr>
          <w:sz w:val="24"/>
          <w:szCs w:val="24"/>
          <w:rtl w:val="0"/>
          <w:lang w:val="en-US"/>
        </w:rPr>
        <w:t xml:space="preserve"> the group of white youths (Hattenstone, 2000). The police labelled Brooks as a </w:t>
      </w:r>
      <w:r>
        <w:rPr>
          <w:sz w:val="24"/>
          <w:szCs w:val="24"/>
          <w:rtl w:val="0"/>
          <w:lang w:val="en-US"/>
        </w:rPr>
        <w:t>‘</w:t>
      </w:r>
      <w:r>
        <w:rPr>
          <w:sz w:val="24"/>
          <w:szCs w:val="24"/>
          <w:rtl w:val="0"/>
          <w:lang w:val="en-US"/>
        </w:rPr>
        <w:t>arrogant and surly</w:t>
      </w:r>
      <w:r>
        <w:rPr>
          <w:sz w:val="24"/>
          <w:szCs w:val="24"/>
          <w:rtl w:val="0"/>
          <w:lang w:val="en-US"/>
        </w:rPr>
        <w:t xml:space="preserve">’ </w:t>
      </w:r>
      <w:r>
        <w:rPr>
          <w:sz w:val="24"/>
          <w:szCs w:val="24"/>
          <w:rtl w:val="0"/>
          <w:lang w:val="en-US"/>
        </w:rPr>
        <w:t>for trying to help them with bringing the suspect to justice (Hattenstone, 2000). But, instead got accused of being one of the suspect in the murder case instead (Hattenstone, 2000). Macpherson reported that the police service would not try a white victim in such a manner and that it shouldn</w:t>
      </w:r>
      <w:r>
        <w:rPr>
          <w:sz w:val="24"/>
          <w:szCs w:val="24"/>
          <w:rtl w:val="0"/>
          <w:lang w:val="en-US"/>
        </w:rPr>
        <w:t>’</w:t>
      </w:r>
      <w:r>
        <w:rPr>
          <w:sz w:val="24"/>
          <w:szCs w:val="24"/>
          <w:rtl w:val="0"/>
          <w:lang w:val="en-US"/>
        </w:rPr>
        <w:t>t matter what colour skin you have, a crime should be dealth with in the same way (Hattenson, 2000).</w:t>
      </w:r>
    </w:p>
    <w:p>
      <w:pPr>
        <w:pStyle w:val="Body"/>
        <w:spacing w:line="480" w:lineRule="auto"/>
        <w:rPr>
          <w:sz w:val="24"/>
          <w:szCs w:val="24"/>
        </w:rPr>
      </w:pPr>
    </w:p>
    <w:p>
      <w:pPr>
        <w:pStyle w:val="Body"/>
        <w:spacing w:line="480" w:lineRule="auto"/>
        <w:rPr>
          <w:sz w:val="24"/>
          <w:szCs w:val="24"/>
        </w:rPr>
      </w:pPr>
      <w:r>
        <w:rPr>
          <w:sz w:val="24"/>
          <w:szCs w:val="24"/>
          <w:rtl w:val="0"/>
          <w:lang w:val="en-US"/>
        </w:rPr>
        <w:t xml:space="preserve"> Since the Police and Criminal Evidence Act 1984 has been in police it has helped the public understand their rights but it has also given the police powers such as stopping and search someone under responsible suspicion under code A of the act (</w:t>
      </w:r>
      <w:r>
        <w:rPr>
          <w:rStyle w:val="Hyperlink.0"/>
          <w:sz w:val="24"/>
          <w:szCs w:val="24"/>
        </w:rPr>
        <w:fldChar w:fldCharType="begin" w:fldLock="0"/>
      </w:r>
      <w:r>
        <w:rPr>
          <w:rStyle w:val="Hyperlink.0"/>
          <w:sz w:val="24"/>
          <w:szCs w:val="24"/>
        </w:rPr>
        <w:instrText xml:space="preserve"> HYPERLINK "http://legislation.gov.uk"</w:instrText>
      </w:r>
      <w:r>
        <w:rPr>
          <w:rStyle w:val="Hyperlink.0"/>
          <w:sz w:val="24"/>
          <w:szCs w:val="24"/>
        </w:rPr>
        <w:fldChar w:fldCharType="separate" w:fldLock="0"/>
      </w:r>
      <w:r>
        <w:rPr>
          <w:rStyle w:val="Hyperlink.0"/>
          <w:sz w:val="24"/>
          <w:szCs w:val="24"/>
          <w:rtl w:val="0"/>
          <w:lang w:val="en-US"/>
        </w:rPr>
        <w:t>legislation.gov.uk</w:t>
      </w:r>
      <w:r>
        <w:rPr>
          <w:sz w:val="24"/>
          <w:szCs w:val="24"/>
        </w:rPr>
        <w:fldChar w:fldCharType="end" w:fldLock="0"/>
      </w:r>
      <w:r>
        <w:rPr>
          <w:sz w:val="24"/>
          <w:szCs w:val="24"/>
          <w:rtl w:val="0"/>
          <w:lang w:val="en-US"/>
        </w:rPr>
        <w:t xml:space="preserve">, 2019). As stated in the case of Stephen Lawrence, the police showed signs of racism which has improved over the years. However, there are still some evidence to suggest that there is still some form of racism within the police  service. For example, with the stop and search powers, figures show that in England and Wales the rate of a person from an Asian ethnic back is between 1.5 and 2.5 times more likely than a white person (Equality and Human Rights Commission, 2010). The rate for a person from a black ethnic background is between 4 and 8 times more like than a white person (Equality and Human Rights Commission, 2010). A study which supports these statistics was carried out by Adrian Bloor in 2005, he was the </w:t>
      </w:r>
      <w:r>
        <w:rPr>
          <w:sz w:val="24"/>
          <w:szCs w:val="24"/>
          <w:rtl w:val="0"/>
          <w:lang w:val="en-US"/>
        </w:rPr>
        <w:t>‘</w:t>
      </w:r>
      <w:r>
        <w:rPr>
          <w:sz w:val="24"/>
          <w:szCs w:val="24"/>
          <w:rtl w:val="0"/>
          <w:lang w:val="en-US"/>
        </w:rPr>
        <w:t>Detective Chief Inspector of Crime for stoke on Trent</w:t>
      </w:r>
      <w:r>
        <w:rPr>
          <w:sz w:val="24"/>
          <w:szCs w:val="24"/>
          <w:rtl w:val="0"/>
          <w:lang w:val="en-US"/>
        </w:rPr>
        <w:t xml:space="preserve">’ </w:t>
      </w:r>
      <w:r>
        <w:rPr>
          <w:sz w:val="24"/>
          <w:szCs w:val="24"/>
          <w:rtl w:val="0"/>
          <w:lang w:val="en-US"/>
        </w:rPr>
        <w:t xml:space="preserve">(Equality and Human Rights Commission, 2010). His aim was to improve the relationship between the police service and the community, the believed that the key issue between the community and the police was the power to be able to stop and search a person (Equality and Human Rights Commission, 2010). In 2005 the police were carrying out an estimated 400 to 500 searches per month in the Stoke on Trent area (Equality and Human Rights Commission, 2010). At this times the figures showed that a person from a black ethnic background was 4.5 times more likely to be stopped and searched compare to white people (Equality snd Human Rights Commission, 2010) . To help combat this issue the police service covering the Stoke on Trent area put in place the </w:t>
      </w:r>
      <w:r>
        <w:rPr>
          <w:sz w:val="24"/>
          <w:szCs w:val="24"/>
          <w:rtl w:val="0"/>
          <w:lang w:val="en-US"/>
        </w:rPr>
        <w:t>‘</w:t>
      </w:r>
      <w:r>
        <w:rPr>
          <w:sz w:val="24"/>
          <w:szCs w:val="24"/>
          <w:rtl w:val="0"/>
          <w:lang w:val="en-US"/>
        </w:rPr>
        <w:t>Practice Oriented Package, also known as the POP (Equality and Human Rights Commission, 2010). The POP has been created the Government</w:t>
      </w:r>
      <w:r>
        <w:rPr>
          <w:sz w:val="24"/>
          <w:szCs w:val="24"/>
          <w:rtl w:val="0"/>
          <w:lang w:val="en-US"/>
        </w:rPr>
        <w:t>’</w:t>
      </w:r>
      <w:r>
        <w:rPr>
          <w:sz w:val="24"/>
          <w:szCs w:val="24"/>
          <w:rtl w:val="0"/>
          <w:lang w:val="en-US"/>
        </w:rPr>
        <w:t>s Office of Criminal Justice Reform, this also gave Blood the power to go through all the paper work to see if there were any reoccurring officers abusing their powers (Equality and Human Rights Commission, 2010). During the period that Stoke on Trent used the Practice Oriented Package the rate of black people being stopped and searched fell dramatically to a rate of 1.5 compared to white people. This helped the entire region of Staffordshire which saw a drop from 4.4 in 2004 to only 2.9 in 2006 (Equality and Human Rights Commission, 2010)</w:t>
      </w:r>
    </w:p>
    <w:p>
      <w:pPr>
        <w:pStyle w:val="Body"/>
        <w:spacing w:line="480" w:lineRule="auto"/>
        <w:rPr>
          <w:sz w:val="24"/>
          <w:szCs w:val="24"/>
        </w:rPr>
      </w:pPr>
    </w:p>
    <w:p>
      <w:pPr>
        <w:pStyle w:val="Body"/>
        <w:spacing w:line="480" w:lineRule="auto"/>
        <w:rPr>
          <w:sz w:val="24"/>
          <w:szCs w:val="24"/>
        </w:rPr>
      </w:pPr>
      <w:r>
        <w:rPr>
          <w:sz w:val="24"/>
          <w:szCs w:val="24"/>
          <w:rtl w:val="0"/>
          <w:lang w:val="en-US"/>
        </w:rPr>
        <w:t>To conclude the Police and Criminal Evidence Act 1984 has help support the police service and the public understand their rights (</w:t>
      </w:r>
      <w:r>
        <w:rPr>
          <w:rStyle w:val="Hyperlink.0"/>
          <w:sz w:val="24"/>
          <w:szCs w:val="24"/>
        </w:rPr>
        <w:fldChar w:fldCharType="begin" w:fldLock="0"/>
      </w:r>
      <w:r>
        <w:rPr>
          <w:rStyle w:val="Hyperlink.0"/>
          <w:sz w:val="24"/>
          <w:szCs w:val="24"/>
        </w:rPr>
        <w:instrText xml:space="preserve"> HYPERLINK "http://gov.uk"</w:instrText>
      </w:r>
      <w:r>
        <w:rPr>
          <w:rStyle w:val="Hyperlink.0"/>
          <w:sz w:val="24"/>
          <w:szCs w:val="24"/>
        </w:rPr>
        <w:fldChar w:fldCharType="separate" w:fldLock="0"/>
      </w:r>
      <w:r>
        <w:rPr>
          <w:rStyle w:val="Hyperlink.0"/>
          <w:sz w:val="24"/>
          <w:szCs w:val="24"/>
          <w:rtl w:val="0"/>
          <w:lang w:val="en-US"/>
        </w:rPr>
        <w:t>gov.uk</w:t>
      </w:r>
      <w:r>
        <w:rPr>
          <w:sz w:val="24"/>
          <w:szCs w:val="24"/>
        </w:rPr>
        <w:fldChar w:fldCharType="end" w:fldLock="0"/>
      </w:r>
      <w:r>
        <w:rPr>
          <w:sz w:val="24"/>
          <w:szCs w:val="24"/>
          <w:rtl w:val="0"/>
          <w:lang w:val="en-US"/>
        </w:rPr>
        <w:t>, 2019). Under Code A of the Police and Criminal Evidence Act 1984, the statistic shows there are some form of racism still in the police today, the evidence shows that people from black ethnic minorities are 4 to 8 times more likely to be stopped and searched compared to white (Equality and Human Rights Commissions 2010). `The murder of Stephen Lawrence was also not investigated to the best of the police abilities and therefore a public inquiry was launched. This found there was institutional racism within the metropolitan police service when dealing with this case. According to evidence one of the main reason for miscarriages of justice is due to racism within the police force.</w:t>
      </w:r>
    </w:p>
    <w:p>
      <w:pPr>
        <w:pStyle w:val="Body"/>
        <w:spacing w:line="480" w:lineRule="auto"/>
        <w:rPr>
          <w:sz w:val="24"/>
          <w:szCs w:val="24"/>
        </w:rPr>
      </w:pPr>
      <w:r>
        <w:rPr>
          <w:sz w:val="24"/>
          <w:szCs w:val="24"/>
          <w:rtl w:val="0"/>
          <w:lang w:val="en-US"/>
        </w:rPr>
        <w:t xml:space="preserve"> </w:t>
      </w: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p>
    <w:p>
      <w:pPr>
        <w:pStyle w:val="Body"/>
        <w:spacing w:line="480" w:lineRule="auto"/>
        <w:rPr>
          <w:sz w:val="24"/>
          <w:szCs w:val="24"/>
        </w:rPr>
      </w:pPr>
      <w:r>
        <w:rPr>
          <w:sz w:val="24"/>
          <w:szCs w:val="24"/>
          <w:rtl w:val="0"/>
          <w:lang w:val="en-US"/>
        </w:rPr>
        <w:t xml:space="preserve">References </w:t>
      </w:r>
    </w:p>
    <w:p>
      <w:pPr>
        <w:pStyle w:val="Body"/>
        <w:spacing w:line="360" w:lineRule="auto"/>
        <w:rPr>
          <w:i w:val="1"/>
          <w:iCs w:val="1"/>
          <w:sz w:val="24"/>
          <w:szCs w:val="24"/>
        </w:rPr>
      </w:pPr>
      <w:r>
        <w:rPr>
          <w:sz w:val="24"/>
          <w:szCs w:val="24"/>
          <w:rtl w:val="0"/>
          <w:lang w:val="en-US"/>
        </w:rPr>
        <w:t xml:space="preserve">BBC News, (2019) </w:t>
      </w:r>
      <w:r>
        <w:rPr>
          <w:sz w:val="24"/>
          <w:szCs w:val="24"/>
          <w:rtl w:val="0"/>
          <w:lang w:val="en-US"/>
        </w:rPr>
        <w:t>‘</w:t>
      </w:r>
      <w:r>
        <w:rPr>
          <w:i w:val="1"/>
          <w:iCs w:val="1"/>
          <w:sz w:val="24"/>
          <w:szCs w:val="24"/>
          <w:rtl w:val="0"/>
          <w:lang w:val="en-US"/>
        </w:rPr>
        <w:t>Life of Crime</w:t>
      </w:r>
      <w:r>
        <w:rPr>
          <w:i w:val="1"/>
          <w:iCs w:val="1"/>
          <w:sz w:val="24"/>
          <w:szCs w:val="24"/>
          <w:rtl w:val="0"/>
          <w:lang w:val="en-US"/>
        </w:rPr>
        <w:t>’</w:t>
      </w:r>
    </w:p>
    <w:p>
      <w:pPr>
        <w:pStyle w:val="Body"/>
        <w:spacing w:line="360" w:lineRule="auto"/>
        <w:rPr>
          <w:sz w:val="24"/>
          <w:szCs w:val="24"/>
        </w:rPr>
      </w:pPr>
      <w:r>
        <w:rPr>
          <w:sz w:val="24"/>
          <w:szCs w:val="24"/>
          <w:rtl w:val="0"/>
          <w:lang w:val="en-US"/>
        </w:rPr>
        <w:t xml:space="preserve">Available at: </w:t>
      </w:r>
      <w:r>
        <w:rPr>
          <w:rStyle w:val="Hyperlink.0"/>
          <w:sz w:val="24"/>
          <w:szCs w:val="24"/>
        </w:rPr>
        <w:fldChar w:fldCharType="begin" w:fldLock="0"/>
      </w:r>
      <w:r>
        <w:rPr>
          <w:rStyle w:val="Hyperlink.0"/>
          <w:sz w:val="24"/>
          <w:szCs w:val="24"/>
        </w:rPr>
        <w:instrText xml:space="preserve"> HYPERLINK "http://news.bbc.co.uk/hi/english/static/in_depth/uk/2001/life_of_crime/miscarriages.stm"</w:instrText>
      </w:r>
      <w:r>
        <w:rPr>
          <w:rStyle w:val="Hyperlink.0"/>
          <w:sz w:val="24"/>
          <w:szCs w:val="24"/>
        </w:rPr>
        <w:fldChar w:fldCharType="separate" w:fldLock="0"/>
      </w:r>
      <w:r>
        <w:rPr>
          <w:rStyle w:val="Hyperlink.0"/>
          <w:sz w:val="24"/>
          <w:szCs w:val="24"/>
          <w:rtl w:val="0"/>
          <w:lang w:val="en-US"/>
        </w:rPr>
        <w:t>http://news.bbc.co.uk/hi/english/static/in_depth/uk/2001/life_of_crime/miscarriages.stm</w:t>
      </w:r>
      <w:r>
        <w:rPr>
          <w:sz w:val="24"/>
          <w:szCs w:val="24"/>
        </w:rPr>
        <w:fldChar w:fldCharType="end" w:fldLock="0"/>
      </w:r>
    </w:p>
    <w:p>
      <w:pPr>
        <w:pStyle w:val="Body"/>
        <w:spacing w:line="360" w:lineRule="auto"/>
        <w:rPr>
          <w:sz w:val="24"/>
          <w:szCs w:val="24"/>
        </w:rPr>
      </w:pPr>
      <w:r>
        <w:rPr>
          <w:sz w:val="24"/>
          <w:szCs w:val="24"/>
          <w:rtl w:val="0"/>
          <w:lang w:val="en-US"/>
        </w:rPr>
        <w:t>Accessed on:7th November 2019</w:t>
      </w:r>
    </w:p>
    <w:p>
      <w:pPr>
        <w:pStyle w:val="Body"/>
        <w:spacing w:line="360" w:lineRule="auto"/>
        <w:rPr>
          <w:sz w:val="24"/>
          <w:szCs w:val="24"/>
        </w:rPr>
      </w:pPr>
    </w:p>
    <w:p>
      <w:pPr>
        <w:pStyle w:val="Body"/>
        <w:spacing w:line="360" w:lineRule="auto"/>
        <w:rPr>
          <w:i w:val="1"/>
          <w:iCs w:val="1"/>
          <w:sz w:val="24"/>
          <w:szCs w:val="24"/>
        </w:rPr>
      </w:pPr>
      <w:r>
        <w:rPr>
          <w:sz w:val="24"/>
          <w:szCs w:val="24"/>
          <w:rtl w:val="0"/>
          <w:lang w:val="en-US"/>
        </w:rPr>
        <w:t xml:space="preserve">BBC News, (2019) </w:t>
      </w:r>
      <w:r>
        <w:rPr>
          <w:sz w:val="24"/>
          <w:szCs w:val="24"/>
          <w:rtl w:val="0"/>
          <w:lang w:val="en-US"/>
        </w:rPr>
        <w:t>‘</w:t>
      </w:r>
      <w:r>
        <w:rPr>
          <w:i w:val="1"/>
          <w:iCs w:val="1"/>
          <w:sz w:val="24"/>
          <w:szCs w:val="24"/>
          <w:rtl w:val="0"/>
          <w:lang w:val="en-US"/>
        </w:rPr>
        <w:t>Second victim of molseed inquiry</w:t>
      </w:r>
      <w:r>
        <w:rPr>
          <w:i w:val="1"/>
          <w:iCs w:val="1"/>
          <w:sz w:val="24"/>
          <w:szCs w:val="24"/>
          <w:rtl w:val="0"/>
          <w:lang w:val="en-US"/>
        </w:rPr>
        <w:t>’</w:t>
      </w:r>
    </w:p>
    <w:p>
      <w:pPr>
        <w:pStyle w:val="Body"/>
        <w:spacing w:line="360" w:lineRule="auto"/>
        <w:rPr>
          <w:sz w:val="24"/>
          <w:szCs w:val="24"/>
        </w:rPr>
      </w:pPr>
      <w:r>
        <w:rPr>
          <w:sz w:val="24"/>
          <w:szCs w:val="24"/>
          <w:rtl w:val="0"/>
          <w:lang w:val="en-US"/>
        </w:rPr>
        <w:t xml:space="preserve">Available at: </w:t>
      </w:r>
      <w:r>
        <w:rPr>
          <w:rStyle w:val="Hyperlink.0"/>
          <w:sz w:val="24"/>
          <w:szCs w:val="24"/>
        </w:rPr>
        <w:fldChar w:fldCharType="begin" w:fldLock="0"/>
      </w:r>
      <w:r>
        <w:rPr>
          <w:rStyle w:val="Hyperlink.0"/>
          <w:sz w:val="24"/>
          <w:szCs w:val="24"/>
        </w:rPr>
        <w:instrText xml:space="preserve"> HYPERLINK "http://news.bbc.co.uk/1/hi/england/7052109.stm"</w:instrText>
      </w:r>
      <w:r>
        <w:rPr>
          <w:rStyle w:val="Hyperlink.0"/>
          <w:sz w:val="24"/>
          <w:szCs w:val="24"/>
        </w:rPr>
        <w:fldChar w:fldCharType="separate" w:fldLock="0"/>
      </w:r>
      <w:r>
        <w:rPr>
          <w:rStyle w:val="Hyperlink.0"/>
          <w:sz w:val="24"/>
          <w:szCs w:val="24"/>
          <w:rtl w:val="0"/>
          <w:lang w:val="en-US"/>
        </w:rPr>
        <w:t>http://news.bbc.co.uk/1/hi/england/7052109.stm</w:t>
      </w:r>
      <w:r>
        <w:rPr>
          <w:sz w:val="24"/>
          <w:szCs w:val="24"/>
        </w:rPr>
        <w:fldChar w:fldCharType="end" w:fldLock="0"/>
      </w:r>
    </w:p>
    <w:p>
      <w:pPr>
        <w:pStyle w:val="Body"/>
        <w:spacing w:line="360" w:lineRule="auto"/>
        <w:rPr>
          <w:sz w:val="24"/>
          <w:szCs w:val="24"/>
        </w:rPr>
      </w:pPr>
      <w:r>
        <w:rPr>
          <w:sz w:val="24"/>
          <w:szCs w:val="24"/>
          <w:rtl w:val="0"/>
          <w:lang w:val="en-US"/>
        </w:rPr>
        <w:t>Accessed on: 7th November 2019</w:t>
      </w:r>
    </w:p>
    <w:p>
      <w:pPr>
        <w:pStyle w:val="Body"/>
        <w:spacing w:line="360" w:lineRule="auto"/>
        <w:rPr>
          <w:sz w:val="24"/>
          <w:szCs w:val="24"/>
        </w:rPr>
      </w:pPr>
    </w:p>
    <w:p>
      <w:pPr>
        <w:pStyle w:val="Body"/>
        <w:spacing w:line="360" w:lineRule="auto"/>
        <w:rPr>
          <w:i w:val="1"/>
          <w:iCs w:val="1"/>
          <w:sz w:val="24"/>
          <w:szCs w:val="24"/>
        </w:rPr>
      </w:pPr>
      <w:r>
        <w:rPr>
          <w:sz w:val="24"/>
          <w:szCs w:val="24"/>
          <w:rtl w:val="0"/>
          <w:lang w:val="en-US"/>
        </w:rPr>
        <w:t xml:space="preserve">BBC News (2019) </w:t>
      </w:r>
      <w:r>
        <w:rPr>
          <w:sz w:val="24"/>
          <w:szCs w:val="24"/>
          <w:rtl w:val="0"/>
          <w:lang w:val="en-US"/>
        </w:rPr>
        <w:t>‘</w:t>
      </w:r>
      <w:r>
        <w:rPr>
          <w:i w:val="1"/>
          <w:iCs w:val="1"/>
          <w:sz w:val="24"/>
          <w:szCs w:val="24"/>
          <w:rtl w:val="0"/>
          <w:lang w:val="en-US"/>
        </w:rPr>
        <w:t>Stephen Lawrence murder: A timeline of how the story unfolded</w:t>
      </w:r>
      <w:r>
        <w:rPr>
          <w:i w:val="1"/>
          <w:iCs w:val="1"/>
          <w:sz w:val="24"/>
          <w:szCs w:val="24"/>
          <w:rtl w:val="0"/>
          <w:lang w:val="en-US"/>
        </w:rPr>
        <w:t>’</w:t>
      </w:r>
    </w:p>
    <w:p>
      <w:pPr>
        <w:pStyle w:val="Body"/>
        <w:spacing w:line="360" w:lineRule="auto"/>
        <w:rPr>
          <w:sz w:val="24"/>
          <w:szCs w:val="24"/>
        </w:rPr>
      </w:pPr>
      <w:r>
        <w:rPr>
          <w:sz w:val="24"/>
          <w:szCs w:val="24"/>
          <w:rtl w:val="0"/>
          <w:lang w:val="en-US"/>
        </w:rPr>
        <w:t>Available at:</w:t>
      </w:r>
      <w:r>
        <w:rPr>
          <w:rStyle w:val="Hyperlink.0"/>
          <w:sz w:val="24"/>
          <w:szCs w:val="24"/>
        </w:rPr>
        <w:fldChar w:fldCharType="begin" w:fldLock="0"/>
      </w:r>
      <w:r>
        <w:rPr>
          <w:rStyle w:val="Hyperlink.0"/>
          <w:sz w:val="24"/>
          <w:szCs w:val="24"/>
        </w:rPr>
        <w:instrText xml:space="preserve"> HYPERLINK "https://www.bbc.co.uk/news/uk-26465916"</w:instrText>
      </w:r>
      <w:r>
        <w:rPr>
          <w:rStyle w:val="Hyperlink.0"/>
          <w:sz w:val="24"/>
          <w:szCs w:val="24"/>
        </w:rPr>
        <w:fldChar w:fldCharType="separate" w:fldLock="0"/>
      </w:r>
      <w:r>
        <w:rPr>
          <w:rStyle w:val="Hyperlink.0"/>
          <w:sz w:val="24"/>
          <w:szCs w:val="24"/>
          <w:rtl w:val="0"/>
          <w:lang w:val="en-US"/>
        </w:rPr>
        <w:t>https://www.bbc.co.uk/news/uk-26465916</w:t>
      </w:r>
      <w:r>
        <w:rPr>
          <w:sz w:val="24"/>
          <w:szCs w:val="24"/>
        </w:rPr>
        <w:fldChar w:fldCharType="end" w:fldLock="0"/>
      </w:r>
    </w:p>
    <w:p>
      <w:pPr>
        <w:pStyle w:val="Body"/>
        <w:spacing w:line="360" w:lineRule="auto"/>
        <w:rPr>
          <w:sz w:val="24"/>
          <w:szCs w:val="24"/>
        </w:rPr>
      </w:pPr>
      <w:r>
        <w:rPr>
          <w:sz w:val="24"/>
          <w:szCs w:val="24"/>
          <w:rtl w:val="0"/>
          <w:lang w:val="en-US"/>
        </w:rPr>
        <w:t>Accessed on:7th November 2019</w:t>
      </w:r>
    </w:p>
    <w:p>
      <w:pPr>
        <w:pStyle w:val="Body"/>
        <w:spacing w:line="360" w:lineRule="auto"/>
        <w:rPr>
          <w:sz w:val="24"/>
          <w:szCs w:val="24"/>
        </w:rPr>
      </w:pPr>
    </w:p>
    <w:p>
      <w:pPr>
        <w:pStyle w:val="Body"/>
        <w:spacing w:line="360" w:lineRule="auto"/>
        <w:rPr>
          <w:i w:val="1"/>
          <w:iCs w:val="1"/>
          <w:sz w:val="24"/>
          <w:szCs w:val="24"/>
        </w:rPr>
      </w:pPr>
      <w:r>
        <w:rPr>
          <w:sz w:val="24"/>
          <w:szCs w:val="24"/>
          <w:rtl w:val="0"/>
          <w:lang w:val="en-US"/>
        </w:rPr>
        <w:t xml:space="preserve">Bohm, R M (2005) </w:t>
      </w:r>
      <w:r>
        <w:rPr>
          <w:sz w:val="24"/>
          <w:szCs w:val="24"/>
          <w:rtl w:val="0"/>
          <w:lang w:val="en-US"/>
        </w:rPr>
        <w:t>‘</w:t>
      </w:r>
      <w:r>
        <w:rPr>
          <w:i w:val="1"/>
          <w:iCs w:val="1"/>
          <w:sz w:val="24"/>
          <w:szCs w:val="24"/>
          <w:rtl w:val="0"/>
          <w:lang w:val="en-US"/>
        </w:rPr>
        <w:t>Miscarriages of Criminal Justice</w:t>
      </w:r>
      <w:r>
        <w:rPr>
          <w:i w:val="1"/>
          <w:iCs w:val="1"/>
          <w:sz w:val="24"/>
          <w:szCs w:val="24"/>
          <w:rtl w:val="0"/>
          <w:lang w:val="en-US"/>
        </w:rPr>
        <w:t>’</w:t>
      </w:r>
    </w:p>
    <w:p>
      <w:pPr>
        <w:pStyle w:val="Body"/>
        <w:spacing w:line="360" w:lineRule="auto"/>
        <w:rPr>
          <w:i w:val="1"/>
          <w:iCs w:val="1"/>
          <w:sz w:val="24"/>
          <w:szCs w:val="24"/>
        </w:rPr>
      </w:pPr>
      <w:r>
        <w:rPr>
          <w:i w:val="1"/>
          <w:iCs w:val="1"/>
          <w:sz w:val="24"/>
          <w:szCs w:val="24"/>
          <w:rtl w:val="0"/>
          <w:lang w:val="en-US"/>
        </w:rPr>
        <w:t>Vol.21 (3) p.p 196-200</w:t>
      </w:r>
    </w:p>
    <w:p>
      <w:pPr>
        <w:pStyle w:val="Body"/>
        <w:spacing w:line="360" w:lineRule="auto"/>
        <w:rPr>
          <w:i w:val="1"/>
          <w:iCs w:val="1"/>
          <w:sz w:val="24"/>
          <w:szCs w:val="24"/>
        </w:rPr>
      </w:pPr>
      <w:r>
        <w:rPr>
          <w:i w:val="1"/>
          <w:iCs w:val="1"/>
          <w:sz w:val="24"/>
          <w:szCs w:val="24"/>
          <w:rtl w:val="0"/>
          <w:lang w:val="en-US"/>
        </w:rPr>
        <w:t>DOI: 10.1177/1043986205278811</w:t>
      </w:r>
    </w:p>
    <w:p>
      <w:pPr>
        <w:pStyle w:val="Body"/>
        <w:spacing w:line="360" w:lineRule="auto"/>
        <w:rPr>
          <w:i w:val="1"/>
          <w:iCs w:val="1"/>
          <w:sz w:val="24"/>
          <w:szCs w:val="24"/>
        </w:rPr>
      </w:pPr>
    </w:p>
    <w:p>
      <w:pPr>
        <w:pStyle w:val="Body"/>
        <w:spacing w:line="360" w:lineRule="auto"/>
        <w:rPr>
          <w:i w:val="1"/>
          <w:iCs w:val="1"/>
          <w:sz w:val="24"/>
          <w:szCs w:val="24"/>
        </w:rPr>
      </w:pPr>
      <w:r>
        <w:rPr>
          <w:i w:val="1"/>
          <w:iCs w:val="1"/>
          <w:sz w:val="24"/>
          <w:szCs w:val="24"/>
          <w:rtl w:val="0"/>
          <w:lang w:val="en-US"/>
        </w:rPr>
        <w:t xml:space="preserve">Booth, R. (2019) </w:t>
      </w:r>
      <w:r>
        <w:rPr>
          <w:i w:val="1"/>
          <w:iCs w:val="1"/>
          <w:sz w:val="24"/>
          <w:szCs w:val="24"/>
          <w:rtl w:val="0"/>
          <w:lang w:val="en-US"/>
        </w:rPr>
        <w:t>‘</w:t>
      </w:r>
      <w:r>
        <w:rPr>
          <w:i w:val="1"/>
          <w:iCs w:val="1"/>
          <w:sz w:val="24"/>
          <w:szCs w:val="24"/>
          <w:rtl w:val="0"/>
          <w:lang w:val="en-US"/>
        </w:rPr>
        <w:t>Institutional racism: 20 years since Stephen Lawrence inquiry</w:t>
      </w:r>
      <w:r>
        <w:rPr>
          <w:i w:val="1"/>
          <w:iCs w:val="1"/>
          <w:sz w:val="24"/>
          <w:szCs w:val="24"/>
          <w:rtl w:val="0"/>
          <w:lang w:val="en-US"/>
        </w:rPr>
        <w:t>’</w:t>
      </w:r>
    </w:p>
    <w:p>
      <w:pPr>
        <w:pStyle w:val="Body"/>
        <w:spacing w:line="360" w:lineRule="auto"/>
        <w:rPr>
          <w:i w:val="1"/>
          <w:iCs w:val="1"/>
          <w:sz w:val="24"/>
          <w:szCs w:val="24"/>
        </w:rPr>
      </w:pPr>
      <w:r>
        <w:rPr>
          <w:i w:val="1"/>
          <w:iCs w:val="1"/>
          <w:sz w:val="24"/>
          <w:szCs w:val="24"/>
          <w:rtl w:val="0"/>
          <w:lang w:val="en-US"/>
        </w:rPr>
        <w:t>Available at:</w:t>
      </w:r>
      <w:r>
        <w:rPr>
          <w:rStyle w:val="Hyperlink.0"/>
          <w:sz w:val="24"/>
          <w:szCs w:val="24"/>
        </w:rPr>
        <w:fldChar w:fldCharType="begin" w:fldLock="0"/>
      </w:r>
      <w:r>
        <w:rPr>
          <w:rStyle w:val="Hyperlink.0"/>
          <w:sz w:val="24"/>
          <w:szCs w:val="24"/>
        </w:rPr>
        <w:instrText xml:space="preserve"> HYPERLINK "https://www.theguardian.com/uk-news/2019/feb/22/institutional-racism-britain-stephen-lawrence-inquiry-20-years"</w:instrText>
      </w:r>
      <w:r>
        <w:rPr>
          <w:rStyle w:val="Hyperlink.0"/>
          <w:sz w:val="24"/>
          <w:szCs w:val="24"/>
        </w:rPr>
        <w:fldChar w:fldCharType="separate" w:fldLock="0"/>
      </w:r>
      <w:r>
        <w:rPr>
          <w:rStyle w:val="Hyperlink.0"/>
          <w:sz w:val="24"/>
          <w:szCs w:val="24"/>
          <w:rtl w:val="0"/>
          <w:lang w:val="en-US"/>
        </w:rPr>
        <w:t>https://www.theguardian.com/uk-news/2019/feb/22/institutional-racism-britain-stephen-lawrence-inquiry-20-years</w:t>
      </w:r>
      <w:r>
        <w:rPr>
          <w:sz w:val="24"/>
          <w:szCs w:val="24"/>
        </w:rPr>
        <w:fldChar w:fldCharType="end" w:fldLock="0"/>
      </w:r>
    </w:p>
    <w:p>
      <w:pPr>
        <w:pStyle w:val="Body"/>
        <w:spacing w:line="360" w:lineRule="auto"/>
        <w:rPr>
          <w:i w:val="1"/>
          <w:iCs w:val="1"/>
          <w:sz w:val="24"/>
          <w:szCs w:val="24"/>
        </w:rPr>
      </w:pPr>
      <w:r>
        <w:rPr>
          <w:i w:val="1"/>
          <w:iCs w:val="1"/>
          <w:sz w:val="24"/>
          <w:szCs w:val="24"/>
          <w:rtl w:val="0"/>
          <w:lang w:val="en-US"/>
        </w:rPr>
        <w:t>Accessed on: 7th November 2019</w:t>
      </w:r>
    </w:p>
    <w:p>
      <w:pPr>
        <w:pStyle w:val="Body"/>
        <w:spacing w:line="360" w:lineRule="auto"/>
        <w:rPr>
          <w:i w:val="1"/>
          <w:iCs w:val="1"/>
          <w:sz w:val="24"/>
          <w:szCs w:val="24"/>
        </w:rPr>
      </w:pPr>
    </w:p>
    <w:p>
      <w:pPr>
        <w:pStyle w:val="Body"/>
        <w:spacing w:line="360" w:lineRule="auto"/>
        <w:rPr>
          <w:i w:val="1"/>
          <w:iCs w:val="1"/>
          <w:sz w:val="24"/>
          <w:szCs w:val="24"/>
        </w:rPr>
      </w:pPr>
      <w:r>
        <w:rPr>
          <w:i w:val="1"/>
          <w:iCs w:val="1"/>
          <w:sz w:val="24"/>
          <w:szCs w:val="24"/>
          <w:rtl w:val="0"/>
          <w:lang w:val="en-US"/>
        </w:rPr>
        <w:t xml:space="preserve">Cathcart, B. (2000) </w:t>
      </w:r>
      <w:r>
        <w:rPr>
          <w:i w:val="1"/>
          <w:iCs w:val="1"/>
          <w:sz w:val="24"/>
          <w:szCs w:val="24"/>
          <w:rtl w:val="0"/>
          <w:lang w:val="en-US"/>
        </w:rPr>
        <w:t>‘</w:t>
      </w:r>
      <w:r>
        <w:rPr>
          <w:i w:val="1"/>
          <w:iCs w:val="1"/>
          <w:sz w:val="24"/>
          <w:szCs w:val="24"/>
          <w:rtl w:val="0"/>
          <w:lang w:val="en-US"/>
        </w:rPr>
        <w:t>the case of Stephen Lawrence</w:t>
      </w:r>
      <w:r>
        <w:rPr>
          <w:i w:val="1"/>
          <w:iCs w:val="1"/>
          <w:sz w:val="24"/>
          <w:szCs w:val="24"/>
          <w:rtl w:val="0"/>
          <w:lang w:val="en-US"/>
        </w:rPr>
        <w:t>’</w:t>
      </w:r>
    </w:p>
    <w:p>
      <w:pPr>
        <w:pStyle w:val="Body"/>
        <w:spacing w:line="360" w:lineRule="auto"/>
        <w:rPr>
          <w:i w:val="1"/>
          <w:iCs w:val="1"/>
          <w:sz w:val="24"/>
          <w:szCs w:val="24"/>
        </w:rPr>
      </w:pPr>
      <w:r>
        <w:rPr>
          <w:i w:val="1"/>
          <w:iCs w:val="1"/>
          <w:sz w:val="24"/>
          <w:szCs w:val="24"/>
          <w:rtl w:val="0"/>
          <w:lang w:val="en-US"/>
        </w:rPr>
        <w:t xml:space="preserve">1st edition, London, Penguin Group </w:t>
      </w:r>
    </w:p>
    <w:p>
      <w:pPr>
        <w:pStyle w:val="Body"/>
        <w:spacing w:line="360" w:lineRule="auto"/>
        <w:rPr>
          <w:sz w:val="24"/>
          <w:szCs w:val="24"/>
        </w:rPr>
      </w:pPr>
    </w:p>
    <w:p>
      <w:pPr>
        <w:pStyle w:val="Body"/>
        <w:spacing w:line="360" w:lineRule="auto"/>
        <w:rPr>
          <w:i w:val="1"/>
          <w:iCs w:val="1"/>
          <w:sz w:val="24"/>
          <w:szCs w:val="24"/>
        </w:rPr>
      </w:pPr>
      <w:r>
        <w:rPr>
          <w:sz w:val="24"/>
          <w:szCs w:val="24"/>
          <w:rtl w:val="0"/>
          <w:lang w:val="en-US"/>
        </w:rPr>
        <w:t>Equality and Human Rights Commission, (2010)</w:t>
      </w:r>
      <w:r>
        <w:rPr>
          <w:i w:val="1"/>
          <w:iCs w:val="1"/>
          <w:sz w:val="24"/>
          <w:szCs w:val="24"/>
          <w:rtl w:val="0"/>
          <w:lang w:val="en-US"/>
        </w:rPr>
        <w:t xml:space="preserve"> ‘</w:t>
      </w:r>
      <w:r>
        <w:rPr>
          <w:i w:val="1"/>
          <w:iCs w:val="1"/>
          <w:sz w:val="24"/>
          <w:szCs w:val="24"/>
          <w:rtl w:val="0"/>
          <w:lang w:val="en-US"/>
        </w:rPr>
        <w:t>Stop and think</w:t>
      </w:r>
      <w:r>
        <w:rPr>
          <w:i w:val="1"/>
          <w:iCs w:val="1"/>
          <w:sz w:val="24"/>
          <w:szCs w:val="24"/>
          <w:rtl w:val="0"/>
          <w:lang w:val="en-US"/>
        </w:rPr>
        <w:t>’</w:t>
      </w:r>
    </w:p>
    <w:p>
      <w:pPr>
        <w:pStyle w:val="Body"/>
        <w:spacing w:line="360" w:lineRule="auto"/>
        <w:rPr>
          <w:i w:val="1"/>
          <w:iCs w:val="1"/>
          <w:sz w:val="24"/>
          <w:szCs w:val="24"/>
        </w:rPr>
      </w:pPr>
      <w:r>
        <w:rPr>
          <w:i w:val="1"/>
          <w:iCs w:val="1"/>
          <w:sz w:val="24"/>
          <w:szCs w:val="24"/>
          <w:rtl w:val="0"/>
          <w:lang w:val="en-US"/>
        </w:rPr>
        <w:t>Available at:</w:t>
      </w:r>
      <w:r>
        <w:rPr>
          <w:rStyle w:val="Hyperlink.0"/>
          <w:sz w:val="24"/>
          <w:szCs w:val="24"/>
        </w:rPr>
        <w:fldChar w:fldCharType="begin" w:fldLock="0"/>
      </w:r>
      <w:r>
        <w:rPr>
          <w:rStyle w:val="Hyperlink.0"/>
          <w:sz w:val="24"/>
          <w:szCs w:val="24"/>
        </w:rPr>
        <w:instrText xml:space="preserve"> HYPERLINK "https://www.equalityhumanrights.com/sites/default/files/ehrc_stop_and_search_report.pdf"</w:instrText>
      </w:r>
      <w:r>
        <w:rPr>
          <w:rStyle w:val="Hyperlink.0"/>
          <w:sz w:val="24"/>
          <w:szCs w:val="24"/>
        </w:rPr>
        <w:fldChar w:fldCharType="separate" w:fldLock="0"/>
      </w:r>
      <w:r>
        <w:rPr>
          <w:rStyle w:val="Hyperlink.0"/>
          <w:sz w:val="24"/>
          <w:szCs w:val="24"/>
          <w:rtl w:val="0"/>
          <w:lang w:val="en-US"/>
        </w:rPr>
        <w:t>https://www.equalityhumanrights.com/sites/default/files/ehrc_stop_and_search_report.pdf</w:t>
      </w:r>
      <w:r>
        <w:rPr>
          <w:sz w:val="24"/>
          <w:szCs w:val="24"/>
        </w:rPr>
        <w:fldChar w:fldCharType="end" w:fldLock="0"/>
      </w:r>
    </w:p>
    <w:p>
      <w:pPr>
        <w:pStyle w:val="Body"/>
        <w:spacing w:line="360" w:lineRule="auto"/>
        <w:rPr>
          <w:sz w:val="24"/>
          <w:szCs w:val="24"/>
        </w:rPr>
      </w:pPr>
      <w:r>
        <w:rPr>
          <w:i w:val="1"/>
          <w:iCs w:val="1"/>
          <w:sz w:val="24"/>
          <w:szCs w:val="24"/>
          <w:rtl w:val="0"/>
          <w:lang w:val="en-US"/>
        </w:rPr>
        <w:t>Accessed on: 7th November 2019</w:t>
      </w:r>
    </w:p>
    <w:p>
      <w:pPr>
        <w:pStyle w:val="Body"/>
        <w:spacing w:line="360" w:lineRule="auto"/>
        <w:rPr>
          <w:sz w:val="24"/>
          <w:szCs w:val="24"/>
        </w:rPr>
      </w:pPr>
    </w:p>
    <w:p>
      <w:pPr>
        <w:pStyle w:val="Body"/>
        <w:spacing w:line="360" w:lineRule="auto"/>
        <w:rPr>
          <w:i w:val="1"/>
          <w:iCs w:val="1"/>
          <w:sz w:val="24"/>
          <w:szCs w:val="24"/>
        </w:rPr>
      </w:pPr>
      <w:r>
        <w:rPr>
          <w:rStyle w:val="Hyperlink.0"/>
          <w:sz w:val="24"/>
          <w:szCs w:val="24"/>
        </w:rPr>
        <w:fldChar w:fldCharType="begin" w:fldLock="0"/>
      </w:r>
      <w:r>
        <w:rPr>
          <w:rStyle w:val="Hyperlink.0"/>
          <w:sz w:val="24"/>
          <w:szCs w:val="24"/>
        </w:rPr>
        <w:instrText xml:space="preserve"> HYPERLINK "http://gov.uk"</w:instrText>
      </w:r>
      <w:r>
        <w:rPr>
          <w:rStyle w:val="Hyperlink.0"/>
          <w:sz w:val="24"/>
          <w:szCs w:val="24"/>
        </w:rPr>
        <w:fldChar w:fldCharType="separate" w:fldLock="0"/>
      </w:r>
      <w:r>
        <w:rPr>
          <w:rStyle w:val="Hyperlink.0"/>
          <w:sz w:val="24"/>
          <w:szCs w:val="24"/>
          <w:rtl w:val="0"/>
          <w:lang w:val="en-US"/>
        </w:rPr>
        <w:t>gov.uk</w:t>
      </w:r>
      <w:r>
        <w:rPr>
          <w:sz w:val="24"/>
          <w:szCs w:val="24"/>
        </w:rPr>
        <w:fldChar w:fldCharType="end" w:fldLock="0"/>
      </w:r>
      <w:r>
        <w:rPr>
          <w:sz w:val="24"/>
          <w:szCs w:val="24"/>
          <w:rtl w:val="0"/>
          <w:lang w:val="en-US"/>
        </w:rPr>
        <w:t xml:space="preserve"> (2019) </w:t>
      </w:r>
      <w:r>
        <w:rPr>
          <w:sz w:val="24"/>
          <w:szCs w:val="24"/>
          <w:rtl w:val="0"/>
          <w:lang w:val="en-US"/>
        </w:rPr>
        <w:t>‘</w:t>
      </w:r>
      <w:r>
        <w:rPr>
          <w:i w:val="1"/>
          <w:iCs w:val="1"/>
          <w:sz w:val="24"/>
          <w:szCs w:val="24"/>
          <w:rtl w:val="0"/>
          <w:lang w:val="en-US"/>
        </w:rPr>
        <w:t>Police and Criminal Evidence Act 1984 (PACE) codes of practice</w:t>
      </w:r>
      <w:r>
        <w:rPr>
          <w:i w:val="1"/>
          <w:iCs w:val="1"/>
          <w:sz w:val="24"/>
          <w:szCs w:val="24"/>
          <w:rtl w:val="0"/>
          <w:lang w:val="en-US"/>
        </w:rPr>
        <w:t>’</w:t>
      </w:r>
    </w:p>
    <w:p>
      <w:pPr>
        <w:pStyle w:val="Body"/>
        <w:spacing w:line="360" w:lineRule="auto"/>
        <w:rPr>
          <w:sz w:val="24"/>
          <w:szCs w:val="24"/>
        </w:rPr>
      </w:pPr>
      <w:r>
        <w:rPr>
          <w:sz w:val="24"/>
          <w:szCs w:val="24"/>
          <w:rtl w:val="0"/>
          <w:lang w:val="en-US"/>
        </w:rPr>
        <w:t xml:space="preserve">Available at: </w:t>
      </w:r>
      <w:r>
        <w:rPr>
          <w:rStyle w:val="Hyperlink.0"/>
          <w:sz w:val="24"/>
          <w:szCs w:val="24"/>
        </w:rPr>
        <w:fldChar w:fldCharType="begin" w:fldLock="0"/>
      </w:r>
      <w:r>
        <w:rPr>
          <w:rStyle w:val="Hyperlink.0"/>
          <w:sz w:val="24"/>
          <w:szCs w:val="24"/>
        </w:rPr>
        <w:instrText xml:space="preserve"> HYPERLINK "https://www.gov.uk/guidance/police-and-criminal-evidence-act-1984-pace-codes-of-practice"</w:instrText>
      </w:r>
      <w:r>
        <w:rPr>
          <w:rStyle w:val="Hyperlink.0"/>
          <w:sz w:val="24"/>
          <w:szCs w:val="24"/>
        </w:rPr>
        <w:fldChar w:fldCharType="separate" w:fldLock="0"/>
      </w:r>
      <w:r>
        <w:rPr>
          <w:rStyle w:val="Hyperlink.0"/>
          <w:sz w:val="24"/>
          <w:szCs w:val="24"/>
          <w:rtl w:val="0"/>
          <w:lang w:val="en-US"/>
        </w:rPr>
        <w:t>https://www.gov.uk/guidance/police-and-criminal-evidence-act-1984-pace-codes-of-practice</w:t>
      </w:r>
      <w:r>
        <w:rPr>
          <w:sz w:val="24"/>
          <w:szCs w:val="24"/>
        </w:rPr>
        <w:fldChar w:fldCharType="end" w:fldLock="0"/>
      </w:r>
    </w:p>
    <w:p>
      <w:pPr>
        <w:pStyle w:val="Body"/>
        <w:spacing w:line="360" w:lineRule="auto"/>
        <w:rPr>
          <w:sz w:val="24"/>
          <w:szCs w:val="24"/>
        </w:rPr>
      </w:pPr>
      <w:r>
        <w:rPr>
          <w:sz w:val="24"/>
          <w:szCs w:val="24"/>
          <w:rtl w:val="0"/>
          <w:lang w:val="en-US"/>
        </w:rPr>
        <w:t>Accessed on: 6th November 2018</w:t>
      </w:r>
    </w:p>
    <w:p>
      <w:pPr>
        <w:pStyle w:val="Body"/>
        <w:spacing w:line="360" w:lineRule="auto"/>
        <w:rPr>
          <w:sz w:val="24"/>
          <w:szCs w:val="24"/>
        </w:rPr>
      </w:pPr>
    </w:p>
    <w:p>
      <w:pPr>
        <w:pStyle w:val="Body"/>
        <w:spacing w:line="360" w:lineRule="auto"/>
        <w:rPr>
          <w:i w:val="1"/>
          <w:iCs w:val="1"/>
          <w:sz w:val="24"/>
          <w:szCs w:val="24"/>
        </w:rPr>
      </w:pPr>
      <w:r>
        <w:rPr>
          <w:sz w:val="24"/>
          <w:szCs w:val="24"/>
          <w:rtl w:val="0"/>
          <w:lang w:val="en-US"/>
        </w:rPr>
        <w:t xml:space="preserve">Hattenson, S. (2000) </w:t>
      </w:r>
      <w:r>
        <w:rPr>
          <w:i w:val="1"/>
          <w:iCs w:val="1"/>
          <w:sz w:val="24"/>
          <w:szCs w:val="24"/>
          <w:rtl w:val="0"/>
          <w:lang w:val="en-US"/>
        </w:rPr>
        <w:t>‘</w:t>
      </w:r>
      <w:r>
        <w:rPr>
          <w:i w:val="1"/>
          <w:iCs w:val="1"/>
          <w:sz w:val="24"/>
          <w:szCs w:val="24"/>
          <w:rtl w:val="0"/>
          <w:lang w:val="en-US"/>
        </w:rPr>
        <w:t>Free at last?</w:t>
      </w:r>
      <w:r>
        <w:rPr>
          <w:i w:val="1"/>
          <w:iCs w:val="1"/>
          <w:sz w:val="24"/>
          <w:szCs w:val="24"/>
          <w:rtl w:val="0"/>
          <w:lang w:val="en-US"/>
        </w:rPr>
        <w:t>’</w:t>
      </w:r>
    </w:p>
    <w:p>
      <w:pPr>
        <w:pStyle w:val="Body"/>
        <w:spacing w:line="360" w:lineRule="auto"/>
        <w:rPr>
          <w:sz w:val="24"/>
          <w:szCs w:val="24"/>
        </w:rPr>
      </w:pPr>
      <w:r>
        <w:rPr>
          <w:sz w:val="24"/>
          <w:szCs w:val="24"/>
          <w:rtl w:val="0"/>
          <w:lang w:val="en-US"/>
        </w:rPr>
        <w:t>Available at:</w:t>
      </w:r>
      <w:r>
        <w:rPr>
          <w:rStyle w:val="Hyperlink.0"/>
          <w:sz w:val="24"/>
          <w:szCs w:val="24"/>
        </w:rPr>
        <w:fldChar w:fldCharType="begin" w:fldLock="0"/>
      </w:r>
      <w:r>
        <w:rPr>
          <w:rStyle w:val="Hyperlink.0"/>
          <w:sz w:val="24"/>
          <w:szCs w:val="24"/>
        </w:rPr>
        <w:instrText xml:space="preserve"> HYPERLINK "https://www.theguardian.com/lifeandstyle/2000/apr/01/weekend.simonhattenstone"</w:instrText>
      </w:r>
      <w:r>
        <w:rPr>
          <w:rStyle w:val="Hyperlink.0"/>
          <w:sz w:val="24"/>
          <w:szCs w:val="24"/>
        </w:rPr>
        <w:fldChar w:fldCharType="separate" w:fldLock="0"/>
      </w:r>
      <w:r>
        <w:rPr>
          <w:rStyle w:val="Hyperlink.0"/>
          <w:sz w:val="24"/>
          <w:szCs w:val="24"/>
          <w:rtl w:val="0"/>
          <w:lang w:val="en-US"/>
        </w:rPr>
        <w:t>https://www.theguardian.com/lifeandstyle/2000/apr/01/weekend.simonhattenstone</w:t>
      </w:r>
      <w:r>
        <w:rPr>
          <w:sz w:val="24"/>
          <w:szCs w:val="24"/>
        </w:rPr>
        <w:fldChar w:fldCharType="end" w:fldLock="0"/>
      </w:r>
    </w:p>
    <w:p>
      <w:pPr>
        <w:pStyle w:val="Body"/>
        <w:spacing w:line="360" w:lineRule="auto"/>
        <w:rPr>
          <w:sz w:val="24"/>
          <w:szCs w:val="24"/>
        </w:rPr>
      </w:pPr>
      <w:r>
        <w:rPr>
          <w:sz w:val="24"/>
          <w:szCs w:val="24"/>
          <w:rtl w:val="0"/>
          <w:lang w:val="en-US"/>
        </w:rPr>
        <w:t>Accessed on: 7th November 2019</w:t>
      </w:r>
    </w:p>
    <w:p>
      <w:pPr>
        <w:pStyle w:val="Body"/>
        <w:spacing w:line="360" w:lineRule="auto"/>
        <w:rPr>
          <w:sz w:val="24"/>
          <w:szCs w:val="24"/>
        </w:rPr>
      </w:pPr>
    </w:p>
    <w:p>
      <w:pPr>
        <w:pStyle w:val="Body"/>
        <w:spacing w:line="360" w:lineRule="auto"/>
        <w:rPr>
          <w:i w:val="1"/>
          <w:iCs w:val="1"/>
          <w:sz w:val="24"/>
          <w:szCs w:val="24"/>
        </w:rPr>
      </w:pPr>
      <w:r>
        <w:rPr>
          <w:sz w:val="24"/>
          <w:szCs w:val="24"/>
          <w:rtl w:val="0"/>
          <w:lang w:val="en-US"/>
        </w:rPr>
        <w:t xml:space="preserve">Holt, R (2010) </w:t>
      </w:r>
      <w:r>
        <w:rPr>
          <w:sz w:val="24"/>
          <w:szCs w:val="24"/>
          <w:rtl w:val="0"/>
          <w:lang w:val="en-US"/>
        </w:rPr>
        <w:t>“</w:t>
      </w:r>
      <w:r>
        <w:rPr>
          <w:i w:val="1"/>
          <w:iCs w:val="1"/>
          <w:sz w:val="24"/>
          <w:szCs w:val="24"/>
          <w:rtl w:val="0"/>
          <w:lang w:val="en-US"/>
        </w:rPr>
        <w:t>The Guildford four: in the name of justice</w:t>
      </w:r>
      <w:r>
        <w:rPr>
          <w:i w:val="1"/>
          <w:iCs w:val="1"/>
          <w:sz w:val="24"/>
          <w:szCs w:val="24"/>
          <w:rtl w:val="0"/>
          <w:lang w:val="en-US"/>
        </w:rPr>
        <w:t>’</w:t>
      </w:r>
    </w:p>
    <w:p>
      <w:pPr>
        <w:pStyle w:val="Body"/>
        <w:spacing w:line="360" w:lineRule="auto"/>
        <w:rPr>
          <w:sz w:val="24"/>
          <w:szCs w:val="24"/>
        </w:rPr>
      </w:pPr>
      <w:r>
        <w:rPr>
          <w:sz w:val="24"/>
          <w:szCs w:val="24"/>
          <w:rtl w:val="0"/>
          <w:lang w:val="en-US"/>
        </w:rPr>
        <w:t xml:space="preserve">Available at: </w:t>
      </w:r>
      <w:r>
        <w:rPr>
          <w:rStyle w:val="Hyperlink.0"/>
          <w:sz w:val="24"/>
          <w:szCs w:val="24"/>
        </w:rPr>
        <w:fldChar w:fldCharType="begin" w:fldLock="0"/>
      </w:r>
      <w:r>
        <w:rPr>
          <w:rStyle w:val="Hyperlink.0"/>
          <w:sz w:val="24"/>
          <w:szCs w:val="24"/>
        </w:rPr>
        <w:instrText xml:space="preserve"> HYPERLINK "https://www.telegraph.co.uk/news/uknews/crime/7795117/The-Guildford-Four-in-the-name-of-justice.html"</w:instrText>
      </w:r>
      <w:r>
        <w:rPr>
          <w:rStyle w:val="Hyperlink.0"/>
          <w:sz w:val="24"/>
          <w:szCs w:val="24"/>
        </w:rPr>
        <w:fldChar w:fldCharType="separate" w:fldLock="0"/>
      </w:r>
      <w:r>
        <w:rPr>
          <w:rStyle w:val="Hyperlink.0"/>
          <w:sz w:val="24"/>
          <w:szCs w:val="24"/>
          <w:rtl w:val="0"/>
          <w:lang w:val="en-US"/>
        </w:rPr>
        <w:t>https://www.telegraph.co.uk/news/uknews/crime/7795117/The-Guildford-Four-in-the-name-of-justice.html</w:t>
      </w:r>
      <w:r>
        <w:rPr>
          <w:sz w:val="24"/>
          <w:szCs w:val="24"/>
        </w:rPr>
        <w:fldChar w:fldCharType="end" w:fldLock="0"/>
      </w:r>
    </w:p>
    <w:p>
      <w:pPr>
        <w:pStyle w:val="Body"/>
        <w:spacing w:line="360" w:lineRule="auto"/>
        <w:rPr>
          <w:sz w:val="24"/>
          <w:szCs w:val="24"/>
        </w:rPr>
      </w:pPr>
      <w:r>
        <w:rPr>
          <w:sz w:val="24"/>
          <w:szCs w:val="24"/>
          <w:rtl w:val="0"/>
          <w:lang w:val="en-US"/>
        </w:rPr>
        <w:t>Accessed on: 7th November 2019</w:t>
      </w:r>
    </w:p>
    <w:p>
      <w:pPr>
        <w:pStyle w:val="Body"/>
        <w:spacing w:line="360" w:lineRule="auto"/>
        <w:rPr>
          <w:sz w:val="24"/>
          <w:szCs w:val="24"/>
        </w:rPr>
      </w:pPr>
    </w:p>
    <w:p>
      <w:pPr>
        <w:pStyle w:val="Body"/>
        <w:spacing w:line="360" w:lineRule="auto"/>
        <w:rPr>
          <w:i w:val="1"/>
          <w:iCs w:val="1"/>
          <w:sz w:val="24"/>
          <w:szCs w:val="24"/>
        </w:rPr>
      </w:pPr>
      <w:r>
        <w:rPr>
          <w:rStyle w:val="Hyperlink.0"/>
          <w:sz w:val="24"/>
          <w:szCs w:val="24"/>
        </w:rPr>
        <w:fldChar w:fldCharType="begin" w:fldLock="0"/>
      </w:r>
      <w:r>
        <w:rPr>
          <w:rStyle w:val="Hyperlink.0"/>
          <w:sz w:val="24"/>
          <w:szCs w:val="24"/>
        </w:rPr>
        <w:instrText xml:space="preserve"> HYPERLINK "http://legislation.gov.uk"</w:instrText>
      </w:r>
      <w:r>
        <w:rPr>
          <w:rStyle w:val="Hyperlink.0"/>
          <w:sz w:val="24"/>
          <w:szCs w:val="24"/>
        </w:rPr>
        <w:fldChar w:fldCharType="separate" w:fldLock="0"/>
      </w:r>
      <w:r>
        <w:rPr>
          <w:rStyle w:val="Hyperlink.0"/>
          <w:sz w:val="24"/>
          <w:szCs w:val="24"/>
          <w:rtl w:val="0"/>
          <w:lang w:val="en-US"/>
        </w:rPr>
        <w:t>legislation.gov.uk</w:t>
      </w:r>
      <w:r>
        <w:rPr>
          <w:sz w:val="24"/>
          <w:szCs w:val="24"/>
        </w:rPr>
        <w:fldChar w:fldCharType="end" w:fldLock="0"/>
      </w:r>
      <w:r>
        <w:rPr>
          <w:sz w:val="24"/>
          <w:szCs w:val="24"/>
          <w:rtl w:val="0"/>
          <w:lang w:val="en-US"/>
        </w:rPr>
        <w:t xml:space="preserve">, (2019) </w:t>
      </w:r>
      <w:r>
        <w:rPr>
          <w:sz w:val="24"/>
          <w:szCs w:val="24"/>
          <w:rtl w:val="0"/>
          <w:lang w:val="en-US"/>
        </w:rPr>
        <w:t>‘</w:t>
      </w:r>
      <w:r>
        <w:rPr>
          <w:i w:val="1"/>
          <w:iCs w:val="1"/>
          <w:sz w:val="24"/>
          <w:szCs w:val="24"/>
          <w:rtl w:val="0"/>
          <w:lang w:val="en-US"/>
        </w:rPr>
        <w:t>Police and Criminal Evidence Act 1984</w:t>
      </w:r>
      <w:r>
        <w:rPr>
          <w:i w:val="1"/>
          <w:iCs w:val="1"/>
          <w:sz w:val="24"/>
          <w:szCs w:val="24"/>
          <w:rtl w:val="0"/>
          <w:lang w:val="en-US"/>
        </w:rPr>
        <w:t>’</w:t>
      </w:r>
    </w:p>
    <w:p>
      <w:pPr>
        <w:pStyle w:val="Body"/>
        <w:spacing w:line="360" w:lineRule="auto"/>
        <w:rPr>
          <w:i w:val="1"/>
          <w:iCs w:val="1"/>
          <w:sz w:val="24"/>
          <w:szCs w:val="24"/>
        </w:rPr>
      </w:pPr>
      <w:r>
        <w:rPr>
          <w:i w:val="1"/>
          <w:iCs w:val="1"/>
          <w:sz w:val="24"/>
          <w:szCs w:val="24"/>
          <w:rtl w:val="0"/>
          <w:lang w:val="en-US"/>
        </w:rPr>
        <w:t>Available at:</w:t>
      </w:r>
      <w:r>
        <w:rPr>
          <w:rStyle w:val="Hyperlink.0"/>
          <w:sz w:val="24"/>
          <w:szCs w:val="24"/>
        </w:rPr>
        <w:fldChar w:fldCharType="begin" w:fldLock="0"/>
      </w:r>
      <w:r>
        <w:rPr>
          <w:rStyle w:val="Hyperlink.0"/>
          <w:sz w:val="24"/>
          <w:szCs w:val="24"/>
        </w:rPr>
        <w:instrText xml:space="preserve"> HYPERLINK "http://www.legislation.gov.uk/ukpga/1984/60/section/1#commentary-c18971601"</w:instrText>
      </w:r>
      <w:r>
        <w:rPr>
          <w:rStyle w:val="Hyperlink.0"/>
          <w:sz w:val="24"/>
          <w:szCs w:val="24"/>
        </w:rPr>
        <w:fldChar w:fldCharType="separate" w:fldLock="0"/>
      </w:r>
      <w:r>
        <w:rPr>
          <w:rStyle w:val="Hyperlink.0"/>
          <w:sz w:val="24"/>
          <w:szCs w:val="24"/>
          <w:rtl w:val="0"/>
          <w:lang w:val="en-US"/>
        </w:rPr>
        <w:t>http://www.legislation.gov.uk/ukpga/1984/60/section/1#commentary-c18971601</w:t>
      </w:r>
      <w:r>
        <w:rPr>
          <w:sz w:val="24"/>
          <w:szCs w:val="24"/>
        </w:rPr>
        <w:fldChar w:fldCharType="end" w:fldLock="0"/>
      </w:r>
    </w:p>
    <w:p>
      <w:pPr>
        <w:pStyle w:val="Body"/>
        <w:spacing w:line="360" w:lineRule="auto"/>
        <w:rPr>
          <w:i w:val="1"/>
          <w:iCs w:val="1"/>
          <w:sz w:val="24"/>
          <w:szCs w:val="24"/>
        </w:rPr>
      </w:pPr>
      <w:r>
        <w:rPr>
          <w:i w:val="1"/>
          <w:iCs w:val="1"/>
          <w:sz w:val="24"/>
          <w:szCs w:val="24"/>
          <w:rtl w:val="0"/>
          <w:lang w:val="en-US"/>
        </w:rPr>
        <w:t>Accessed on:6th November 2018</w:t>
      </w:r>
    </w:p>
    <w:p>
      <w:pPr>
        <w:pStyle w:val="Body"/>
        <w:spacing w:line="360" w:lineRule="auto"/>
        <w:rPr>
          <w:i w:val="1"/>
          <w:iCs w:val="1"/>
          <w:sz w:val="24"/>
          <w:szCs w:val="24"/>
        </w:rPr>
      </w:pPr>
    </w:p>
    <w:p>
      <w:pPr>
        <w:pStyle w:val="Body"/>
        <w:spacing w:line="360" w:lineRule="auto"/>
        <w:rPr>
          <w:i w:val="1"/>
          <w:iCs w:val="1"/>
          <w:sz w:val="24"/>
          <w:szCs w:val="24"/>
        </w:rPr>
      </w:pPr>
      <w:r>
        <w:rPr>
          <w:sz w:val="24"/>
          <w:szCs w:val="24"/>
          <w:rtl w:val="0"/>
          <w:lang w:val="en-US"/>
        </w:rPr>
        <w:t xml:space="preserve">Lissaman, C. (2011) </w:t>
      </w:r>
      <w:r>
        <w:rPr>
          <w:sz w:val="24"/>
          <w:szCs w:val="24"/>
          <w:rtl w:val="0"/>
          <w:lang w:val="en-US"/>
        </w:rPr>
        <w:t>‘</w:t>
      </w:r>
      <w:r>
        <w:rPr>
          <w:i w:val="1"/>
          <w:iCs w:val="1"/>
          <w:sz w:val="24"/>
          <w:szCs w:val="24"/>
          <w:rtl w:val="0"/>
          <w:lang w:val="en-US"/>
        </w:rPr>
        <w:t>Birmingham Six were in the wrong place at the wrong time</w:t>
      </w:r>
      <w:r>
        <w:rPr>
          <w:i w:val="1"/>
          <w:iCs w:val="1"/>
          <w:sz w:val="24"/>
          <w:szCs w:val="24"/>
          <w:rtl w:val="0"/>
          <w:lang w:val="en-US"/>
        </w:rPr>
        <w:t>’</w:t>
      </w:r>
    </w:p>
    <w:p>
      <w:pPr>
        <w:pStyle w:val="Body"/>
        <w:spacing w:line="360" w:lineRule="auto"/>
        <w:rPr>
          <w:sz w:val="24"/>
          <w:szCs w:val="24"/>
        </w:rPr>
      </w:pPr>
      <w:r>
        <w:rPr>
          <w:sz w:val="24"/>
          <w:szCs w:val="24"/>
          <w:rtl w:val="0"/>
          <w:lang w:val="en-US"/>
        </w:rPr>
        <w:t>Available at:</w:t>
      </w:r>
      <w:r>
        <w:rPr>
          <w:rStyle w:val="Hyperlink.0"/>
          <w:sz w:val="24"/>
          <w:szCs w:val="24"/>
        </w:rPr>
        <w:fldChar w:fldCharType="begin" w:fldLock="0"/>
      </w:r>
      <w:r>
        <w:rPr>
          <w:rStyle w:val="Hyperlink.0"/>
          <w:sz w:val="24"/>
          <w:szCs w:val="24"/>
        </w:rPr>
        <w:instrText xml:space="preserve"> HYPERLINK "https://www.bbc.co.uk/news/uk-england-12664938"</w:instrText>
      </w:r>
      <w:r>
        <w:rPr>
          <w:rStyle w:val="Hyperlink.0"/>
          <w:sz w:val="24"/>
          <w:szCs w:val="24"/>
        </w:rPr>
        <w:fldChar w:fldCharType="separate" w:fldLock="0"/>
      </w:r>
      <w:r>
        <w:rPr>
          <w:rStyle w:val="Hyperlink.0"/>
          <w:sz w:val="24"/>
          <w:szCs w:val="24"/>
          <w:rtl w:val="0"/>
          <w:lang w:val="en-US"/>
        </w:rPr>
        <w:t>https://www.bbc.co.uk/news/uk-england-12664938</w:t>
      </w:r>
      <w:r>
        <w:rPr>
          <w:sz w:val="24"/>
          <w:szCs w:val="24"/>
        </w:rPr>
        <w:fldChar w:fldCharType="end" w:fldLock="0"/>
      </w:r>
    </w:p>
    <w:p>
      <w:pPr>
        <w:pStyle w:val="Body"/>
        <w:spacing w:line="360" w:lineRule="auto"/>
        <w:rPr>
          <w:sz w:val="24"/>
          <w:szCs w:val="24"/>
        </w:rPr>
      </w:pPr>
      <w:r>
        <w:rPr>
          <w:sz w:val="24"/>
          <w:szCs w:val="24"/>
          <w:rtl w:val="0"/>
          <w:lang w:val="en-US"/>
        </w:rPr>
        <w:t>Accessed on:6th November 2019</w:t>
      </w:r>
    </w:p>
    <w:p>
      <w:pPr>
        <w:pStyle w:val="Body"/>
        <w:spacing w:line="360" w:lineRule="auto"/>
        <w:rPr>
          <w:sz w:val="24"/>
          <w:szCs w:val="24"/>
        </w:rPr>
      </w:pPr>
    </w:p>
    <w:p>
      <w:pPr>
        <w:pStyle w:val="Body"/>
        <w:spacing w:line="360" w:lineRule="auto"/>
        <w:rPr>
          <w:sz w:val="24"/>
          <w:szCs w:val="24"/>
        </w:rPr>
      </w:pPr>
    </w:p>
    <w:p>
      <w:pPr>
        <w:pStyle w:val="Body"/>
        <w:spacing w:line="360" w:lineRule="auto"/>
        <w:rPr>
          <w:i w:val="1"/>
          <w:iCs w:val="1"/>
          <w:sz w:val="24"/>
          <w:szCs w:val="24"/>
        </w:rPr>
      </w:pPr>
      <w:r>
        <w:rPr>
          <w:sz w:val="24"/>
          <w:szCs w:val="24"/>
          <w:rtl w:val="0"/>
          <w:lang w:val="en-US"/>
        </w:rPr>
        <w:t xml:space="preserve">Macpherson, W. (1999) </w:t>
      </w:r>
      <w:r>
        <w:rPr>
          <w:i w:val="1"/>
          <w:iCs w:val="1"/>
          <w:sz w:val="24"/>
          <w:szCs w:val="24"/>
          <w:rtl w:val="0"/>
          <w:lang w:val="en-US"/>
        </w:rPr>
        <w:t>‘</w:t>
      </w:r>
      <w:r>
        <w:rPr>
          <w:i w:val="1"/>
          <w:iCs w:val="1"/>
          <w:sz w:val="24"/>
          <w:szCs w:val="24"/>
          <w:rtl w:val="0"/>
          <w:lang w:val="en-US"/>
        </w:rPr>
        <w:t>The Stephen Lawrence Inquiry</w:t>
      </w:r>
      <w:r>
        <w:rPr>
          <w:i w:val="1"/>
          <w:iCs w:val="1"/>
          <w:sz w:val="24"/>
          <w:szCs w:val="24"/>
          <w:rtl w:val="0"/>
          <w:lang w:val="en-US"/>
        </w:rPr>
        <w:t>’</w:t>
      </w:r>
    </w:p>
    <w:p>
      <w:pPr>
        <w:pStyle w:val="Body"/>
        <w:spacing w:line="360" w:lineRule="auto"/>
        <w:rPr>
          <w:sz w:val="24"/>
          <w:szCs w:val="24"/>
        </w:rPr>
      </w:pPr>
      <w:r>
        <w:rPr>
          <w:sz w:val="24"/>
          <w:szCs w:val="24"/>
          <w:rtl w:val="0"/>
          <w:lang w:val="en-US"/>
        </w:rPr>
        <w:t>Available at:</w:t>
      </w:r>
      <w:r>
        <w:rPr>
          <w:rStyle w:val="Hyperlink.0"/>
          <w:sz w:val="24"/>
          <w:szCs w:val="24"/>
        </w:rPr>
        <w:fldChar w:fldCharType="begin" w:fldLock="0"/>
      </w:r>
      <w:r>
        <w:rPr>
          <w:rStyle w:val="Hyperlink.0"/>
          <w:sz w:val="24"/>
          <w:szCs w:val="24"/>
        </w:rPr>
        <w:instrText xml:space="preserve"> HYPERLINK "https://assets.publishing.service.gov.uk/government/uploads/system/uploads/attachment_data/file/277111/4262.pdf"</w:instrText>
      </w:r>
      <w:r>
        <w:rPr>
          <w:rStyle w:val="Hyperlink.0"/>
          <w:sz w:val="24"/>
          <w:szCs w:val="24"/>
        </w:rPr>
        <w:fldChar w:fldCharType="separate" w:fldLock="0"/>
      </w:r>
      <w:r>
        <w:rPr>
          <w:rStyle w:val="Hyperlink.0"/>
          <w:sz w:val="24"/>
          <w:szCs w:val="24"/>
          <w:rtl w:val="0"/>
          <w:lang w:val="en-US"/>
        </w:rPr>
        <w:t>https://assets.publishing.service.gov.uk/government/uploads/system/uploads/attachment_data/file/277111/4262.pdf</w:t>
      </w:r>
      <w:r>
        <w:rPr>
          <w:sz w:val="24"/>
          <w:szCs w:val="24"/>
        </w:rPr>
        <w:fldChar w:fldCharType="end" w:fldLock="0"/>
      </w:r>
    </w:p>
    <w:p>
      <w:pPr>
        <w:pStyle w:val="Body"/>
        <w:spacing w:line="360" w:lineRule="auto"/>
        <w:rPr>
          <w:sz w:val="24"/>
          <w:szCs w:val="24"/>
        </w:rPr>
      </w:pPr>
      <w:r>
        <w:rPr>
          <w:sz w:val="24"/>
          <w:szCs w:val="24"/>
          <w:rtl w:val="0"/>
          <w:lang w:val="en-US"/>
        </w:rPr>
        <w:t>Accessed on:7th November 2019</w:t>
      </w:r>
    </w:p>
    <w:p>
      <w:pPr>
        <w:pStyle w:val="Body"/>
        <w:spacing w:line="360" w:lineRule="auto"/>
        <w:rPr>
          <w:sz w:val="24"/>
          <w:szCs w:val="24"/>
        </w:rPr>
      </w:pPr>
    </w:p>
    <w:p>
      <w:pPr>
        <w:pStyle w:val="Body"/>
        <w:spacing w:line="360" w:lineRule="auto"/>
        <w:rPr>
          <w:sz w:val="24"/>
          <w:szCs w:val="24"/>
        </w:rPr>
      </w:pPr>
      <w:r>
        <w:rPr>
          <w:sz w:val="24"/>
          <w:szCs w:val="24"/>
          <w:rtl w:val="0"/>
          <w:lang w:val="en-US"/>
        </w:rPr>
        <w:t xml:space="preserve">McSmith, A. (2007) </w:t>
      </w:r>
      <w:r>
        <w:rPr>
          <w:sz w:val="24"/>
          <w:szCs w:val="24"/>
          <w:rtl w:val="0"/>
          <w:lang w:val="en-US"/>
        </w:rPr>
        <w:t>‘</w:t>
      </w:r>
      <w:r>
        <w:rPr>
          <w:sz w:val="24"/>
          <w:szCs w:val="24"/>
          <w:rtl w:val="0"/>
          <w:lang w:val="en-US"/>
        </w:rPr>
        <w:t>Miscarriages of justice corrected as jury finds man guilty of murder</w:t>
      </w:r>
      <w:r>
        <w:rPr>
          <w:sz w:val="24"/>
          <w:szCs w:val="24"/>
          <w:rtl w:val="0"/>
          <w:lang w:val="en-US"/>
        </w:rPr>
        <w:t>’</w:t>
      </w:r>
    </w:p>
    <w:p>
      <w:pPr>
        <w:pStyle w:val="Body"/>
        <w:spacing w:line="360" w:lineRule="auto"/>
        <w:rPr>
          <w:sz w:val="24"/>
          <w:szCs w:val="24"/>
        </w:rPr>
      </w:pPr>
      <w:r>
        <w:rPr>
          <w:sz w:val="24"/>
          <w:szCs w:val="24"/>
          <w:rtl w:val="0"/>
          <w:lang w:val="en-US"/>
        </w:rPr>
        <w:t>Available at:</w:t>
      </w:r>
      <w:r>
        <w:rPr>
          <w:rStyle w:val="Hyperlink.0"/>
          <w:sz w:val="24"/>
          <w:szCs w:val="24"/>
        </w:rPr>
        <w:fldChar w:fldCharType="begin" w:fldLock="0"/>
      </w:r>
      <w:r>
        <w:rPr>
          <w:rStyle w:val="Hyperlink.0"/>
          <w:sz w:val="24"/>
          <w:szCs w:val="24"/>
        </w:rPr>
        <w:instrText xml:space="preserve"> HYPERLINK "https://www.independent.co.uk/news/uk/crime/miscarriage-of-justice-corrected-as-jury-finds-man-guilty-of-murder-400089.html"</w:instrText>
      </w:r>
      <w:r>
        <w:rPr>
          <w:rStyle w:val="Hyperlink.0"/>
          <w:sz w:val="24"/>
          <w:szCs w:val="24"/>
        </w:rPr>
        <w:fldChar w:fldCharType="separate" w:fldLock="0"/>
      </w:r>
      <w:r>
        <w:rPr>
          <w:rStyle w:val="Hyperlink.0"/>
          <w:sz w:val="24"/>
          <w:szCs w:val="24"/>
          <w:rtl w:val="0"/>
          <w:lang w:val="en-US"/>
        </w:rPr>
        <w:t>https://www.independent.co.uk/news/uk/crime/miscarriage-of-justice-corrected-as-jury-finds-man-guilty-of-murder-400089.html</w:t>
      </w:r>
      <w:r>
        <w:rPr>
          <w:sz w:val="24"/>
          <w:szCs w:val="24"/>
        </w:rPr>
        <w:fldChar w:fldCharType="end" w:fldLock="0"/>
      </w:r>
    </w:p>
    <w:p>
      <w:pPr>
        <w:pStyle w:val="Body"/>
        <w:spacing w:line="360" w:lineRule="auto"/>
        <w:rPr>
          <w:sz w:val="24"/>
          <w:szCs w:val="24"/>
        </w:rPr>
      </w:pPr>
      <w:r>
        <w:rPr>
          <w:sz w:val="24"/>
          <w:szCs w:val="24"/>
          <w:rtl w:val="0"/>
          <w:lang w:val="en-US"/>
        </w:rPr>
        <w:t>Accessed on: 7th November 2019</w:t>
      </w:r>
    </w:p>
    <w:p>
      <w:pPr>
        <w:pStyle w:val="Body"/>
        <w:spacing w:line="360" w:lineRule="auto"/>
        <w:rPr>
          <w:sz w:val="24"/>
          <w:szCs w:val="24"/>
        </w:rPr>
      </w:pPr>
    </w:p>
    <w:p>
      <w:pPr>
        <w:pStyle w:val="Body"/>
        <w:spacing w:line="360" w:lineRule="auto"/>
        <w:rPr>
          <w:i w:val="1"/>
          <w:iCs w:val="1"/>
          <w:sz w:val="24"/>
          <w:szCs w:val="24"/>
        </w:rPr>
      </w:pPr>
      <w:r>
        <w:rPr>
          <w:sz w:val="24"/>
          <w:szCs w:val="24"/>
          <w:rtl w:val="0"/>
          <w:lang w:val="en-US"/>
        </w:rPr>
        <w:t xml:space="preserve">Ozin, P and Norton, H (2019) </w:t>
      </w:r>
      <w:r>
        <w:rPr>
          <w:sz w:val="24"/>
          <w:szCs w:val="24"/>
          <w:rtl w:val="0"/>
          <w:lang w:val="en-US"/>
        </w:rPr>
        <w:t>‘</w:t>
      </w:r>
      <w:r>
        <w:rPr>
          <w:i w:val="1"/>
          <w:iCs w:val="1"/>
          <w:sz w:val="24"/>
          <w:szCs w:val="24"/>
          <w:rtl w:val="0"/>
          <w:lang w:val="en-US"/>
        </w:rPr>
        <w:t>A Practical Guide to the Police and Criminal Evidence Act 1984</w:t>
      </w:r>
      <w:r>
        <w:rPr>
          <w:i w:val="1"/>
          <w:iCs w:val="1"/>
          <w:sz w:val="24"/>
          <w:szCs w:val="24"/>
          <w:rtl w:val="0"/>
          <w:lang w:val="en-US"/>
        </w:rPr>
        <w:t>’</w:t>
      </w:r>
    </w:p>
    <w:p>
      <w:pPr>
        <w:pStyle w:val="Body"/>
        <w:spacing w:line="360" w:lineRule="auto"/>
      </w:pPr>
      <w:r>
        <w:rPr>
          <w:i w:val="1"/>
          <w:iCs w:val="1"/>
          <w:sz w:val="24"/>
          <w:szCs w:val="24"/>
          <w:rtl w:val="0"/>
          <w:lang w:val="en-US"/>
        </w:rPr>
        <w:t>Fifth Edition, Oxford, Oxford University press</w:t>
      </w:r>
      <w:r>
        <w:rPr>
          <w:sz w:val="24"/>
          <w:szCs w:val="24"/>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tab/>
    </w:r>
    <w:r>
      <w:rPr>
        <w:rtl w:val="0"/>
        <w:lang w:val="en-US"/>
      </w:rPr>
      <w:t xml:space="preserve">Page </w:t>
    </w:r>
    <w:r>
      <w:rPr/>
      <w:fldChar w:fldCharType="begin" w:fldLock="0"/>
    </w:r>
    <w:r>
      <w:instrText xml:space="preserve"> PAGE </w:instrText>
    </w:r>
    <w:r>
      <w:rPr/>
      <w:fldChar w:fldCharType="separate" w:fldLock="0"/>
    </w:r>
    <w:r>
      <w:t>12</w:t>
    </w:r>
    <w:r>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