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763903" w14:textId="4976194F" w:rsidR="009574A6" w:rsidRPr="009574A6" w:rsidRDefault="008F21A2" w:rsidP="009574A6">
      <w:pPr>
        <w:spacing w:before="100" w:beforeAutospacing="1" w:after="100" w:afterAutospacing="1" w:line="240" w:lineRule="auto"/>
        <w:jc w:val="center"/>
        <w:rPr>
          <w:rFonts w:ascii="Times New Roman" w:eastAsia="Times New Roman" w:hAnsi="Times New Roman" w:cs="Times New Roman"/>
          <w:b/>
          <w:sz w:val="24"/>
          <w:szCs w:val="24"/>
          <w:lang w:eastAsia="en-GB"/>
        </w:rPr>
      </w:pPr>
      <w:r w:rsidRPr="009574A6">
        <w:rPr>
          <w:rFonts w:ascii="Times New Roman" w:eastAsia="Times New Roman" w:hAnsi="Times New Roman" w:cs="Times New Roman"/>
          <w:b/>
          <w:sz w:val="24"/>
          <w:szCs w:val="24"/>
          <w:lang w:eastAsia="en-GB"/>
        </w:rPr>
        <w:t>Sexual Health Software Application Assessment:</w:t>
      </w:r>
    </w:p>
    <w:p w14:paraId="6443D05C" w14:textId="01A64A1F" w:rsidR="008F21A2" w:rsidRPr="009574A6" w:rsidRDefault="008F21A2" w:rsidP="009574A6">
      <w:pPr>
        <w:spacing w:before="100" w:beforeAutospacing="1" w:after="100" w:afterAutospacing="1" w:line="240" w:lineRule="auto"/>
        <w:jc w:val="center"/>
        <w:rPr>
          <w:rFonts w:ascii="Times New Roman" w:eastAsia="Times New Roman" w:hAnsi="Times New Roman" w:cs="Times New Roman"/>
          <w:b/>
          <w:sz w:val="24"/>
          <w:szCs w:val="24"/>
          <w:lang w:eastAsia="en-GB"/>
        </w:rPr>
      </w:pPr>
      <w:r w:rsidRPr="009574A6">
        <w:rPr>
          <w:rFonts w:ascii="Times New Roman" w:eastAsia="Times New Roman" w:hAnsi="Times New Roman" w:cs="Times New Roman"/>
          <w:b/>
          <w:sz w:val="24"/>
          <w:szCs w:val="24"/>
          <w:lang w:eastAsia="en-GB"/>
        </w:rPr>
        <w:t>Evaluating the Fit and Impact Using the FITT Framework</w:t>
      </w:r>
    </w:p>
    <w:p w14:paraId="189D56C8" w14:textId="28F8C55E" w:rsidR="008F21A2" w:rsidRPr="008F21A2" w:rsidRDefault="008F21A2" w:rsidP="008F21A2">
      <w:pPr>
        <w:spacing w:after="0" w:line="240" w:lineRule="auto"/>
        <w:rPr>
          <w:rFonts w:ascii="Times New Roman" w:eastAsia="Times New Roman" w:hAnsi="Times New Roman" w:cs="Times New Roman"/>
          <w:sz w:val="24"/>
          <w:szCs w:val="24"/>
          <w:lang w:eastAsia="en-GB"/>
        </w:rPr>
      </w:pPr>
    </w:p>
    <w:p w14:paraId="6716E5B6" w14:textId="57F54F58" w:rsidR="008F21A2" w:rsidRPr="003B4588" w:rsidRDefault="003B4588" w:rsidP="008F21A2">
      <w:pPr>
        <w:spacing w:before="100" w:beforeAutospacing="1" w:after="100" w:afterAutospacing="1" w:line="240" w:lineRule="auto"/>
        <w:outlineLvl w:val="2"/>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7"/>
          <w:szCs w:val="27"/>
          <w:lang w:eastAsia="en-GB"/>
        </w:rPr>
        <w:t xml:space="preserve">          </w:t>
      </w:r>
      <w:r w:rsidR="008F21A2" w:rsidRPr="003B4588">
        <w:rPr>
          <w:rFonts w:ascii="Times New Roman" w:eastAsia="Times New Roman" w:hAnsi="Times New Roman" w:cs="Times New Roman"/>
          <w:b/>
          <w:bCs/>
          <w:sz w:val="24"/>
          <w:szCs w:val="24"/>
          <w:lang w:eastAsia="en-GB"/>
        </w:rPr>
        <w:t>Introduction</w:t>
      </w:r>
    </w:p>
    <w:p w14:paraId="2562A5CB" w14:textId="0B8AA815" w:rsidR="001529C3" w:rsidRPr="001529C3" w:rsidRDefault="005C7A5E" w:rsidP="003B4588">
      <w:pPr>
        <w:pStyle w:val="ListParagraph"/>
        <w:spacing w:before="100" w:beforeAutospacing="1" w:after="100" w:afterAutospacing="1" w:line="240" w:lineRule="auto"/>
        <w:jc w:val="both"/>
        <w:outlineLvl w:val="3"/>
        <w:rPr>
          <w:rFonts w:ascii="Times New Roman" w:eastAsia="Times New Roman" w:hAnsi="Times New Roman" w:cs="Times New Roman"/>
          <w:b/>
          <w:bCs/>
          <w:sz w:val="24"/>
          <w:szCs w:val="24"/>
          <w:lang w:eastAsia="en-GB"/>
        </w:rPr>
      </w:pPr>
      <w:r w:rsidRPr="00766B8F">
        <w:rPr>
          <w:rFonts w:ascii="Times New Roman" w:eastAsia="Times New Roman" w:hAnsi="Times New Roman" w:cs="Times New Roman"/>
          <w:sz w:val="24"/>
          <w:szCs w:val="24"/>
          <w:lang w:eastAsia="en-GB"/>
        </w:rPr>
        <w:t xml:space="preserve">Sexual health services play a critical role in promoting public health and addressing the needs of individuals in </w:t>
      </w:r>
      <w:r w:rsidR="0022561B" w:rsidRPr="00766B8F">
        <w:rPr>
          <w:rFonts w:ascii="Times New Roman" w:eastAsia="Times New Roman" w:hAnsi="Times New Roman" w:cs="Times New Roman"/>
          <w:sz w:val="24"/>
          <w:szCs w:val="24"/>
          <w:lang w:eastAsia="en-GB"/>
        </w:rPr>
        <w:t>a highly sensitive and specialis</w:t>
      </w:r>
      <w:r w:rsidRPr="00766B8F">
        <w:rPr>
          <w:rFonts w:ascii="Times New Roman" w:eastAsia="Times New Roman" w:hAnsi="Times New Roman" w:cs="Times New Roman"/>
          <w:sz w:val="24"/>
          <w:szCs w:val="24"/>
          <w:lang w:eastAsia="en-GB"/>
        </w:rPr>
        <w:t xml:space="preserve">ed area of care. </w:t>
      </w:r>
      <w:r w:rsidR="001529C3">
        <w:rPr>
          <w:rFonts w:ascii="Times New Roman" w:eastAsia="Times New Roman" w:hAnsi="Times New Roman" w:cs="Times New Roman"/>
          <w:sz w:val="24"/>
          <w:szCs w:val="24"/>
          <w:lang w:eastAsia="en-GB"/>
        </w:rPr>
        <w:t xml:space="preserve"> The sexual health service of Swansea Bay University Health Board (SBUHB) offers sexual health testing and treatment, contraception, HIV services, Gender care, Psychosexual counselling and a Pregnancy Advisory Service- all highly sensitive and essential areas of healthcare.</w:t>
      </w:r>
    </w:p>
    <w:p w14:paraId="60F799CB" w14:textId="77777777" w:rsidR="001529C3" w:rsidRPr="001529C3" w:rsidRDefault="001529C3" w:rsidP="003B4588">
      <w:pPr>
        <w:pStyle w:val="ListParagraph"/>
        <w:spacing w:before="100" w:beforeAutospacing="1" w:after="100" w:afterAutospacing="1" w:line="240" w:lineRule="auto"/>
        <w:jc w:val="both"/>
        <w:outlineLvl w:val="3"/>
        <w:rPr>
          <w:rFonts w:ascii="Times New Roman" w:eastAsia="Times New Roman" w:hAnsi="Times New Roman" w:cs="Times New Roman"/>
          <w:b/>
          <w:bCs/>
          <w:sz w:val="24"/>
          <w:szCs w:val="24"/>
          <w:lang w:eastAsia="en-GB"/>
        </w:rPr>
      </w:pPr>
    </w:p>
    <w:p w14:paraId="7C3EE78E" w14:textId="648D2BC8" w:rsidR="00C47578" w:rsidRDefault="0022561B" w:rsidP="003B4588">
      <w:pPr>
        <w:pStyle w:val="ListParagraph"/>
        <w:spacing w:before="100" w:beforeAutospacing="1" w:after="100" w:afterAutospacing="1" w:line="240" w:lineRule="auto"/>
        <w:jc w:val="both"/>
        <w:outlineLvl w:val="3"/>
        <w:rPr>
          <w:rFonts w:ascii="Times New Roman" w:eastAsia="Times New Roman" w:hAnsi="Times New Roman" w:cs="Times New Roman"/>
          <w:sz w:val="24"/>
          <w:szCs w:val="24"/>
          <w:lang w:eastAsia="en-GB"/>
        </w:rPr>
      </w:pPr>
      <w:r w:rsidRPr="00766B8F">
        <w:rPr>
          <w:rFonts w:ascii="Times New Roman" w:eastAsia="Times New Roman" w:hAnsi="Times New Roman" w:cs="Times New Roman"/>
          <w:sz w:val="24"/>
          <w:szCs w:val="24"/>
          <w:lang w:eastAsia="en-GB"/>
        </w:rPr>
        <w:t xml:space="preserve">Confidentiality has been </w:t>
      </w:r>
      <w:r w:rsidR="001529C3">
        <w:rPr>
          <w:rFonts w:ascii="Times New Roman" w:eastAsia="Times New Roman" w:hAnsi="Times New Roman" w:cs="Times New Roman"/>
          <w:sz w:val="24"/>
          <w:szCs w:val="24"/>
          <w:lang w:eastAsia="en-GB"/>
        </w:rPr>
        <w:t>a top priority</w:t>
      </w:r>
      <w:r w:rsidRPr="00766B8F">
        <w:rPr>
          <w:rFonts w:ascii="Times New Roman" w:eastAsia="Times New Roman" w:hAnsi="Times New Roman" w:cs="Times New Roman"/>
          <w:sz w:val="24"/>
          <w:szCs w:val="24"/>
          <w:lang w:eastAsia="en-GB"/>
        </w:rPr>
        <w:t xml:space="preserve"> of sexual health services since the introduction of the Venereal Disease Act 1917. This Act offered the protection of anonymity to those accessing sexual health services beyond the routine confidentiality of the rest of the health service</w:t>
      </w:r>
      <w:r w:rsidR="00C47578">
        <w:rPr>
          <w:rFonts w:ascii="Times New Roman" w:eastAsia="Times New Roman" w:hAnsi="Times New Roman" w:cs="Times New Roman"/>
          <w:sz w:val="24"/>
          <w:szCs w:val="24"/>
          <w:lang w:eastAsia="en-GB"/>
        </w:rPr>
        <w:t xml:space="preserve"> (Parker et al 2014)</w:t>
      </w:r>
      <w:r w:rsidRPr="00766B8F">
        <w:rPr>
          <w:rFonts w:ascii="Times New Roman" w:eastAsia="Times New Roman" w:hAnsi="Times New Roman" w:cs="Times New Roman"/>
          <w:sz w:val="24"/>
          <w:szCs w:val="24"/>
          <w:lang w:eastAsia="en-GB"/>
        </w:rPr>
        <w:t xml:space="preserve">. </w:t>
      </w:r>
      <w:r w:rsidR="001529C3">
        <w:rPr>
          <w:rFonts w:ascii="Times New Roman" w:eastAsia="Times New Roman" w:hAnsi="Times New Roman" w:cs="Times New Roman"/>
          <w:sz w:val="24"/>
          <w:szCs w:val="24"/>
          <w:lang w:eastAsia="en-GB"/>
        </w:rPr>
        <w:t>Although this Act has now been repealed, it is the recommendation of the B</w:t>
      </w:r>
      <w:r w:rsidR="00C87C38">
        <w:rPr>
          <w:rFonts w:ascii="Times New Roman" w:eastAsia="Times New Roman" w:hAnsi="Times New Roman" w:cs="Times New Roman"/>
          <w:sz w:val="24"/>
          <w:szCs w:val="24"/>
          <w:lang w:eastAsia="en-GB"/>
        </w:rPr>
        <w:t xml:space="preserve">ritish </w:t>
      </w:r>
      <w:r w:rsidR="001529C3">
        <w:rPr>
          <w:rFonts w:ascii="Times New Roman" w:eastAsia="Times New Roman" w:hAnsi="Times New Roman" w:cs="Times New Roman"/>
          <w:sz w:val="24"/>
          <w:szCs w:val="24"/>
          <w:lang w:eastAsia="en-GB"/>
        </w:rPr>
        <w:t>HIV</w:t>
      </w:r>
      <w:r w:rsidR="00C87C38">
        <w:rPr>
          <w:rFonts w:ascii="Times New Roman" w:eastAsia="Times New Roman" w:hAnsi="Times New Roman" w:cs="Times New Roman"/>
          <w:sz w:val="24"/>
          <w:szCs w:val="24"/>
          <w:lang w:eastAsia="en-GB"/>
        </w:rPr>
        <w:t xml:space="preserve"> </w:t>
      </w:r>
      <w:r w:rsidR="001529C3">
        <w:rPr>
          <w:rFonts w:ascii="Times New Roman" w:eastAsia="Times New Roman" w:hAnsi="Times New Roman" w:cs="Times New Roman"/>
          <w:sz w:val="24"/>
          <w:szCs w:val="24"/>
          <w:lang w:eastAsia="en-GB"/>
        </w:rPr>
        <w:t>A</w:t>
      </w:r>
      <w:r w:rsidR="00C87C38">
        <w:rPr>
          <w:rFonts w:ascii="Times New Roman" w:eastAsia="Times New Roman" w:hAnsi="Times New Roman" w:cs="Times New Roman"/>
          <w:sz w:val="24"/>
          <w:szCs w:val="24"/>
          <w:lang w:eastAsia="en-GB"/>
        </w:rPr>
        <w:t>ssociation (BHIVA)</w:t>
      </w:r>
      <w:r w:rsidR="001529C3">
        <w:rPr>
          <w:rFonts w:ascii="Times New Roman" w:eastAsia="Times New Roman" w:hAnsi="Times New Roman" w:cs="Times New Roman"/>
          <w:sz w:val="24"/>
          <w:szCs w:val="24"/>
          <w:lang w:eastAsia="en-GB"/>
        </w:rPr>
        <w:t xml:space="preserve"> that </w:t>
      </w:r>
      <w:r w:rsidR="00C47578">
        <w:rPr>
          <w:rFonts w:ascii="Times New Roman" w:eastAsia="Times New Roman" w:hAnsi="Times New Roman" w:cs="Times New Roman"/>
          <w:sz w:val="24"/>
          <w:szCs w:val="24"/>
          <w:lang w:eastAsia="en-GB"/>
        </w:rPr>
        <w:t xml:space="preserve">services continue to anonymise data (BHIVA 2015). </w:t>
      </w:r>
      <w:r w:rsidR="00C3205C">
        <w:rPr>
          <w:rFonts w:ascii="Times New Roman" w:eastAsia="Times New Roman" w:hAnsi="Times New Roman" w:cs="Times New Roman"/>
          <w:sz w:val="24"/>
          <w:szCs w:val="24"/>
          <w:lang w:eastAsia="en-GB"/>
        </w:rPr>
        <w:t xml:space="preserve"> </w:t>
      </w:r>
    </w:p>
    <w:p w14:paraId="6384A7A6" w14:textId="77777777" w:rsidR="00C47578" w:rsidRDefault="00C47578" w:rsidP="003B4588">
      <w:pPr>
        <w:pStyle w:val="ListParagraph"/>
        <w:spacing w:before="100" w:beforeAutospacing="1" w:after="100" w:afterAutospacing="1" w:line="240" w:lineRule="auto"/>
        <w:jc w:val="both"/>
        <w:outlineLvl w:val="3"/>
        <w:rPr>
          <w:rFonts w:ascii="Times New Roman" w:eastAsia="Times New Roman" w:hAnsi="Times New Roman" w:cs="Times New Roman"/>
          <w:sz w:val="24"/>
          <w:szCs w:val="24"/>
          <w:lang w:eastAsia="en-GB"/>
        </w:rPr>
      </w:pPr>
    </w:p>
    <w:p w14:paraId="0FF9E274" w14:textId="14462EF8" w:rsidR="00766B8F" w:rsidRPr="00766B8F" w:rsidRDefault="005C7A5E" w:rsidP="003B4588">
      <w:pPr>
        <w:pStyle w:val="ListParagraph"/>
        <w:spacing w:before="100" w:beforeAutospacing="1" w:after="100" w:afterAutospacing="1" w:line="240" w:lineRule="auto"/>
        <w:jc w:val="both"/>
        <w:outlineLvl w:val="3"/>
        <w:rPr>
          <w:rFonts w:ascii="Times New Roman" w:eastAsia="Times New Roman" w:hAnsi="Times New Roman" w:cs="Times New Roman"/>
          <w:b/>
          <w:bCs/>
          <w:sz w:val="24"/>
          <w:szCs w:val="24"/>
          <w:lang w:eastAsia="en-GB"/>
        </w:rPr>
      </w:pPr>
      <w:r w:rsidRPr="00766B8F">
        <w:rPr>
          <w:rFonts w:ascii="Times New Roman" w:eastAsia="Times New Roman" w:hAnsi="Times New Roman" w:cs="Times New Roman"/>
          <w:sz w:val="24"/>
          <w:szCs w:val="24"/>
          <w:lang w:eastAsia="en-GB"/>
        </w:rPr>
        <w:t>The implementation of bespoke s</w:t>
      </w:r>
      <w:r w:rsidR="0022561B" w:rsidRPr="00766B8F">
        <w:rPr>
          <w:rFonts w:ascii="Times New Roman" w:eastAsia="Times New Roman" w:hAnsi="Times New Roman" w:cs="Times New Roman"/>
          <w:sz w:val="24"/>
          <w:szCs w:val="24"/>
          <w:lang w:eastAsia="en-GB"/>
        </w:rPr>
        <w:t>oftware</w:t>
      </w:r>
      <w:r w:rsidRPr="00766B8F">
        <w:rPr>
          <w:rFonts w:ascii="Times New Roman" w:eastAsia="Times New Roman" w:hAnsi="Times New Roman" w:cs="Times New Roman"/>
          <w:sz w:val="24"/>
          <w:szCs w:val="24"/>
          <w:lang w:eastAsia="en-GB"/>
        </w:rPr>
        <w:t xml:space="preserve"> has </w:t>
      </w:r>
      <w:r w:rsidR="0022561B" w:rsidRPr="00766B8F">
        <w:rPr>
          <w:rFonts w:ascii="Times New Roman" w:eastAsia="Times New Roman" w:hAnsi="Times New Roman" w:cs="Times New Roman"/>
          <w:sz w:val="24"/>
          <w:szCs w:val="24"/>
          <w:lang w:eastAsia="en-GB"/>
        </w:rPr>
        <w:t xml:space="preserve">been instrumental in protecting confidentiality by offering </w:t>
      </w:r>
      <w:r w:rsidRPr="00766B8F">
        <w:rPr>
          <w:rFonts w:ascii="Times New Roman" w:eastAsia="Times New Roman" w:hAnsi="Times New Roman" w:cs="Times New Roman"/>
          <w:sz w:val="24"/>
          <w:szCs w:val="24"/>
          <w:lang w:eastAsia="en-GB"/>
        </w:rPr>
        <w:t>tailored solutions that cater to the unique operational, clinical, and analytical requirements of these services. Unlike generic healthcare management systems, bespoke software is designed to align closely with the specific demands of sexual health, ensuring confidentiality</w:t>
      </w:r>
      <w:r w:rsidR="00766B8F">
        <w:rPr>
          <w:rFonts w:ascii="Times New Roman" w:eastAsia="Times New Roman" w:hAnsi="Times New Roman" w:cs="Times New Roman"/>
          <w:sz w:val="24"/>
          <w:szCs w:val="24"/>
          <w:lang w:eastAsia="en-GB"/>
        </w:rPr>
        <w:t xml:space="preserve"> and efficiency. </w:t>
      </w:r>
    </w:p>
    <w:p w14:paraId="00713F6E" w14:textId="77777777" w:rsidR="00766B8F" w:rsidRDefault="00766B8F" w:rsidP="003B4588">
      <w:pPr>
        <w:pStyle w:val="ListParagraph"/>
        <w:spacing w:before="100" w:beforeAutospacing="1" w:after="100" w:afterAutospacing="1" w:line="240" w:lineRule="auto"/>
        <w:jc w:val="both"/>
        <w:outlineLvl w:val="3"/>
        <w:rPr>
          <w:rFonts w:ascii="Times New Roman" w:eastAsia="Times New Roman" w:hAnsi="Times New Roman" w:cs="Times New Roman"/>
          <w:sz w:val="24"/>
          <w:szCs w:val="24"/>
          <w:lang w:eastAsia="en-GB"/>
        </w:rPr>
      </w:pPr>
    </w:p>
    <w:p w14:paraId="34ABF8B3" w14:textId="6D9A3C4F" w:rsidR="001E65A9" w:rsidRDefault="001E65A9" w:rsidP="003B4588">
      <w:pPr>
        <w:pStyle w:val="ListParagraph"/>
        <w:spacing w:before="100" w:beforeAutospacing="1" w:after="100" w:afterAutospacing="1" w:line="240" w:lineRule="auto"/>
        <w:jc w:val="both"/>
        <w:outlineLvl w:val="3"/>
      </w:pPr>
      <w:r>
        <w:rPr>
          <w:rFonts w:ascii="Times New Roman" w:eastAsia="Times New Roman" w:hAnsi="Times New Roman" w:cs="Times New Roman"/>
          <w:sz w:val="24"/>
          <w:szCs w:val="24"/>
          <w:lang w:eastAsia="en-GB"/>
        </w:rPr>
        <w:t xml:space="preserve">Around </w:t>
      </w:r>
      <w:r w:rsidR="00766B8F">
        <w:rPr>
          <w:rFonts w:ascii="Times New Roman" w:eastAsia="Times New Roman" w:hAnsi="Times New Roman" w:cs="Times New Roman"/>
          <w:sz w:val="24"/>
          <w:szCs w:val="24"/>
          <w:lang w:eastAsia="en-GB"/>
        </w:rPr>
        <w:t>1999, Swansea Bay University Health Board adopted ‘Mill</w:t>
      </w:r>
      <w:r>
        <w:rPr>
          <w:rFonts w:ascii="Times New Roman" w:eastAsia="Times New Roman" w:hAnsi="Times New Roman" w:cs="Times New Roman"/>
          <w:sz w:val="24"/>
          <w:szCs w:val="24"/>
          <w:lang w:eastAsia="en-GB"/>
        </w:rPr>
        <w:t>Care’- a software programme created by a company called ‘MillSystems Ltd.’</w:t>
      </w:r>
      <w:r w:rsidR="00766B8F">
        <w:rPr>
          <w:rFonts w:ascii="Times New Roman" w:eastAsia="Times New Roman" w:hAnsi="Times New Roman" w:cs="Times New Roman"/>
          <w:sz w:val="24"/>
          <w:szCs w:val="24"/>
          <w:lang w:eastAsia="en-GB"/>
        </w:rPr>
        <w:t xml:space="preserve">. </w:t>
      </w:r>
      <w:r w:rsidR="00F039C3">
        <w:rPr>
          <w:rFonts w:ascii="Times New Roman" w:eastAsia="Times New Roman" w:hAnsi="Times New Roman" w:cs="Times New Roman"/>
          <w:sz w:val="24"/>
          <w:szCs w:val="24"/>
          <w:lang w:eastAsia="en-GB"/>
        </w:rPr>
        <w:t xml:space="preserve">MillCare is utilised by two Health Boards in Wales- Swansea and Cardiff, as well as several Trusts in England. </w:t>
      </w:r>
      <w:r w:rsidRPr="00A733E1">
        <w:rPr>
          <w:rFonts w:ascii="Times New Roman" w:hAnsi="Times New Roman" w:cs="Times New Roman"/>
          <w:sz w:val="24"/>
          <w:szCs w:val="24"/>
        </w:rPr>
        <w:t>The software programme being used is outdated, with no publicly available information online, resulting in limited access to information</w:t>
      </w:r>
      <w:r w:rsidR="007C7740" w:rsidRPr="00A733E1">
        <w:rPr>
          <w:rFonts w:ascii="Times New Roman" w:hAnsi="Times New Roman" w:cs="Times New Roman"/>
          <w:sz w:val="24"/>
          <w:szCs w:val="24"/>
        </w:rPr>
        <w:t>.</w:t>
      </w:r>
      <w:r w:rsidR="00C3205C" w:rsidRPr="00A733E1">
        <w:rPr>
          <w:rFonts w:ascii="Times New Roman" w:hAnsi="Times New Roman" w:cs="Times New Roman"/>
          <w:sz w:val="24"/>
          <w:szCs w:val="24"/>
        </w:rPr>
        <w:t xml:space="preserve"> Additionally, there is no evidence that there has ever been a formal structured or published evaluation of this system since it was implemented.</w:t>
      </w:r>
      <w:r w:rsidR="00C3205C">
        <w:t xml:space="preserve"> </w:t>
      </w:r>
    </w:p>
    <w:p w14:paraId="614F941B" w14:textId="77777777" w:rsidR="007C7740" w:rsidRDefault="007C7740" w:rsidP="003B4588">
      <w:pPr>
        <w:pStyle w:val="ListParagraph"/>
        <w:spacing w:before="100" w:beforeAutospacing="1" w:after="100" w:afterAutospacing="1" w:line="240" w:lineRule="auto"/>
        <w:jc w:val="both"/>
        <w:outlineLvl w:val="3"/>
        <w:rPr>
          <w:rFonts w:ascii="Times New Roman" w:eastAsia="Times New Roman" w:hAnsi="Times New Roman" w:cs="Times New Roman"/>
          <w:sz w:val="24"/>
          <w:szCs w:val="24"/>
          <w:lang w:eastAsia="en-GB"/>
        </w:rPr>
      </w:pPr>
    </w:p>
    <w:p w14:paraId="139B16C9" w14:textId="06B81515" w:rsidR="00766B8F" w:rsidRDefault="007C7740" w:rsidP="003B4588">
      <w:pPr>
        <w:pStyle w:val="ListParagraph"/>
        <w:spacing w:before="100" w:beforeAutospacing="1" w:after="100" w:afterAutospacing="1" w:line="240" w:lineRule="auto"/>
        <w:jc w:val="both"/>
        <w:outlineLvl w:val="3"/>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MillSystems Ltd.</w:t>
      </w:r>
      <w:r w:rsidR="00766B8F">
        <w:rPr>
          <w:rFonts w:ascii="Times New Roman" w:eastAsia="Times New Roman" w:hAnsi="Times New Roman" w:cs="Times New Roman"/>
          <w:sz w:val="24"/>
          <w:szCs w:val="24"/>
          <w:lang w:eastAsia="en-GB"/>
        </w:rPr>
        <w:t xml:space="preserve"> offered a bespoke software programme that allow</w:t>
      </w:r>
      <w:r w:rsidR="00F60C9D">
        <w:rPr>
          <w:rFonts w:ascii="Times New Roman" w:eastAsia="Times New Roman" w:hAnsi="Times New Roman" w:cs="Times New Roman"/>
          <w:sz w:val="24"/>
          <w:szCs w:val="24"/>
          <w:lang w:eastAsia="en-GB"/>
        </w:rPr>
        <w:t>s</w:t>
      </w:r>
      <w:r w:rsidR="00766B8F">
        <w:rPr>
          <w:rFonts w:ascii="Times New Roman" w:eastAsia="Times New Roman" w:hAnsi="Times New Roman" w:cs="Times New Roman"/>
          <w:sz w:val="24"/>
          <w:szCs w:val="24"/>
          <w:lang w:eastAsia="en-GB"/>
        </w:rPr>
        <w:t xml:space="preserve"> patients to be registered, separate from the rest of the health service.</w:t>
      </w:r>
      <w:r w:rsidR="00161717" w:rsidRPr="00161717">
        <w:rPr>
          <w:rFonts w:ascii="Times New Roman" w:eastAsia="Times New Roman" w:hAnsi="Times New Roman" w:cs="Times New Roman"/>
          <w:i/>
          <w:iCs/>
          <w:sz w:val="24"/>
          <w:szCs w:val="24"/>
          <w:lang w:eastAsia="en-GB"/>
        </w:rPr>
        <w:t xml:space="preserve"> </w:t>
      </w:r>
      <w:r w:rsidR="00161717" w:rsidRPr="00161717">
        <w:rPr>
          <w:rFonts w:ascii="Times New Roman" w:eastAsia="Times New Roman" w:hAnsi="Times New Roman" w:cs="Times New Roman"/>
          <w:iCs/>
          <w:sz w:val="24"/>
          <w:szCs w:val="24"/>
          <w:lang w:eastAsia="en-GB"/>
        </w:rPr>
        <w:t>The primary objective of Mill</w:t>
      </w:r>
      <w:r w:rsidR="001E65A9">
        <w:rPr>
          <w:rFonts w:ascii="Times New Roman" w:eastAsia="Times New Roman" w:hAnsi="Times New Roman" w:cs="Times New Roman"/>
          <w:iCs/>
          <w:sz w:val="24"/>
          <w:szCs w:val="24"/>
          <w:lang w:eastAsia="en-GB"/>
        </w:rPr>
        <w:t>C</w:t>
      </w:r>
      <w:r w:rsidR="00161717" w:rsidRPr="00161717">
        <w:rPr>
          <w:rFonts w:ascii="Times New Roman" w:eastAsia="Times New Roman" w:hAnsi="Times New Roman" w:cs="Times New Roman"/>
          <w:iCs/>
          <w:sz w:val="24"/>
          <w:szCs w:val="24"/>
          <w:lang w:eastAsia="en-GB"/>
        </w:rPr>
        <w:t xml:space="preserve">are is to enhance the efficiency and reliability of patient record management while ensuring compliance with </w:t>
      </w:r>
      <w:r w:rsidR="001A5042">
        <w:rPr>
          <w:rFonts w:ascii="Times New Roman" w:eastAsia="Times New Roman" w:hAnsi="Times New Roman" w:cs="Times New Roman"/>
          <w:iCs/>
          <w:sz w:val="24"/>
          <w:szCs w:val="24"/>
          <w:lang w:eastAsia="en-GB"/>
        </w:rPr>
        <w:t>legislation such as the N</w:t>
      </w:r>
      <w:r w:rsidR="00C87C38">
        <w:rPr>
          <w:rFonts w:ascii="Times New Roman" w:eastAsia="Times New Roman" w:hAnsi="Times New Roman" w:cs="Times New Roman"/>
          <w:iCs/>
          <w:sz w:val="24"/>
          <w:szCs w:val="24"/>
          <w:lang w:eastAsia="en-GB"/>
        </w:rPr>
        <w:t xml:space="preserve">ational </w:t>
      </w:r>
      <w:r w:rsidR="001A5042">
        <w:rPr>
          <w:rFonts w:ascii="Times New Roman" w:eastAsia="Times New Roman" w:hAnsi="Times New Roman" w:cs="Times New Roman"/>
          <w:iCs/>
          <w:sz w:val="24"/>
          <w:szCs w:val="24"/>
          <w:lang w:eastAsia="en-GB"/>
        </w:rPr>
        <w:t>H</w:t>
      </w:r>
      <w:r w:rsidR="00C87C38">
        <w:rPr>
          <w:rFonts w:ascii="Times New Roman" w:eastAsia="Times New Roman" w:hAnsi="Times New Roman" w:cs="Times New Roman"/>
          <w:iCs/>
          <w:sz w:val="24"/>
          <w:szCs w:val="24"/>
          <w:lang w:eastAsia="en-GB"/>
        </w:rPr>
        <w:t xml:space="preserve">ealth </w:t>
      </w:r>
      <w:r w:rsidR="001A5042">
        <w:rPr>
          <w:rFonts w:ascii="Times New Roman" w:eastAsia="Times New Roman" w:hAnsi="Times New Roman" w:cs="Times New Roman"/>
          <w:iCs/>
          <w:sz w:val="24"/>
          <w:szCs w:val="24"/>
          <w:lang w:eastAsia="en-GB"/>
        </w:rPr>
        <w:t>S</w:t>
      </w:r>
      <w:r w:rsidR="00C87C38">
        <w:rPr>
          <w:rFonts w:ascii="Times New Roman" w:eastAsia="Times New Roman" w:hAnsi="Times New Roman" w:cs="Times New Roman"/>
          <w:iCs/>
          <w:sz w:val="24"/>
          <w:szCs w:val="24"/>
          <w:lang w:eastAsia="en-GB"/>
        </w:rPr>
        <w:t xml:space="preserve">ervice </w:t>
      </w:r>
      <w:r w:rsidR="001A5042">
        <w:rPr>
          <w:rFonts w:ascii="Times New Roman" w:eastAsia="Times New Roman" w:hAnsi="Times New Roman" w:cs="Times New Roman"/>
          <w:iCs/>
          <w:sz w:val="24"/>
          <w:szCs w:val="24"/>
          <w:lang w:eastAsia="en-GB"/>
        </w:rPr>
        <w:t xml:space="preserve">Venereal Disease Regulations </w:t>
      </w:r>
      <w:r w:rsidR="00C87C38">
        <w:rPr>
          <w:rFonts w:ascii="Times New Roman" w:eastAsia="Times New Roman" w:hAnsi="Times New Roman" w:cs="Times New Roman"/>
          <w:iCs/>
          <w:sz w:val="24"/>
          <w:szCs w:val="24"/>
          <w:lang w:eastAsia="en-GB"/>
        </w:rPr>
        <w:t>(</w:t>
      </w:r>
      <w:r w:rsidR="001A5042">
        <w:rPr>
          <w:rFonts w:ascii="Times New Roman" w:eastAsia="Times New Roman" w:hAnsi="Times New Roman" w:cs="Times New Roman"/>
          <w:iCs/>
          <w:sz w:val="24"/>
          <w:szCs w:val="24"/>
          <w:lang w:eastAsia="en-GB"/>
        </w:rPr>
        <w:t>1974</w:t>
      </w:r>
      <w:r w:rsidR="00C87C38">
        <w:rPr>
          <w:rFonts w:ascii="Times New Roman" w:eastAsia="Times New Roman" w:hAnsi="Times New Roman" w:cs="Times New Roman"/>
          <w:iCs/>
          <w:sz w:val="24"/>
          <w:szCs w:val="24"/>
          <w:lang w:eastAsia="en-GB"/>
        </w:rPr>
        <w:t>)</w:t>
      </w:r>
      <w:r w:rsidR="001A5042">
        <w:rPr>
          <w:rFonts w:ascii="Times New Roman" w:eastAsia="Times New Roman" w:hAnsi="Times New Roman" w:cs="Times New Roman"/>
          <w:iCs/>
          <w:sz w:val="24"/>
          <w:szCs w:val="24"/>
          <w:lang w:eastAsia="en-GB"/>
        </w:rPr>
        <w:t xml:space="preserve"> and the Data Protection Act (2018), as well as medical professional standards</w:t>
      </w:r>
      <w:r w:rsidR="00161717" w:rsidRPr="00161717">
        <w:rPr>
          <w:rFonts w:ascii="Times New Roman" w:eastAsia="Times New Roman" w:hAnsi="Times New Roman" w:cs="Times New Roman"/>
          <w:iCs/>
          <w:sz w:val="24"/>
          <w:szCs w:val="24"/>
          <w:lang w:eastAsia="en-GB"/>
        </w:rPr>
        <w:t xml:space="preserve"> such as </w:t>
      </w:r>
      <w:r w:rsidR="001A5042">
        <w:rPr>
          <w:rFonts w:ascii="Times New Roman" w:eastAsia="Times New Roman" w:hAnsi="Times New Roman" w:cs="Times New Roman"/>
          <w:iCs/>
          <w:sz w:val="24"/>
          <w:szCs w:val="24"/>
          <w:lang w:eastAsia="en-GB"/>
        </w:rPr>
        <w:t>the ‘</w:t>
      </w:r>
      <w:r w:rsidR="0015402C">
        <w:rPr>
          <w:rFonts w:ascii="Times New Roman" w:eastAsia="Times New Roman" w:hAnsi="Times New Roman" w:cs="Times New Roman"/>
          <w:iCs/>
          <w:sz w:val="24"/>
          <w:szCs w:val="24"/>
          <w:lang w:eastAsia="en-GB"/>
        </w:rPr>
        <w:t>The Code</w:t>
      </w:r>
      <w:r w:rsidR="001A5042">
        <w:rPr>
          <w:rFonts w:ascii="Times New Roman" w:eastAsia="Times New Roman" w:hAnsi="Times New Roman" w:cs="Times New Roman"/>
          <w:iCs/>
          <w:sz w:val="24"/>
          <w:szCs w:val="24"/>
          <w:lang w:eastAsia="en-GB"/>
        </w:rPr>
        <w:t>’ for nurse</w:t>
      </w:r>
      <w:r w:rsidR="0015402C">
        <w:rPr>
          <w:rFonts w:ascii="Times New Roman" w:eastAsia="Times New Roman" w:hAnsi="Times New Roman" w:cs="Times New Roman"/>
          <w:iCs/>
          <w:sz w:val="24"/>
          <w:szCs w:val="24"/>
          <w:lang w:eastAsia="en-GB"/>
        </w:rPr>
        <w:t>s</w:t>
      </w:r>
      <w:r w:rsidR="001A5042">
        <w:rPr>
          <w:rFonts w:ascii="Times New Roman" w:eastAsia="Times New Roman" w:hAnsi="Times New Roman" w:cs="Times New Roman"/>
          <w:iCs/>
          <w:sz w:val="24"/>
          <w:szCs w:val="24"/>
          <w:lang w:eastAsia="en-GB"/>
        </w:rPr>
        <w:t xml:space="preserve"> and midwives (NMC</w:t>
      </w:r>
      <w:r w:rsidR="0015402C">
        <w:rPr>
          <w:rFonts w:ascii="Times New Roman" w:eastAsia="Times New Roman" w:hAnsi="Times New Roman" w:cs="Times New Roman"/>
          <w:iCs/>
          <w:sz w:val="24"/>
          <w:szCs w:val="24"/>
          <w:lang w:eastAsia="en-GB"/>
        </w:rPr>
        <w:t xml:space="preserve"> 2018</w:t>
      </w:r>
      <w:r w:rsidR="001A5042">
        <w:rPr>
          <w:rFonts w:ascii="Times New Roman" w:eastAsia="Times New Roman" w:hAnsi="Times New Roman" w:cs="Times New Roman"/>
          <w:iCs/>
          <w:sz w:val="24"/>
          <w:szCs w:val="24"/>
          <w:lang w:eastAsia="en-GB"/>
        </w:rPr>
        <w:t>)</w:t>
      </w:r>
      <w:r w:rsidR="00161717">
        <w:rPr>
          <w:rFonts w:ascii="Times New Roman" w:eastAsia="Times New Roman" w:hAnsi="Times New Roman" w:cs="Times New Roman"/>
          <w:i/>
          <w:iCs/>
          <w:sz w:val="24"/>
          <w:szCs w:val="24"/>
          <w:lang w:eastAsia="en-GB"/>
        </w:rPr>
        <w:t>.</w:t>
      </w:r>
      <w:r w:rsidR="00766B8F">
        <w:rPr>
          <w:rFonts w:ascii="Times New Roman" w:eastAsia="Times New Roman" w:hAnsi="Times New Roman" w:cs="Times New Roman"/>
          <w:sz w:val="24"/>
          <w:szCs w:val="24"/>
          <w:lang w:eastAsia="en-GB"/>
        </w:rPr>
        <w:t xml:space="preserve"> It allocate</w:t>
      </w:r>
      <w:r w:rsidR="00161717">
        <w:rPr>
          <w:rFonts w:ascii="Times New Roman" w:eastAsia="Times New Roman" w:hAnsi="Times New Roman" w:cs="Times New Roman"/>
          <w:sz w:val="24"/>
          <w:szCs w:val="24"/>
          <w:lang w:eastAsia="en-GB"/>
        </w:rPr>
        <w:t>s</w:t>
      </w:r>
      <w:r w:rsidR="00766B8F">
        <w:rPr>
          <w:rFonts w:ascii="Times New Roman" w:eastAsia="Times New Roman" w:hAnsi="Times New Roman" w:cs="Times New Roman"/>
          <w:sz w:val="24"/>
          <w:szCs w:val="24"/>
          <w:lang w:eastAsia="en-GB"/>
        </w:rPr>
        <w:t xml:space="preserve"> the patient a unique number upon registration. This allow</w:t>
      </w:r>
      <w:r w:rsidR="00161717">
        <w:rPr>
          <w:rFonts w:ascii="Times New Roman" w:eastAsia="Times New Roman" w:hAnsi="Times New Roman" w:cs="Times New Roman"/>
          <w:sz w:val="24"/>
          <w:szCs w:val="24"/>
          <w:lang w:eastAsia="en-GB"/>
        </w:rPr>
        <w:t>s</w:t>
      </w:r>
      <w:r w:rsidR="00766B8F">
        <w:rPr>
          <w:rFonts w:ascii="Times New Roman" w:eastAsia="Times New Roman" w:hAnsi="Times New Roman" w:cs="Times New Roman"/>
          <w:sz w:val="24"/>
          <w:szCs w:val="24"/>
          <w:lang w:eastAsia="en-GB"/>
        </w:rPr>
        <w:t xml:space="preserve"> any investigations to be sent to the laboratory on a clinic number and date of birth- ensuring confidentiality. The system is also able to store the patient’s full electronic records, case notes</w:t>
      </w:r>
      <w:r w:rsidR="00C877EE">
        <w:rPr>
          <w:rFonts w:ascii="Times New Roman" w:eastAsia="Times New Roman" w:hAnsi="Times New Roman" w:cs="Times New Roman"/>
          <w:sz w:val="24"/>
          <w:szCs w:val="24"/>
          <w:lang w:eastAsia="en-GB"/>
        </w:rPr>
        <w:t>, results management, texting service,</w:t>
      </w:r>
      <w:r w:rsidR="00766B8F">
        <w:rPr>
          <w:rFonts w:ascii="Times New Roman" w:eastAsia="Times New Roman" w:hAnsi="Times New Roman" w:cs="Times New Roman"/>
          <w:sz w:val="24"/>
          <w:szCs w:val="24"/>
          <w:lang w:eastAsia="en-GB"/>
        </w:rPr>
        <w:t xml:space="preserve"> and coding required for Public Health Wales data.</w:t>
      </w:r>
      <w:r w:rsidR="001E65A9">
        <w:rPr>
          <w:rFonts w:ascii="Times New Roman" w:eastAsia="Times New Roman" w:hAnsi="Times New Roman" w:cs="Times New Roman"/>
          <w:sz w:val="24"/>
          <w:szCs w:val="24"/>
          <w:lang w:eastAsia="en-GB"/>
        </w:rPr>
        <w:t xml:space="preserve"> </w:t>
      </w:r>
    </w:p>
    <w:p w14:paraId="7C75649E" w14:textId="5C838D9F" w:rsidR="001E65A9" w:rsidRDefault="001E65A9" w:rsidP="003B4588">
      <w:pPr>
        <w:pStyle w:val="ListParagraph"/>
        <w:spacing w:before="100" w:beforeAutospacing="1" w:after="100" w:afterAutospacing="1" w:line="240" w:lineRule="auto"/>
        <w:jc w:val="both"/>
        <w:outlineLvl w:val="3"/>
        <w:rPr>
          <w:rFonts w:ascii="Times New Roman" w:eastAsia="Times New Roman" w:hAnsi="Times New Roman" w:cs="Times New Roman"/>
          <w:sz w:val="24"/>
          <w:szCs w:val="24"/>
          <w:lang w:eastAsia="en-GB"/>
        </w:rPr>
      </w:pPr>
    </w:p>
    <w:p w14:paraId="3DDCEACC" w14:textId="7DDF0AC2" w:rsidR="00C3205C" w:rsidRDefault="00C3205C" w:rsidP="003B4588">
      <w:pPr>
        <w:pStyle w:val="ListParagraph"/>
        <w:spacing w:before="100" w:beforeAutospacing="1" w:after="100" w:afterAutospacing="1" w:line="240" w:lineRule="auto"/>
        <w:jc w:val="both"/>
        <w:outlineLvl w:val="3"/>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MillSystems Ltd. announced that they had gone into liquidation in January 2023, giving no prior warning to the Health Boards using their software. </w:t>
      </w:r>
      <w:r w:rsidR="008910D2">
        <w:rPr>
          <w:rFonts w:ascii="Times New Roman" w:eastAsia="Times New Roman" w:hAnsi="Times New Roman" w:cs="Times New Roman"/>
          <w:sz w:val="24"/>
          <w:szCs w:val="24"/>
          <w:lang w:eastAsia="en-GB"/>
        </w:rPr>
        <w:t xml:space="preserve">This placed SBUHB into a precarious position, whereby they are using an outdated system with no technological </w:t>
      </w:r>
      <w:r w:rsidR="008910D2">
        <w:rPr>
          <w:rFonts w:ascii="Times New Roman" w:eastAsia="Times New Roman" w:hAnsi="Times New Roman" w:cs="Times New Roman"/>
          <w:sz w:val="24"/>
          <w:szCs w:val="24"/>
          <w:lang w:eastAsia="en-GB"/>
        </w:rPr>
        <w:lastRenderedPageBreak/>
        <w:t xml:space="preserve">support. Therefore, Public Health Wales have been tasked by the Welsh Assembly Government (WAG) with the development of an ‘All Wales’ sexual health system. </w:t>
      </w:r>
    </w:p>
    <w:p w14:paraId="226D3C35" w14:textId="53AB84CF" w:rsidR="008910D2" w:rsidRDefault="008910D2" w:rsidP="003B4588">
      <w:pPr>
        <w:pStyle w:val="ListParagraph"/>
        <w:spacing w:before="100" w:beforeAutospacing="1" w:after="100" w:afterAutospacing="1" w:line="240" w:lineRule="auto"/>
        <w:jc w:val="both"/>
        <w:outlineLvl w:val="3"/>
        <w:rPr>
          <w:rFonts w:ascii="Times New Roman" w:eastAsia="Times New Roman" w:hAnsi="Times New Roman" w:cs="Times New Roman"/>
          <w:sz w:val="24"/>
          <w:szCs w:val="24"/>
          <w:lang w:eastAsia="en-GB"/>
        </w:rPr>
      </w:pPr>
    </w:p>
    <w:p w14:paraId="6B75C12B" w14:textId="11F46ED4" w:rsidR="00161717" w:rsidRPr="00A733E1" w:rsidRDefault="008910D2" w:rsidP="003B4588">
      <w:pPr>
        <w:pStyle w:val="ListParagraph"/>
        <w:spacing w:before="100" w:beforeAutospacing="1" w:after="100" w:afterAutospacing="1" w:line="240" w:lineRule="auto"/>
        <w:jc w:val="both"/>
        <w:outlineLvl w:val="3"/>
        <w:rPr>
          <w:rFonts w:ascii="Times New Roman" w:hAnsi="Times New Roman" w:cs="Times New Roman"/>
          <w:sz w:val="24"/>
          <w:szCs w:val="24"/>
        </w:rPr>
      </w:pPr>
      <w:r w:rsidRPr="00A733E1">
        <w:rPr>
          <w:rFonts w:ascii="Times New Roman" w:eastAsia="Times New Roman" w:hAnsi="Times New Roman" w:cs="Times New Roman"/>
          <w:sz w:val="24"/>
          <w:szCs w:val="24"/>
          <w:lang w:eastAsia="en-GB"/>
        </w:rPr>
        <w:t xml:space="preserve">The evaluation of MillCare is now even more crucial, to ensure this new system will be effective, user-friendly and evidence based. </w:t>
      </w:r>
      <w:r w:rsidR="00BB28E5" w:rsidRPr="00A733E1">
        <w:rPr>
          <w:rFonts w:ascii="Times New Roman" w:eastAsia="Times New Roman" w:hAnsi="Times New Roman" w:cs="Times New Roman"/>
          <w:sz w:val="24"/>
          <w:szCs w:val="24"/>
          <w:lang w:eastAsia="en-GB"/>
        </w:rPr>
        <w:t>The evaluation of</w:t>
      </w:r>
      <w:r w:rsidR="00161717" w:rsidRPr="00A733E1">
        <w:rPr>
          <w:rFonts w:ascii="Times New Roman" w:hAnsi="Times New Roman" w:cs="Times New Roman"/>
          <w:sz w:val="24"/>
          <w:szCs w:val="24"/>
        </w:rPr>
        <w:t xml:space="preserve"> the design, functionality, and impact</w:t>
      </w:r>
      <w:r w:rsidR="00BB28E5" w:rsidRPr="00A733E1">
        <w:rPr>
          <w:rFonts w:ascii="Times New Roman" w:hAnsi="Times New Roman" w:cs="Times New Roman"/>
          <w:sz w:val="24"/>
          <w:szCs w:val="24"/>
        </w:rPr>
        <w:t xml:space="preserve"> of healthcare systems</w:t>
      </w:r>
      <w:r w:rsidR="00161717" w:rsidRPr="00A733E1">
        <w:rPr>
          <w:rFonts w:ascii="Times New Roman" w:hAnsi="Times New Roman" w:cs="Times New Roman"/>
          <w:sz w:val="24"/>
          <w:szCs w:val="24"/>
        </w:rPr>
        <w:t xml:space="preserve"> can determine whether these systems meet the needs of diverse populations, promote safe practices, and provide accurate information</w:t>
      </w:r>
      <w:r w:rsidR="00F927F7">
        <w:rPr>
          <w:rFonts w:ascii="Times New Roman" w:hAnsi="Times New Roman" w:cs="Times New Roman"/>
          <w:sz w:val="24"/>
          <w:szCs w:val="24"/>
        </w:rPr>
        <w:t xml:space="preserve"> (Murray et al 2016)</w:t>
      </w:r>
      <w:r w:rsidR="00161717" w:rsidRPr="00A733E1">
        <w:rPr>
          <w:rFonts w:ascii="Times New Roman" w:hAnsi="Times New Roman" w:cs="Times New Roman"/>
          <w:sz w:val="24"/>
          <w:szCs w:val="24"/>
        </w:rPr>
        <w:t>. Rigorous evaluation also identifies potential barriers to access, such as usability issues or cultural insensitivity, and highlights opportunities for personalisation and behaviour change</w:t>
      </w:r>
      <w:r w:rsidR="00F927F7">
        <w:rPr>
          <w:rFonts w:ascii="Times New Roman" w:hAnsi="Times New Roman" w:cs="Times New Roman"/>
          <w:sz w:val="24"/>
          <w:szCs w:val="24"/>
        </w:rPr>
        <w:t xml:space="preserve"> (Murray et al 2016)</w:t>
      </w:r>
      <w:r w:rsidR="00161717" w:rsidRPr="00A733E1">
        <w:rPr>
          <w:rFonts w:ascii="Times New Roman" w:hAnsi="Times New Roman" w:cs="Times New Roman"/>
          <w:sz w:val="24"/>
          <w:szCs w:val="24"/>
        </w:rPr>
        <w:t>.</w:t>
      </w:r>
    </w:p>
    <w:p w14:paraId="175AB856" w14:textId="77777777" w:rsidR="00161717" w:rsidRPr="00A733E1" w:rsidRDefault="00161717" w:rsidP="003B4588">
      <w:pPr>
        <w:pStyle w:val="ListParagraph"/>
        <w:spacing w:before="100" w:beforeAutospacing="1" w:after="100" w:afterAutospacing="1" w:line="240" w:lineRule="auto"/>
        <w:jc w:val="both"/>
        <w:outlineLvl w:val="3"/>
        <w:rPr>
          <w:rFonts w:ascii="Times New Roman" w:hAnsi="Times New Roman" w:cs="Times New Roman"/>
          <w:sz w:val="24"/>
          <w:szCs w:val="24"/>
        </w:rPr>
      </w:pPr>
    </w:p>
    <w:p w14:paraId="11DBA79A" w14:textId="53304789" w:rsidR="008910D2" w:rsidRPr="00A733E1" w:rsidRDefault="00161717" w:rsidP="003B4588">
      <w:pPr>
        <w:pStyle w:val="ListParagraph"/>
        <w:spacing w:before="100" w:beforeAutospacing="1" w:after="100" w:afterAutospacing="1" w:line="240" w:lineRule="auto"/>
        <w:jc w:val="both"/>
        <w:outlineLvl w:val="3"/>
        <w:rPr>
          <w:rFonts w:ascii="Times New Roman" w:hAnsi="Times New Roman" w:cs="Times New Roman"/>
          <w:sz w:val="24"/>
          <w:szCs w:val="24"/>
        </w:rPr>
      </w:pPr>
      <w:r w:rsidRPr="00A733E1">
        <w:rPr>
          <w:rFonts w:ascii="Times New Roman" w:hAnsi="Times New Roman" w:cs="Times New Roman"/>
          <w:sz w:val="24"/>
          <w:szCs w:val="24"/>
        </w:rPr>
        <w:t xml:space="preserve">For the purpose of this evaluation, the </w:t>
      </w:r>
      <w:r w:rsidR="008910D2" w:rsidRPr="00A733E1">
        <w:rPr>
          <w:rFonts w:ascii="Times New Roman" w:hAnsi="Times New Roman" w:cs="Times New Roman"/>
          <w:sz w:val="24"/>
          <w:szCs w:val="24"/>
        </w:rPr>
        <w:t>‘</w:t>
      </w:r>
      <w:r w:rsidRPr="00A733E1">
        <w:rPr>
          <w:rFonts w:ascii="Times New Roman" w:hAnsi="Times New Roman" w:cs="Times New Roman"/>
          <w:sz w:val="24"/>
          <w:szCs w:val="24"/>
        </w:rPr>
        <w:t>FITT framework</w:t>
      </w:r>
      <w:r w:rsidR="008910D2" w:rsidRPr="00A733E1">
        <w:rPr>
          <w:rFonts w:ascii="Times New Roman" w:hAnsi="Times New Roman" w:cs="Times New Roman"/>
          <w:sz w:val="24"/>
          <w:szCs w:val="24"/>
        </w:rPr>
        <w:t>’</w:t>
      </w:r>
      <w:r w:rsidRPr="00A733E1">
        <w:rPr>
          <w:rFonts w:ascii="Times New Roman" w:hAnsi="Times New Roman" w:cs="Times New Roman"/>
          <w:sz w:val="24"/>
          <w:szCs w:val="24"/>
        </w:rPr>
        <w:t xml:space="preserve"> has been selected. </w:t>
      </w:r>
    </w:p>
    <w:p w14:paraId="758F5CA6" w14:textId="77777777" w:rsidR="008910D2" w:rsidRPr="00A733E1" w:rsidRDefault="008910D2" w:rsidP="003B4588">
      <w:pPr>
        <w:pStyle w:val="ListParagraph"/>
        <w:spacing w:before="100" w:beforeAutospacing="1" w:after="100" w:afterAutospacing="1" w:line="240" w:lineRule="auto"/>
        <w:jc w:val="both"/>
        <w:outlineLvl w:val="3"/>
        <w:rPr>
          <w:rFonts w:ascii="Times New Roman" w:hAnsi="Times New Roman" w:cs="Times New Roman"/>
          <w:sz w:val="24"/>
          <w:szCs w:val="24"/>
        </w:rPr>
      </w:pPr>
    </w:p>
    <w:p w14:paraId="5C4B262E" w14:textId="16B05792" w:rsidR="008910D2" w:rsidRPr="00A733E1" w:rsidRDefault="008910D2" w:rsidP="003B4588">
      <w:pPr>
        <w:pStyle w:val="ListParagraph"/>
        <w:spacing w:before="100" w:beforeAutospacing="1" w:after="100" w:afterAutospacing="1" w:line="240" w:lineRule="auto"/>
        <w:jc w:val="both"/>
        <w:outlineLvl w:val="3"/>
        <w:rPr>
          <w:rFonts w:ascii="Times New Roman" w:hAnsi="Times New Roman" w:cs="Times New Roman"/>
          <w:b/>
          <w:sz w:val="24"/>
          <w:szCs w:val="24"/>
        </w:rPr>
      </w:pPr>
      <w:r w:rsidRPr="00A733E1">
        <w:rPr>
          <w:rFonts w:ascii="Times New Roman" w:hAnsi="Times New Roman" w:cs="Times New Roman"/>
          <w:b/>
          <w:sz w:val="24"/>
          <w:szCs w:val="24"/>
        </w:rPr>
        <w:t>Methods</w:t>
      </w:r>
    </w:p>
    <w:p w14:paraId="061C35AA" w14:textId="77777777" w:rsidR="008910D2" w:rsidRPr="00A733E1" w:rsidRDefault="008910D2" w:rsidP="003B4588">
      <w:pPr>
        <w:pStyle w:val="ListParagraph"/>
        <w:spacing w:before="100" w:beforeAutospacing="1" w:after="100" w:afterAutospacing="1" w:line="240" w:lineRule="auto"/>
        <w:jc w:val="both"/>
        <w:outlineLvl w:val="3"/>
        <w:rPr>
          <w:rFonts w:ascii="Times New Roman" w:hAnsi="Times New Roman" w:cs="Times New Roman"/>
          <w:sz w:val="24"/>
          <w:szCs w:val="24"/>
        </w:rPr>
      </w:pPr>
    </w:p>
    <w:p w14:paraId="1A188A74" w14:textId="17E23655" w:rsidR="00161717" w:rsidRPr="00A733E1" w:rsidRDefault="00161717" w:rsidP="003B4588">
      <w:pPr>
        <w:pStyle w:val="ListParagraph"/>
        <w:spacing w:before="100" w:beforeAutospacing="1" w:after="100" w:afterAutospacing="1" w:line="240" w:lineRule="auto"/>
        <w:jc w:val="both"/>
        <w:outlineLvl w:val="3"/>
        <w:rPr>
          <w:rFonts w:ascii="Times New Roman" w:hAnsi="Times New Roman" w:cs="Times New Roman"/>
          <w:sz w:val="24"/>
          <w:szCs w:val="24"/>
        </w:rPr>
      </w:pPr>
      <w:r w:rsidRPr="00A733E1">
        <w:rPr>
          <w:rFonts w:ascii="Times New Roman" w:hAnsi="Times New Roman" w:cs="Times New Roman"/>
          <w:sz w:val="24"/>
          <w:szCs w:val="24"/>
        </w:rPr>
        <w:t>The FITT framework examines the ‘fit’ between individuals, the task, and the technology</w:t>
      </w:r>
      <w:r w:rsidR="00F96CD1" w:rsidRPr="00A733E1">
        <w:rPr>
          <w:rFonts w:ascii="Times New Roman" w:hAnsi="Times New Roman" w:cs="Times New Roman"/>
          <w:sz w:val="24"/>
          <w:szCs w:val="24"/>
        </w:rPr>
        <w:t xml:space="preserve"> (Ammenworth et al 2006)</w:t>
      </w:r>
      <w:r w:rsidRPr="00A733E1">
        <w:rPr>
          <w:rFonts w:ascii="Times New Roman" w:hAnsi="Times New Roman" w:cs="Times New Roman"/>
          <w:sz w:val="24"/>
          <w:szCs w:val="24"/>
        </w:rPr>
        <w:t>.</w:t>
      </w:r>
      <w:r w:rsidR="00F96CD1" w:rsidRPr="00A733E1">
        <w:rPr>
          <w:rFonts w:ascii="Times New Roman" w:hAnsi="Times New Roman" w:cs="Times New Roman"/>
          <w:sz w:val="24"/>
          <w:szCs w:val="24"/>
        </w:rPr>
        <w:t xml:space="preserve"> The framework, which has been shown to be useful in several case studies, was developed as a tool to analyse factors that influence the success or failure of digital technology in healthcare (Kujala et al 2020). </w:t>
      </w:r>
    </w:p>
    <w:p w14:paraId="593ECB85" w14:textId="0C552C34" w:rsidR="00EE5AF1" w:rsidRPr="00A733E1" w:rsidRDefault="00EE5AF1" w:rsidP="003B4588">
      <w:pPr>
        <w:pStyle w:val="ListParagraph"/>
        <w:spacing w:before="100" w:beforeAutospacing="1" w:after="100" w:afterAutospacing="1" w:line="240" w:lineRule="auto"/>
        <w:jc w:val="both"/>
        <w:outlineLvl w:val="3"/>
        <w:rPr>
          <w:rFonts w:ascii="Times New Roman" w:hAnsi="Times New Roman" w:cs="Times New Roman"/>
          <w:sz w:val="24"/>
          <w:szCs w:val="24"/>
        </w:rPr>
      </w:pPr>
    </w:p>
    <w:p w14:paraId="3A8D817C" w14:textId="483C2B65" w:rsidR="00EE5AF1" w:rsidRPr="00A733E1" w:rsidRDefault="00EE5AF1" w:rsidP="003B4588">
      <w:pPr>
        <w:pStyle w:val="ListParagraph"/>
        <w:spacing w:before="100" w:beforeAutospacing="1" w:after="100" w:afterAutospacing="1" w:line="240" w:lineRule="auto"/>
        <w:jc w:val="both"/>
        <w:outlineLvl w:val="3"/>
        <w:rPr>
          <w:rFonts w:ascii="Times New Roman" w:hAnsi="Times New Roman" w:cs="Times New Roman"/>
          <w:sz w:val="24"/>
          <w:szCs w:val="24"/>
        </w:rPr>
      </w:pPr>
      <w:r w:rsidRPr="00A733E1">
        <w:rPr>
          <w:rFonts w:ascii="Times New Roman" w:hAnsi="Times New Roman" w:cs="Times New Roman"/>
          <w:sz w:val="24"/>
          <w:szCs w:val="24"/>
        </w:rPr>
        <w:t xml:space="preserve">Figure 1. The FITT framework (Fit between individuals, task and technology) </w:t>
      </w:r>
      <w:r w:rsidR="00F927F7">
        <w:rPr>
          <w:rFonts w:ascii="Times New Roman" w:hAnsi="Times New Roman" w:cs="Times New Roman"/>
          <w:sz w:val="24"/>
          <w:szCs w:val="24"/>
        </w:rPr>
        <w:t>(</w:t>
      </w:r>
      <w:r w:rsidRPr="00A733E1">
        <w:rPr>
          <w:rFonts w:ascii="Times New Roman" w:hAnsi="Times New Roman" w:cs="Times New Roman"/>
          <w:sz w:val="24"/>
          <w:szCs w:val="24"/>
        </w:rPr>
        <w:t>Ammenworth et al 2006</w:t>
      </w:r>
      <w:r w:rsidR="00F927F7">
        <w:rPr>
          <w:rFonts w:ascii="Times New Roman" w:hAnsi="Times New Roman" w:cs="Times New Roman"/>
          <w:sz w:val="24"/>
          <w:szCs w:val="24"/>
        </w:rPr>
        <w:t>)</w:t>
      </w:r>
      <w:r w:rsidRPr="00A733E1">
        <w:rPr>
          <w:rFonts w:ascii="Times New Roman" w:hAnsi="Times New Roman" w:cs="Times New Roman"/>
          <w:sz w:val="24"/>
          <w:szCs w:val="24"/>
        </w:rPr>
        <w:t>.</w:t>
      </w:r>
    </w:p>
    <w:p w14:paraId="7E9F69D6" w14:textId="17675A97" w:rsidR="00EE5AF1" w:rsidRPr="00A733E1" w:rsidRDefault="00EE5AF1" w:rsidP="003B4588">
      <w:pPr>
        <w:pStyle w:val="ListParagraph"/>
        <w:spacing w:before="100" w:beforeAutospacing="1" w:after="100" w:afterAutospacing="1" w:line="240" w:lineRule="auto"/>
        <w:jc w:val="both"/>
        <w:outlineLvl w:val="3"/>
        <w:rPr>
          <w:rFonts w:ascii="Times New Roman" w:hAnsi="Times New Roman" w:cs="Times New Roman"/>
          <w:sz w:val="24"/>
          <w:szCs w:val="24"/>
        </w:rPr>
      </w:pPr>
    </w:p>
    <w:p w14:paraId="730B225A" w14:textId="0B6177F5" w:rsidR="00EE5AF1" w:rsidRDefault="00EE5AF1" w:rsidP="003B4588">
      <w:pPr>
        <w:pStyle w:val="ListParagraph"/>
        <w:spacing w:before="100" w:beforeAutospacing="1" w:after="100" w:afterAutospacing="1" w:line="240" w:lineRule="auto"/>
        <w:jc w:val="both"/>
        <w:outlineLvl w:val="3"/>
        <w:rPr>
          <w:rFonts w:ascii="Times New Roman" w:eastAsia="Times New Roman" w:hAnsi="Times New Roman" w:cs="Times New Roman"/>
          <w:sz w:val="24"/>
          <w:szCs w:val="24"/>
          <w:lang w:eastAsia="en-GB"/>
        </w:rPr>
      </w:pPr>
      <w:r>
        <w:rPr>
          <w:noProof/>
          <w:lang w:eastAsia="en-GB"/>
        </w:rPr>
        <w:drawing>
          <wp:inline distT="0" distB="0" distL="0" distR="0" wp14:anchorId="3543A149" wp14:editId="27044302">
            <wp:extent cx="5731510" cy="3268085"/>
            <wp:effectExtent l="0" t="0" r="2540" b="8890"/>
            <wp:docPr id="2" name="Picture 2" descr="The FITT framework (FITT) by Ammenwerth et al [3 11: IT adop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FITT framework (FITT) by Ammenwerth et al [3 11: IT adoption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68085"/>
                    </a:xfrm>
                    <a:prstGeom prst="rect">
                      <a:avLst/>
                    </a:prstGeom>
                    <a:noFill/>
                    <a:ln>
                      <a:noFill/>
                    </a:ln>
                  </pic:spPr>
                </pic:pic>
              </a:graphicData>
            </a:graphic>
          </wp:inline>
        </w:drawing>
      </w:r>
    </w:p>
    <w:p w14:paraId="38AFBF99" w14:textId="49561EBB" w:rsidR="001529C3" w:rsidRDefault="001529C3" w:rsidP="003B4588">
      <w:pPr>
        <w:pStyle w:val="ListParagraph"/>
        <w:spacing w:before="100" w:beforeAutospacing="1" w:after="100" w:afterAutospacing="1" w:line="240" w:lineRule="auto"/>
        <w:jc w:val="both"/>
        <w:outlineLvl w:val="3"/>
        <w:rPr>
          <w:rFonts w:ascii="Times New Roman" w:eastAsia="Times New Roman" w:hAnsi="Times New Roman" w:cs="Times New Roman"/>
          <w:sz w:val="24"/>
          <w:szCs w:val="24"/>
          <w:lang w:eastAsia="en-GB"/>
        </w:rPr>
      </w:pPr>
    </w:p>
    <w:p w14:paraId="07E5D716" w14:textId="77777777" w:rsidR="001529C3" w:rsidRPr="00766B8F" w:rsidRDefault="001529C3" w:rsidP="003B4588">
      <w:pPr>
        <w:pStyle w:val="ListParagraph"/>
        <w:spacing w:before="100" w:beforeAutospacing="1" w:after="100" w:afterAutospacing="1" w:line="240" w:lineRule="auto"/>
        <w:jc w:val="both"/>
        <w:outlineLvl w:val="3"/>
        <w:rPr>
          <w:rFonts w:ascii="Times New Roman" w:eastAsia="Times New Roman" w:hAnsi="Times New Roman" w:cs="Times New Roman"/>
          <w:b/>
          <w:bCs/>
          <w:sz w:val="24"/>
          <w:szCs w:val="24"/>
          <w:lang w:eastAsia="en-GB"/>
        </w:rPr>
      </w:pPr>
    </w:p>
    <w:p w14:paraId="5560B8F8" w14:textId="4CA50901" w:rsidR="000B6643" w:rsidRPr="00137D96" w:rsidRDefault="00980ABB" w:rsidP="003B4588">
      <w:pPr>
        <w:spacing w:before="100" w:beforeAutospacing="1" w:after="100" w:afterAutospacing="1" w:line="240" w:lineRule="auto"/>
        <w:jc w:val="both"/>
        <w:outlineLvl w:val="2"/>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 xml:space="preserve">Using the FITT framework, this analysis will examine the fit between the qualities of the individual (e.g. digital literacy, motivation to use technology), the qualities of the technology (e.g. the usability, intuitiveness), and the qualities of the clinical task (workflow, organisational processes) (Ammenwerth et al 2006). </w:t>
      </w:r>
      <w:r w:rsidR="00137D96">
        <w:rPr>
          <w:rFonts w:ascii="Times New Roman" w:eastAsia="Times New Roman" w:hAnsi="Times New Roman" w:cs="Times New Roman"/>
          <w:bCs/>
          <w:sz w:val="24"/>
          <w:szCs w:val="24"/>
          <w:lang w:eastAsia="en-GB"/>
        </w:rPr>
        <w:t xml:space="preserve">Unlike other frameworks, such as the Consolidated Framework for Implementation Research (CFIR), the FITT framework uniquely incorporates </w:t>
      </w:r>
      <w:r w:rsidR="00137D96">
        <w:rPr>
          <w:rFonts w:ascii="Times New Roman" w:eastAsia="Times New Roman" w:hAnsi="Times New Roman" w:cs="Times New Roman"/>
          <w:bCs/>
          <w:sz w:val="24"/>
          <w:szCs w:val="24"/>
          <w:lang w:eastAsia="en-GB"/>
        </w:rPr>
        <w:lastRenderedPageBreak/>
        <w:t>the interaction aspect</w:t>
      </w:r>
      <w:r w:rsidR="00090219">
        <w:rPr>
          <w:rFonts w:ascii="Times New Roman" w:eastAsia="Times New Roman" w:hAnsi="Times New Roman" w:cs="Times New Roman"/>
          <w:bCs/>
          <w:sz w:val="24"/>
          <w:szCs w:val="24"/>
          <w:lang w:eastAsia="en-GB"/>
        </w:rPr>
        <w:t xml:space="preserve"> (Damschroder et al 2009)</w:t>
      </w:r>
      <w:r w:rsidR="00137D96">
        <w:rPr>
          <w:rFonts w:ascii="Times New Roman" w:eastAsia="Times New Roman" w:hAnsi="Times New Roman" w:cs="Times New Roman"/>
          <w:bCs/>
          <w:sz w:val="24"/>
          <w:szCs w:val="24"/>
          <w:lang w:eastAsia="en-GB"/>
        </w:rPr>
        <w:t>. According to FITT, the effectiveness of technological interventions is also influenced by the individual’s motivation, knowledge and training (</w:t>
      </w:r>
      <w:r w:rsidR="00D86D64">
        <w:rPr>
          <w:rFonts w:ascii="Times New Roman" w:eastAsia="Times New Roman" w:hAnsi="Times New Roman" w:cs="Times New Roman"/>
          <w:bCs/>
          <w:sz w:val="24"/>
          <w:szCs w:val="24"/>
          <w:lang w:eastAsia="en-GB"/>
        </w:rPr>
        <w:t>Kujala</w:t>
      </w:r>
      <w:r w:rsidR="00137D96">
        <w:rPr>
          <w:rFonts w:ascii="Times New Roman" w:eastAsia="Times New Roman" w:hAnsi="Times New Roman" w:cs="Times New Roman"/>
          <w:bCs/>
          <w:sz w:val="24"/>
          <w:szCs w:val="24"/>
          <w:lang w:eastAsia="en-GB"/>
        </w:rPr>
        <w:t xml:space="preserve"> et al 2020).</w:t>
      </w:r>
      <w:r w:rsidR="00137D96" w:rsidRPr="00137D96">
        <w:rPr>
          <w:rFonts w:ascii="Times New Roman" w:hAnsi="Times New Roman" w:cs="Times New Roman"/>
          <w:color w:val="242424"/>
          <w:sz w:val="24"/>
          <w:szCs w:val="24"/>
          <w:shd w:val="clear" w:color="auto" w:fill="FAFAFA"/>
        </w:rPr>
        <w:t xml:space="preserve"> </w:t>
      </w:r>
    </w:p>
    <w:p w14:paraId="2E85580C" w14:textId="5934D131" w:rsidR="00070554" w:rsidRDefault="00261D1B" w:rsidP="003B4588">
      <w:pPr>
        <w:spacing w:before="100" w:beforeAutospacing="1" w:after="100" w:afterAutospacing="1" w:line="240" w:lineRule="auto"/>
        <w:jc w:val="both"/>
        <w:outlineLvl w:val="2"/>
        <w:rPr>
          <w:rFonts w:ascii="Times New Roman" w:eastAsia="Times New Roman" w:hAnsi="Times New Roman" w:cs="Times New Roman"/>
          <w:bCs/>
          <w:sz w:val="24"/>
          <w:szCs w:val="24"/>
          <w:lang w:eastAsia="en-GB"/>
        </w:rPr>
      </w:pPr>
      <w:r w:rsidRPr="00261D1B">
        <w:rPr>
          <w:rFonts w:ascii="Times New Roman" w:eastAsia="Times New Roman" w:hAnsi="Times New Roman" w:cs="Times New Roman"/>
          <w:bCs/>
          <w:sz w:val="24"/>
          <w:szCs w:val="24"/>
          <w:lang w:eastAsia="en-GB"/>
        </w:rPr>
        <w:t xml:space="preserve">This </w:t>
      </w:r>
      <w:r w:rsidR="00980ABB">
        <w:rPr>
          <w:rFonts w:ascii="Times New Roman" w:eastAsia="Times New Roman" w:hAnsi="Times New Roman" w:cs="Times New Roman"/>
          <w:bCs/>
          <w:sz w:val="24"/>
          <w:szCs w:val="24"/>
          <w:lang w:eastAsia="en-GB"/>
        </w:rPr>
        <w:t>analysis</w:t>
      </w:r>
      <w:r w:rsidRPr="00261D1B">
        <w:rPr>
          <w:rFonts w:ascii="Times New Roman" w:eastAsia="Times New Roman" w:hAnsi="Times New Roman" w:cs="Times New Roman"/>
          <w:bCs/>
          <w:sz w:val="24"/>
          <w:szCs w:val="24"/>
          <w:lang w:eastAsia="en-GB"/>
        </w:rPr>
        <w:t xml:space="preserve"> will consist of </w:t>
      </w:r>
      <w:r w:rsidR="00F039C3">
        <w:rPr>
          <w:rFonts w:ascii="Times New Roman" w:eastAsia="Times New Roman" w:hAnsi="Times New Roman" w:cs="Times New Roman"/>
          <w:bCs/>
          <w:sz w:val="24"/>
          <w:szCs w:val="24"/>
          <w:lang w:eastAsia="en-GB"/>
        </w:rPr>
        <w:t xml:space="preserve">qualitative </w:t>
      </w:r>
      <w:r w:rsidRPr="00261D1B">
        <w:rPr>
          <w:rFonts w:ascii="Times New Roman" w:eastAsia="Times New Roman" w:hAnsi="Times New Roman" w:cs="Times New Roman"/>
          <w:bCs/>
          <w:sz w:val="24"/>
          <w:szCs w:val="24"/>
          <w:lang w:eastAsia="en-GB"/>
        </w:rPr>
        <w:t>feedback from current users of the MillCare software</w:t>
      </w:r>
      <w:r w:rsidR="00A40CBA">
        <w:rPr>
          <w:rFonts w:ascii="Times New Roman" w:eastAsia="Times New Roman" w:hAnsi="Times New Roman" w:cs="Times New Roman"/>
          <w:bCs/>
          <w:sz w:val="24"/>
          <w:szCs w:val="24"/>
          <w:lang w:eastAsia="en-GB"/>
        </w:rPr>
        <w:t>, and personal experience</w:t>
      </w:r>
      <w:r w:rsidR="00F039C3">
        <w:rPr>
          <w:rFonts w:ascii="Times New Roman" w:eastAsia="Times New Roman" w:hAnsi="Times New Roman" w:cs="Times New Roman"/>
          <w:bCs/>
          <w:sz w:val="24"/>
          <w:szCs w:val="24"/>
          <w:lang w:eastAsia="en-GB"/>
        </w:rPr>
        <w:t>. In 2020, a working group was formed by the British Association for Sexual Health and HIV (BASHH) and the Faculty of Sexual and Reproductive Health (FSRH) to establish priorities for a national Electronic Patient Record (EPR) system (BASHH/FSRH 2023).</w:t>
      </w:r>
    </w:p>
    <w:p w14:paraId="767A7DF7" w14:textId="7151A38F" w:rsidR="00070554" w:rsidRDefault="00F039C3" w:rsidP="003B4588">
      <w:pPr>
        <w:spacing w:before="100" w:beforeAutospacing="1" w:after="100" w:afterAutospacing="1" w:line="240" w:lineRule="auto"/>
        <w:jc w:val="both"/>
        <w:outlineLvl w:val="2"/>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 xml:space="preserve"> </w:t>
      </w:r>
      <w:r w:rsidR="00135386">
        <w:rPr>
          <w:rFonts w:ascii="Times New Roman" w:eastAsia="Times New Roman" w:hAnsi="Times New Roman" w:cs="Times New Roman"/>
          <w:bCs/>
          <w:sz w:val="24"/>
          <w:szCs w:val="24"/>
          <w:lang w:eastAsia="en-GB"/>
        </w:rPr>
        <w:t xml:space="preserve">The participants in this working group included clinicians, clerical staff and IT staff who had a vested interest in the sexual health software systems. This diverse sample of participants ensured that all elements of the system were considered, and not just a ‘patient-facing’ element. </w:t>
      </w:r>
    </w:p>
    <w:p w14:paraId="3BEFEF48" w14:textId="3A58547E" w:rsidR="00980ABB" w:rsidRDefault="00F039C3" w:rsidP="003B4588">
      <w:pPr>
        <w:spacing w:before="100" w:beforeAutospacing="1" w:after="100" w:afterAutospacing="1" w:line="240" w:lineRule="auto"/>
        <w:jc w:val="both"/>
        <w:outlineLvl w:val="2"/>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A survey was utilised</w:t>
      </w:r>
      <w:r w:rsidR="003857D6">
        <w:rPr>
          <w:rFonts w:ascii="Times New Roman" w:eastAsia="Times New Roman" w:hAnsi="Times New Roman" w:cs="Times New Roman"/>
          <w:bCs/>
          <w:sz w:val="24"/>
          <w:szCs w:val="24"/>
          <w:lang w:eastAsia="en-GB"/>
        </w:rPr>
        <w:t xml:space="preserve"> by BASHH/FSRH</w:t>
      </w:r>
      <w:r>
        <w:rPr>
          <w:rFonts w:ascii="Times New Roman" w:eastAsia="Times New Roman" w:hAnsi="Times New Roman" w:cs="Times New Roman"/>
          <w:bCs/>
          <w:sz w:val="24"/>
          <w:szCs w:val="24"/>
          <w:lang w:eastAsia="en-GB"/>
        </w:rPr>
        <w:t xml:space="preserve"> to collect data from the services who currently use MillCare to examine what they would change/require from a new system.</w:t>
      </w:r>
      <w:r w:rsidR="003857D6">
        <w:rPr>
          <w:rFonts w:ascii="Times New Roman" w:eastAsia="Times New Roman" w:hAnsi="Times New Roman" w:cs="Times New Roman"/>
          <w:bCs/>
          <w:sz w:val="24"/>
          <w:szCs w:val="24"/>
          <w:lang w:eastAsia="en-GB"/>
        </w:rPr>
        <w:t xml:space="preserve"> *I was unable to source the detail of the survey*.</w:t>
      </w:r>
      <w:r w:rsidR="00A40CBA" w:rsidRPr="00A40CBA">
        <w:rPr>
          <w:rFonts w:ascii="Segoe UI" w:hAnsi="Segoe UI" w:cs="Segoe UI"/>
          <w:color w:val="242424"/>
          <w:sz w:val="21"/>
          <w:szCs w:val="21"/>
          <w:shd w:val="clear" w:color="auto" w:fill="FAFAFA"/>
        </w:rPr>
        <w:t xml:space="preserve"> </w:t>
      </w:r>
      <w:r w:rsidR="00A40CBA" w:rsidRPr="00A40CBA">
        <w:rPr>
          <w:rFonts w:ascii="Times New Roman" w:hAnsi="Times New Roman" w:cs="Times New Roman"/>
          <w:color w:val="242424"/>
          <w:sz w:val="24"/>
          <w:szCs w:val="24"/>
          <w:shd w:val="clear" w:color="auto" w:fill="FAFAFA"/>
        </w:rPr>
        <w:t>As an experienced user of this system, I have reviewed the data and identified the specific aspects of the feedback that MillCare can address, as well as those it cannot</w:t>
      </w:r>
      <w:r w:rsidR="00A40CBA">
        <w:rPr>
          <w:rFonts w:ascii="Segoe UI" w:hAnsi="Segoe UI" w:cs="Segoe UI"/>
          <w:color w:val="242424"/>
          <w:sz w:val="21"/>
          <w:szCs w:val="21"/>
          <w:shd w:val="clear" w:color="auto" w:fill="FAFAFA"/>
        </w:rPr>
        <w:t>.</w:t>
      </w:r>
      <w:r>
        <w:rPr>
          <w:rFonts w:ascii="Times New Roman" w:eastAsia="Times New Roman" w:hAnsi="Times New Roman" w:cs="Times New Roman"/>
          <w:bCs/>
          <w:sz w:val="24"/>
          <w:szCs w:val="24"/>
          <w:lang w:eastAsia="en-GB"/>
        </w:rPr>
        <w:t xml:space="preserve"> </w:t>
      </w:r>
      <w:r w:rsidR="0047305F">
        <w:rPr>
          <w:rFonts w:ascii="Times New Roman" w:eastAsia="Times New Roman" w:hAnsi="Times New Roman" w:cs="Times New Roman"/>
          <w:bCs/>
          <w:sz w:val="24"/>
          <w:szCs w:val="24"/>
          <w:lang w:eastAsia="en-GB"/>
        </w:rPr>
        <w:t xml:space="preserve">As the survey data focused heavily on ‘task based’ requirements, in order to obtain data related to the individuals use of the technology, informal conversations with current colleagues were also used for that aspect of the analysis. </w:t>
      </w:r>
    </w:p>
    <w:p w14:paraId="6B05E1F0" w14:textId="76457577" w:rsidR="009F23A0" w:rsidRDefault="00980ABB" w:rsidP="00F039C3">
      <w:pPr>
        <w:spacing w:before="100" w:beforeAutospacing="1" w:after="100" w:afterAutospacing="1" w:line="240" w:lineRule="auto"/>
        <w:jc w:val="both"/>
        <w:outlineLvl w:val="2"/>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 xml:space="preserve">Using a qualitative approach to implementing the FITT framework provides the ability to identify and understand the </w:t>
      </w:r>
      <w:r w:rsidR="006A25B6">
        <w:rPr>
          <w:rFonts w:ascii="Times New Roman" w:eastAsia="Times New Roman" w:hAnsi="Times New Roman" w:cs="Times New Roman"/>
          <w:bCs/>
          <w:sz w:val="24"/>
          <w:szCs w:val="24"/>
          <w:lang w:eastAsia="en-GB"/>
        </w:rPr>
        <w:t>users’</w:t>
      </w:r>
      <w:r>
        <w:rPr>
          <w:rFonts w:ascii="Times New Roman" w:eastAsia="Times New Roman" w:hAnsi="Times New Roman" w:cs="Times New Roman"/>
          <w:bCs/>
          <w:sz w:val="24"/>
          <w:szCs w:val="24"/>
          <w:lang w:eastAsia="en-GB"/>
        </w:rPr>
        <w:t xml:space="preserve"> perceptions of the software, which may then result in better usage and efficacy of the system (Schnall et al 2012). When barriers or weaknesses are identified, adjustments can be made, resulting in a better ‘fit’ (Noblin et al 2017). </w:t>
      </w:r>
      <w:r w:rsidR="00BB28E5">
        <w:rPr>
          <w:rFonts w:ascii="Times New Roman" w:eastAsia="Times New Roman" w:hAnsi="Times New Roman" w:cs="Times New Roman"/>
          <w:bCs/>
          <w:sz w:val="24"/>
          <w:szCs w:val="24"/>
          <w:lang w:eastAsia="en-GB"/>
        </w:rPr>
        <w:t>Analysing the themes from this data will identify the strengths and weaknesses of the current software system, and highlight areas that need to be improved or added to the new ‘All Wales’ system.</w:t>
      </w:r>
    </w:p>
    <w:p w14:paraId="61B84293" w14:textId="49FE2E8E" w:rsidR="00A40CBA" w:rsidRDefault="00A40CBA" w:rsidP="00F039C3">
      <w:pPr>
        <w:spacing w:before="100" w:beforeAutospacing="1" w:after="100" w:afterAutospacing="1" w:line="240" w:lineRule="auto"/>
        <w:jc w:val="both"/>
        <w:outlineLvl w:val="2"/>
        <w:rPr>
          <w:rFonts w:ascii="Times New Roman" w:eastAsia="Times New Roman" w:hAnsi="Times New Roman" w:cs="Times New Roman"/>
          <w:b/>
          <w:bCs/>
          <w:sz w:val="24"/>
          <w:szCs w:val="24"/>
          <w:lang w:eastAsia="en-GB"/>
        </w:rPr>
      </w:pPr>
      <w:r w:rsidRPr="00A40CBA">
        <w:rPr>
          <w:rFonts w:ascii="Times New Roman" w:eastAsia="Times New Roman" w:hAnsi="Times New Roman" w:cs="Times New Roman"/>
          <w:b/>
          <w:bCs/>
          <w:sz w:val="24"/>
          <w:szCs w:val="24"/>
          <w:lang w:eastAsia="en-GB"/>
        </w:rPr>
        <w:t>Results</w:t>
      </w:r>
    </w:p>
    <w:p w14:paraId="374CDA7F" w14:textId="57DE8C9E" w:rsidR="00A40CBA" w:rsidRPr="0047305F" w:rsidRDefault="003857D6" w:rsidP="00F039C3">
      <w:pPr>
        <w:spacing w:before="100" w:beforeAutospacing="1" w:after="100" w:afterAutospacing="1" w:line="240" w:lineRule="auto"/>
        <w:jc w:val="both"/>
        <w:outlineLvl w:val="2"/>
        <w:rPr>
          <w:rFonts w:ascii="Times New Roman" w:eastAsia="Times New Roman" w:hAnsi="Times New Roman" w:cs="Times New Roman"/>
          <w:b/>
          <w:bCs/>
          <w:sz w:val="24"/>
          <w:szCs w:val="24"/>
          <w:lang w:eastAsia="en-GB"/>
        </w:rPr>
      </w:pPr>
      <w:r w:rsidRPr="0047305F">
        <w:rPr>
          <w:rFonts w:ascii="Times New Roman" w:hAnsi="Times New Roman" w:cs="Times New Roman"/>
          <w:sz w:val="24"/>
          <w:szCs w:val="24"/>
          <w:shd w:val="clear" w:color="auto" w:fill="FFFFFF"/>
        </w:rPr>
        <w:t>T</w:t>
      </w:r>
      <w:r w:rsidRPr="0047305F">
        <w:rPr>
          <w:rFonts w:ascii="Times New Roman" w:hAnsi="Times New Roman" w:cs="Times New Roman"/>
          <w:sz w:val="24"/>
          <w:szCs w:val="24"/>
          <w:shd w:val="clear" w:color="auto" w:fill="FFFFFF"/>
        </w:rPr>
        <w:t xml:space="preserve">he FITT framework was used as a </w:t>
      </w:r>
      <w:r w:rsidRPr="0047305F">
        <w:rPr>
          <w:rFonts w:ascii="Times New Roman" w:hAnsi="Times New Roman" w:cs="Times New Roman"/>
          <w:sz w:val="24"/>
          <w:szCs w:val="24"/>
          <w:shd w:val="clear" w:color="auto" w:fill="FFFFFF"/>
        </w:rPr>
        <w:t xml:space="preserve">framework </w:t>
      </w:r>
      <w:r w:rsidRPr="0047305F">
        <w:rPr>
          <w:rFonts w:ascii="Times New Roman" w:hAnsi="Times New Roman" w:cs="Times New Roman"/>
          <w:sz w:val="24"/>
          <w:szCs w:val="24"/>
          <w:shd w:val="clear" w:color="auto" w:fill="FFFFFF"/>
        </w:rPr>
        <w:t>to place the identified themes in</w:t>
      </w:r>
      <w:r w:rsidR="00D9049E">
        <w:rPr>
          <w:rFonts w:ascii="Times New Roman" w:hAnsi="Times New Roman" w:cs="Times New Roman"/>
          <w:sz w:val="24"/>
          <w:szCs w:val="24"/>
          <w:shd w:val="clear" w:color="auto" w:fill="FFFFFF"/>
        </w:rPr>
        <w:t>to</w:t>
      </w:r>
      <w:r w:rsidRPr="0047305F">
        <w:rPr>
          <w:rFonts w:ascii="Times New Roman" w:hAnsi="Times New Roman" w:cs="Times New Roman"/>
          <w:sz w:val="24"/>
          <w:szCs w:val="24"/>
          <w:shd w:val="clear" w:color="auto" w:fill="FFFFFF"/>
        </w:rPr>
        <w:t xml:space="preserve"> context. The themes identified were </w:t>
      </w:r>
      <w:r w:rsidRPr="0047305F">
        <w:rPr>
          <w:rFonts w:ascii="Times New Roman" w:hAnsi="Times New Roman" w:cs="Times New Roman"/>
          <w:sz w:val="24"/>
          <w:szCs w:val="24"/>
          <w:shd w:val="clear" w:color="auto" w:fill="FFFFFF"/>
        </w:rPr>
        <w:t xml:space="preserve">then </w:t>
      </w:r>
      <w:r w:rsidRPr="0047305F">
        <w:rPr>
          <w:rFonts w:ascii="Times New Roman" w:hAnsi="Times New Roman" w:cs="Times New Roman"/>
          <w:sz w:val="24"/>
          <w:szCs w:val="24"/>
          <w:shd w:val="clear" w:color="auto" w:fill="FFFFFF"/>
        </w:rPr>
        <w:t xml:space="preserve">categorized into the FITT framework dimensions of </w:t>
      </w:r>
      <w:r w:rsidRPr="0047305F">
        <w:rPr>
          <w:rFonts w:ascii="Times New Roman" w:hAnsi="Times New Roman" w:cs="Times New Roman"/>
          <w:sz w:val="24"/>
          <w:szCs w:val="24"/>
          <w:shd w:val="clear" w:color="auto" w:fill="FFFFFF"/>
        </w:rPr>
        <w:t xml:space="preserve">individual, </w:t>
      </w:r>
      <w:r w:rsidRPr="0047305F">
        <w:rPr>
          <w:rFonts w:ascii="Times New Roman" w:hAnsi="Times New Roman" w:cs="Times New Roman"/>
          <w:sz w:val="24"/>
          <w:szCs w:val="24"/>
          <w:shd w:val="clear" w:color="auto" w:fill="FFFFFF"/>
        </w:rPr>
        <w:t>task</w:t>
      </w:r>
      <w:r w:rsidRPr="0047305F">
        <w:rPr>
          <w:rFonts w:ascii="Times New Roman" w:hAnsi="Times New Roman" w:cs="Times New Roman"/>
          <w:sz w:val="24"/>
          <w:szCs w:val="24"/>
          <w:shd w:val="clear" w:color="auto" w:fill="FFFFFF"/>
        </w:rPr>
        <w:t xml:space="preserve"> and technology</w:t>
      </w:r>
      <w:r w:rsidRPr="0047305F">
        <w:rPr>
          <w:rFonts w:ascii="Times New Roman" w:hAnsi="Times New Roman" w:cs="Times New Roman"/>
          <w:sz w:val="24"/>
          <w:szCs w:val="24"/>
          <w:shd w:val="clear" w:color="auto" w:fill="FFFFFF"/>
        </w:rPr>
        <w:t>, as shown in Tables</w:t>
      </w:r>
      <w:r w:rsidRPr="0047305F">
        <w:rPr>
          <w:rFonts w:ascii="Times New Roman" w:hAnsi="Times New Roman" w:cs="Times New Roman"/>
          <w:sz w:val="24"/>
          <w:szCs w:val="24"/>
          <w:shd w:val="clear" w:color="auto" w:fill="FFFFFF"/>
        </w:rPr>
        <w:t xml:space="preserve"> 1 below:</w:t>
      </w:r>
      <w:r w:rsidR="00A40CBA" w:rsidRPr="0047305F">
        <w:rPr>
          <w:rFonts w:ascii="Times New Roman" w:eastAsia="Times New Roman" w:hAnsi="Times New Roman" w:cs="Times New Roman"/>
          <w:b/>
          <w:bCs/>
          <w:sz w:val="24"/>
          <w:szCs w:val="24"/>
          <w:lang w:eastAsia="en-GB"/>
        </w:rPr>
        <w:t xml:space="preserve"> </w:t>
      </w:r>
    </w:p>
    <w:p w14:paraId="0E965551" w14:textId="77777777" w:rsidR="00A40CBA" w:rsidRDefault="00A40CBA" w:rsidP="00F039C3">
      <w:pPr>
        <w:spacing w:before="100" w:beforeAutospacing="1" w:after="100" w:afterAutospacing="1" w:line="240" w:lineRule="auto"/>
        <w:jc w:val="both"/>
        <w:outlineLvl w:val="2"/>
        <w:rPr>
          <w:rFonts w:ascii="Times New Roman" w:eastAsia="Times New Roman" w:hAnsi="Times New Roman" w:cs="Times New Roman"/>
          <w:bCs/>
          <w:sz w:val="24"/>
          <w:szCs w:val="24"/>
          <w:lang w:eastAsia="en-GB"/>
        </w:rPr>
      </w:pPr>
    </w:p>
    <w:p w14:paraId="3346C6BA" w14:textId="062830D1" w:rsidR="009F23A0" w:rsidRDefault="009F23A0" w:rsidP="00F039C3">
      <w:pPr>
        <w:spacing w:before="100" w:beforeAutospacing="1" w:after="100" w:afterAutospacing="1" w:line="240" w:lineRule="auto"/>
        <w:jc w:val="both"/>
        <w:outlineLvl w:val="2"/>
        <w:rPr>
          <w:rFonts w:ascii="Times New Roman" w:eastAsia="Times New Roman" w:hAnsi="Times New Roman" w:cs="Times New Roman"/>
          <w:bCs/>
          <w:sz w:val="24"/>
          <w:szCs w:val="24"/>
          <w:lang w:eastAsia="en-GB"/>
        </w:rPr>
      </w:pPr>
    </w:p>
    <w:p w14:paraId="5B31B8C8" w14:textId="28D5F5E3" w:rsidR="00F039C3" w:rsidRDefault="00BB28E5" w:rsidP="00F039C3">
      <w:pPr>
        <w:spacing w:before="100" w:beforeAutospacing="1" w:after="100" w:afterAutospacing="1" w:line="240" w:lineRule="auto"/>
        <w:jc w:val="both"/>
        <w:outlineLvl w:val="2"/>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 xml:space="preserve"> </w:t>
      </w:r>
    </w:p>
    <w:p w14:paraId="15545E2B" w14:textId="77777777" w:rsidR="005C7A5E" w:rsidRDefault="005C7A5E" w:rsidP="008F21A2">
      <w:pPr>
        <w:spacing w:after="0" w:line="240" w:lineRule="auto"/>
      </w:pPr>
      <w:bookmarkStart w:id="0" w:name="_GoBack"/>
      <w:bookmarkEnd w:id="0"/>
    </w:p>
    <w:p w14:paraId="60AD6685" w14:textId="77777777" w:rsidR="005C7A5E" w:rsidRDefault="005C7A5E" w:rsidP="008F21A2">
      <w:pPr>
        <w:spacing w:after="0" w:line="240" w:lineRule="auto"/>
      </w:pPr>
      <w:r>
        <w:t>References</w:t>
      </w:r>
    </w:p>
    <w:p w14:paraId="7742E06B" w14:textId="77777777" w:rsidR="005C7A5E" w:rsidRDefault="005C7A5E" w:rsidP="008F21A2">
      <w:pPr>
        <w:spacing w:after="0" w:line="240" w:lineRule="auto"/>
      </w:pPr>
    </w:p>
    <w:p w14:paraId="5BA85C7C" w14:textId="3EFEE384" w:rsidR="005C7A5E" w:rsidRDefault="005C7A5E" w:rsidP="008F21A2">
      <w:pPr>
        <w:spacing w:after="0" w:line="240" w:lineRule="auto"/>
      </w:pPr>
      <w:r>
        <w:rPr>
          <w:rFonts w:ascii="Helvetica" w:hAnsi="Helvetica"/>
          <w:color w:val="333333"/>
          <w:sz w:val="26"/>
          <w:szCs w:val="26"/>
          <w:shd w:val="clear" w:color="auto" w:fill="FFFFFF"/>
        </w:rPr>
        <w:t>Venereal Disease Act 1917 (repealed 19 November 1998) </w:t>
      </w:r>
      <w:hyperlink r:id="rId9" w:history="1">
        <w:r>
          <w:rPr>
            <w:rStyle w:val="Hyperlink"/>
            <w:rFonts w:ascii="Helvetica" w:hAnsi="Helvetica"/>
            <w:color w:val="005A96"/>
            <w:sz w:val="26"/>
            <w:szCs w:val="26"/>
            <w:shd w:val="clear" w:color="auto" w:fill="FFFFFF"/>
          </w:rPr>
          <w:t>http://www.legislation.gov.uk/ukpga/Geo5/7-8/21/content</w:t>
        </w:r>
      </w:hyperlink>
    </w:p>
    <w:p w14:paraId="536B1019" w14:textId="77777777" w:rsidR="00C47578" w:rsidRDefault="00C47578" w:rsidP="008F21A2">
      <w:pPr>
        <w:spacing w:after="0" w:line="240" w:lineRule="auto"/>
      </w:pPr>
    </w:p>
    <w:p w14:paraId="7FE44DD5" w14:textId="4D55846B" w:rsidR="00C47578" w:rsidRDefault="00C47578" w:rsidP="008F21A2">
      <w:pPr>
        <w:spacing w:after="0" w:line="240" w:lineRule="auto"/>
        <w:rPr>
          <w:rStyle w:val="cit-comment"/>
          <w:rFonts w:ascii="Helvetica" w:hAnsi="Helvetica"/>
          <w:color w:val="333333"/>
          <w:sz w:val="26"/>
          <w:szCs w:val="26"/>
          <w:shd w:val="clear" w:color="auto" w:fill="FFFFFF"/>
        </w:rPr>
      </w:pPr>
      <w:r>
        <w:rPr>
          <w:rStyle w:val="cit-auth"/>
          <w:rFonts w:ascii="Helvetica" w:hAnsi="Helvetica"/>
          <w:color w:val="333333"/>
          <w:sz w:val="26"/>
          <w:szCs w:val="26"/>
          <w:shd w:val="clear" w:color="auto" w:fill="FFFFFF"/>
        </w:rPr>
        <w:t>Department of Health</w:t>
      </w:r>
      <w:r>
        <w:rPr>
          <w:rFonts w:ascii="Helvetica" w:hAnsi="Helvetica"/>
          <w:color w:val="333333"/>
          <w:sz w:val="26"/>
          <w:szCs w:val="26"/>
          <w:shd w:val="clear" w:color="auto" w:fill="FFFFFF"/>
        </w:rPr>
        <w:t>. </w:t>
      </w:r>
      <w:r>
        <w:rPr>
          <w:rStyle w:val="cit-comment"/>
          <w:rFonts w:ascii="Helvetica" w:hAnsi="Helvetica"/>
          <w:color w:val="333333"/>
          <w:sz w:val="26"/>
          <w:szCs w:val="26"/>
          <w:shd w:val="clear" w:color="auto" w:fill="FFFFFF"/>
        </w:rPr>
        <w:t>NHS Trusts and Primary Care Trusts (Sexually Transmitted Diseases) Directions 2000 </w:t>
      </w:r>
      <w:hyperlink r:id="rId10" w:history="1">
        <w:r>
          <w:rPr>
            <w:rStyle w:val="Hyperlink"/>
            <w:rFonts w:ascii="Helvetica" w:hAnsi="Helvetica"/>
            <w:color w:val="005A96"/>
            <w:sz w:val="26"/>
            <w:szCs w:val="26"/>
            <w:u w:val="none"/>
          </w:rPr>
          <w:t>http://webarchive.nationalarchives.gov.uk/20130107105354/http://www.d</w:t>
        </w:r>
        <w:r>
          <w:rPr>
            <w:rStyle w:val="Hyperlink"/>
            <w:rFonts w:ascii="Helvetica" w:hAnsi="Helvetica"/>
            <w:color w:val="005A96"/>
            <w:sz w:val="26"/>
            <w:szCs w:val="26"/>
            <w:u w:val="none"/>
          </w:rPr>
          <w:lastRenderedPageBreak/>
          <w:t>h.gov.uk/prod_consum_dh/groups/dh_digitalassets/@dh/@en/documents/digitalasset/dh_4102889.pdf</w:t>
        </w:r>
      </w:hyperlink>
    </w:p>
    <w:p w14:paraId="64C5E7F1" w14:textId="146E7163" w:rsidR="00C47578" w:rsidRPr="008F21A2" w:rsidRDefault="00C47578" w:rsidP="008F21A2">
      <w:pPr>
        <w:spacing w:after="0" w:line="240" w:lineRule="auto"/>
        <w:rPr>
          <w:rFonts w:ascii="Times New Roman" w:eastAsia="Times New Roman" w:hAnsi="Times New Roman" w:cs="Times New Roman"/>
          <w:sz w:val="24"/>
          <w:szCs w:val="24"/>
          <w:lang w:eastAsia="en-GB"/>
        </w:rPr>
      </w:pPr>
      <w:r>
        <w:t xml:space="preserve">BHIVA (2015) </w:t>
      </w:r>
      <w:hyperlink r:id="rId11" w:history="1">
        <w:r>
          <w:rPr>
            <w:rStyle w:val="Hyperlink"/>
          </w:rPr>
          <w:t>Update-for-disemmination-STI-confidentiality-Final-100915.pdf</w:t>
        </w:r>
      </w:hyperlink>
    </w:p>
    <w:sectPr w:rsidR="00C47578" w:rsidRPr="008F21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12139C"/>
    <w:multiLevelType w:val="multilevel"/>
    <w:tmpl w:val="1BC4B3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2A101B"/>
    <w:multiLevelType w:val="multilevel"/>
    <w:tmpl w:val="345C088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35750839"/>
    <w:multiLevelType w:val="multilevel"/>
    <w:tmpl w:val="6330B0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371164"/>
    <w:multiLevelType w:val="multilevel"/>
    <w:tmpl w:val="9AE60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297CD8"/>
    <w:multiLevelType w:val="multilevel"/>
    <w:tmpl w:val="9E34BA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34347D"/>
    <w:multiLevelType w:val="multilevel"/>
    <w:tmpl w:val="AB2E79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0"/>
  </w:num>
  <w:num w:numId="4">
    <w:abstractNumId w:val="2"/>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21A2"/>
    <w:rsid w:val="000304EE"/>
    <w:rsid w:val="00070554"/>
    <w:rsid w:val="00090219"/>
    <w:rsid w:val="000B6643"/>
    <w:rsid w:val="00135386"/>
    <w:rsid w:val="00137D96"/>
    <w:rsid w:val="001529C3"/>
    <w:rsid w:val="0015402C"/>
    <w:rsid w:val="00161717"/>
    <w:rsid w:val="001A5042"/>
    <w:rsid w:val="001E65A9"/>
    <w:rsid w:val="0022561B"/>
    <w:rsid w:val="00261D1B"/>
    <w:rsid w:val="003857D6"/>
    <w:rsid w:val="003B4588"/>
    <w:rsid w:val="0047305F"/>
    <w:rsid w:val="005A6713"/>
    <w:rsid w:val="005C7A5E"/>
    <w:rsid w:val="006041B0"/>
    <w:rsid w:val="006A25B6"/>
    <w:rsid w:val="00766B8F"/>
    <w:rsid w:val="007C7740"/>
    <w:rsid w:val="008910D2"/>
    <w:rsid w:val="008F21A2"/>
    <w:rsid w:val="00915127"/>
    <w:rsid w:val="009574A6"/>
    <w:rsid w:val="00980ABB"/>
    <w:rsid w:val="009F23A0"/>
    <w:rsid w:val="00A33ADD"/>
    <w:rsid w:val="00A40CBA"/>
    <w:rsid w:val="00A733E1"/>
    <w:rsid w:val="00BB28E5"/>
    <w:rsid w:val="00C3205C"/>
    <w:rsid w:val="00C47578"/>
    <w:rsid w:val="00C877EE"/>
    <w:rsid w:val="00C87C38"/>
    <w:rsid w:val="00D86D64"/>
    <w:rsid w:val="00D9049E"/>
    <w:rsid w:val="00DD307A"/>
    <w:rsid w:val="00E161DC"/>
    <w:rsid w:val="00EA75CE"/>
    <w:rsid w:val="00EE5AF1"/>
    <w:rsid w:val="00F039C3"/>
    <w:rsid w:val="00F60C9D"/>
    <w:rsid w:val="00F927F7"/>
    <w:rsid w:val="00F96CD1"/>
    <w:rsid w:val="00FE5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4306425"/>
  <w15:chartTrackingRefBased/>
  <w15:docId w15:val="{6CCC28B1-D49A-47D3-8B68-178BE52AA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link w:val="Heading4Char"/>
    <w:uiPriority w:val="9"/>
    <w:qFormat/>
    <w:rsid w:val="005C7A5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C7A5E"/>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5C7A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C7A5E"/>
    <w:pPr>
      <w:ind w:left="720"/>
      <w:contextualSpacing/>
    </w:pPr>
  </w:style>
  <w:style w:type="character" w:styleId="Hyperlink">
    <w:name w:val="Hyperlink"/>
    <w:basedOn w:val="DefaultParagraphFont"/>
    <w:uiPriority w:val="99"/>
    <w:semiHidden/>
    <w:unhideWhenUsed/>
    <w:rsid w:val="005C7A5E"/>
    <w:rPr>
      <w:color w:val="0000FF"/>
      <w:u w:val="single"/>
    </w:rPr>
  </w:style>
  <w:style w:type="character" w:customStyle="1" w:styleId="cit-auth">
    <w:name w:val="cit-auth"/>
    <w:basedOn w:val="DefaultParagraphFont"/>
    <w:rsid w:val="00C47578"/>
  </w:style>
  <w:style w:type="character" w:customStyle="1" w:styleId="cit-comment">
    <w:name w:val="cit-comment"/>
    <w:basedOn w:val="DefaultParagraphFont"/>
    <w:rsid w:val="00C475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5078815">
      <w:bodyDiv w:val="1"/>
      <w:marLeft w:val="0"/>
      <w:marRight w:val="0"/>
      <w:marTop w:val="0"/>
      <w:marBottom w:val="0"/>
      <w:divBdr>
        <w:top w:val="none" w:sz="0" w:space="0" w:color="auto"/>
        <w:left w:val="none" w:sz="0" w:space="0" w:color="auto"/>
        <w:bottom w:val="none" w:sz="0" w:space="0" w:color="auto"/>
        <w:right w:val="none" w:sz="0" w:space="0" w:color="auto"/>
      </w:divBdr>
    </w:div>
    <w:div w:id="921835346">
      <w:bodyDiv w:val="1"/>
      <w:marLeft w:val="0"/>
      <w:marRight w:val="0"/>
      <w:marTop w:val="0"/>
      <w:marBottom w:val="0"/>
      <w:divBdr>
        <w:top w:val="none" w:sz="0" w:space="0" w:color="auto"/>
        <w:left w:val="none" w:sz="0" w:space="0" w:color="auto"/>
        <w:bottom w:val="none" w:sz="0" w:space="0" w:color="auto"/>
        <w:right w:val="none" w:sz="0" w:space="0" w:color="auto"/>
      </w:divBdr>
      <w:divsChild>
        <w:div w:id="21051261">
          <w:marLeft w:val="0"/>
          <w:marRight w:val="0"/>
          <w:marTop w:val="0"/>
          <w:marBottom w:val="0"/>
          <w:divBdr>
            <w:top w:val="none" w:sz="0" w:space="0" w:color="auto"/>
            <w:left w:val="none" w:sz="0" w:space="0" w:color="auto"/>
            <w:bottom w:val="none" w:sz="0" w:space="0" w:color="auto"/>
            <w:right w:val="none" w:sz="0" w:space="0" w:color="auto"/>
          </w:divBdr>
          <w:divsChild>
            <w:div w:id="731538419">
              <w:marLeft w:val="0"/>
              <w:marRight w:val="0"/>
              <w:marTop w:val="0"/>
              <w:marBottom w:val="0"/>
              <w:divBdr>
                <w:top w:val="none" w:sz="0" w:space="0" w:color="auto"/>
                <w:left w:val="none" w:sz="0" w:space="0" w:color="auto"/>
                <w:bottom w:val="none" w:sz="0" w:space="0" w:color="auto"/>
                <w:right w:val="none" w:sz="0" w:space="0" w:color="auto"/>
              </w:divBdr>
              <w:divsChild>
                <w:div w:id="1237280312">
                  <w:marLeft w:val="0"/>
                  <w:marRight w:val="0"/>
                  <w:marTop w:val="0"/>
                  <w:marBottom w:val="0"/>
                  <w:divBdr>
                    <w:top w:val="none" w:sz="0" w:space="0" w:color="auto"/>
                    <w:left w:val="none" w:sz="0" w:space="0" w:color="auto"/>
                    <w:bottom w:val="none" w:sz="0" w:space="0" w:color="auto"/>
                    <w:right w:val="none" w:sz="0" w:space="0" w:color="auto"/>
                  </w:divBdr>
                  <w:divsChild>
                    <w:div w:id="512573650">
                      <w:marLeft w:val="0"/>
                      <w:marRight w:val="0"/>
                      <w:marTop w:val="0"/>
                      <w:marBottom w:val="0"/>
                      <w:divBdr>
                        <w:top w:val="none" w:sz="0" w:space="0" w:color="auto"/>
                        <w:left w:val="none" w:sz="0" w:space="0" w:color="auto"/>
                        <w:bottom w:val="none" w:sz="0" w:space="0" w:color="auto"/>
                        <w:right w:val="none" w:sz="0" w:space="0" w:color="auto"/>
                      </w:divBdr>
                      <w:divsChild>
                        <w:div w:id="1209223974">
                          <w:marLeft w:val="0"/>
                          <w:marRight w:val="0"/>
                          <w:marTop w:val="0"/>
                          <w:marBottom w:val="0"/>
                          <w:divBdr>
                            <w:top w:val="none" w:sz="0" w:space="0" w:color="auto"/>
                            <w:left w:val="none" w:sz="0" w:space="0" w:color="auto"/>
                            <w:bottom w:val="none" w:sz="0" w:space="0" w:color="auto"/>
                            <w:right w:val="none" w:sz="0" w:space="0" w:color="auto"/>
                          </w:divBdr>
                          <w:divsChild>
                            <w:div w:id="1671985042">
                              <w:marLeft w:val="0"/>
                              <w:marRight w:val="0"/>
                              <w:marTop w:val="0"/>
                              <w:marBottom w:val="0"/>
                              <w:divBdr>
                                <w:top w:val="none" w:sz="0" w:space="0" w:color="auto"/>
                                <w:left w:val="none" w:sz="0" w:space="0" w:color="auto"/>
                                <w:bottom w:val="none" w:sz="0" w:space="0" w:color="auto"/>
                                <w:right w:val="none" w:sz="0" w:space="0" w:color="auto"/>
                              </w:divBdr>
                              <w:divsChild>
                                <w:div w:id="488519186">
                                  <w:marLeft w:val="0"/>
                                  <w:marRight w:val="0"/>
                                  <w:marTop w:val="0"/>
                                  <w:marBottom w:val="0"/>
                                  <w:divBdr>
                                    <w:top w:val="none" w:sz="0" w:space="0" w:color="auto"/>
                                    <w:left w:val="none" w:sz="0" w:space="0" w:color="auto"/>
                                    <w:bottom w:val="none" w:sz="0" w:space="0" w:color="auto"/>
                                    <w:right w:val="none" w:sz="0" w:space="0" w:color="auto"/>
                                  </w:divBdr>
                                  <w:divsChild>
                                    <w:div w:id="1161386718">
                                      <w:marLeft w:val="0"/>
                                      <w:marRight w:val="0"/>
                                      <w:marTop w:val="0"/>
                                      <w:marBottom w:val="0"/>
                                      <w:divBdr>
                                        <w:top w:val="none" w:sz="0" w:space="0" w:color="auto"/>
                                        <w:left w:val="none" w:sz="0" w:space="0" w:color="auto"/>
                                        <w:bottom w:val="none" w:sz="0" w:space="0" w:color="auto"/>
                                        <w:right w:val="none" w:sz="0" w:space="0" w:color="auto"/>
                                      </w:divBdr>
                                      <w:divsChild>
                                        <w:div w:id="333925136">
                                          <w:marLeft w:val="0"/>
                                          <w:marRight w:val="0"/>
                                          <w:marTop w:val="0"/>
                                          <w:marBottom w:val="0"/>
                                          <w:divBdr>
                                            <w:top w:val="none" w:sz="0" w:space="0" w:color="auto"/>
                                            <w:left w:val="none" w:sz="0" w:space="0" w:color="auto"/>
                                            <w:bottom w:val="none" w:sz="0" w:space="0" w:color="auto"/>
                                            <w:right w:val="none" w:sz="0" w:space="0" w:color="auto"/>
                                          </w:divBdr>
                                          <w:divsChild>
                                            <w:div w:id="1444225241">
                                              <w:marLeft w:val="0"/>
                                              <w:marRight w:val="0"/>
                                              <w:marTop w:val="0"/>
                                              <w:marBottom w:val="0"/>
                                              <w:divBdr>
                                                <w:top w:val="none" w:sz="0" w:space="0" w:color="auto"/>
                                                <w:left w:val="none" w:sz="0" w:space="0" w:color="auto"/>
                                                <w:bottom w:val="none" w:sz="0" w:space="0" w:color="auto"/>
                                                <w:right w:val="none" w:sz="0" w:space="0" w:color="auto"/>
                                              </w:divBdr>
                                              <w:divsChild>
                                                <w:div w:id="1257440909">
                                                  <w:marLeft w:val="0"/>
                                                  <w:marRight w:val="0"/>
                                                  <w:marTop w:val="0"/>
                                                  <w:marBottom w:val="0"/>
                                                  <w:divBdr>
                                                    <w:top w:val="none" w:sz="0" w:space="0" w:color="auto"/>
                                                    <w:left w:val="none" w:sz="0" w:space="0" w:color="auto"/>
                                                    <w:bottom w:val="none" w:sz="0" w:space="0" w:color="auto"/>
                                                    <w:right w:val="none" w:sz="0" w:space="0" w:color="auto"/>
                                                  </w:divBdr>
                                                  <w:divsChild>
                                                    <w:div w:id="1000935674">
                                                      <w:marLeft w:val="0"/>
                                                      <w:marRight w:val="0"/>
                                                      <w:marTop w:val="0"/>
                                                      <w:marBottom w:val="0"/>
                                                      <w:divBdr>
                                                        <w:top w:val="none" w:sz="0" w:space="0" w:color="auto"/>
                                                        <w:left w:val="none" w:sz="0" w:space="0" w:color="auto"/>
                                                        <w:bottom w:val="none" w:sz="0" w:space="0" w:color="auto"/>
                                                        <w:right w:val="none" w:sz="0" w:space="0" w:color="auto"/>
                                                      </w:divBdr>
                                                      <w:divsChild>
                                                        <w:div w:id="35351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340137">
                                              <w:marLeft w:val="0"/>
                                              <w:marRight w:val="0"/>
                                              <w:marTop w:val="0"/>
                                              <w:marBottom w:val="0"/>
                                              <w:divBdr>
                                                <w:top w:val="none" w:sz="0" w:space="0" w:color="auto"/>
                                                <w:left w:val="none" w:sz="0" w:space="0" w:color="auto"/>
                                                <w:bottom w:val="none" w:sz="0" w:space="0" w:color="auto"/>
                                                <w:right w:val="none" w:sz="0" w:space="0" w:color="auto"/>
                                              </w:divBdr>
                                              <w:divsChild>
                                                <w:div w:id="349989559">
                                                  <w:marLeft w:val="0"/>
                                                  <w:marRight w:val="0"/>
                                                  <w:marTop w:val="0"/>
                                                  <w:marBottom w:val="0"/>
                                                  <w:divBdr>
                                                    <w:top w:val="none" w:sz="0" w:space="0" w:color="auto"/>
                                                    <w:left w:val="none" w:sz="0" w:space="0" w:color="auto"/>
                                                    <w:bottom w:val="none" w:sz="0" w:space="0" w:color="auto"/>
                                                    <w:right w:val="none" w:sz="0" w:space="0" w:color="auto"/>
                                                  </w:divBdr>
                                                  <w:divsChild>
                                                    <w:div w:id="181288931">
                                                      <w:marLeft w:val="0"/>
                                                      <w:marRight w:val="0"/>
                                                      <w:marTop w:val="0"/>
                                                      <w:marBottom w:val="0"/>
                                                      <w:divBdr>
                                                        <w:top w:val="none" w:sz="0" w:space="0" w:color="auto"/>
                                                        <w:left w:val="none" w:sz="0" w:space="0" w:color="auto"/>
                                                        <w:bottom w:val="none" w:sz="0" w:space="0" w:color="auto"/>
                                                        <w:right w:val="none" w:sz="0" w:space="0" w:color="auto"/>
                                                      </w:divBdr>
                                                      <w:divsChild>
                                                        <w:div w:id="82747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32310662">
          <w:marLeft w:val="0"/>
          <w:marRight w:val="0"/>
          <w:marTop w:val="0"/>
          <w:marBottom w:val="0"/>
          <w:divBdr>
            <w:top w:val="none" w:sz="0" w:space="0" w:color="auto"/>
            <w:left w:val="none" w:sz="0" w:space="0" w:color="auto"/>
            <w:bottom w:val="none" w:sz="0" w:space="0" w:color="auto"/>
            <w:right w:val="none" w:sz="0" w:space="0" w:color="auto"/>
          </w:divBdr>
          <w:divsChild>
            <w:div w:id="1154637431">
              <w:marLeft w:val="0"/>
              <w:marRight w:val="0"/>
              <w:marTop w:val="0"/>
              <w:marBottom w:val="0"/>
              <w:divBdr>
                <w:top w:val="none" w:sz="0" w:space="0" w:color="auto"/>
                <w:left w:val="none" w:sz="0" w:space="0" w:color="auto"/>
                <w:bottom w:val="none" w:sz="0" w:space="0" w:color="auto"/>
                <w:right w:val="none" w:sz="0" w:space="0" w:color="auto"/>
              </w:divBdr>
              <w:divsChild>
                <w:div w:id="697777449">
                  <w:marLeft w:val="0"/>
                  <w:marRight w:val="0"/>
                  <w:marTop w:val="0"/>
                  <w:marBottom w:val="0"/>
                  <w:divBdr>
                    <w:top w:val="none" w:sz="0" w:space="0" w:color="auto"/>
                    <w:left w:val="none" w:sz="0" w:space="0" w:color="auto"/>
                    <w:bottom w:val="none" w:sz="0" w:space="0" w:color="auto"/>
                    <w:right w:val="none" w:sz="0" w:space="0" w:color="auto"/>
                  </w:divBdr>
                  <w:divsChild>
                    <w:div w:id="2117627459">
                      <w:marLeft w:val="0"/>
                      <w:marRight w:val="0"/>
                      <w:marTop w:val="0"/>
                      <w:marBottom w:val="0"/>
                      <w:divBdr>
                        <w:top w:val="none" w:sz="0" w:space="0" w:color="auto"/>
                        <w:left w:val="none" w:sz="0" w:space="0" w:color="auto"/>
                        <w:bottom w:val="none" w:sz="0" w:space="0" w:color="auto"/>
                        <w:right w:val="none" w:sz="0" w:space="0" w:color="auto"/>
                      </w:divBdr>
                      <w:divsChild>
                        <w:div w:id="708066265">
                          <w:marLeft w:val="0"/>
                          <w:marRight w:val="0"/>
                          <w:marTop w:val="0"/>
                          <w:marBottom w:val="0"/>
                          <w:divBdr>
                            <w:top w:val="none" w:sz="0" w:space="0" w:color="auto"/>
                            <w:left w:val="none" w:sz="0" w:space="0" w:color="auto"/>
                            <w:bottom w:val="none" w:sz="0" w:space="0" w:color="auto"/>
                            <w:right w:val="none" w:sz="0" w:space="0" w:color="auto"/>
                          </w:divBdr>
                          <w:divsChild>
                            <w:div w:id="850486260">
                              <w:marLeft w:val="0"/>
                              <w:marRight w:val="0"/>
                              <w:marTop w:val="0"/>
                              <w:marBottom w:val="0"/>
                              <w:divBdr>
                                <w:top w:val="none" w:sz="0" w:space="0" w:color="auto"/>
                                <w:left w:val="none" w:sz="0" w:space="0" w:color="auto"/>
                                <w:bottom w:val="none" w:sz="0" w:space="0" w:color="auto"/>
                                <w:right w:val="none" w:sz="0" w:space="0" w:color="auto"/>
                              </w:divBdr>
                              <w:divsChild>
                                <w:div w:id="201988853">
                                  <w:marLeft w:val="0"/>
                                  <w:marRight w:val="0"/>
                                  <w:marTop w:val="0"/>
                                  <w:marBottom w:val="0"/>
                                  <w:divBdr>
                                    <w:top w:val="none" w:sz="0" w:space="0" w:color="auto"/>
                                    <w:left w:val="none" w:sz="0" w:space="0" w:color="auto"/>
                                    <w:bottom w:val="none" w:sz="0" w:space="0" w:color="auto"/>
                                    <w:right w:val="none" w:sz="0" w:space="0" w:color="auto"/>
                                  </w:divBdr>
                                  <w:divsChild>
                                    <w:div w:id="1589117355">
                                      <w:marLeft w:val="0"/>
                                      <w:marRight w:val="0"/>
                                      <w:marTop w:val="0"/>
                                      <w:marBottom w:val="0"/>
                                      <w:divBdr>
                                        <w:top w:val="none" w:sz="0" w:space="0" w:color="auto"/>
                                        <w:left w:val="none" w:sz="0" w:space="0" w:color="auto"/>
                                        <w:bottom w:val="none" w:sz="0" w:space="0" w:color="auto"/>
                                        <w:right w:val="none" w:sz="0" w:space="0" w:color="auto"/>
                                      </w:divBdr>
                                      <w:divsChild>
                                        <w:div w:id="1961063591">
                                          <w:marLeft w:val="0"/>
                                          <w:marRight w:val="0"/>
                                          <w:marTop w:val="0"/>
                                          <w:marBottom w:val="0"/>
                                          <w:divBdr>
                                            <w:top w:val="none" w:sz="0" w:space="0" w:color="auto"/>
                                            <w:left w:val="none" w:sz="0" w:space="0" w:color="auto"/>
                                            <w:bottom w:val="none" w:sz="0" w:space="0" w:color="auto"/>
                                            <w:right w:val="none" w:sz="0" w:space="0" w:color="auto"/>
                                          </w:divBdr>
                                          <w:divsChild>
                                            <w:div w:id="75904809">
                                              <w:marLeft w:val="0"/>
                                              <w:marRight w:val="0"/>
                                              <w:marTop w:val="0"/>
                                              <w:marBottom w:val="0"/>
                                              <w:divBdr>
                                                <w:top w:val="none" w:sz="0" w:space="0" w:color="auto"/>
                                                <w:left w:val="none" w:sz="0" w:space="0" w:color="auto"/>
                                                <w:bottom w:val="none" w:sz="0" w:space="0" w:color="auto"/>
                                                <w:right w:val="none" w:sz="0" w:space="0" w:color="auto"/>
                                              </w:divBdr>
                                              <w:divsChild>
                                                <w:div w:id="1412658808">
                                                  <w:marLeft w:val="0"/>
                                                  <w:marRight w:val="0"/>
                                                  <w:marTop w:val="0"/>
                                                  <w:marBottom w:val="0"/>
                                                  <w:divBdr>
                                                    <w:top w:val="none" w:sz="0" w:space="0" w:color="auto"/>
                                                    <w:left w:val="none" w:sz="0" w:space="0" w:color="auto"/>
                                                    <w:bottom w:val="none" w:sz="0" w:space="0" w:color="auto"/>
                                                    <w:right w:val="none" w:sz="0" w:space="0" w:color="auto"/>
                                                  </w:divBdr>
                                                  <w:divsChild>
                                                    <w:div w:id="164057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958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5733372">
                  <w:marLeft w:val="0"/>
                  <w:marRight w:val="0"/>
                  <w:marTop w:val="0"/>
                  <w:marBottom w:val="0"/>
                  <w:divBdr>
                    <w:top w:val="none" w:sz="0" w:space="0" w:color="auto"/>
                    <w:left w:val="none" w:sz="0" w:space="0" w:color="auto"/>
                    <w:bottom w:val="none" w:sz="0" w:space="0" w:color="auto"/>
                    <w:right w:val="none" w:sz="0" w:space="0" w:color="auto"/>
                  </w:divBdr>
                  <w:divsChild>
                    <w:div w:id="1047291375">
                      <w:marLeft w:val="0"/>
                      <w:marRight w:val="0"/>
                      <w:marTop w:val="0"/>
                      <w:marBottom w:val="0"/>
                      <w:divBdr>
                        <w:top w:val="none" w:sz="0" w:space="0" w:color="auto"/>
                        <w:left w:val="none" w:sz="0" w:space="0" w:color="auto"/>
                        <w:bottom w:val="none" w:sz="0" w:space="0" w:color="auto"/>
                        <w:right w:val="none" w:sz="0" w:space="0" w:color="auto"/>
                      </w:divBdr>
                      <w:divsChild>
                        <w:div w:id="198523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hiva.org/wp-content/uploads/2024/10/Update-for-disemmination-STI-confidentiality-Final-100915.pdf" TargetMode="External"/><Relationship Id="rId5" Type="http://schemas.openxmlformats.org/officeDocument/2006/relationships/styles" Target="styles.xml"/><Relationship Id="rId10" Type="http://schemas.openxmlformats.org/officeDocument/2006/relationships/hyperlink" Target="http://webarchive.nationalarchives.gov.uk/20130107105354/http:/www.dh.gov.uk/prod_consum_dh/groups/dh_digitalassets/@dh/@en/documents/digitalasset/dh_4102889.pdf" TargetMode="External"/><Relationship Id="rId4" Type="http://schemas.openxmlformats.org/officeDocument/2006/relationships/numbering" Target="numbering.xml"/><Relationship Id="rId9" Type="http://schemas.openxmlformats.org/officeDocument/2006/relationships/hyperlink" Target="http://www.legislation.gov.uk/ukpga/Geo5/7-8/21/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795bbee-07b4-4e79-98d8-0419d9871ca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7" ma:contentTypeDescription="Create a new document." ma:contentTypeScope="" ma:versionID="fedb3c7ad4e3c3917f8a9c83c636bbc9">
  <xsd:schema xmlns:xsd="http://www.w3.org/2001/XMLSchema" xmlns:xs="http://www.w3.org/2001/XMLSchema" xmlns:p="http://schemas.microsoft.com/office/2006/metadata/properties" xmlns:ns3="2795bbee-07b4-4e79-98d8-0419d9871cad" xmlns:ns4="258d5018-feb4-45ec-8043-ac7152467c64" targetNamespace="http://schemas.microsoft.com/office/2006/metadata/properties" ma:root="true" ma:fieldsID="a3a3f6d4a640cb638fc6ce0401bb41ab" ns3:_="" ns4:_="">
    <xsd:import namespace="2795bbee-07b4-4e79-98d8-0419d9871cad"/>
    <xsd:import namespace="258d5018-feb4-45ec-8043-ac7152467c6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_activity" minOccurs="0"/>
                <xsd:element ref="ns3:MediaServiceObjectDetectorVersions"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DD6A048-C9E4-48E3-8CF5-7F329D72CB64}">
  <ds:schemaRefs>
    <ds:schemaRef ds:uri="2795bbee-07b4-4e79-98d8-0419d9871cad"/>
    <ds:schemaRef ds:uri="http://purl.org/dc/dcmitype/"/>
    <ds:schemaRef ds:uri="http://www.w3.org/XML/1998/namespace"/>
    <ds:schemaRef ds:uri="http://purl.org/dc/terms/"/>
    <ds:schemaRef ds:uri="258d5018-feb4-45ec-8043-ac7152467c64"/>
    <ds:schemaRef ds:uri="http://schemas.openxmlformats.org/package/2006/metadata/core-properties"/>
    <ds:schemaRef ds:uri="http://schemas.microsoft.com/office/2006/documentManagement/types"/>
    <ds:schemaRef ds:uri="http://schemas.microsoft.com/office/2006/metadata/properties"/>
    <ds:schemaRef ds:uri="http://schemas.microsoft.com/office/infopath/2007/PartnerControls"/>
    <ds:schemaRef ds:uri="http://purl.org/dc/elements/1.1/"/>
  </ds:schemaRefs>
</ds:datastoreItem>
</file>

<file path=customXml/itemProps2.xml><?xml version="1.0" encoding="utf-8"?>
<ds:datastoreItem xmlns:ds="http://schemas.openxmlformats.org/officeDocument/2006/customXml" ds:itemID="{0CCE318C-ED5B-4203-916B-C76EB4D529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95bbee-07b4-4e79-98d8-0419d9871cad"/>
    <ds:schemaRef ds:uri="258d5018-feb4-45ec-8043-ac7152467c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8C443B-77CB-4C84-B7CF-898F0F68829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340</TotalTime>
  <Pages>4</Pages>
  <Words>1181</Words>
  <Characters>6732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7898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Williams (Swansea Bay UHB - Integrated Sexual Health)</dc:creator>
  <cp:keywords/>
  <dc:description/>
  <cp:lastModifiedBy>Carly Williams (Swansea Bay UHB - Integrated Sexual Health)</cp:lastModifiedBy>
  <cp:revision>30</cp:revision>
  <dcterms:created xsi:type="dcterms:W3CDTF">2025-01-15T14:53:00Z</dcterms:created>
  <dcterms:modified xsi:type="dcterms:W3CDTF">2025-01-23T14:37:00Z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