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center"/>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Hotel Handbook for Intercultural Competence</w:t>
      </w:r>
    </w:p>
    <w:p>
      <w:pPr>
        <w:spacing w:before="0" w:after="160" w:line="360"/>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Assignment 1</w:t>
      </w:r>
    </w:p>
    <w:p>
      <w:pPr>
        <w:spacing w:before="0" w:after="160" w:line="360"/>
        <w:ind w:right="0" w:left="0" w:firstLine="0"/>
        <w:jc w:val="center"/>
        <w:rPr>
          <w:rFonts w:ascii="Arial" w:hAnsi="Arial" w:cs="Arial" w:eastAsia="Arial"/>
          <w:b/>
          <w:color w:val="auto"/>
          <w:spacing w:val="0"/>
          <w:position w:val="0"/>
          <w:sz w:val="36"/>
          <w:shd w:fill="auto" w:val="clear"/>
        </w:rPr>
      </w:pPr>
    </w:p>
    <w:p>
      <w:pPr>
        <w:spacing w:before="0" w:after="160" w:line="360"/>
        <w:ind w:right="0" w:left="0" w:firstLine="0"/>
        <w:jc w:val="center"/>
        <w:rPr>
          <w:rFonts w:ascii="Arial" w:hAnsi="Arial" w:cs="Arial" w:eastAsia="Arial"/>
          <w:b/>
          <w:color w:val="auto"/>
          <w:spacing w:val="0"/>
          <w:position w:val="0"/>
          <w:sz w:val="36"/>
          <w:shd w:fill="auto" w:val="clear"/>
        </w:rPr>
      </w:pPr>
    </w:p>
    <w:p>
      <w:pPr>
        <w:spacing w:before="0" w:after="16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Student ID: 2023040</w:t>
      </w:r>
    </w:p>
    <w:p>
      <w:pPr>
        <w:spacing w:before="0" w:after="16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Student name : Ramona Maria Bucur</w:t>
      </w:r>
    </w:p>
    <w:p>
      <w:pPr>
        <w:spacing w:before="0" w:after="16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 title : Cultural Awareness ( BMIH 5003 )</w:t>
      </w:r>
    </w:p>
    <w:p>
      <w:pPr>
        <w:spacing w:before="0" w:after="16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Lecturer s name : Rodrigo Aquilera</w:t>
      </w:r>
    </w:p>
    <w:p>
      <w:pPr>
        <w:spacing w:before="0" w:after="160" w:line="259"/>
        <w:ind w:right="0" w:left="0" w:firstLine="0"/>
        <w:jc w:val="left"/>
        <w:rPr>
          <w:rFonts w:ascii="Arial" w:hAnsi="Arial" w:cs="Arial" w:eastAsia="Arial"/>
          <w:b/>
          <w:color w:val="auto"/>
          <w:spacing w:val="0"/>
          <w:position w:val="0"/>
          <w:sz w:val="32"/>
          <w:shd w:fill="auto" w:val="clear"/>
        </w:rPr>
      </w:pPr>
    </w:p>
    <w:p>
      <w:pPr>
        <w:spacing w:before="0" w:after="160" w:line="259"/>
        <w:ind w:right="0" w:left="0" w:firstLine="0"/>
        <w:jc w:val="left"/>
        <w:rPr>
          <w:rFonts w:ascii="Arial" w:hAnsi="Arial" w:cs="Arial" w:eastAsia="Arial"/>
          <w:b/>
          <w:color w:val="auto"/>
          <w:spacing w:val="0"/>
          <w:position w:val="0"/>
          <w:sz w:val="32"/>
          <w:shd w:fill="auto" w:val="clear"/>
        </w:rPr>
      </w:pPr>
    </w:p>
    <w:p>
      <w:pPr>
        <w:spacing w:before="0" w:after="160" w:line="259"/>
        <w:ind w:right="0" w:left="0" w:firstLine="0"/>
        <w:jc w:val="left"/>
        <w:rPr>
          <w:rFonts w:ascii="Arial" w:hAnsi="Arial" w:cs="Arial" w:eastAsia="Arial"/>
          <w:b/>
          <w:color w:val="auto"/>
          <w:spacing w:val="0"/>
          <w:position w:val="0"/>
          <w:sz w:val="32"/>
          <w:shd w:fill="auto" w:val="clear"/>
        </w:rPr>
      </w:pPr>
    </w:p>
    <w:p>
      <w:pPr>
        <w:spacing w:before="0" w:after="160" w:line="259"/>
        <w:ind w:right="0" w:left="0" w:firstLine="0"/>
        <w:jc w:val="left"/>
        <w:rPr>
          <w:rFonts w:ascii="Arial" w:hAnsi="Arial" w:cs="Arial" w:eastAsia="Arial"/>
          <w:b/>
          <w:color w:val="auto"/>
          <w:spacing w:val="0"/>
          <w:position w:val="0"/>
          <w:sz w:val="32"/>
          <w:shd w:fill="auto" w:val="clear"/>
        </w:rPr>
      </w:pPr>
    </w:p>
    <w:p>
      <w:pPr>
        <w:spacing w:before="0" w:after="160" w:line="259"/>
        <w:ind w:right="0" w:left="0" w:firstLine="0"/>
        <w:jc w:val="left"/>
        <w:rPr>
          <w:rFonts w:ascii="Arial" w:hAnsi="Arial" w:cs="Arial" w:eastAsia="Arial"/>
          <w:b/>
          <w:color w:val="auto"/>
          <w:spacing w:val="0"/>
          <w:position w:val="0"/>
          <w:sz w:val="32"/>
          <w:shd w:fill="auto" w:val="clear"/>
        </w:rPr>
      </w:pPr>
    </w:p>
    <w:p>
      <w:pPr>
        <w:spacing w:before="0" w:after="160" w:line="259"/>
        <w:ind w:right="0" w:left="0" w:firstLine="0"/>
        <w:jc w:val="left"/>
        <w:rPr>
          <w:rFonts w:ascii="Arial" w:hAnsi="Arial" w:cs="Arial" w:eastAsia="Arial"/>
          <w:b/>
          <w:color w:val="auto"/>
          <w:spacing w:val="0"/>
          <w:position w:val="0"/>
          <w:sz w:val="32"/>
          <w:shd w:fill="auto" w:val="clear"/>
        </w:rPr>
      </w:pPr>
    </w:p>
    <w:p>
      <w:pPr>
        <w:spacing w:before="0" w:after="160" w:line="259"/>
        <w:ind w:right="0" w:left="0" w:firstLine="0"/>
        <w:jc w:val="left"/>
        <w:rPr>
          <w:rFonts w:ascii="Arial" w:hAnsi="Arial" w:cs="Arial" w:eastAsia="Arial"/>
          <w:b/>
          <w:color w:val="auto"/>
          <w:spacing w:val="0"/>
          <w:position w:val="0"/>
          <w:sz w:val="32"/>
          <w:shd w:fill="auto" w:val="clear"/>
        </w:rPr>
      </w:pPr>
    </w:p>
    <w:p>
      <w:pPr>
        <w:spacing w:before="0" w:after="160" w:line="259"/>
        <w:ind w:right="0" w:left="0" w:firstLine="0"/>
        <w:jc w:val="lef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Executive Summary</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4"/>
          <w:shd w:fill="auto" w:val="clear"/>
        </w:rPr>
        <w:t xml:space="preserve">This report is based on the topic of cultural awareness and intercultural differences as well as how these differences can impact business between people from these cultures. In this study, the cultural differences between retaining and Japan will be studied to understand how a British hotel employee should treat a Japanese guest by minding the cultural differences and their potential preferences. For this reason, two different cultural frameworks by Edward T. Hall and Geert Hofstede will be used which differentiate the cultures based on many dimensions. Then based on the understanding of these differences, some guidelines will be provided for the hotel staff as well as some Do's and Don'ts regarding managing foreign guests. Lastly, some recommendations will also be provided for the hotel handbook in this report. </w:t>
      </w: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tabs>
          <w:tab w:val="left" w:pos="6480" w:leader="none"/>
        </w:tabs>
        <w:spacing w:before="240" w:after="0" w:line="360"/>
        <w:ind w:right="0" w:left="0" w:firstLine="0"/>
        <w:jc w:val="both"/>
        <w:rPr>
          <w:rFonts w:ascii="Arial" w:hAnsi="Arial" w:cs="Arial" w:eastAsia="Arial"/>
          <w:b/>
          <w:color w:val="auto"/>
          <w:spacing w:val="0"/>
          <w:position w:val="0"/>
          <w:sz w:val="32"/>
          <w:shd w:fill="auto" w:val="clear"/>
        </w:rPr>
      </w:pPr>
    </w:p>
    <w:p>
      <w:pPr>
        <w:keepNext w:val="true"/>
        <w:keepLines w:val="true"/>
        <w:tabs>
          <w:tab w:val="left" w:pos="6480" w:leader="none"/>
        </w:tabs>
        <w:spacing w:before="240" w:after="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Introduction</w:t>
        <w:tab/>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study will be focused on constructing an employee handbook for ensuring the appropriate planning, service and management of the international guests in a hotel. The guests will be from Japan and to manage them best, the differences between the culture of Britain and Japan will be identified at first using Edward T. Hall’s cultural framework (Moran, 2018). Then several guidelines will be provided for the hotel employees to manage the Japanese guests effectively with high satisfaction. Lastly, some do’s and don’ts will be provided for those employees while dealing with the Japanese guests that must be maintained throughout their stay.</w:t>
      </w:r>
    </w:p>
    <w:p>
      <w:pPr>
        <w:keepNext w:val="true"/>
        <w:keepLines w:val="true"/>
        <w:spacing w:before="240" w:after="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Assessing the cultural differences between Britain and Japan using Hall’s cultural framework</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understand how to manage an international guest, it is important to realise the differences between their culture and the employee’s own culture (Jandt, 2016). For this reason, Hall’s cultural framework will be implemented which differentiates between cultures based on the context, time and space dimensions.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Japan belongs to the high-context culture where there are many unwritten rules and nonverbal clues throughout the conversations, making the communication indirect (Cardon, 2018). But the British can be considered low-context who are pretty direct with their words and there are no indirect clues in a conversation (Kittler, Rygl and Mackinnon, 2021).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case of time culture, Britain is monochromic, which means the people finish one job before doing another and there is strict punctuality that is maintained, even though Japan is also monochromic, they can be polychromic too based on the party they are dealing with (Brislin and Kim, 2020).</w:t>
      </w:r>
    </w:p>
    <w:p>
      <w:pPr>
        <w:tabs>
          <w:tab w:val="left" w:pos="3225" w:leader="none"/>
        </w:tabs>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Lastly, The Japanese have low territoriality and despite being private people, prefer to work together in open spaces. But the British have high territoriality and they need personal space to work or have as their own, also having a high sense of ownership (Birdwhistell, 2019). </w:t>
        <w:tab/>
      </w:r>
    </w:p>
    <w:p>
      <w:pPr>
        <w:keepNext w:val="true"/>
        <w:keepLines w:val="true"/>
        <w:spacing w:before="240" w:after="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Assessing the cultural differences using Hofstede’s cultural dimensions</w:t>
      </w:r>
    </w:p>
    <w:tbl>
      <w:tblPr/>
      <w:tblGrid>
        <w:gridCol w:w="1750"/>
        <w:gridCol w:w="2504"/>
        <w:gridCol w:w="2409"/>
        <w:gridCol w:w="3544"/>
      </w:tblGrid>
      <w:tr>
        <w:trPr>
          <w:trHeight w:val="1" w:hRule="atLeast"/>
          <w:jc w:val="left"/>
        </w:trPr>
        <w:tc>
          <w:tcPr>
            <w:tcW w:w="1750" w:type="dxa"/>
            <w:tcBorders>
              <w:top w:val="single" w:color="dbdbdb" w:sz="4"/>
              <w:left w:val="single" w:color="dbdbdb" w:sz="4"/>
              <w:bottom w:val="single" w:color="dbdbdb" w:sz="4"/>
              <w:right w:val="single" w:color="dbdbdb" w:sz="4"/>
            </w:tcBorders>
            <w:shd w:color="auto" w:fill="323e4f" w:val="clear"/>
            <w:tcMar>
              <w:left w:w="108" w:type="dxa"/>
              <w:right w:w="108" w:type="dxa"/>
            </w:tcMar>
            <w:vAlign w:val="top"/>
          </w:tcPr>
          <w:p>
            <w:pPr>
              <w:spacing w:before="0" w:after="0" w:line="276"/>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Dimensions of culture</w:t>
            </w:r>
          </w:p>
        </w:tc>
        <w:tc>
          <w:tcPr>
            <w:tcW w:w="2504" w:type="dxa"/>
            <w:tcBorders>
              <w:top w:val="single" w:color="dbdbdb" w:sz="4"/>
              <w:left w:val="single" w:color="dbdbdb" w:sz="4"/>
              <w:bottom w:val="single" w:color="dbdbdb" w:sz="4"/>
              <w:right w:val="single" w:color="dbdbdb" w:sz="4"/>
            </w:tcBorders>
            <w:shd w:color="auto" w:fill="323e4f" w:val="clear"/>
            <w:tcMar>
              <w:left w:w="108" w:type="dxa"/>
              <w:right w:w="108" w:type="dxa"/>
            </w:tcMar>
            <w:vAlign w:val="top"/>
          </w:tcPr>
          <w:p>
            <w:pPr>
              <w:spacing w:before="0" w:after="0" w:line="276"/>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The UK</w:t>
            </w:r>
          </w:p>
        </w:tc>
        <w:tc>
          <w:tcPr>
            <w:tcW w:w="2409" w:type="dxa"/>
            <w:tcBorders>
              <w:top w:val="single" w:color="dbdbdb" w:sz="4"/>
              <w:left w:val="single" w:color="dbdbdb" w:sz="4"/>
              <w:bottom w:val="single" w:color="dbdbdb" w:sz="4"/>
              <w:right w:val="single" w:color="dbdbdb" w:sz="4"/>
            </w:tcBorders>
            <w:shd w:color="auto" w:fill="323e4f" w:val="clear"/>
            <w:tcMar>
              <w:left w:w="108" w:type="dxa"/>
              <w:right w:w="108" w:type="dxa"/>
            </w:tcMar>
            <w:vAlign w:val="top"/>
          </w:tcPr>
          <w:p>
            <w:pPr>
              <w:spacing w:before="0" w:after="0" w:line="276"/>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Japan</w:t>
            </w:r>
          </w:p>
        </w:tc>
        <w:tc>
          <w:tcPr>
            <w:tcW w:w="3544" w:type="dxa"/>
            <w:tcBorders>
              <w:top w:val="single" w:color="dbdbdb" w:sz="4"/>
              <w:left w:val="single" w:color="dbdbdb" w:sz="4"/>
              <w:bottom w:val="single" w:color="dbdbdb" w:sz="4"/>
              <w:right w:val="single" w:color="dbdbdb" w:sz="4"/>
            </w:tcBorders>
            <w:shd w:color="auto" w:fill="323e4f" w:val="clear"/>
            <w:tcMar>
              <w:left w:w="108" w:type="dxa"/>
              <w:right w:w="108" w:type="dxa"/>
            </w:tcMar>
            <w:vAlign w:val="top"/>
          </w:tcPr>
          <w:p>
            <w:pPr>
              <w:spacing w:before="0" w:after="0" w:line="276"/>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Implication</w:t>
            </w:r>
          </w:p>
        </w:tc>
      </w:tr>
      <w:tr>
        <w:trPr>
          <w:trHeight w:val="1" w:hRule="atLeast"/>
          <w:jc w:val="left"/>
        </w:trPr>
        <w:tc>
          <w:tcPr>
            <w:tcW w:w="1750" w:type="dxa"/>
            <w:tcBorders>
              <w:top w:val="single" w:color="dbdbdb" w:sz="4"/>
              <w:left w:val="single" w:color="dbdbdb" w:sz="4"/>
              <w:bottom w:val="single" w:color="dbdbdb" w:sz="4"/>
              <w:right w:val="single" w:color="dbdbdb" w:sz="4"/>
            </w:tcBorders>
            <w:shd w:color="auto" w:fill="8496b0"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Individualism v/s collectivism</w:t>
            </w:r>
          </w:p>
        </w:tc>
        <w:tc>
          <w:tcPr>
            <w:tcW w:w="2504" w:type="dxa"/>
            <w:tcBorders>
              <w:top w:val="single" w:color="dbdbdb" w:sz="4"/>
              <w:left w:val="single" w:color="dbdbdb" w:sz="4"/>
              <w:bottom w:val="single" w:color="dbdbdb" w:sz="4"/>
              <w:right w:val="single" w:color="dbdbdb" w:sz="4"/>
            </w:tcBorders>
            <w:shd w:color="auto" w:fill="auto"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The UK has a high score of 89 on this dimension, indicating its high individualistic culture. It means that people tend to focus more on themselves and are more self-dependent (Wenxin and Yue, 2022).</w:t>
            </w:r>
          </w:p>
        </w:tc>
        <w:tc>
          <w:tcPr>
            <w:tcW w:w="2409" w:type="dxa"/>
            <w:tcBorders>
              <w:top w:val="single" w:color="dbdbdb" w:sz="4"/>
              <w:left w:val="single" w:color="dbdbdb" w:sz="4"/>
              <w:bottom w:val="single" w:color="dbdbdb" w:sz="4"/>
              <w:right w:val="single" w:color="dbdbdb" w:sz="4"/>
            </w:tcBorders>
            <w:shd w:color="auto" w:fill="auto"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Japan on the other hand scores 46, which means it is a collectivist culture. The people here tend to focus on collective development, harmony and cooperation.</w:t>
            </w:r>
          </w:p>
        </w:tc>
        <w:tc>
          <w:tcPr>
            <w:tcW w:w="3544" w:type="dxa"/>
            <w:tcBorders>
              <w:top w:val="single" w:color="dbdbdb" w:sz="4"/>
              <w:left w:val="single" w:color="dbdbdb" w:sz="4"/>
              <w:bottom w:val="single" w:color="dbdbdb" w:sz="4"/>
              <w:right w:val="single" w:color="dbdbdb" w:sz="4"/>
            </w:tcBorders>
            <w:shd w:color="auto" w:fill="8496b0"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This difference shows how the British employees should keep in mind that Japanese guests would prefer company instead of being isolated, also constantly checking up on their needs might be appreciated.</w:t>
            </w:r>
          </w:p>
        </w:tc>
      </w:tr>
      <w:tr>
        <w:trPr>
          <w:trHeight w:val="1" w:hRule="atLeast"/>
          <w:jc w:val="left"/>
        </w:trPr>
        <w:tc>
          <w:tcPr>
            <w:tcW w:w="1750" w:type="dxa"/>
            <w:tcBorders>
              <w:top w:val="single" w:color="dbdbdb" w:sz="4"/>
              <w:left w:val="single" w:color="dbdbdb" w:sz="4"/>
              <w:bottom w:val="single" w:color="dbdbdb" w:sz="4"/>
              <w:right w:val="single" w:color="dbdbdb" w:sz="4"/>
            </w:tcBorders>
            <w:shd w:color="auto" w:fill="8496b0"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Uncertainty avoidance index</w:t>
            </w:r>
          </w:p>
        </w:tc>
        <w:tc>
          <w:tcPr>
            <w:tcW w:w="2504" w:type="dxa"/>
            <w:tcBorders>
              <w:top w:val="single" w:color="dbdbdb" w:sz="4"/>
              <w:left w:val="single" w:color="dbdbdb" w:sz="4"/>
              <w:bottom w:val="single" w:color="dbdbdb" w:sz="4"/>
              <w:right w:val="single" w:color="dbdbdb" w:sz="4"/>
            </w:tcBorders>
            <w:shd w:color="auto" w:fill="auto"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The UK has a very low score of 35 in this dimension, meaning they embrace and promote some uncertainty, as well as see this as a potential opportunity for growth. </w:t>
            </w:r>
          </w:p>
        </w:tc>
        <w:tc>
          <w:tcPr>
            <w:tcW w:w="2409" w:type="dxa"/>
            <w:tcBorders>
              <w:top w:val="single" w:color="dbdbdb" w:sz="4"/>
              <w:left w:val="single" w:color="dbdbdb" w:sz="4"/>
              <w:bottom w:val="single" w:color="dbdbdb" w:sz="4"/>
              <w:right w:val="single" w:color="dbdbdb" w:sz="4"/>
            </w:tcBorders>
            <w:shd w:color="auto" w:fill="auto"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Japan has a very high score hereof 92, which means they try to avoid and prevent as much uncertainty as possible (Yeh, 2020).</w:t>
            </w:r>
          </w:p>
        </w:tc>
        <w:tc>
          <w:tcPr>
            <w:tcW w:w="3544" w:type="dxa"/>
            <w:tcBorders>
              <w:top w:val="single" w:color="dbdbdb" w:sz="4"/>
              <w:left w:val="single" w:color="dbdbdb" w:sz="4"/>
              <w:bottom w:val="single" w:color="dbdbdb" w:sz="4"/>
              <w:right w:val="single" w:color="dbdbdb" w:sz="4"/>
            </w:tcBorders>
            <w:shd w:color="auto" w:fill="8496b0"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It indicates that the services offers and every other thing provided for the Japanese guests must be planned in advance and executed appropriately. For example, a British guest might appreciate a special menu due to not having the ordered item available for the day, but a Japanese guest might find it uncomfortable and see it as a lack of cultural appropriation. </w:t>
            </w:r>
          </w:p>
        </w:tc>
      </w:tr>
      <w:tr>
        <w:trPr>
          <w:trHeight w:val="1" w:hRule="atLeast"/>
          <w:jc w:val="left"/>
        </w:trPr>
        <w:tc>
          <w:tcPr>
            <w:tcW w:w="1750" w:type="dxa"/>
            <w:tcBorders>
              <w:top w:val="single" w:color="dbdbdb" w:sz="4"/>
              <w:left w:val="single" w:color="dbdbdb" w:sz="4"/>
              <w:bottom w:val="single" w:color="dbdbdb" w:sz="4"/>
              <w:right w:val="single" w:color="dbdbdb" w:sz="4"/>
            </w:tcBorders>
            <w:shd w:color="auto" w:fill="8496b0"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Indulgence v/s restraint</w:t>
            </w:r>
          </w:p>
        </w:tc>
        <w:tc>
          <w:tcPr>
            <w:tcW w:w="2504" w:type="dxa"/>
            <w:tcBorders>
              <w:top w:val="single" w:color="dbdbdb" w:sz="4"/>
              <w:left w:val="single" w:color="dbdbdb" w:sz="4"/>
              <w:bottom w:val="single" w:color="dbdbdb" w:sz="4"/>
              <w:right w:val="single" w:color="dbdbdb" w:sz="4"/>
            </w:tcBorders>
            <w:shd w:color="auto" w:fill="auto"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The UK has an indulgent culture with a score of 69, meaning the people are more optimistic, enjoy their leisure and find spending time and money on entertainment options gratifying and fulfilling. </w:t>
            </w:r>
          </w:p>
        </w:tc>
        <w:tc>
          <w:tcPr>
            <w:tcW w:w="2409" w:type="dxa"/>
            <w:tcBorders>
              <w:top w:val="single" w:color="dbdbdb" w:sz="4"/>
              <w:left w:val="single" w:color="dbdbdb" w:sz="4"/>
              <w:bottom w:val="single" w:color="dbdbdb" w:sz="4"/>
              <w:right w:val="single" w:color="dbdbdb" w:sz="4"/>
            </w:tcBorders>
            <w:shd w:color="auto" w:fill="auto"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Japan has a restraint culture with a score of 42, which means that the people are more pessimistic in nature and hold back from enjoying leisure activities. </w:t>
            </w:r>
          </w:p>
        </w:tc>
        <w:tc>
          <w:tcPr>
            <w:tcW w:w="3544" w:type="dxa"/>
            <w:tcBorders>
              <w:top w:val="single" w:color="dbdbdb" w:sz="4"/>
              <w:left w:val="single" w:color="dbdbdb" w:sz="4"/>
              <w:bottom w:val="single" w:color="dbdbdb" w:sz="4"/>
              <w:right w:val="single" w:color="dbdbdb" w:sz="4"/>
            </w:tcBorders>
            <w:shd w:color="auto" w:fill="8496b0" w:val="clear"/>
            <w:tcMar>
              <w:left w:w="108" w:type="dxa"/>
              <w:right w:w="108" w:type="dxa"/>
            </w:tcMar>
            <w:vAlign w:val="top"/>
          </w:tcPr>
          <w:p>
            <w:pPr>
              <w:spacing w:before="0" w:after="0" w:line="276"/>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This difference indicates that a Japanese guest might not appreciate the tourism or leisure packages the hotel has to offer much. So the employees must not insist on trying out any package, only asking once and then letting it be if they politely decline the first time. </w:t>
            </w:r>
          </w:p>
        </w:tc>
      </w:tr>
    </w:tbl>
    <w:p>
      <w:pPr>
        <w:spacing w:before="0" w:after="160" w:line="276"/>
        <w:ind w:right="0" w:left="0" w:firstLine="0"/>
        <w:jc w:val="both"/>
        <w:rPr>
          <w:rFonts w:ascii="Arial" w:hAnsi="Arial" w:cs="Arial" w:eastAsia="Arial"/>
          <w:color w:val="auto"/>
          <w:spacing w:val="0"/>
          <w:position w:val="0"/>
          <w:sz w:val="24"/>
          <w:shd w:fill="auto" w:val="clear"/>
        </w:rPr>
      </w:pPr>
    </w:p>
    <w:p>
      <w:pPr>
        <w:tabs>
          <w:tab w:val="left" w:pos="3225" w:leader="none"/>
        </w:tabs>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Guidelines for the Hotel employees to prepare and manage a Japanese guest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Some of the guidelines for the employees to manage the Japanese guest effectively are:</w:t>
      </w:r>
    </w:p>
    <w:p>
      <w:pPr>
        <w:numPr>
          <w:ilvl w:val="0"/>
          <w:numId w:val="26"/>
        </w:numPr>
        <w:spacing w:before="0" w:after="160" w:line="360"/>
        <w:ind w:right="0" w:left="720" w:hanging="36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Be Friendly to the guest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British are known to be more stiff and impersonal compared to the Japanese, so even if the Japanese are private people, they highly appreciate a warm welcome and friendly conversation, which must be kept in mind by the employees (Rylance, 2020). </w:t>
      </w:r>
    </w:p>
    <w:p>
      <w:pPr>
        <w:numPr>
          <w:ilvl w:val="0"/>
          <w:numId w:val="28"/>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Look out for the body language and nonverbal clues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Japanese have a high context culture and they depend a lot on gestures, postures as well as nonverbal clues to communicate with others (</w:t>
      </w:r>
      <w:r>
        <w:rPr>
          <w:rFonts w:ascii="Arial" w:hAnsi="Arial" w:cs="Arial" w:eastAsia="Arial"/>
          <w:color w:val="auto"/>
          <w:spacing w:val="0"/>
          <w:position w:val="0"/>
          <w:sz w:val="24"/>
          <w:shd w:fill="FFFFFF" w:val="clear"/>
        </w:rPr>
        <w:t xml:space="preserve">Pryor, Butler and Boehringer, 2021</w:t>
      </w:r>
      <w:r>
        <w:rPr>
          <w:rFonts w:ascii="Arial" w:hAnsi="Arial" w:cs="Arial" w:eastAsia="Arial"/>
          <w:color w:val="222222"/>
          <w:spacing w:val="0"/>
          <w:position w:val="0"/>
          <w:sz w:val="24"/>
          <w:shd w:fill="FFFFFF" w:val="clear"/>
        </w:rPr>
        <w:t xml:space="preserve">)</w:t>
      </w:r>
      <w:r>
        <w:rPr>
          <w:rFonts w:ascii="Arial" w:hAnsi="Arial" w:cs="Arial" w:eastAsia="Arial"/>
          <w:color w:val="auto"/>
          <w:spacing w:val="0"/>
          <w:position w:val="0"/>
          <w:sz w:val="24"/>
          <w:shd w:fill="auto" w:val="clear"/>
        </w:rPr>
        <w:t xml:space="preserve">. The employees must keep special care to pay attention to their body language to understand if they are uncomfortable with anything and ask those questions regarding it. </w:t>
      </w:r>
    </w:p>
    <w:p>
      <w:pPr>
        <w:numPr>
          <w:ilvl w:val="0"/>
          <w:numId w:val="30"/>
        </w:numPr>
        <w:spacing w:before="0" w:after="160" w:line="360"/>
        <w:ind w:right="0" w:left="720" w:hanging="36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Write down the specific details and preferences of the guest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Japanese have high attention to detail and they also express their specific preferences only if asked, even though they remain unsatisfied with the offered services at times (Turpin, 2020). So the employees must write down any such details if expressed and utilise those for future service offerings, gaining more customer satisfaction.</w:t>
      </w:r>
    </w:p>
    <w:p>
      <w:pPr>
        <w:numPr>
          <w:ilvl w:val="0"/>
          <w:numId w:val="32"/>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Ask for their diet preferences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there are differences in food habits based on the culture and country of individuals, the employees need to make sure they are not offering anything that the Japanese will not appreciate (Egusa, 2021). The regular food offered at the hotel will be the same for the Japanese guests, but they should be asked for any additional services they might need. </w:t>
      </w:r>
    </w:p>
    <w:p>
      <w:pPr>
        <w:numPr>
          <w:ilvl w:val="0"/>
          <w:numId w:val="34"/>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Mind the wording and length of speech</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the Japanese are known for being very shy, polite and private; the employees must keep in mind that even if the guests will appreciate a warm conversation, too much directness and lengthy conversations can cause them discomfort (Kita and Ide, 2019). They will not show dissatisfaction or answer rudely out of politeness but it will register as unprofessionalism and a lack of cultural awareness by the Japanese guests.</w:t>
      </w:r>
    </w:p>
    <w:p>
      <w:pPr>
        <w:keepNext w:val="true"/>
        <w:keepLines w:val="true"/>
        <w:spacing w:before="240" w:after="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Do’s and Don’ts for the hotel staff </w:t>
      </w:r>
    </w:p>
    <w:tbl>
      <w:tblPr/>
      <w:tblGrid>
        <w:gridCol w:w="4939"/>
        <w:gridCol w:w="5126"/>
      </w:tblGrid>
      <w:tr>
        <w:trPr>
          <w:trHeight w:val="1" w:hRule="atLeast"/>
          <w:jc w:val="left"/>
        </w:trPr>
        <w:tc>
          <w:tcPr>
            <w:tcW w:w="4939" w:type="dxa"/>
            <w:tcBorders>
              <w:top w:val="single" w:color="000000" w:sz="0"/>
              <w:left w:val="single" w:color="000000" w:sz="0"/>
              <w:bottom w:val="single" w:color="000000" w:sz="0"/>
              <w:right w:val="single" w:color="000000" w:sz="4"/>
            </w:tcBorders>
            <w:shd w:color="auto" w:fill="a8d08d" w:val="clear"/>
            <w:tcMar>
              <w:left w:w="108" w:type="dxa"/>
              <w:right w:w="108" w:type="dxa"/>
            </w:tcMar>
            <w:vAlign w:val="top"/>
          </w:tcPr>
          <w:p>
            <w:pPr>
              <w:spacing w:before="0" w:after="0" w:line="36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Do’s</w:t>
            </w:r>
          </w:p>
        </w:tc>
        <w:tc>
          <w:tcPr>
            <w:tcW w:w="5126" w:type="dxa"/>
            <w:tcBorders>
              <w:top w:val="single" w:color="000000" w:sz="0"/>
              <w:left w:val="single" w:color="000000" w:sz="4"/>
              <w:bottom w:val="single" w:color="000000" w:sz="0"/>
              <w:right w:val="single" w:color="000000" w:sz="0"/>
            </w:tcBorders>
            <w:shd w:color="auto" w:fill="a8d08d" w:val="clear"/>
            <w:tcMar>
              <w:left w:w="108" w:type="dxa"/>
              <w:right w:w="108" w:type="dxa"/>
            </w:tcMar>
            <w:vAlign w:val="top"/>
          </w:tcPr>
          <w:p>
            <w:pPr>
              <w:spacing w:before="0" w:after="0" w:line="36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Don’ts</w:t>
            </w:r>
          </w:p>
        </w:tc>
      </w:tr>
      <w:tr>
        <w:trPr>
          <w:trHeight w:val="1" w:hRule="atLeast"/>
          <w:jc w:val="left"/>
        </w:trPr>
        <w:tc>
          <w:tcPr>
            <w:tcW w:w="4939" w:type="dxa"/>
            <w:tcBorders>
              <w:top w:val="single" w:color="000000" w:sz="4"/>
              <w:left w:val="single" w:color="000000" w:sz="4"/>
              <w:bottom w:val="single" w:color="000000" w:sz="4"/>
              <w:right w:val="single" w:color="000000" w:sz="4"/>
            </w:tcBorders>
            <w:shd w:color="auto" w:fill="c5e0b3" w:val="clear"/>
            <w:tcMar>
              <w:left w:w="108" w:type="dxa"/>
              <w:right w:w="108" w:type="dxa"/>
            </w:tcMar>
            <w:vAlign w:val="top"/>
          </w:tcPr>
          <w:p>
            <w:pPr>
              <w:numPr>
                <w:ilvl w:val="0"/>
                <w:numId w:val="41"/>
              </w:numPr>
              <w:spacing w:before="0" w:after="0" w:line="36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Give attention to their needs and preferences in detail, as there are many clues to pick up and understand how to serve them best</w:t>
            </w:r>
          </w:p>
        </w:tc>
        <w:tc>
          <w:tcPr>
            <w:tcW w:w="5126" w:type="dxa"/>
            <w:tcBorders>
              <w:top w:val="single" w:color="000000" w:sz="4"/>
              <w:left w:val="single" w:color="000000" w:sz="4"/>
              <w:bottom w:val="single" w:color="000000" w:sz="4"/>
              <w:right w:val="single" w:color="000000" w:sz="4"/>
            </w:tcBorders>
            <w:shd w:color="auto" w:fill="c5e0b3" w:val="clear"/>
            <w:tcMar>
              <w:left w:w="108" w:type="dxa"/>
              <w:right w:w="108" w:type="dxa"/>
            </w:tcMar>
            <w:vAlign w:val="top"/>
          </w:tcPr>
          <w:p>
            <w:pPr>
              <w:numPr>
                <w:ilvl w:val="0"/>
                <w:numId w:val="41"/>
              </w:numPr>
              <w:spacing w:before="0" w:after="0" w:line="36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Do not be on your cell phone while expected to serve or manage a foreign guest as it is considered impolite</w:t>
            </w:r>
          </w:p>
        </w:tc>
      </w:tr>
      <w:tr>
        <w:trPr>
          <w:trHeight w:val="1" w:hRule="atLeast"/>
          <w:jc w:val="left"/>
        </w:trPr>
        <w:tc>
          <w:tcPr>
            <w:tcW w:w="4939" w:type="dxa"/>
            <w:tcBorders>
              <w:top w:val="single" w:color="000000" w:sz="4"/>
              <w:left w:val="single" w:color="000000" w:sz="4"/>
              <w:bottom w:val="single" w:color="000000" w:sz="4"/>
              <w:right w:val="single" w:color="000000" w:sz="4"/>
            </w:tcBorders>
            <w:shd w:color="auto" w:fill="e2efd9" w:val="clear"/>
            <w:tcMar>
              <w:left w:w="108" w:type="dxa"/>
              <w:right w:w="108" w:type="dxa"/>
            </w:tcMar>
            <w:vAlign w:val="top"/>
          </w:tcPr>
          <w:p>
            <w:pPr>
              <w:numPr>
                <w:ilvl w:val="0"/>
                <w:numId w:val="41"/>
              </w:numPr>
              <w:spacing w:before="0" w:after="0" w:line="36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Ask questions explicitly to confirm if he/she is content with the offered service and offer any improvements if needed</w:t>
            </w:r>
          </w:p>
        </w:tc>
        <w:tc>
          <w:tcPr>
            <w:tcW w:w="5126" w:type="dxa"/>
            <w:tcBorders>
              <w:top w:val="single" w:color="000000" w:sz="4"/>
              <w:left w:val="single" w:color="000000" w:sz="4"/>
              <w:bottom w:val="single" w:color="000000" w:sz="4"/>
              <w:right w:val="single" w:color="000000" w:sz="4"/>
            </w:tcBorders>
            <w:shd w:color="auto" w:fill="e2efd9" w:val="clear"/>
            <w:tcMar>
              <w:left w:w="108" w:type="dxa"/>
              <w:right w:w="108" w:type="dxa"/>
            </w:tcMar>
            <w:vAlign w:val="top"/>
          </w:tcPr>
          <w:p>
            <w:pPr>
              <w:numPr>
                <w:ilvl w:val="0"/>
                <w:numId w:val="41"/>
              </w:numPr>
              <w:spacing w:before="0" w:after="0" w:line="36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Do not touch their personal belongings without permission, not even to clean those in their absence for room service</w:t>
            </w:r>
          </w:p>
        </w:tc>
      </w:tr>
      <w:tr>
        <w:trPr>
          <w:trHeight w:val="1" w:hRule="atLeast"/>
          <w:jc w:val="left"/>
        </w:trPr>
        <w:tc>
          <w:tcPr>
            <w:tcW w:w="4939" w:type="dxa"/>
            <w:tcBorders>
              <w:top w:val="single" w:color="000000" w:sz="4"/>
              <w:left w:val="single" w:color="000000" w:sz="4"/>
              <w:bottom w:val="single" w:color="000000" w:sz="4"/>
              <w:right w:val="single" w:color="000000" w:sz="4"/>
            </w:tcBorders>
            <w:shd w:color="auto" w:fill="c5e0b3" w:val="clear"/>
            <w:tcMar>
              <w:left w:w="108" w:type="dxa"/>
              <w:right w:w="108" w:type="dxa"/>
            </w:tcMar>
            <w:vAlign w:val="top"/>
          </w:tcPr>
          <w:p>
            <w:pPr>
              <w:numPr>
                <w:ilvl w:val="0"/>
                <w:numId w:val="41"/>
              </w:numPr>
              <w:spacing w:before="0" w:after="0" w:line="36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Offer services such as housekeeping and food arrangements on time but offer flexibility over the time if they ask for such</w:t>
            </w:r>
          </w:p>
        </w:tc>
        <w:tc>
          <w:tcPr>
            <w:tcW w:w="5126" w:type="dxa"/>
            <w:tcBorders>
              <w:top w:val="single" w:color="000000" w:sz="4"/>
              <w:left w:val="single" w:color="000000" w:sz="4"/>
              <w:bottom w:val="single" w:color="000000" w:sz="4"/>
              <w:right w:val="single" w:color="000000" w:sz="4"/>
            </w:tcBorders>
            <w:shd w:color="auto" w:fill="c5e0b3" w:val="clear"/>
            <w:tcMar>
              <w:left w:w="108" w:type="dxa"/>
              <w:right w:w="108" w:type="dxa"/>
            </w:tcMar>
            <w:vAlign w:val="top"/>
          </w:tcPr>
          <w:p>
            <w:pPr>
              <w:numPr>
                <w:ilvl w:val="0"/>
                <w:numId w:val="41"/>
              </w:numPr>
              <w:spacing w:before="0" w:after="0" w:line="36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Do not ask personal questions even though holding polite conversation will be appreciated</w:t>
            </w:r>
          </w:p>
        </w:tc>
      </w:tr>
      <w:tr>
        <w:trPr>
          <w:trHeight w:val="1" w:hRule="atLeast"/>
          <w:jc w:val="left"/>
        </w:trPr>
        <w:tc>
          <w:tcPr>
            <w:tcW w:w="4939" w:type="dxa"/>
            <w:tcBorders>
              <w:top w:val="single" w:color="000000" w:sz="4"/>
              <w:left w:val="single" w:color="000000" w:sz="4"/>
              <w:bottom w:val="single" w:color="000000" w:sz="4"/>
              <w:right w:val="single" w:color="000000" w:sz="4"/>
            </w:tcBorders>
            <w:shd w:color="auto" w:fill="e2efd9" w:val="clear"/>
            <w:tcMar>
              <w:left w:w="108" w:type="dxa"/>
              <w:right w:w="108" w:type="dxa"/>
            </w:tcMar>
            <w:vAlign w:val="top"/>
          </w:tcPr>
          <w:p>
            <w:pPr>
              <w:numPr>
                <w:ilvl w:val="0"/>
                <w:numId w:val="41"/>
              </w:numPr>
              <w:spacing w:before="0" w:after="0" w:line="36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Always be ready for front-office calls if they need anything and ask for time politely to answer their queries after collecting the necessary information </w:t>
            </w:r>
          </w:p>
        </w:tc>
        <w:tc>
          <w:tcPr>
            <w:tcW w:w="5126" w:type="dxa"/>
            <w:tcBorders>
              <w:top w:val="single" w:color="000000" w:sz="4"/>
              <w:left w:val="single" w:color="000000" w:sz="4"/>
              <w:bottom w:val="single" w:color="000000" w:sz="4"/>
              <w:right w:val="single" w:color="000000" w:sz="4"/>
            </w:tcBorders>
            <w:shd w:color="auto" w:fill="e2efd9" w:val="clear"/>
            <w:tcMar>
              <w:left w:w="108" w:type="dxa"/>
              <w:right w:w="108" w:type="dxa"/>
            </w:tcMar>
            <w:vAlign w:val="top"/>
          </w:tcPr>
          <w:p>
            <w:pPr>
              <w:numPr>
                <w:ilvl w:val="0"/>
                <w:numId w:val="41"/>
              </w:numPr>
              <w:spacing w:before="0" w:after="0" w:line="36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Do not show any kind of displeasure while conversing with them as the Japanese are very polite and sensitive </w:t>
            </w:r>
          </w:p>
        </w:tc>
      </w:tr>
      <w:tr>
        <w:trPr>
          <w:trHeight w:val="1" w:hRule="atLeast"/>
          <w:jc w:val="left"/>
        </w:trPr>
        <w:tc>
          <w:tcPr>
            <w:tcW w:w="4939" w:type="dxa"/>
            <w:tcBorders>
              <w:top w:val="single" w:color="000000" w:sz="4"/>
              <w:left w:val="single" w:color="000000" w:sz="4"/>
              <w:bottom w:val="single" w:color="000000" w:sz="4"/>
              <w:right w:val="single" w:color="000000" w:sz="4"/>
            </w:tcBorders>
            <w:shd w:color="auto" w:fill="c5e0b3" w:val="clear"/>
            <w:tcMar>
              <w:left w:w="108" w:type="dxa"/>
              <w:right w:w="108" w:type="dxa"/>
            </w:tcMar>
            <w:vAlign w:val="top"/>
          </w:tcPr>
          <w:p>
            <w:pPr>
              <w:numPr>
                <w:ilvl w:val="0"/>
                <w:numId w:val="41"/>
              </w:numPr>
              <w:spacing w:before="0" w:after="0" w:line="36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Be patient  with them and hold a smile while waiting for their answer to any question as they tend to have a slower decision-making process</w:t>
            </w:r>
          </w:p>
        </w:tc>
        <w:tc>
          <w:tcPr>
            <w:tcW w:w="5126" w:type="dxa"/>
            <w:tcBorders>
              <w:top w:val="single" w:color="000000" w:sz="4"/>
              <w:left w:val="single" w:color="000000" w:sz="4"/>
              <w:bottom w:val="single" w:color="000000" w:sz="4"/>
              <w:right w:val="single" w:color="000000" w:sz="4"/>
            </w:tcBorders>
            <w:shd w:color="auto" w:fill="c5e0b3" w:val="clear"/>
            <w:tcMar>
              <w:left w:w="108" w:type="dxa"/>
              <w:right w:w="108" w:type="dxa"/>
            </w:tcMar>
            <w:vAlign w:val="top"/>
          </w:tcPr>
          <w:p>
            <w:pPr>
              <w:numPr>
                <w:ilvl w:val="0"/>
                <w:numId w:val="41"/>
              </w:numPr>
              <w:spacing w:before="0" w:after="0" w:line="36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Do not be too formal and stiff in the conversation with them as they will find it unflattering</w:t>
            </w:r>
          </w:p>
        </w:tc>
      </w:tr>
    </w:tbl>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Recommendations</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Some of the recommendations for the hotel staff will be provided below:</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Directly asking for the needs and preferences of the Japanese guests, as well as conducting follow-ups on if they are satisfied with the service they are being provided with during their stay.</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Not indulging in too much conversation to the point of it becoming invasive, as Japanese are very polite and cannot bluntly interrupt many conversations. But at the same time they appreciate hospitality so indulging them in some pleasant conversations will be appreciated.</w:t>
      </w:r>
    </w:p>
    <w:p>
      <w:pPr>
        <w:spacing w:before="0" w:after="160" w:line="360"/>
        <w:ind w:right="0" w:left="0" w:firstLine="0"/>
        <w:jc w:val="both"/>
        <w:rPr>
          <w:rFonts w:ascii="Arial" w:hAnsi="Arial" w:cs="Arial" w:eastAsia="Arial"/>
          <w:b/>
          <w:color w:val="000000"/>
          <w:spacing w:val="0"/>
          <w:position w:val="0"/>
          <w:sz w:val="32"/>
          <w:shd w:fill="auto" w:val="clear"/>
        </w:rPr>
      </w:pPr>
      <w:r>
        <w:rPr>
          <w:rFonts w:ascii="Arial" w:hAnsi="Arial" w:cs="Arial" w:eastAsia="Arial"/>
          <w:color w:val="000000"/>
          <w:spacing w:val="0"/>
          <w:position w:val="0"/>
          <w:sz w:val="24"/>
          <w:shd w:fill="auto" w:val="clear"/>
        </w:rPr>
        <w:t xml:space="preserve">Offering them some specially made Japanese cuisine might be appreciated by the guests, also letting them know of authentic Japanese restaurants to enjoy while on a long-term stay will also be taken positively. </w:t>
      </w:r>
      <w:r>
        <w:rPr>
          <w:rFonts w:ascii="Arial" w:hAnsi="Arial" w:cs="Arial" w:eastAsia="Arial"/>
          <w:b/>
          <w:color w:val="000000"/>
          <w:spacing w:val="0"/>
          <w:position w:val="0"/>
          <w:sz w:val="32"/>
          <w:shd w:fill="auto" w:val="clear"/>
        </w:rPr>
        <w:t xml:space="preserve"> </w:t>
      </w:r>
    </w:p>
    <w:p>
      <w:pPr>
        <w:spacing w:before="0" w:after="160" w:line="360"/>
        <w:ind w:right="0" w:left="0" w:firstLine="0"/>
        <w:jc w:val="both"/>
        <w:rPr>
          <w:rFonts w:ascii="Arial" w:hAnsi="Arial" w:cs="Arial" w:eastAsia="Arial"/>
          <w:b/>
          <w:color w:val="auto"/>
          <w:spacing w:val="0"/>
          <w:position w:val="0"/>
          <w:sz w:val="32"/>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study has shown how one culture can differ so highly from another and also how these differences affect the interaction of people from different cultures. The cultural framework has shown the differences between Britain and Japan from several aspects and this knowledge has helped in understanding how to better manage the foreign Japanese guests in a British hotel. The guidelines will help employees navigate the general aspects of service with an awareness of the specific needs of the Japanese guests. Lastly, the do's and don'ts will be helpful for quick decision making and understanding of how to deal with certain situations.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b/>
          <w:color w:val="auto"/>
          <w:spacing w:val="0"/>
          <w:position w:val="0"/>
          <w:sz w:val="32"/>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References</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Birdwhistell, R.L., Bock, B., Bohannan, P., Diebold Jr, A.R., Durbin, M., Edmonson, M.S., Fischer, J.L., Hymes, D., Kimball, S.T. and La Barre, W. (2019). Proxemics [and comments and replies]. </w:t>
      </w:r>
      <w:r>
        <w:rPr>
          <w:rFonts w:ascii="Arial" w:hAnsi="Arial" w:cs="Arial" w:eastAsia="Arial"/>
          <w:i/>
          <w:color w:val="auto"/>
          <w:spacing w:val="0"/>
          <w:position w:val="0"/>
          <w:sz w:val="24"/>
          <w:shd w:fill="FFFFFF" w:val="clear"/>
        </w:rPr>
        <w:t xml:space="preserve">Current anthropology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9</w:t>
      </w:r>
      <w:r>
        <w:rPr>
          <w:rFonts w:ascii="Arial" w:hAnsi="Arial" w:cs="Arial" w:eastAsia="Arial"/>
          <w:color w:val="auto"/>
          <w:spacing w:val="0"/>
          <w:position w:val="0"/>
          <w:sz w:val="24"/>
          <w:shd w:fill="FFFFFF" w:val="clear"/>
        </w:rPr>
        <w:t xml:space="preserve">(2/3), pp.83-108.</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Brislin, R.W. and Kim, E.S. (2020). Cultural diversity in people's understanding and uses of time. </w:t>
      </w:r>
      <w:r>
        <w:rPr>
          <w:rFonts w:ascii="Arial" w:hAnsi="Arial" w:cs="Arial" w:eastAsia="Arial"/>
          <w:i/>
          <w:color w:val="auto"/>
          <w:spacing w:val="0"/>
          <w:position w:val="0"/>
          <w:sz w:val="24"/>
          <w:shd w:fill="FFFFFF" w:val="clear"/>
        </w:rPr>
        <w:t xml:space="preserve">Applied Psychology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52</w:t>
      </w:r>
      <w:r>
        <w:rPr>
          <w:rFonts w:ascii="Arial" w:hAnsi="Arial" w:cs="Arial" w:eastAsia="Arial"/>
          <w:color w:val="auto"/>
          <w:spacing w:val="0"/>
          <w:position w:val="0"/>
          <w:sz w:val="24"/>
          <w:shd w:fill="FFFFFF" w:val="clear"/>
        </w:rPr>
        <w:t xml:space="preserve">(3), pp.363-382.</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Cardon, P.W. (2018). A critique of Hall's contexting model: A meta-analysis of literature on intercultural business and technical communication. </w:t>
      </w:r>
      <w:r>
        <w:rPr>
          <w:rFonts w:ascii="Arial" w:hAnsi="Arial" w:cs="Arial" w:eastAsia="Arial"/>
          <w:i/>
          <w:color w:val="auto"/>
          <w:spacing w:val="0"/>
          <w:position w:val="0"/>
          <w:sz w:val="24"/>
          <w:shd w:fill="FFFFFF" w:val="clear"/>
        </w:rPr>
        <w:t xml:space="preserve">Journal of Business and Technical Communication</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22</w:t>
      </w:r>
      <w:r>
        <w:rPr>
          <w:rFonts w:ascii="Arial" w:hAnsi="Arial" w:cs="Arial" w:eastAsia="Arial"/>
          <w:color w:val="auto"/>
          <w:spacing w:val="0"/>
          <w:position w:val="0"/>
          <w:sz w:val="24"/>
          <w:shd w:fill="FFFFFF" w:val="clear"/>
        </w:rPr>
        <w:t xml:space="preserve">(4), pp.399-428.</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Egusa, G., Murakami, F., Ito, C., Matsumoto, Y., Kado, S., Okamura, M., Mori, H., Yamane, K., Hara, H. and Yamakido, M. (2021). Westernized food habits and concentrations of serum lipids in the Japanese. </w:t>
      </w:r>
      <w:r>
        <w:rPr>
          <w:rFonts w:ascii="Arial" w:hAnsi="Arial" w:cs="Arial" w:eastAsia="Arial"/>
          <w:i/>
          <w:color w:val="auto"/>
          <w:spacing w:val="0"/>
          <w:position w:val="0"/>
          <w:sz w:val="24"/>
          <w:shd w:fill="FFFFFF" w:val="clear"/>
        </w:rPr>
        <w:t xml:space="preserve">Atherosclerosis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100</w:t>
      </w:r>
      <w:r>
        <w:rPr>
          <w:rFonts w:ascii="Arial" w:hAnsi="Arial" w:cs="Arial" w:eastAsia="Arial"/>
          <w:color w:val="auto"/>
          <w:spacing w:val="0"/>
          <w:position w:val="0"/>
          <w:sz w:val="24"/>
          <w:shd w:fill="FFFFFF" w:val="clear"/>
        </w:rPr>
        <w:t xml:space="preserve">(2), pp.249-255.</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Jandt, F (2016). </w:t>
      </w:r>
      <w:r>
        <w:rPr>
          <w:rFonts w:ascii="Arial" w:hAnsi="Arial" w:cs="Arial" w:eastAsia="Arial"/>
          <w:i/>
          <w:color w:val="auto"/>
          <w:spacing w:val="0"/>
          <w:position w:val="0"/>
          <w:sz w:val="24"/>
          <w:shd w:fill="auto" w:val="clear"/>
        </w:rPr>
        <w:t xml:space="preserve">An Introduction to Intercultural Communication</w:t>
      </w:r>
      <w:r>
        <w:rPr>
          <w:rFonts w:ascii="Arial" w:hAnsi="Arial" w:cs="Arial" w:eastAsia="Arial"/>
          <w:color w:val="auto"/>
          <w:spacing w:val="0"/>
          <w:position w:val="0"/>
          <w:sz w:val="24"/>
          <w:shd w:fill="auto" w:val="clear"/>
        </w:rPr>
        <w:t xml:space="preserve">. 8 th edition, Sage: San Bernadino</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Kita, S. and Ide, S. (2019). Nodding, aizuchi, and final particles in Japanese conversation: How conversation reflects the ideology of communication and social relationships. </w:t>
      </w:r>
      <w:r>
        <w:rPr>
          <w:rFonts w:ascii="Arial" w:hAnsi="Arial" w:cs="Arial" w:eastAsia="Arial"/>
          <w:i/>
          <w:color w:val="auto"/>
          <w:spacing w:val="0"/>
          <w:position w:val="0"/>
          <w:sz w:val="24"/>
          <w:shd w:fill="FFFFFF" w:val="clear"/>
        </w:rPr>
        <w:t xml:space="preserve">Journal of Pragmatics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39</w:t>
      </w:r>
      <w:r>
        <w:rPr>
          <w:rFonts w:ascii="Arial" w:hAnsi="Arial" w:cs="Arial" w:eastAsia="Arial"/>
          <w:color w:val="auto"/>
          <w:spacing w:val="0"/>
          <w:position w:val="0"/>
          <w:sz w:val="24"/>
          <w:shd w:fill="FFFFFF" w:val="clear"/>
        </w:rPr>
        <w:t xml:space="preserve">(7), pp.1242-1254.</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Kittler, M.G., Rygl, D. and Mackinnon, A. (2021). Special Review Article: Beyond culture or beyond control? Reviewing the use of Hall’s high-/low-context concept. </w:t>
      </w:r>
      <w:r>
        <w:rPr>
          <w:rFonts w:ascii="Arial" w:hAnsi="Arial" w:cs="Arial" w:eastAsia="Arial"/>
          <w:i/>
          <w:color w:val="auto"/>
          <w:spacing w:val="0"/>
          <w:position w:val="0"/>
          <w:sz w:val="24"/>
          <w:shd w:fill="FFFFFF" w:val="clear"/>
        </w:rPr>
        <w:t xml:space="preserve">International Journal of Cross Cultural Management</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11</w:t>
      </w:r>
      <w:r>
        <w:rPr>
          <w:rFonts w:ascii="Arial" w:hAnsi="Arial" w:cs="Arial" w:eastAsia="Arial"/>
          <w:color w:val="auto"/>
          <w:spacing w:val="0"/>
          <w:position w:val="0"/>
          <w:sz w:val="24"/>
          <w:shd w:fill="FFFFFF" w:val="clear"/>
        </w:rPr>
        <w:t xml:space="preserve">(1), pp.63-82.</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Moran, R. (2018). </w:t>
      </w:r>
      <w:r>
        <w:rPr>
          <w:rFonts w:ascii="Arial" w:hAnsi="Arial" w:cs="Arial" w:eastAsia="Arial"/>
          <w:i/>
          <w:color w:val="auto"/>
          <w:spacing w:val="0"/>
          <w:position w:val="0"/>
          <w:sz w:val="24"/>
          <w:shd w:fill="auto" w:val="clear"/>
        </w:rPr>
        <w:t xml:space="preserve">Managing Cultural Differences</w:t>
      </w:r>
      <w:r>
        <w:rPr>
          <w:rFonts w:ascii="Arial" w:hAnsi="Arial" w:cs="Arial" w:eastAsia="Arial"/>
          <w:color w:val="auto"/>
          <w:spacing w:val="0"/>
          <w:position w:val="0"/>
          <w:sz w:val="24"/>
          <w:shd w:fill="auto" w:val="clear"/>
        </w:rPr>
        <w:t xml:space="preserve">. 10th edition, Routledge: Abingdon</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Pryor, B., Butler, J. and Boehringer, K. (2021). Communication Apprehension and Cultural Context: A Comparison of Communication Apprehension in Japanese and American Students. </w:t>
      </w:r>
      <w:r>
        <w:rPr>
          <w:rFonts w:ascii="Arial" w:hAnsi="Arial" w:cs="Arial" w:eastAsia="Arial"/>
          <w:i/>
          <w:color w:val="auto"/>
          <w:spacing w:val="0"/>
          <w:position w:val="0"/>
          <w:sz w:val="24"/>
          <w:shd w:fill="FFFFFF" w:val="clear"/>
        </w:rPr>
        <w:t xml:space="preserve">North American Journal of Psychology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7</w:t>
      </w:r>
      <w:r>
        <w:rPr>
          <w:rFonts w:ascii="Arial" w:hAnsi="Arial" w:cs="Arial" w:eastAsia="Arial"/>
          <w:color w:val="auto"/>
          <w:spacing w:val="0"/>
          <w:position w:val="0"/>
          <w:sz w:val="24"/>
          <w:shd w:fill="FFFFFF" w:val="clear"/>
        </w:rPr>
        <w:t xml:space="preserve">(2), pp. 13-15.</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Rylance, R. (2020). </w:t>
      </w:r>
      <w:r>
        <w:rPr>
          <w:rFonts w:ascii="Arial" w:hAnsi="Arial" w:cs="Arial" w:eastAsia="Arial"/>
          <w:i/>
          <w:color w:val="auto"/>
          <w:spacing w:val="0"/>
          <w:position w:val="0"/>
          <w:sz w:val="24"/>
          <w:shd w:fill="FFFFFF" w:val="clear"/>
        </w:rPr>
        <w:t xml:space="preserve">Victorian psychology and British culture</w:t>
      </w:r>
      <w:r>
        <w:rPr>
          <w:rFonts w:ascii="Arial" w:hAnsi="Arial" w:cs="Arial" w:eastAsia="Arial"/>
          <w:color w:val="auto"/>
          <w:spacing w:val="0"/>
          <w:position w:val="0"/>
          <w:sz w:val="24"/>
          <w:shd w:fill="FFFFFF" w:val="clear"/>
        </w:rPr>
        <w:t xml:space="preserve"> (p. 114). Oxford: Oxford University Press.</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Tadayuki, H.A.R.A. (2020). Introduction to Hospitality Management: Exploratory Analysis of Issues which Affect Satisfaction of Hotel Employees in Japan. </w:t>
      </w:r>
      <w:r>
        <w:rPr>
          <w:rFonts w:ascii="Arial" w:hAnsi="Arial" w:cs="Arial" w:eastAsia="Arial"/>
          <w:i/>
          <w:color w:val="auto"/>
          <w:spacing w:val="0"/>
          <w:position w:val="0"/>
          <w:sz w:val="24"/>
          <w:shd w:fill="FFFFFF" w:val="clear"/>
        </w:rPr>
        <w:t xml:space="preserve">In Waseda Global Forum</w:t>
      </w:r>
      <w:r>
        <w:rPr>
          <w:rFonts w:ascii="Arial" w:hAnsi="Arial" w:cs="Arial" w:eastAsia="Arial"/>
          <w:color w:val="auto"/>
          <w:spacing w:val="0"/>
          <w:position w:val="0"/>
          <w:sz w:val="24"/>
          <w:shd w:fill="FFFFFF" w:val="clear"/>
        </w:rPr>
        <w:t xml:space="preserve"> (p. 55).</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Turpin, D.V. (2020). Japanese approaches to customer satisfaction: some best practices. </w:t>
      </w:r>
      <w:r>
        <w:rPr>
          <w:rFonts w:ascii="Arial" w:hAnsi="Arial" w:cs="Arial" w:eastAsia="Arial"/>
          <w:i/>
          <w:color w:val="auto"/>
          <w:spacing w:val="0"/>
          <w:position w:val="0"/>
          <w:sz w:val="24"/>
          <w:shd w:fill="FFFFFF" w:val="clear"/>
        </w:rPr>
        <w:t xml:space="preserve">Long Range Planning</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28</w:t>
      </w:r>
      <w:r>
        <w:rPr>
          <w:rFonts w:ascii="Arial" w:hAnsi="Arial" w:cs="Arial" w:eastAsia="Arial"/>
          <w:color w:val="auto"/>
          <w:spacing w:val="0"/>
          <w:position w:val="0"/>
          <w:sz w:val="24"/>
          <w:shd w:fill="FFFFFF" w:val="clear"/>
        </w:rPr>
        <w:t xml:space="preserve">(3), pp.8-90.</w:t>
      </w:r>
    </w:p>
    <w:p>
      <w:pPr>
        <w:spacing w:before="0" w:after="160" w:line="360"/>
        <w:ind w:right="0" w:left="0" w:firstLine="0"/>
        <w:jc w:val="both"/>
        <w:rPr>
          <w:rFonts w:ascii="Arial" w:hAnsi="Arial" w:cs="Arial" w:eastAsia="Arial"/>
          <w:color w:val="000000"/>
          <w:spacing w:val="0"/>
          <w:position w:val="0"/>
          <w:sz w:val="32"/>
          <w:shd w:fill="FFFFFF" w:val="clear"/>
        </w:rPr>
      </w:pPr>
      <w:r>
        <w:rPr>
          <w:rFonts w:ascii="Arial" w:hAnsi="Arial" w:cs="Arial" w:eastAsia="Arial"/>
          <w:color w:val="000000"/>
          <w:spacing w:val="0"/>
          <w:position w:val="0"/>
          <w:sz w:val="24"/>
          <w:shd w:fill="FFFFFF" w:val="clear"/>
        </w:rPr>
        <w:t xml:space="preserve">Wenxin, Z. and Yue, W. (2022). An Analysis on Sino-UK Cultural Differences in Education from the Perspective of Hofstede’s Cultural Dimensions Theory (A Case Study of Are Our Kids Tough Enough?). </w:t>
      </w:r>
      <w:r>
        <w:rPr>
          <w:rFonts w:ascii="Arial" w:hAnsi="Arial" w:cs="Arial" w:eastAsia="Arial"/>
          <w:i/>
          <w:color w:val="000000"/>
          <w:spacing w:val="0"/>
          <w:position w:val="0"/>
          <w:sz w:val="24"/>
          <w:shd w:fill="FFFFFF" w:val="clear"/>
        </w:rPr>
        <w:t xml:space="preserve">Journal on Education</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4</w:t>
      </w:r>
      <w:r>
        <w:rPr>
          <w:rFonts w:ascii="Arial" w:hAnsi="Arial" w:cs="Arial" w:eastAsia="Arial"/>
          <w:color w:val="000000"/>
          <w:spacing w:val="0"/>
          <w:position w:val="0"/>
          <w:sz w:val="24"/>
          <w:shd w:fill="FFFFFF" w:val="clear"/>
        </w:rPr>
        <w:t xml:space="preserve">(2), pp.373-384.</w:t>
      </w:r>
    </w:p>
    <w:p>
      <w:pPr>
        <w:spacing w:before="0" w:after="160" w:line="360"/>
        <w:ind w:right="0" w:left="0" w:firstLine="0"/>
        <w:jc w:val="both"/>
        <w:rPr>
          <w:rFonts w:ascii="Arial" w:hAnsi="Arial" w:cs="Arial" w:eastAsia="Arial"/>
          <w:color w:val="000000"/>
          <w:spacing w:val="0"/>
          <w:position w:val="0"/>
          <w:sz w:val="32"/>
          <w:shd w:fill="FFFFFF" w:val="clear"/>
        </w:rPr>
      </w:pPr>
      <w:r>
        <w:rPr>
          <w:rFonts w:ascii="Arial" w:hAnsi="Arial" w:cs="Arial" w:eastAsia="Arial"/>
          <w:color w:val="000000"/>
          <w:spacing w:val="0"/>
          <w:position w:val="0"/>
          <w:sz w:val="24"/>
          <w:shd w:fill="FFFFFF" w:val="clear"/>
        </w:rPr>
        <w:t xml:space="preserve">Yeh, R.S. (2020). On Hofstede's treatment of Chinese and Japanese values. </w:t>
      </w:r>
      <w:r>
        <w:rPr>
          <w:rFonts w:ascii="Arial" w:hAnsi="Arial" w:cs="Arial" w:eastAsia="Arial"/>
          <w:i/>
          <w:color w:val="000000"/>
          <w:spacing w:val="0"/>
          <w:position w:val="0"/>
          <w:sz w:val="24"/>
          <w:shd w:fill="FFFFFF" w:val="clear"/>
        </w:rPr>
        <w:t xml:space="preserve">Asia Pacific Journal of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6</w:t>
      </w:r>
      <w:r>
        <w:rPr>
          <w:rFonts w:ascii="Arial" w:hAnsi="Arial" w:cs="Arial" w:eastAsia="Arial"/>
          <w:color w:val="000000"/>
          <w:spacing w:val="0"/>
          <w:position w:val="0"/>
          <w:sz w:val="24"/>
          <w:shd w:fill="FFFFFF" w:val="clear"/>
        </w:rPr>
        <w:t xml:space="preserve">(1), pp.149-160.</w:t>
      </w:r>
    </w:p>
    <w:p>
      <w:pPr>
        <w:spacing w:before="0" w:after="160" w:line="360"/>
        <w:ind w:right="0" w:left="0" w:firstLine="0"/>
        <w:jc w:val="both"/>
        <w:rPr>
          <w:rFonts w:ascii="Arial" w:hAnsi="Arial" w:cs="Arial" w:eastAsia="Arial"/>
          <w:color w:val="auto"/>
          <w:spacing w:val="0"/>
          <w:position w:val="0"/>
          <w:sz w:val="24"/>
          <w:shd w:fill="FFFFFF"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num w:numId="26">
    <w:abstractNumId w:val="54"/>
  </w:num>
  <w:num w:numId="28">
    <w:abstractNumId w:val="48"/>
  </w:num>
  <w:num w:numId="30">
    <w:abstractNumId w:val="42"/>
  </w:num>
  <w:num w:numId="32">
    <w:abstractNumId w:val="36"/>
  </w:num>
  <w:num w:numId="34">
    <w:abstractNumId w:val="30"/>
  </w:num>
  <w:num w:numId="41">
    <w:abstractNumId w:val="24"/>
  </w:num>
  <w:num w:numId="44">
    <w:abstractNumId w:val="18"/>
  </w:num>
  <w:num w:numId="47">
    <w:abstractNumId w:val="12"/>
  </w:num>
  <w:num w:numId="50">
    <w:abstractNumId w:val="6"/>
  </w:num>
  <w:num w:numId="5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