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B25826" w14:textId="77777777" w:rsidR="00911652" w:rsidRDefault="00911652" w:rsidP="00911652">
      <w:pPr>
        <w:pStyle w:val="a6"/>
        <w:spacing w:before="0" w:beforeAutospacing="0" w:after="0" w:afterAutospacing="0"/>
        <w:ind w:left="-180" w:right="-334"/>
      </w:pPr>
      <w:r>
        <w:rPr>
          <w:noProof/>
          <w:lang w:val="en-US"/>
        </w:rPr>
        <w:drawing>
          <wp:inline distT="0" distB="0" distL="0" distR="0" wp14:anchorId="75DCD940" wp14:editId="3487736C">
            <wp:extent cx="1909445" cy="634365"/>
            <wp:effectExtent l="25400" t="25400" r="20955" b="26035"/>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9445" cy="634365"/>
                    </a:xfrm>
                    <a:prstGeom prst="rect">
                      <a:avLst/>
                    </a:prstGeom>
                    <a:noFill/>
                    <a:ln w="19050" cmpd="sng">
                      <a:solidFill>
                        <a:srgbClr val="000000"/>
                      </a:solidFill>
                      <a:miter lim="800000"/>
                      <a:headEnd/>
                      <a:tailEnd/>
                    </a:ln>
                    <a:effectLst/>
                  </pic:spPr>
                </pic:pic>
              </a:graphicData>
            </a:graphic>
          </wp:inline>
        </w:drawing>
      </w:r>
    </w:p>
    <w:p w14:paraId="53EC5B69" w14:textId="77777777" w:rsidR="00911652" w:rsidRDefault="00911652" w:rsidP="00911652">
      <w:pPr>
        <w:pStyle w:val="a6"/>
        <w:spacing w:before="0" w:beforeAutospacing="0" w:after="0" w:afterAutospacing="0"/>
        <w:ind w:left="-180" w:right="-334"/>
      </w:pPr>
    </w:p>
    <w:p w14:paraId="2D7B9F0E" w14:textId="77777777" w:rsidR="00911652" w:rsidRDefault="00911652" w:rsidP="00911652">
      <w:pPr>
        <w:pStyle w:val="a6"/>
        <w:spacing w:before="0" w:beforeAutospacing="0" w:after="0" w:afterAutospacing="0"/>
        <w:ind w:left="-180" w:right="-334"/>
      </w:pPr>
    </w:p>
    <w:p w14:paraId="7A91B76C" w14:textId="77777777" w:rsidR="00911652" w:rsidRDefault="00911652" w:rsidP="00911652">
      <w:pPr>
        <w:pStyle w:val="a6"/>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336942F" w14:textId="77777777" w:rsidR="00911652" w:rsidRPr="00230F35" w:rsidRDefault="00911652" w:rsidP="00911652">
      <w:pPr>
        <w:pStyle w:val="a6"/>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FDFA2EC" w14:textId="77777777" w:rsidR="00911652" w:rsidRPr="00230F35" w:rsidRDefault="00911652" w:rsidP="00911652">
      <w:pPr>
        <w:rPr>
          <w:rFonts w:ascii="Arial" w:hAnsi="Arial" w:cs="Arial"/>
          <w:sz w:val="28"/>
          <w:szCs w:val="28"/>
          <w:lang w:val="cy-GB"/>
        </w:rPr>
      </w:pPr>
    </w:p>
    <w:p w14:paraId="6179F506" w14:textId="77777777" w:rsidR="00911652" w:rsidRDefault="00911652" w:rsidP="00911652">
      <w:pPr>
        <w:pStyle w:val="3"/>
        <w:jc w:val="center"/>
        <w:rPr>
          <w:lang w:val="cy-GB"/>
        </w:rPr>
      </w:pPr>
      <w:r>
        <w:rPr>
          <w:lang w:val="cy-GB"/>
        </w:rPr>
        <w:t>THIS SHEET MUST BE THE FIRST PAGE OF THE ASSIGNMENT YOU ARE SUBMITTING  (DO NOT SEND AS A SEPARATE FILE)</w:t>
      </w:r>
    </w:p>
    <w:p w14:paraId="1EB9D75A" w14:textId="77777777" w:rsidR="00911652" w:rsidRDefault="00911652" w:rsidP="00911652">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5"/>
        <w:gridCol w:w="423"/>
        <w:gridCol w:w="1494"/>
        <w:gridCol w:w="286"/>
        <w:gridCol w:w="1788"/>
      </w:tblGrid>
      <w:tr w:rsidR="00911652" w:rsidRPr="00230F35" w14:paraId="12E00E38" w14:textId="77777777" w:rsidTr="009A3AF9">
        <w:trPr>
          <w:trHeight w:val="614"/>
        </w:trPr>
        <w:tc>
          <w:tcPr>
            <w:tcW w:w="8856" w:type="dxa"/>
            <w:gridSpan w:val="5"/>
          </w:tcPr>
          <w:p w14:paraId="5A8747F3" w14:textId="77777777" w:rsidR="00911652" w:rsidRPr="00230F35" w:rsidRDefault="00911652" w:rsidP="009A3AF9">
            <w:pPr>
              <w:pStyle w:val="a6"/>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11652" w:rsidRPr="00230F35" w14:paraId="768334C0" w14:textId="77777777" w:rsidTr="009A3AF9">
        <w:trPr>
          <w:trHeight w:val="718"/>
        </w:trPr>
        <w:tc>
          <w:tcPr>
            <w:tcW w:w="8856" w:type="dxa"/>
            <w:gridSpan w:val="5"/>
          </w:tcPr>
          <w:p w14:paraId="388E451F" w14:textId="77777777" w:rsidR="00911652" w:rsidRPr="00F37F43" w:rsidRDefault="00911652" w:rsidP="009A3AF9">
            <w:pPr>
              <w:pStyle w:val="a6"/>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hint="eastAsia"/>
                <w:sz w:val="22"/>
                <w:szCs w:val="22"/>
              </w:rPr>
              <w:t xml:space="preserve"> Dan</w:t>
            </w:r>
            <w:proofErr w:type="spellStart"/>
            <w:r>
              <w:rPr>
                <w:rFonts w:ascii="Arial" w:hAnsi="Arial" w:cs="Arial"/>
                <w:sz w:val="22"/>
                <w:szCs w:val="22"/>
                <w:lang w:val="en-US"/>
              </w:rPr>
              <w:t>iel</w:t>
            </w:r>
            <w:proofErr w:type="spellEnd"/>
            <w:r>
              <w:rPr>
                <w:rFonts w:ascii="Arial" w:hAnsi="Arial" w:cs="Arial"/>
                <w:sz w:val="22"/>
                <w:szCs w:val="22"/>
                <w:lang w:val="en-US"/>
              </w:rPr>
              <w:t xml:space="preserve"> </w:t>
            </w:r>
            <w:r>
              <w:rPr>
                <w:rFonts w:ascii="Arial" w:hAnsi="Arial" w:cs="Arial" w:hint="eastAsia"/>
                <w:sz w:val="22"/>
                <w:szCs w:val="22"/>
                <w:lang w:val="en-US"/>
              </w:rPr>
              <w:t xml:space="preserve">P </w:t>
            </w:r>
            <w:proofErr w:type="spellStart"/>
            <w:r>
              <w:rPr>
                <w:rFonts w:ascii="Arial" w:hAnsi="Arial" w:cs="Arial"/>
                <w:sz w:val="22"/>
                <w:szCs w:val="22"/>
                <w:lang w:val="en-US"/>
              </w:rPr>
              <w:t>Clutton</w:t>
            </w:r>
            <w:proofErr w:type="spellEnd"/>
          </w:p>
          <w:p w14:paraId="44FE9ABE" w14:textId="77777777" w:rsidR="00911652" w:rsidRPr="00230F35" w:rsidRDefault="00911652" w:rsidP="009A3AF9">
            <w:pPr>
              <w:pStyle w:val="a6"/>
              <w:spacing w:before="0" w:beforeAutospacing="0" w:after="0" w:afterAutospacing="0"/>
              <w:ind w:right="34"/>
              <w:rPr>
                <w:rFonts w:ascii="Arial" w:hAnsi="Arial" w:cs="Arial"/>
                <w:sz w:val="22"/>
                <w:szCs w:val="22"/>
              </w:rPr>
            </w:pPr>
          </w:p>
        </w:tc>
      </w:tr>
      <w:tr w:rsidR="00911652" w:rsidRPr="00230F35" w14:paraId="79DA49E3" w14:textId="77777777" w:rsidTr="009A3AF9">
        <w:trPr>
          <w:trHeight w:val="849"/>
        </w:trPr>
        <w:tc>
          <w:tcPr>
            <w:tcW w:w="4788" w:type="dxa"/>
          </w:tcPr>
          <w:p w14:paraId="228B9FC4" w14:textId="77777777" w:rsidR="00911652" w:rsidRPr="00225891" w:rsidRDefault="00911652" w:rsidP="009A3AF9">
            <w:pPr>
              <w:pStyle w:val="a6"/>
              <w:spacing w:before="0" w:beforeAutospacing="0" w:after="0" w:afterAutospacing="0"/>
              <w:ind w:right="34"/>
              <w:rPr>
                <w:rFonts w:ascii="Arial" w:hAnsi="Arial" w:cs="Arial"/>
                <w:sz w:val="22"/>
                <w:szCs w:val="22"/>
                <w:lang w:val="en-US"/>
              </w:rPr>
            </w:pPr>
            <w:r w:rsidRPr="00230F35">
              <w:rPr>
                <w:rFonts w:ascii="Arial" w:hAnsi="Arial" w:cs="Arial"/>
                <w:sz w:val="22"/>
                <w:szCs w:val="22"/>
              </w:rPr>
              <w:t>Module code:</w:t>
            </w:r>
            <w:r>
              <w:rPr>
                <w:rFonts w:ascii="Arial" w:hAnsi="Arial" w:cs="Arial"/>
                <w:sz w:val="22"/>
                <w:szCs w:val="22"/>
              </w:rPr>
              <w:t xml:space="preserve"> AHHI</w:t>
            </w:r>
            <w:r w:rsidRPr="00DF27E9">
              <w:rPr>
                <w:rFonts w:ascii="Arial" w:hAnsi="Arial" w:cs="Arial"/>
                <w:sz w:val="22"/>
                <w:szCs w:val="22"/>
              </w:rPr>
              <w:t>7016</w:t>
            </w:r>
          </w:p>
          <w:p w14:paraId="617CD8F9" w14:textId="77777777" w:rsidR="00911652" w:rsidRPr="00230F35" w:rsidRDefault="00911652" w:rsidP="009A3AF9">
            <w:pPr>
              <w:pStyle w:val="a6"/>
              <w:spacing w:before="0" w:beforeAutospacing="0" w:after="0" w:afterAutospacing="0"/>
              <w:ind w:right="34"/>
              <w:rPr>
                <w:rFonts w:ascii="Arial" w:hAnsi="Arial" w:cs="Arial"/>
                <w:sz w:val="22"/>
                <w:szCs w:val="22"/>
              </w:rPr>
            </w:pPr>
          </w:p>
          <w:p w14:paraId="0D9CC032" w14:textId="77777777" w:rsidR="00911652" w:rsidRPr="00DF27E9" w:rsidRDefault="00911652" w:rsidP="009A3AF9">
            <w:pPr>
              <w:pStyle w:val="a6"/>
              <w:spacing w:before="0" w:beforeAutospacing="0" w:after="0" w:afterAutospacing="0"/>
              <w:ind w:right="34"/>
              <w:rPr>
                <w:rFonts w:ascii="Arial" w:hAnsi="Arial" w:cs="Arial"/>
                <w:sz w:val="22"/>
                <w:szCs w:val="22"/>
                <w:lang w:val="en-US"/>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hint="eastAsia"/>
                <w:sz w:val="22"/>
                <w:szCs w:val="22"/>
              </w:rPr>
              <w:t>St</w:t>
            </w:r>
            <w:proofErr w:type="spellStart"/>
            <w:r>
              <w:rPr>
                <w:rFonts w:ascii="Arial" w:hAnsi="Arial" w:cs="Arial"/>
                <w:sz w:val="22"/>
                <w:szCs w:val="22"/>
                <w:lang w:val="en-US"/>
              </w:rPr>
              <w:t>udying</w:t>
            </w:r>
            <w:proofErr w:type="spellEnd"/>
            <w:r>
              <w:rPr>
                <w:rFonts w:ascii="Arial" w:hAnsi="Arial" w:cs="Arial"/>
                <w:sz w:val="22"/>
                <w:szCs w:val="22"/>
                <w:lang w:val="en-US"/>
              </w:rPr>
              <w:t xml:space="preserve"> the Medieval</w:t>
            </w:r>
          </w:p>
          <w:p w14:paraId="5185FBAE" w14:textId="77777777" w:rsidR="00911652" w:rsidRDefault="00911652" w:rsidP="009A3AF9">
            <w:pPr>
              <w:pStyle w:val="a6"/>
              <w:spacing w:before="0" w:beforeAutospacing="0" w:after="0" w:afterAutospacing="0"/>
              <w:ind w:right="34"/>
              <w:rPr>
                <w:rFonts w:ascii="Arial" w:hAnsi="Arial" w:cs="Arial"/>
                <w:sz w:val="22"/>
                <w:szCs w:val="22"/>
              </w:rPr>
            </w:pPr>
          </w:p>
          <w:p w14:paraId="1C1520EC" w14:textId="77777777" w:rsidR="00911652" w:rsidRPr="00230F35" w:rsidRDefault="00911652" w:rsidP="009A3AF9">
            <w:pPr>
              <w:pStyle w:val="a6"/>
              <w:spacing w:before="0" w:beforeAutospacing="0" w:after="0" w:afterAutospacing="0"/>
              <w:ind w:right="34"/>
              <w:rPr>
                <w:rFonts w:ascii="Arial" w:hAnsi="Arial" w:cs="Arial"/>
                <w:sz w:val="22"/>
                <w:szCs w:val="22"/>
              </w:rPr>
            </w:pPr>
          </w:p>
        </w:tc>
        <w:tc>
          <w:tcPr>
            <w:tcW w:w="2266" w:type="dxa"/>
            <w:gridSpan w:val="3"/>
          </w:tcPr>
          <w:p w14:paraId="719CC7FC" w14:textId="77777777" w:rsidR="00911652" w:rsidRDefault="00911652" w:rsidP="009A3AF9">
            <w:pPr>
              <w:pStyle w:val="a6"/>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6B10EFA" w14:textId="77777777" w:rsidR="00911652" w:rsidRPr="00230F35" w:rsidRDefault="00911652" w:rsidP="009A3AF9">
            <w:pPr>
              <w:pStyle w:val="a6"/>
              <w:spacing w:before="0" w:beforeAutospacing="0" w:after="0" w:afterAutospacing="0"/>
              <w:ind w:right="34"/>
              <w:rPr>
                <w:rFonts w:ascii="Arial" w:hAnsi="Arial" w:cs="Arial"/>
                <w:sz w:val="22"/>
                <w:szCs w:val="22"/>
              </w:rPr>
            </w:pPr>
            <w:r>
              <w:rPr>
                <w:rFonts w:ascii="Arial" w:hAnsi="Arial" w:cs="Arial"/>
                <w:sz w:val="22"/>
                <w:szCs w:val="22"/>
              </w:rPr>
              <w:t>1807567</w:t>
            </w:r>
          </w:p>
        </w:tc>
        <w:tc>
          <w:tcPr>
            <w:tcW w:w="1802" w:type="dxa"/>
          </w:tcPr>
          <w:p w14:paraId="71984D2E" w14:textId="77777777" w:rsidR="00911652" w:rsidRPr="00230F35" w:rsidRDefault="00911652" w:rsidP="009A3AF9">
            <w:pPr>
              <w:pStyle w:val="a6"/>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AD5DF09" w14:textId="77777777" w:rsidR="00911652" w:rsidRPr="00230F35" w:rsidRDefault="00911652" w:rsidP="009A3AF9">
            <w:pPr>
              <w:pStyle w:val="a6"/>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911652" w:rsidRPr="00230F35" w14:paraId="0286C3E1" w14:textId="77777777" w:rsidTr="009A3AF9">
        <w:trPr>
          <w:trHeight w:val="1139"/>
        </w:trPr>
        <w:tc>
          <w:tcPr>
            <w:tcW w:w="8856" w:type="dxa"/>
            <w:gridSpan w:val="5"/>
          </w:tcPr>
          <w:p w14:paraId="46517FC7" w14:textId="77777777" w:rsidR="00911652" w:rsidRPr="00230F35" w:rsidRDefault="00911652" w:rsidP="009A3AF9">
            <w:pPr>
              <w:pStyle w:val="a6"/>
              <w:spacing w:before="0" w:beforeAutospacing="0" w:after="0" w:afterAutospacing="0"/>
              <w:ind w:right="34"/>
              <w:rPr>
                <w:rFonts w:ascii="Arial" w:hAnsi="Arial" w:cs="Arial"/>
                <w:sz w:val="22"/>
                <w:szCs w:val="22"/>
              </w:rPr>
            </w:pPr>
            <w:r>
              <w:rPr>
                <w:rFonts w:ascii="Arial" w:hAnsi="Arial" w:cs="Arial"/>
                <w:sz w:val="22"/>
                <w:szCs w:val="22"/>
              </w:rPr>
              <w:t>Module tutor: Janet Burton</w:t>
            </w:r>
          </w:p>
          <w:p w14:paraId="3F9FC7F0" w14:textId="77777777" w:rsidR="00911652" w:rsidRPr="00230F35" w:rsidRDefault="00911652" w:rsidP="009A3AF9">
            <w:pPr>
              <w:pStyle w:val="a6"/>
              <w:spacing w:before="0" w:beforeAutospacing="0" w:after="0" w:afterAutospacing="0"/>
              <w:ind w:right="34"/>
              <w:rPr>
                <w:rFonts w:ascii="Arial" w:hAnsi="Arial" w:cs="Arial"/>
                <w:sz w:val="22"/>
                <w:szCs w:val="22"/>
              </w:rPr>
            </w:pPr>
          </w:p>
          <w:p w14:paraId="6FC62970" w14:textId="77777777" w:rsidR="00911652" w:rsidRDefault="00911652" w:rsidP="009A3AF9">
            <w:pPr>
              <w:pStyle w:val="a6"/>
              <w:spacing w:before="0" w:beforeAutospacing="0" w:after="0" w:afterAutospacing="0"/>
              <w:ind w:right="34"/>
              <w:rPr>
                <w:rFonts w:ascii="Arial" w:hAnsi="Arial" w:cs="Arial"/>
                <w:sz w:val="22"/>
                <w:szCs w:val="22"/>
              </w:rPr>
            </w:pPr>
          </w:p>
          <w:p w14:paraId="20309311" w14:textId="77777777" w:rsidR="00911652" w:rsidRPr="00230F35" w:rsidRDefault="00911652" w:rsidP="009A3AF9">
            <w:pPr>
              <w:pStyle w:val="a6"/>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11.06.2020</w:t>
            </w:r>
          </w:p>
        </w:tc>
      </w:tr>
      <w:tr w:rsidR="00911652" w:rsidRPr="00230F35" w14:paraId="4A29C43B" w14:textId="77777777" w:rsidTr="009A3AF9">
        <w:trPr>
          <w:trHeight w:val="978"/>
        </w:trPr>
        <w:tc>
          <w:tcPr>
            <w:tcW w:w="8856" w:type="dxa"/>
            <w:gridSpan w:val="5"/>
            <w:tcBorders>
              <w:bottom w:val="single" w:sz="4" w:space="0" w:color="000000"/>
            </w:tcBorders>
          </w:tcPr>
          <w:p w14:paraId="071533E8" w14:textId="77777777" w:rsidR="00911652" w:rsidRDefault="00911652" w:rsidP="009A3AF9">
            <w:pPr>
              <w:rPr>
                <w:rFonts w:ascii="Arial" w:hAnsi="Arial" w:cs="Arial"/>
                <w:sz w:val="22"/>
                <w:szCs w:val="22"/>
              </w:rPr>
            </w:pPr>
            <w:r>
              <w:rPr>
                <w:rFonts w:ascii="Arial" w:hAnsi="Arial" w:cs="Arial"/>
                <w:sz w:val="22"/>
                <w:szCs w:val="22"/>
              </w:rPr>
              <w:t>If your module has multiple submissions please indicate which piece of work this is.</w:t>
            </w:r>
          </w:p>
          <w:p w14:paraId="5375025B" w14:textId="77777777" w:rsidR="00911652" w:rsidRDefault="00911652" w:rsidP="009A3AF9">
            <w:pPr>
              <w:rPr>
                <w:rFonts w:ascii="Arial" w:hAnsi="Arial" w:cs="Arial"/>
                <w:sz w:val="22"/>
                <w:szCs w:val="22"/>
              </w:rPr>
            </w:pPr>
          </w:p>
          <w:p w14:paraId="4AE83AEF" w14:textId="3616B511" w:rsidR="00911652" w:rsidRPr="00230F35" w:rsidRDefault="00911652" w:rsidP="009A3AF9">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st</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w:t>
            </w:r>
            <w:r>
              <w:rPr>
                <w:rFonts w:ascii="Arial" w:hAnsi="Arial" w:cs="Arial"/>
                <w:sz w:val="22"/>
                <w:szCs w:val="22"/>
              </w:rPr>
              <w:t xml:space="preserve"> </w:t>
            </w:r>
            <w:r>
              <w:rPr>
                <w:rFonts w:ascii="Arial" w:hAnsi="Arial" w:cs="Arial"/>
                <w:sz w:val="22"/>
                <w:szCs w:val="22"/>
              </w:rPr>
              <w:t>2</w:t>
            </w:r>
            <w:r>
              <w:rPr>
                <w:rFonts w:ascii="Arial" w:hAnsi="Arial" w:cs="Arial"/>
                <w:sz w:val="22"/>
                <w:szCs w:val="22"/>
                <w:vertAlign w:val="superscript"/>
              </w:rPr>
              <w:t>nd</w:t>
            </w:r>
            <w:bookmarkStart w:id="0" w:name="_GoBack"/>
            <w:bookmarkEnd w:id="0"/>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Pr>
                <w:rFonts w:ascii="Arial" w:hAnsi="Arial" w:cs="Arial"/>
                <w:sz w:val="22"/>
                <w:szCs w:val="22"/>
              </w:rPr>
              <w:t xml:space="preserve">   </w:t>
            </w:r>
            <w:r>
              <w:rPr>
                <w:rFonts w:ascii="Arial" w:hAnsi="Arial" w:cs="Arial" w:hint="eastAsia"/>
                <w:sz w:val="22"/>
                <w:szCs w:val="22"/>
              </w:rPr>
              <w:t>3</w:t>
            </w:r>
            <w:r>
              <w:rPr>
                <w:rFonts w:ascii="Arial" w:hAnsi="Arial" w:cs="Arial" w:hint="eastAsia"/>
                <w:sz w:val="22"/>
                <w:szCs w:val="22"/>
                <w:vertAlign w:val="superscript"/>
              </w:rPr>
              <w:t>rd</w:t>
            </w:r>
            <w:r w:rsidRPr="00F37F43">
              <w:rPr>
                <w:rFonts w:ascii="Wingdings" w:hAnsi="Wingdings" w:cs="Arial"/>
                <w:sz w:val="28"/>
                <w:szCs w:val="22"/>
                <w:highlight w:val="lightGray"/>
              </w:rPr>
              <w:t></w:t>
            </w:r>
          </w:p>
        </w:tc>
      </w:tr>
      <w:tr w:rsidR="00911652" w:rsidRPr="00230F35" w14:paraId="2273BBD0" w14:textId="77777777" w:rsidTr="009A3AF9">
        <w:trPr>
          <w:trHeight w:val="978"/>
        </w:trPr>
        <w:tc>
          <w:tcPr>
            <w:tcW w:w="8856" w:type="dxa"/>
            <w:gridSpan w:val="5"/>
            <w:shd w:val="clear" w:color="auto" w:fill="D9D9D9"/>
          </w:tcPr>
          <w:p w14:paraId="3F59EA5E" w14:textId="77777777" w:rsidR="00911652" w:rsidRPr="00230F35" w:rsidRDefault="00911652" w:rsidP="009A3AF9">
            <w:pPr>
              <w:pStyle w:val="a6"/>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780F74E" w14:textId="77777777" w:rsidR="00911652" w:rsidRDefault="00911652" w:rsidP="009A3AF9">
            <w:pPr>
              <w:pStyle w:val="a6"/>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99C5F67" w14:textId="77777777" w:rsidR="00911652" w:rsidRDefault="00911652" w:rsidP="009A3AF9">
            <w:pPr>
              <w:pStyle w:val="a6"/>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F37F43">
              <w:rPr>
                <w:rFonts w:ascii="Wingdings" w:hAnsi="Wingdings" w:cs="Arial"/>
                <w:sz w:val="28"/>
                <w:szCs w:val="22"/>
                <w:highlight w:val="lightGray"/>
              </w:rPr>
              <w:t></w:t>
            </w:r>
          </w:p>
          <w:p w14:paraId="6F04B3D4" w14:textId="77777777" w:rsidR="00911652" w:rsidRPr="00230F35" w:rsidRDefault="00911652" w:rsidP="009A3AF9">
            <w:pPr>
              <w:pStyle w:val="a6"/>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911652" w:rsidRPr="00230F35" w14:paraId="63E4261E" w14:textId="77777777" w:rsidTr="009A3AF9">
        <w:trPr>
          <w:trHeight w:val="3972"/>
        </w:trPr>
        <w:tc>
          <w:tcPr>
            <w:tcW w:w="8856" w:type="dxa"/>
            <w:gridSpan w:val="5"/>
          </w:tcPr>
          <w:p w14:paraId="4CF8CE56" w14:textId="77777777" w:rsidR="00911652" w:rsidRDefault="00911652" w:rsidP="009A3AF9">
            <w:pPr>
              <w:rPr>
                <w:rFonts w:ascii="Arial" w:hAnsi="Arial"/>
                <w:b/>
              </w:rPr>
            </w:pPr>
          </w:p>
          <w:p w14:paraId="0010A6CB" w14:textId="77777777" w:rsidR="00911652" w:rsidRPr="00116CE6" w:rsidRDefault="00911652" w:rsidP="009A3AF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911652" w:rsidRPr="00116CE6" w14:paraId="0F72F852" w14:textId="77777777" w:rsidTr="009A3AF9">
              <w:tc>
                <w:tcPr>
                  <w:tcW w:w="6970" w:type="dxa"/>
                </w:tcPr>
                <w:p w14:paraId="19DB5C4A" w14:textId="77777777" w:rsidR="00911652" w:rsidRPr="00116CE6" w:rsidRDefault="00911652" w:rsidP="009A3AF9">
                  <w:pPr>
                    <w:rPr>
                      <w:rFonts w:ascii="Arial" w:hAnsi="Arial"/>
                      <w:sz w:val="20"/>
                      <w:szCs w:val="20"/>
                    </w:rPr>
                  </w:pPr>
                </w:p>
                <w:p w14:paraId="0F70529C" w14:textId="77777777" w:rsidR="00911652" w:rsidRPr="00116CE6" w:rsidRDefault="00911652" w:rsidP="009A3AF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31DF5FE" w14:textId="77777777" w:rsidR="00911652" w:rsidRPr="00116CE6" w:rsidRDefault="00911652" w:rsidP="009A3AF9">
                  <w:pPr>
                    <w:rPr>
                      <w:rFonts w:ascii="Arial" w:hAnsi="Arial"/>
                      <w:sz w:val="20"/>
                      <w:szCs w:val="20"/>
                    </w:rPr>
                  </w:pPr>
                </w:p>
              </w:tc>
            </w:tr>
            <w:tr w:rsidR="00911652" w:rsidRPr="00116CE6" w14:paraId="53481F1C" w14:textId="77777777" w:rsidTr="009A3AF9">
              <w:tc>
                <w:tcPr>
                  <w:tcW w:w="6970" w:type="dxa"/>
                </w:tcPr>
                <w:p w14:paraId="48AD2A65" w14:textId="77777777" w:rsidR="00911652" w:rsidRPr="00116CE6" w:rsidRDefault="00911652" w:rsidP="009A3AF9">
                  <w:pPr>
                    <w:rPr>
                      <w:rFonts w:ascii="Arial" w:hAnsi="Arial"/>
                      <w:sz w:val="20"/>
                      <w:szCs w:val="20"/>
                    </w:rPr>
                  </w:pPr>
                </w:p>
                <w:p w14:paraId="36403EE8" w14:textId="77777777" w:rsidR="00911652" w:rsidRPr="00116CE6" w:rsidRDefault="00911652" w:rsidP="009A3AF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9BA186E" w14:textId="77777777" w:rsidR="00911652" w:rsidRPr="00116CE6" w:rsidRDefault="00911652" w:rsidP="009A3AF9">
                  <w:pPr>
                    <w:rPr>
                      <w:rFonts w:ascii="Arial" w:hAnsi="Arial"/>
                      <w:sz w:val="20"/>
                      <w:szCs w:val="20"/>
                    </w:rPr>
                  </w:pPr>
                </w:p>
              </w:tc>
            </w:tr>
            <w:tr w:rsidR="00911652" w:rsidRPr="00116CE6" w14:paraId="6EF7644C" w14:textId="77777777" w:rsidTr="009A3AF9">
              <w:tc>
                <w:tcPr>
                  <w:tcW w:w="6970" w:type="dxa"/>
                </w:tcPr>
                <w:p w14:paraId="10DE4546" w14:textId="77777777" w:rsidR="00911652" w:rsidRPr="00116CE6" w:rsidRDefault="00911652" w:rsidP="009A3AF9">
                  <w:pPr>
                    <w:rPr>
                      <w:rFonts w:ascii="Arial" w:hAnsi="Arial"/>
                      <w:sz w:val="20"/>
                      <w:szCs w:val="20"/>
                    </w:rPr>
                  </w:pPr>
                </w:p>
                <w:p w14:paraId="3A144893" w14:textId="77777777" w:rsidR="00911652" w:rsidRPr="00116CE6" w:rsidRDefault="00911652" w:rsidP="009A3AF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7310772" w14:textId="77777777" w:rsidR="00911652" w:rsidRPr="00116CE6" w:rsidRDefault="00911652" w:rsidP="009A3AF9">
                  <w:pPr>
                    <w:rPr>
                      <w:rFonts w:ascii="Arial" w:hAnsi="Arial"/>
                      <w:sz w:val="20"/>
                      <w:szCs w:val="20"/>
                    </w:rPr>
                  </w:pPr>
                </w:p>
              </w:tc>
            </w:tr>
            <w:tr w:rsidR="00911652" w:rsidRPr="00116CE6" w14:paraId="15AF9BCD" w14:textId="77777777" w:rsidTr="009A3AF9">
              <w:tc>
                <w:tcPr>
                  <w:tcW w:w="6970" w:type="dxa"/>
                </w:tcPr>
                <w:p w14:paraId="23CFA72E" w14:textId="77777777" w:rsidR="00911652" w:rsidRDefault="00911652" w:rsidP="009A3AF9">
                  <w:pPr>
                    <w:rPr>
                      <w:rFonts w:ascii="Arial" w:hAnsi="Arial"/>
                      <w:sz w:val="20"/>
                      <w:szCs w:val="20"/>
                    </w:rPr>
                  </w:pPr>
                </w:p>
                <w:p w14:paraId="704D5504" w14:textId="77777777" w:rsidR="00911652" w:rsidRPr="00022345" w:rsidRDefault="00911652" w:rsidP="009A3AF9">
                  <w:pPr>
                    <w:rPr>
                      <w:rFonts w:ascii="Arial" w:hAnsi="Arial"/>
                      <w:b/>
                      <w:sz w:val="20"/>
                      <w:szCs w:val="20"/>
                    </w:rPr>
                  </w:pPr>
                  <w:r w:rsidRPr="00022345">
                    <w:rPr>
                      <w:rFonts w:ascii="Arial" w:hAnsi="Arial"/>
                      <w:b/>
                      <w:sz w:val="20"/>
                      <w:szCs w:val="20"/>
                    </w:rPr>
                    <w:t>Final Mark</w:t>
                  </w:r>
                </w:p>
                <w:p w14:paraId="61C37B54" w14:textId="77777777" w:rsidR="00911652" w:rsidRPr="00116CE6" w:rsidRDefault="00911652" w:rsidP="009A3AF9">
                  <w:pPr>
                    <w:rPr>
                      <w:rFonts w:ascii="Arial" w:hAnsi="Arial"/>
                      <w:sz w:val="20"/>
                      <w:szCs w:val="20"/>
                    </w:rPr>
                  </w:pPr>
                </w:p>
              </w:tc>
              <w:tc>
                <w:tcPr>
                  <w:tcW w:w="1660" w:type="dxa"/>
                </w:tcPr>
                <w:p w14:paraId="235F2F8B" w14:textId="77777777" w:rsidR="00911652" w:rsidRPr="00116CE6" w:rsidRDefault="00911652" w:rsidP="009A3AF9">
                  <w:pPr>
                    <w:rPr>
                      <w:rFonts w:ascii="Arial" w:hAnsi="Arial"/>
                      <w:sz w:val="20"/>
                      <w:szCs w:val="20"/>
                    </w:rPr>
                  </w:pPr>
                </w:p>
              </w:tc>
            </w:tr>
          </w:tbl>
          <w:p w14:paraId="0CF8B2B6" w14:textId="77777777" w:rsidR="00911652" w:rsidRDefault="00911652" w:rsidP="009A3AF9">
            <w:pPr>
              <w:pStyle w:val="a6"/>
              <w:spacing w:before="0" w:beforeAutospacing="0" w:after="0" w:afterAutospacing="0"/>
              <w:ind w:left="142" w:right="34"/>
              <w:rPr>
                <w:rFonts w:ascii="Arial" w:hAnsi="Arial" w:cs="Arial"/>
                <w:b/>
                <w:sz w:val="22"/>
                <w:szCs w:val="22"/>
              </w:rPr>
            </w:pPr>
          </w:p>
          <w:p w14:paraId="3BEC9C2D" w14:textId="77777777" w:rsidR="00911652" w:rsidRPr="00230F35" w:rsidRDefault="00911652" w:rsidP="009A3AF9">
            <w:pPr>
              <w:pStyle w:val="a6"/>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F303CB1" w14:textId="77777777" w:rsidR="00911652" w:rsidRDefault="00911652" w:rsidP="009A3AF9">
            <w:pPr>
              <w:pStyle w:val="a6"/>
              <w:spacing w:before="0" w:beforeAutospacing="0" w:after="0" w:afterAutospacing="0"/>
              <w:rPr>
                <w:rFonts w:ascii="Arial" w:hAnsi="Arial" w:cs="Arial"/>
                <w:b/>
                <w:sz w:val="22"/>
                <w:szCs w:val="22"/>
              </w:rPr>
            </w:pPr>
          </w:p>
          <w:p w14:paraId="7895440A" w14:textId="77777777" w:rsidR="00911652" w:rsidRDefault="00911652" w:rsidP="009A3AF9">
            <w:pPr>
              <w:pStyle w:val="a6"/>
              <w:spacing w:before="0" w:beforeAutospacing="0" w:after="0" w:afterAutospacing="0"/>
              <w:rPr>
                <w:rFonts w:ascii="Arial" w:hAnsi="Arial" w:cs="Arial"/>
                <w:b/>
                <w:sz w:val="22"/>
                <w:szCs w:val="22"/>
              </w:rPr>
            </w:pPr>
          </w:p>
          <w:p w14:paraId="116029A6" w14:textId="77777777" w:rsidR="00911652" w:rsidRDefault="00911652" w:rsidP="009A3AF9">
            <w:pPr>
              <w:pStyle w:val="a6"/>
              <w:spacing w:before="0" w:beforeAutospacing="0" w:after="0" w:afterAutospacing="0"/>
              <w:rPr>
                <w:rFonts w:ascii="Arial" w:hAnsi="Arial" w:cs="Arial"/>
                <w:b/>
                <w:sz w:val="22"/>
                <w:szCs w:val="22"/>
              </w:rPr>
            </w:pPr>
          </w:p>
          <w:p w14:paraId="312A7C14" w14:textId="77777777" w:rsidR="00911652" w:rsidRDefault="00911652" w:rsidP="009A3AF9">
            <w:pPr>
              <w:pStyle w:val="a6"/>
              <w:spacing w:before="0" w:beforeAutospacing="0" w:after="0" w:afterAutospacing="0"/>
              <w:rPr>
                <w:rFonts w:ascii="Arial" w:hAnsi="Arial" w:cs="Arial"/>
                <w:b/>
                <w:sz w:val="22"/>
                <w:szCs w:val="22"/>
              </w:rPr>
            </w:pPr>
          </w:p>
          <w:p w14:paraId="45E6DCA3" w14:textId="77777777" w:rsidR="00911652" w:rsidRDefault="00911652" w:rsidP="009A3AF9">
            <w:pPr>
              <w:pStyle w:val="a6"/>
              <w:spacing w:before="0" w:beforeAutospacing="0" w:after="0" w:afterAutospacing="0"/>
              <w:rPr>
                <w:rFonts w:ascii="Arial" w:hAnsi="Arial" w:cs="Arial"/>
                <w:b/>
                <w:sz w:val="22"/>
                <w:szCs w:val="22"/>
              </w:rPr>
            </w:pPr>
          </w:p>
          <w:p w14:paraId="44AB3D18" w14:textId="77777777" w:rsidR="00911652" w:rsidRPr="00230F35" w:rsidRDefault="00911652" w:rsidP="009A3AF9">
            <w:pPr>
              <w:pStyle w:val="a6"/>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853A06D" w14:textId="77777777" w:rsidR="00911652" w:rsidRDefault="00911652" w:rsidP="009A3AF9">
            <w:pPr>
              <w:pStyle w:val="a6"/>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B3E6637" w14:textId="77777777" w:rsidR="00911652" w:rsidRPr="00001C3B" w:rsidRDefault="00911652" w:rsidP="009A3AF9">
            <w:pPr>
              <w:pStyle w:val="a6"/>
              <w:rPr>
                <w:rFonts w:ascii="Arial" w:hAnsi="Arial" w:cs="Arial"/>
                <w:sz w:val="22"/>
                <w:szCs w:val="22"/>
              </w:rPr>
            </w:pPr>
          </w:p>
        </w:tc>
      </w:tr>
      <w:tr w:rsidR="00911652" w:rsidRPr="00230F35" w14:paraId="18754984" w14:textId="77777777" w:rsidTr="009A3AF9">
        <w:trPr>
          <w:trHeight w:val="492"/>
        </w:trPr>
        <w:tc>
          <w:tcPr>
            <w:tcW w:w="6768" w:type="dxa"/>
            <w:gridSpan w:val="3"/>
          </w:tcPr>
          <w:p w14:paraId="42973A72" w14:textId="77777777" w:rsidR="00911652" w:rsidRPr="00230F35" w:rsidRDefault="00911652" w:rsidP="009A3AF9">
            <w:pPr>
              <w:pStyle w:val="a6"/>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EA9F052" w14:textId="77777777" w:rsidR="00911652" w:rsidRPr="00230F35" w:rsidRDefault="00911652" w:rsidP="009A3AF9">
            <w:pPr>
              <w:pStyle w:val="a6"/>
              <w:spacing w:after="0"/>
              <w:ind w:left="142" w:right="34"/>
              <w:rPr>
                <w:rFonts w:ascii="Arial" w:hAnsi="Arial" w:cs="Arial"/>
                <w:sz w:val="22"/>
                <w:szCs w:val="22"/>
              </w:rPr>
            </w:pPr>
            <w:r w:rsidRPr="00230F35">
              <w:rPr>
                <w:rFonts w:ascii="Arial" w:hAnsi="Arial" w:cs="Arial"/>
                <w:sz w:val="22"/>
                <w:szCs w:val="22"/>
              </w:rPr>
              <w:t>Date:</w:t>
            </w:r>
          </w:p>
        </w:tc>
      </w:tr>
      <w:tr w:rsidR="00911652" w:rsidRPr="002F467C" w14:paraId="076005FA" w14:textId="77777777" w:rsidTr="009A3AF9">
        <w:tc>
          <w:tcPr>
            <w:tcW w:w="8856" w:type="dxa"/>
            <w:gridSpan w:val="5"/>
          </w:tcPr>
          <w:p w14:paraId="66920A9E" w14:textId="77777777" w:rsidR="00911652" w:rsidRPr="00230F35" w:rsidRDefault="00911652" w:rsidP="009A3AF9">
            <w:pPr>
              <w:pStyle w:val="a6"/>
              <w:spacing w:before="0" w:beforeAutospacing="0" w:after="0" w:afterAutospacing="0"/>
              <w:ind w:right="-334"/>
              <w:rPr>
                <w:rFonts w:ascii="Arial" w:hAnsi="Arial" w:cs="Arial"/>
                <w:bCs/>
                <w:i/>
                <w:sz w:val="22"/>
                <w:szCs w:val="22"/>
              </w:rPr>
            </w:pPr>
          </w:p>
          <w:p w14:paraId="0BAE3C0C" w14:textId="77777777" w:rsidR="00911652" w:rsidRPr="00230F35" w:rsidRDefault="00911652" w:rsidP="009A3AF9">
            <w:pPr>
              <w:pStyle w:val="a6"/>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425A5F" w14:textId="77777777" w:rsidR="00911652" w:rsidRPr="00230F35" w:rsidRDefault="00911652" w:rsidP="009A3AF9">
            <w:pPr>
              <w:pStyle w:val="a6"/>
              <w:spacing w:before="0" w:beforeAutospacing="0" w:after="0" w:afterAutospacing="0"/>
              <w:ind w:right="-334"/>
              <w:rPr>
                <w:rFonts w:ascii="Arial" w:hAnsi="Arial" w:cs="Arial"/>
                <w:b/>
                <w:bCs/>
                <w:sz w:val="22"/>
                <w:szCs w:val="22"/>
              </w:rPr>
            </w:pPr>
          </w:p>
          <w:p w14:paraId="2A91C954" w14:textId="77777777" w:rsidR="00911652" w:rsidRPr="00230F35" w:rsidRDefault="00911652" w:rsidP="009A3AF9">
            <w:pPr>
              <w:pStyle w:val="a6"/>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5E554B0" w14:textId="77777777" w:rsidR="00911652" w:rsidRPr="00230F35" w:rsidRDefault="00911652" w:rsidP="009A3AF9">
            <w:pPr>
              <w:pStyle w:val="a6"/>
              <w:spacing w:before="0" w:beforeAutospacing="0" w:after="0" w:afterAutospacing="0"/>
              <w:ind w:right="-334"/>
              <w:rPr>
                <w:rFonts w:ascii="Arial" w:hAnsi="Arial" w:cs="Arial"/>
                <w:bCs/>
                <w:sz w:val="22"/>
                <w:szCs w:val="22"/>
              </w:rPr>
            </w:pPr>
          </w:p>
          <w:p w14:paraId="39EEAE1E" w14:textId="77777777" w:rsidR="00911652" w:rsidRPr="00230F35" w:rsidRDefault="00911652" w:rsidP="009A3AF9">
            <w:pPr>
              <w:pStyle w:val="a6"/>
              <w:spacing w:before="0" w:beforeAutospacing="0" w:after="0" w:afterAutospacing="0"/>
              <w:ind w:right="-334"/>
              <w:rPr>
                <w:rFonts w:ascii="Arial" w:hAnsi="Arial" w:cs="Arial"/>
                <w:bCs/>
                <w:sz w:val="22"/>
                <w:szCs w:val="22"/>
              </w:rPr>
            </w:pPr>
          </w:p>
          <w:p w14:paraId="149A87FF" w14:textId="77777777" w:rsidR="00911652" w:rsidRPr="00230F35" w:rsidRDefault="00911652" w:rsidP="009A3AF9">
            <w:pPr>
              <w:pStyle w:val="a6"/>
              <w:spacing w:before="0" w:beforeAutospacing="0" w:after="0" w:afterAutospacing="0"/>
              <w:ind w:right="-334"/>
              <w:rPr>
                <w:rFonts w:ascii="Arial" w:hAnsi="Arial" w:cs="Arial"/>
                <w:bCs/>
                <w:sz w:val="22"/>
                <w:szCs w:val="22"/>
              </w:rPr>
            </w:pPr>
          </w:p>
        </w:tc>
      </w:tr>
      <w:tr w:rsidR="00911652" w:rsidRPr="002F467C" w14:paraId="3B852ACA" w14:textId="77777777" w:rsidTr="009A3AF9">
        <w:trPr>
          <w:trHeight w:val="720"/>
        </w:trPr>
        <w:tc>
          <w:tcPr>
            <w:tcW w:w="5211" w:type="dxa"/>
            <w:gridSpan w:val="2"/>
          </w:tcPr>
          <w:p w14:paraId="09D1EE1D" w14:textId="77777777" w:rsidR="00911652" w:rsidRPr="00230F35" w:rsidRDefault="00911652" w:rsidP="009A3AF9">
            <w:pPr>
              <w:pStyle w:val="a6"/>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5A87B0B" w14:textId="77777777" w:rsidR="00911652" w:rsidRPr="00230F35" w:rsidRDefault="00911652" w:rsidP="009A3AF9">
            <w:pPr>
              <w:pStyle w:val="a6"/>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11652" w:rsidRPr="002F467C" w14:paraId="1A35C638" w14:textId="77777777" w:rsidTr="009A3AF9">
        <w:trPr>
          <w:trHeight w:val="720"/>
        </w:trPr>
        <w:tc>
          <w:tcPr>
            <w:tcW w:w="8856" w:type="dxa"/>
            <w:gridSpan w:val="5"/>
          </w:tcPr>
          <w:p w14:paraId="7EC76065" w14:textId="77777777" w:rsidR="00911652" w:rsidRPr="00B34964" w:rsidRDefault="00911652" w:rsidP="009A3AF9">
            <w:pPr>
              <w:rPr>
                <w:rFonts w:ascii="Arial" w:hAnsi="Arial" w:cs="Arial"/>
                <w:b/>
                <w:sz w:val="22"/>
                <w:szCs w:val="22"/>
              </w:rPr>
            </w:pPr>
            <w:r w:rsidRPr="00B34964">
              <w:rPr>
                <w:rFonts w:ascii="Arial" w:hAnsi="Arial" w:cs="Arial"/>
                <w:b/>
                <w:sz w:val="22"/>
                <w:szCs w:val="22"/>
              </w:rPr>
              <w:t>External Examiner’s comments (if relevant)</w:t>
            </w:r>
          </w:p>
          <w:p w14:paraId="41C9FACD" w14:textId="77777777" w:rsidR="00911652" w:rsidRPr="00230F35" w:rsidRDefault="00911652" w:rsidP="009A3AF9">
            <w:pPr>
              <w:pStyle w:val="a6"/>
              <w:spacing w:before="0" w:beforeAutospacing="0" w:after="0" w:afterAutospacing="0"/>
              <w:ind w:right="-334"/>
              <w:rPr>
                <w:rFonts w:ascii="Arial" w:hAnsi="Arial" w:cs="Arial"/>
                <w:bCs/>
                <w:sz w:val="22"/>
                <w:szCs w:val="22"/>
              </w:rPr>
            </w:pPr>
          </w:p>
          <w:p w14:paraId="7CA76AE7" w14:textId="77777777" w:rsidR="00911652" w:rsidRPr="00230F35" w:rsidRDefault="00911652" w:rsidP="009A3AF9">
            <w:pPr>
              <w:pStyle w:val="a6"/>
              <w:spacing w:before="0" w:beforeAutospacing="0" w:after="0" w:afterAutospacing="0"/>
              <w:ind w:right="-334"/>
              <w:rPr>
                <w:rFonts w:ascii="Arial" w:hAnsi="Arial" w:cs="Arial"/>
                <w:bCs/>
                <w:sz w:val="22"/>
                <w:szCs w:val="22"/>
              </w:rPr>
            </w:pPr>
          </w:p>
          <w:p w14:paraId="3DBD175B" w14:textId="77777777" w:rsidR="00911652" w:rsidRPr="00230F35" w:rsidRDefault="00911652" w:rsidP="009A3AF9">
            <w:pPr>
              <w:pStyle w:val="a6"/>
              <w:spacing w:before="0" w:beforeAutospacing="0" w:after="0" w:afterAutospacing="0"/>
              <w:ind w:right="-334"/>
              <w:rPr>
                <w:rFonts w:ascii="Arial" w:hAnsi="Arial" w:cs="Arial"/>
                <w:bCs/>
                <w:sz w:val="22"/>
                <w:szCs w:val="22"/>
              </w:rPr>
            </w:pPr>
          </w:p>
        </w:tc>
      </w:tr>
      <w:tr w:rsidR="00911652" w:rsidRPr="002F467C" w14:paraId="1A1E333E" w14:textId="77777777" w:rsidTr="009A3AF9">
        <w:trPr>
          <w:trHeight w:val="720"/>
        </w:trPr>
        <w:tc>
          <w:tcPr>
            <w:tcW w:w="5211" w:type="dxa"/>
            <w:gridSpan w:val="2"/>
          </w:tcPr>
          <w:p w14:paraId="1C0202C0" w14:textId="77777777" w:rsidR="00911652" w:rsidRPr="00230F35" w:rsidRDefault="00911652" w:rsidP="009A3AF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4304044" w14:textId="77777777" w:rsidR="00911652" w:rsidRPr="00230F35" w:rsidRDefault="00911652" w:rsidP="009A3AF9">
            <w:pPr>
              <w:rPr>
                <w:rFonts w:ascii="Arial" w:hAnsi="Arial" w:cs="Arial"/>
                <w:sz w:val="22"/>
                <w:szCs w:val="22"/>
              </w:rPr>
            </w:pPr>
            <w:r w:rsidRPr="00230F35">
              <w:rPr>
                <w:rFonts w:ascii="Arial" w:hAnsi="Arial" w:cs="Arial"/>
                <w:sz w:val="22"/>
                <w:szCs w:val="22"/>
              </w:rPr>
              <w:t>Date:</w:t>
            </w:r>
          </w:p>
        </w:tc>
      </w:tr>
    </w:tbl>
    <w:p w14:paraId="13A09064" w14:textId="77777777" w:rsidR="00911652" w:rsidRPr="00D67BF8" w:rsidRDefault="00911652" w:rsidP="00911652">
      <w:pPr>
        <w:pStyle w:val="a6"/>
        <w:spacing w:before="0" w:beforeAutospacing="0" w:after="0" w:afterAutospacing="0"/>
        <w:ind w:right="-334"/>
        <w:rPr>
          <w:rFonts w:ascii="Trebuchet MS" w:hAnsi="Trebuchet MS" w:cs="Tahoma"/>
          <w:bCs/>
          <w:sz w:val="24"/>
          <w:szCs w:val="24"/>
        </w:rPr>
      </w:pPr>
    </w:p>
    <w:p w14:paraId="11D00F04" w14:textId="77777777" w:rsidR="00911652" w:rsidRDefault="00911652" w:rsidP="00911652">
      <w:pPr>
        <w:rPr>
          <w:u w:val="single"/>
        </w:rPr>
      </w:pPr>
    </w:p>
    <w:p w14:paraId="02BC4511" w14:textId="77777777" w:rsidR="00911652" w:rsidRDefault="00911652">
      <w:pPr>
        <w:rPr>
          <w:rFonts w:hint="eastAsia"/>
          <w:u w:val="single"/>
        </w:rPr>
      </w:pPr>
    </w:p>
    <w:p w14:paraId="4B63C3C9" w14:textId="77777777" w:rsidR="00911652" w:rsidRDefault="00911652">
      <w:pPr>
        <w:rPr>
          <w:rFonts w:hint="eastAsia"/>
          <w:u w:val="single"/>
        </w:rPr>
      </w:pPr>
    </w:p>
    <w:p w14:paraId="23E53202" w14:textId="2DD3C5D5" w:rsidR="00A85007" w:rsidRDefault="004D2A3D">
      <w:pPr>
        <w:rPr>
          <w:u w:val="single"/>
        </w:rPr>
      </w:pPr>
      <w:r w:rsidRPr="007F1B1C">
        <w:rPr>
          <w:u w:val="single"/>
        </w:rPr>
        <w:t>Assignment 3 – Commentary on</w:t>
      </w:r>
      <w:r w:rsidR="0097308D">
        <w:rPr>
          <w:u w:val="single"/>
        </w:rPr>
        <w:t xml:space="preserve"> a</w:t>
      </w:r>
      <w:r w:rsidRPr="007F1B1C">
        <w:rPr>
          <w:u w:val="single"/>
        </w:rPr>
        <w:t xml:space="preserve"> Documentary Source</w:t>
      </w:r>
    </w:p>
    <w:p w14:paraId="30593972" w14:textId="77777777" w:rsidR="0097308D" w:rsidRDefault="0097308D">
      <w:pPr>
        <w:rPr>
          <w:u w:val="single"/>
        </w:rPr>
      </w:pPr>
    </w:p>
    <w:p w14:paraId="69FDA5AD" w14:textId="42C9C0D4" w:rsidR="0097308D" w:rsidRPr="007F1B1C" w:rsidRDefault="0097308D">
      <w:pPr>
        <w:rPr>
          <w:u w:val="single"/>
        </w:rPr>
      </w:pPr>
      <w:r>
        <w:rPr>
          <w:u w:val="single"/>
        </w:rPr>
        <w:t>King William to Saint Denis</w:t>
      </w:r>
    </w:p>
    <w:p w14:paraId="2ABC2FD3" w14:textId="77777777" w:rsidR="004D2A3D" w:rsidRDefault="004D2A3D"/>
    <w:p w14:paraId="51AEB7B9" w14:textId="6CAF84DD" w:rsidR="009557FC" w:rsidRDefault="00906ABF">
      <w:r>
        <w:t>Historical documents</w:t>
      </w:r>
      <w:r>
        <w:rPr>
          <w:rFonts w:hint="eastAsia"/>
        </w:rPr>
        <w:t xml:space="preserve"> are of enormous value in helping us </w:t>
      </w:r>
      <w:r>
        <w:t xml:space="preserve">better </w:t>
      </w:r>
      <w:r>
        <w:rPr>
          <w:rFonts w:hint="eastAsia"/>
        </w:rPr>
        <w:t xml:space="preserve">understand </w:t>
      </w:r>
      <w:r>
        <w:t>the medieval world</w:t>
      </w:r>
      <w:r>
        <w:rPr>
          <w:rFonts w:hint="eastAsia"/>
        </w:rPr>
        <w:t>.</w:t>
      </w:r>
      <w:r>
        <w:t xml:space="preserve"> They offer us a ‘snapshot’ of a particular time and place, giving us crucial information about the people of that era, as well as the way </w:t>
      </w:r>
      <w:r w:rsidR="008F3D41">
        <w:t xml:space="preserve">in which </w:t>
      </w:r>
      <w:r>
        <w:t xml:space="preserve">their society was organized and run. </w:t>
      </w:r>
      <w:r w:rsidR="00365FF2">
        <w:t xml:space="preserve">There are various kinds of documents available to us, including charters and household accounts, which can provide us with different kinds of information. </w:t>
      </w:r>
      <w:r>
        <w:t xml:space="preserve">We can learn about the extent of a particular ruler’s whole kingdom and how he ruled his subjects, for example, or at the other end of the scale understand the day-to-day social relationships and common concerns in a particular </w:t>
      </w:r>
      <w:r w:rsidR="00222006">
        <w:t>locality (i.e. a manor estate).</w:t>
      </w:r>
    </w:p>
    <w:p w14:paraId="263D1BAA" w14:textId="77777777" w:rsidR="009557FC" w:rsidRDefault="009557FC"/>
    <w:p w14:paraId="108374DE" w14:textId="7B7B924B" w:rsidR="004D2A3D" w:rsidRDefault="009557FC">
      <w:r>
        <w:t xml:space="preserve">The document we will look at in this commentary is a Royal Charter (also referred to as a ‘Diploma’) issued during the reign of William the Conqueror. This kind of document was used </w:t>
      </w:r>
      <w:r w:rsidR="00365FF2">
        <w:t xml:space="preserve">by the ruler </w:t>
      </w:r>
      <w:r>
        <w:t>to grant particular ri</w:t>
      </w:r>
      <w:r w:rsidR="008F3D41">
        <w:t>ghts and privileges to specific</w:t>
      </w:r>
      <w:r>
        <w:t xml:space="preserve"> individuals, groups or institutions, t</w:t>
      </w:r>
      <w:r w:rsidR="008F3D41">
        <w:t>ypically relating</w:t>
      </w:r>
      <w:r>
        <w:t xml:space="preserve"> to control over a designated piece of land.</w:t>
      </w:r>
      <w:r w:rsidR="00D50482">
        <w:rPr>
          <w:rStyle w:val="a5"/>
        </w:rPr>
        <w:footnoteReference w:id="1"/>
      </w:r>
      <w:r w:rsidR="00BB6E2A">
        <w:t xml:space="preserve"> The purpose of the present document is to confirm the rights of the Abbey of St Denis with regards to church lands in England.</w:t>
      </w:r>
      <w:r w:rsidR="00D50482">
        <w:rPr>
          <w:rStyle w:val="a5"/>
        </w:rPr>
        <w:footnoteReference w:id="2"/>
      </w:r>
    </w:p>
    <w:p w14:paraId="42FA56ED" w14:textId="77777777" w:rsidR="0055468D" w:rsidRDefault="0055468D"/>
    <w:p w14:paraId="18E5951F" w14:textId="31C75E76" w:rsidR="0055468D" w:rsidRDefault="0055468D">
      <w:r>
        <w:t xml:space="preserve">The document is structured in the typical fashion of a royal charter, which is based on the Roman Latin model transmitted </w:t>
      </w:r>
      <w:r w:rsidR="00B70A48">
        <w:t xml:space="preserve">to medieval Europe </w:t>
      </w:r>
      <w:r>
        <w:t>through the court of Charlemagne.</w:t>
      </w:r>
      <w:r w:rsidR="00D50482">
        <w:rPr>
          <w:rStyle w:val="a5"/>
        </w:rPr>
        <w:footnoteReference w:id="3"/>
      </w:r>
      <w:r>
        <w:t xml:space="preserve"> It begins with the protocol (proem), which invokes God and sets out the pious </w:t>
      </w:r>
      <w:r w:rsidR="00FF74DC">
        <w:t>reasons</w:t>
      </w:r>
      <w:r>
        <w:t xml:space="preserve"> behind the actions of the king.</w:t>
      </w:r>
      <w:r w:rsidR="00D50482">
        <w:rPr>
          <w:rStyle w:val="a5"/>
        </w:rPr>
        <w:footnoteReference w:id="4"/>
      </w:r>
      <w:r w:rsidR="00C80F34">
        <w:t xml:space="preserve"> </w:t>
      </w:r>
      <w:r w:rsidR="00273A3F">
        <w:t>William</w:t>
      </w:r>
      <w:r w:rsidR="00FF74DC">
        <w:t>, after identifying himself with his various titles (encompassing his position as both a an English king and a Norman noble)</w:t>
      </w:r>
      <w:r w:rsidR="00273A3F">
        <w:t xml:space="preserve"> addresses the ‘faithful of Christ’ and explains that God has commanded him to ‘“lay up…treasures in heaven, where neither moth nor rust do corrupt”’.</w:t>
      </w:r>
      <w:r w:rsidR="00D50482">
        <w:rPr>
          <w:rStyle w:val="a5"/>
        </w:rPr>
        <w:footnoteReference w:id="5"/>
      </w:r>
      <w:r w:rsidR="00273A3F">
        <w:t xml:space="preserve"> This provides the motivation for the royal act to follow.</w:t>
      </w:r>
    </w:p>
    <w:p w14:paraId="26023C60" w14:textId="77777777" w:rsidR="00273A3F" w:rsidRDefault="00273A3F"/>
    <w:p w14:paraId="3D5070B3" w14:textId="6EB6CF49" w:rsidR="00273A3F" w:rsidRDefault="00352708">
      <w:r>
        <w:t>The next section, generally referred to as the corpus,</w:t>
      </w:r>
      <w:r w:rsidR="00D50482">
        <w:rPr>
          <w:rStyle w:val="a5"/>
        </w:rPr>
        <w:footnoteReference w:id="6"/>
      </w:r>
      <w:r>
        <w:t xml:space="preserve"> names the beneficiary of the king’s largesse and confirms the grant of Deerhurst Church, as well as Taynton Manor, as well as all the ‘appurtenances’ of these properties, to the Abbey of St Denis in France. This section is known as the ‘dispositive clause’.</w:t>
      </w:r>
      <w:r w:rsidR="00B647F5">
        <w:rPr>
          <w:rStyle w:val="a5"/>
        </w:rPr>
        <w:footnoteReference w:id="7"/>
      </w:r>
      <w:r>
        <w:t xml:space="preserve"> </w:t>
      </w:r>
      <w:r w:rsidR="00A07566">
        <w:t xml:space="preserve">We should note, however, that William is </w:t>
      </w:r>
      <w:r w:rsidR="00E209AB">
        <w:t xml:space="preserve">simply </w:t>
      </w:r>
      <w:r w:rsidR="00A07566">
        <w:t xml:space="preserve">confirming </w:t>
      </w:r>
      <w:r w:rsidR="00AC78C3">
        <w:t>the previous grants of Edward the</w:t>
      </w:r>
      <w:r w:rsidR="00A07566">
        <w:t xml:space="preserve"> Confessor</w:t>
      </w:r>
      <w:r w:rsidR="00E209AB">
        <w:t>, whom he solemnly and respectfully refers to as his ‘illustrious ancestor’.</w:t>
      </w:r>
      <w:r w:rsidR="00A07566">
        <w:t xml:space="preserve"> </w:t>
      </w:r>
      <w:r w:rsidR="00E53CB1">
        <w:t xml:space="preserve">William also makes </w:t>
      </w:r>
      <w:r w:rsidR="00E209AB">
        <w:t xml:space="preserve">it </w:t>
      </w:r>
      <w:r w:rsidR="00E53CB1">
        <w:t xml:space="preserve">explicit </w:t>
      </w:r>
      <w:r w:rsidR="00207D37">
        <w:t>that</w:t>
      </w:r>
      <w:r w:rsidR="00E53CB1">
        <w:t xml:space="preserve"> he expects </w:t>
      </w:r>
      <w:r w:rsidR="00207D37">
        <w:t>recompense</w:t>
      </w:r>
      <w:r w:rsidR="00E209AB">
        <w:t xml:space="preserve"> </w:t>
      </w:r>
      <w:r w:rsidR="00E53CB1">
        <w:t xml:space="preserve">in return for his </w:t>
      </w:r>
      <w:r w:rsidR="00A07566">
        <w:t>‘</w:t>
      </w:r>
      <w:r w:rsidR="00E53CB1">
        <w:t>gift</w:t>
      </w:r>
      <w:r w:rsidR="00A07566">
        <w:t>’</w:t>
      </w:r>
      <w:r w:rsidR="00E53CB1">
        <w:t xml:space="preserve">, namely the </w:t>
      </w:r>
      <w:r w:rsidR="00207D37">
        <w:t xml:space="preserve">offering of regular prayers by the </w:t>
      </w:r>
      <w:r w:rsidR="00E53CB1">
        <w:t>monks of St Denis for the success of the king and his issue ‘in this present life and the haven of perpetual peace’.</w:t>
      </w:r>
      <w:r w:rsidR="00B647F5">
        <w:rPr>
          <w:rStyle w:val="a5"/>
        </w:rPr>
        <w:footnoteReference w:id="8"/>
      </w:r>
      <w:r w:rsidR="00E209AB">
        <w:t xml:space="preserve"> The corpus concludes with a warning, known as the anathema or sanction, threatening divine punishment for anyone who chooses to ignore the precepts of the charter.</w:t>
      </w:r>
      <w:r w:rsidR="00B647F5">
        <w:rPr>
          <w:rStyle w:val="a5"/>
        </w:rPr>
        <w:footnoteReference w:id="9"/>
      </w:r>
      <w:r w:rsidR="002A6563">
        <w:t xml:space="preserve"> He refers to the fate of ‘Dathan and Abyron’,</w:t>
      </w:r>
      <w:r w:rsidR="00B647F5">
        <w:rPr>
          <w:rStyle w:val="a5"/>
        </w:rPr>
        <w:footnoteReference w:id="10"/>
      </w:r>
      <w:r w:rsidR="002A6563">
        <w:t xml:space="preserve"> which most medieval readers (or listeners) would have immediately understood as a reference to the wrath of God described in the Old Testament Book of Numbers.</w:t>
      </w:r>
    </w:p>
    <w:p w14:paraId="0EA5E398" w14:textId="77777777" w:rsidR="00B647F5" w:rsidRDefault="00B647F5"/>
    <w:p w14:paraId="59C8BF5D" w14:textId="7F228C04" w:rsidR="00701B35" w:rsidRDefault="00A159EC">
      <w:r>
        <w:t>The document concludes with</w:t>
      </w:r>
      <w:r w:rsidR="00404234">
        <w:t xml:space="preserve"> the eschatocol, which comprises</w:t>
      </w:r>
      <w:r>
        <w:t xml:space="preserve"> a dating clause and a list of witnesses.</w:t>
      </w:r>
      <w:r w:rsidR="00B647F5">
        <w:rPr>
          <w:rStyle w:val="a5"/>
        </w:rPr>
        <w:footnoteReference w:id="11"/>
      </w:r>
      <w:r w:rsidR="00B129D8">
        <w:t xml:space="preserve"> In this case, the calendar date and the regnal year are both given, while the witness list mentions prominent figures from the king’s court, including both nobles and ecclesiastical leaders. Notably, the list includes several members of the king’s family, such as </w:t>
      </w:r>
      <w:r w:rsidR="005A61BB">
        <w:t xml:space="preserve">his </w:t>
      </w:r>
      <w:r w:rsidR="00B129D8">
        <w:t xml:space="preserve">Bishop Odo, some of whom hold high church or secular positions. The eschatocol also identifies the place where the charter was issued, namely the Monastery of St Swithun in Winchester, </w:t>
      </w:r>
      <w:r w:rsidR="00D530F8">
        <w:t xml:space="preserve">therefore suggesting the importance of </w:t>
      </w:r>
      <w:r w:rsidR="005A61BB">
        <w:t>the</w:t>
      </w:r>
      <w:r w:rsidR="00D530F8">
        <w:t xml:space="preserve"> city in royal affairs at this date.</w:t>
      </w:r>
      <w:r w:rsidR="00B647F5">
        <w:rPr>
          <w:rStyle w:val="a5"/>
        </w:rPr>
        <w:footnoteReference w:id="12"/>
      </w:r>
    </w:p>
    <w:p w14:paraId="254AC5C9" w14:textId="77777777" w:rsidR="00701B35" w:rsidRDefault="00701B35"/>
    <w:p w14:paraId="450D109D" w14:textId="2CFBE883" w:rsidR="00BD2557" w:rsidRDefault="00701B35">
      <w:r>
        <w:t>Both the place and date of issue are highly significant.</w:t>
      </w:r>
      <w:r w:rsidR="00293603">
        <w:t xml:space="preserve"> Winchester was the former Anglo-Saxon royal capital,</w:t>
      </w:r>
      <w:r w:rsidR="005A61BB">
        <w:t xml:space="preserve"> where the Anglo-Saxon kings, es</w:t>
      </w:r>
      <w:r w:rsidR="00293603">
        <w:t>pecially Alfred, had established a royal palace and built the Old Minster as one of the principal religious buildings in the land. After the conquest, Harold Godwinson’s widow had surrendered the city to the Normans. William rebuilt Winchester, erecting a new cathedral, rebuilding the old royal palace and constructing a large castle just outside the city limits. The castle would be an important seat of power for the Norman kings for the next 100 years.</w:t>
      </w:r>
      <w:r w:rsidR="00B647F5">
        <w:rPr>
          <w:rStyle w:val="a5"/>
        </w:rPr>
        <w:footnoteReference w:id="13"/>
      </w:r>
      <w:r w:rsidR="00293603">
        <w:t xml:space="preserve"> By issuing charters from Winchester, particul</w:t>
      </w:r>
      <w:r w:rsidR="00D555F5">
        <w:t xml:space="preserve">arly this one that mentions </w:t>
      </w:r>
      <w:r w:rsidR="00293603">
        <w:t xml:space="preserve">King Edward in such prominent terms and </w:t>
      </w:r>
      <w:r w:rsidR="00222006">
        <w:t>confirms</w:t>
      </w:r>
      <w:r w:rsidR="00293603">
        <w:t xml:space="preserve"> his previous gifts to St Denis, it is </w:t>
      </w:r>
      <w:r w:rsidR="005A61BB">
        <w:t>clear that he is trying to establish continuity between the reign of the Anglo-Saxons and his own somewhat shakily established regime</w:t>
      </w:r>
      <w:r w:rsidR="00981B0E">
        <w:t>, and thereby to</w:t>
      </w:r>
      <w:r w:rsidR="005A61BB">
        <w:t xml:space="preserve"> legitimate his rule. </w:t>
      </w:r>
    </w:p>
    <w:p w14:paraId="49FDCC68" w14:textId="77777777" w:rsidR="005A61BB" w:rsidRDefault="005A61BB"/>
    <w:p w14:paraId="28979AE8" w14:textId="57445A3A" w:rsidR="005A61BB" w:rsidRDefault="005A61BB">
      <w:r>
        <w:t xml:space="preserve">The year the charter was issued, 1069, was also </w:t>
      </w:r>
      <w:r w:rsidR="00701B35">
        <w:t>an extremely important one</w:t>
      </w:r>
      <w:r>
        <w:t xml:space="preserve"> </w:t>
      </w:r>
      <w:r w:rsidR="00701B35">
        <w:t xml:space="preserve">with regards to the question of the </w:t>
      </w:r>
      <w:r>
        <w:t>legitimacy</w:t>
      </w:r>
      <w:r w:rsidR="00701B35">
        <w:t xml:space="preserve"> of William’s rule</w:t>
      </w:r>
      <w:r>
        <w:t xml:space="preserve">. At that time, the kingdom was somewhat unstable and William faced widespread rebellion, particularly from resurgent Anglo-Saxons and other claimants to the throne. William would soon embark on the harrying of the North in an attempt to crush rebellion and </w:t>
      </w:r>
      <w:r w:rsidR="00752C3F">
        <w:t>firmly establish his realm. In addition to military action, the Norman Church was used as an “agent of colonization” to help spread Norman cultural influence and political power. William encouraged the settlement of Norman abbots and monks in this period, importing a foreign tier of leadership over the existing institutions of the church in England. The king also replaced Anglo-Saxon earls with Norman ones in these years, and rewarded his supporters, the ‘sagacious’ magnates mentioned in this charter, with land and possessions.</w:t>
      </w:r>
      <w:r w:rsidR="007F1B1C">
        <w:rPr>
          <w:rStyle w:val="a5"/>
        </w:rPr>
        <w:footnoteReference w:id="14"/>
      </w:r>
      <w:r w:rsidR="00752C3F">
        <w:t xml:space="preserve"> The confirmation</w:t>
      </w:r>
      <w:r w:rsidR="00A44732">
        <w:t xml:space="preserve"> by William of the rights of St Denis in regards to Deerhurst and Taynton should </w:t>
      </w:r>
      <w:r w:rsidR="007F1B1C">
        <w:t xml:space="preserve">arguably </w:t>
      </w:r>
      <w:r w:rsidR="00A44732">
        <w:t>be seen as part of a wider strategy to maintain the loyalty of his allies and establish a strong, cross-channel Anglo-Norman kingdom that he could bequeath to his future heirs.</w:t>
      </w:r>
    </w:p>
    <w:p w14:paraId="01BCB7BE" w14:textId="77777777" w:rsidR="00A44732" w:rsidRDefault="00A44732"/>
    <w:p w14:paraId="2BA65066" w14:textId="2F5C9D1A" w:rsidR="00B97E5B" w:rsidRDefault="00B97E5B">
      <w:r>
        <w:t xml:space="preserve">In addition, </w:t>
      </w:r>
      <w:r w:rsidR="000F7DFA">
        <w:t xml:space="preserve">the pious language of the charter and the religious nature of the grant at this particular time suggest a further two-fold significance here. William is exploiting the religious legacy of Edward the Confessor. He is showing that his right to rule is not just based on force of arms, but also on his good deeds and the divine favour of God. At the same time, William must have been aware that his power was indeed gained through war and slaughter. He must have had real concerns about the wrath of God and the eventual fate of his own mortal soul </w:t>
      </w:r>
      <w:r w:rsidR="00D8416D">
        <w:t>in the world to come. He therefore makes it explicit in the charter that the monks of St Denis and Deerhurst are required to say prayers for him and his family to ensure he is able to obtain the grace of God and receive the ‘treasures in heaven’ that he has earned through donations and piety.</w:t>
      </w:r>
      <w:r w:rsidR="007F1B1C">
        <w:rPr>
          <w:rStyle w:val="a5"/>
        </w:rPr>
        <w:footnoteReference w:id="15"/>
      </w:r>
    </w:p>
    <w:p w14:paraId="4B929263" w14:textId="77777777" w:rsidR="004E15E3" w:rsidRDefault="004E15E3"/>
    <w:p w14:paraId="5106CF28" w14:textId="41F7EC87" w:rsidR="004E15E3" w:rsidRDefault="004E15E3">
      <w:r>
        <w:t xml:space="preserve">The use of charters as a historical source presents several problems to the historian. Firstly, they were written in Latin or older forms of English (or other languages), so most historians will rely on finding an accurate translation. Secondly, these documents might not be dated, which </w:t>
      </w:r>
      <w:r w:rsidR="00FC22CC">
        <w:t>affects their value as a historical source. The historian may need to rely on paleography, or a deeper understanding of changes in formulaic language or conventions over time, in order to accurately date the document. Furthermore, many of the documents may have survived in the form of copies</w:t>
      </w:r>
      <w:r w:rsidR="006D235F">
        <w:t xml:space="preserve"> held in medieval cartularies. S</w:t>
      </w:r>
      <w:r w:rsidR="00FC22CC">
        <w:t>cribal errors</w:t>
      </w:r>
      <w:r w:rsidR="006D235F">
        <w:t xml:space="preserve"> may have been introduced</w:t>
      </w:r>
      <w:r w:rsidR="00FC22CC">
        <w:t xml:space="preserve">, or the scribe may </w:t>
      </w:r>
      <w:r w:rsidR="006D235F">
        <w:t xml:space="preserve">have </w:t>
      </w:r>
      <w:r w:rsidR="00FC22CC">
        <w:t>‘</w:t>
      </w:r>
      <w:r w:rsidR="00701B35">
        <w:t>edited</w:t>
      </w:r>
      <w:r w:rsidR="00FC22CC">
        <w:t>’ the language of the document to fit with contemporary standards. Finally, there is also the problem of outright forgery, which was widespread in the middle ages. Forgeries can usually be detected, but the historian needs to treat charters and other documents with the utmost care.</w:t>
      </w:r>
      <w:r w:rsidR="007F1B1C">
        <w:rPr>
          <w:rStyle w:val="a5"/>
        </w:rPr>
        <w:footnoteReference w:id="16"/>
      </w:r>
    </w:p>
    <w:p w14:paraId="748613F5" w14:textId="77777777" w:rsidR="00FC22CC" w:rsidRDefault="00FC22CC"/>
    <w:p w14:paraId="010AC67E" w14:textId="24DDBE0E" w:rsidR="00FC22CC" w:rsidRDefault="00C1166E">
      <w:r>
        <w:rPr>
          <w:rFonts w:hint="eastAsia"/>
        </w:rPr>
        <w:t>The</w:t>
      </w:r>
      <w:r>
        <w:t xml:space="preserve"> research potential of medieval charters</w:t>
      </w:r>
      <w:r w:rsidR="007F1B1C">
        <w:t>, however,</w:t>
      </w:r>
      <w:r>
        <w:t xml:space="preserve"> is considerable</w:t>
      </w:r>
      <w:r w:rsidR="007F1B1C">
        <w:t>,</w:t>
      </w:r>
      <w:r>
        <w:t xml:space="preserve"> and we can use them to learn about important aspects of medieval society. </w:t>
      </w:r>
      <w:r w:rsidR="00902321">
        <w:t xml:space="preserve">They help us to understand the extent of a king or other landowner’s control and the way in which he or she exercised power. For example, William’s charter to St Denis, as well as other charters bequeathing land to secular magnates, allow us to understand the process by which the old Anglo-Saxon aristocracy and ecclesiastical order was disenfranchised and replaced by Norman nobles and bishops. The language used in charters is also useful for the historian. The language was highly formulaic, but these formulas changed over time in response to shifting circumstances. This can help us in dating documents </w:t>
      </w:r>
      <w:r w:rsidR="00634475">
        <w:t xml:space="preserve">to a particular period </w:t>
      </w:r>
      <w:r w:rsidR="00902321">
        <w:t xml:space="preserve">and </w:t>
      </w:r>
      <w:r w:rsidR="00634475">
        <w:t>can also offer clues to changes in social and economic structure. In addition, certain clauses in the charter were highly detailed and offer a wealth of information about specific families or geographical areas. For example, land charters usually included a boundary clause, which described the extent of the estate in question and allows the historian to build a picture of landholding patterns over time.</w:t>
      </w:r>
      <w:r w:rsidR="007F1B1C">
        <w:rPr>
          <w:rStyle w:val="a5"/>
        </w:rPr>
        <w:footnoteReference w:id="17"/>
      </w:r>
      <w:r w:rsidR="00634475">
        <w:t xml:space="preserve"> </w:t>
      </w:r>
    </w:p>
    <w:p w14:paraId="798F1B96" w14:textId="77777777" w:rsidR="00634475" w:rsidRDefault="00634475"/>
    <w:p w14:paraId="79C53426" w14:textId="5DBD6458" w:rsidR="00634475" w:rsidRDefault="001D60AF">
      <w:r>
        <w:t xml:space="preserve">The witness lists included in every charter also allow us to trace the movements, and sometimes to follow the entire careers, of particular persons over time. In the case of royal charters, they tell us who was at the king’s court at a particular time (and perhaps who was in the king’s favour). </w:t>
      </w:r>
      <w:r w:rsidR="00DD07F2">
        <w:t>This can help us to understand the king’s circle of nobles and advisors (‘our magnates’ as mentioned by William in the St Denis c</w:t>
      </w:r>
      <w:r w:rsidR="00701B35">
        <w:t>harter</w:t>
      </w:r>
      <w:r w:rsidR="007F1B1C">
        <w:rPr>
          <w:rStyle w:val="a5"/>
        </w:rPr>
        <w:footnoteReference w:id="18"/>
      </w:r>
      <w:r w:rsidR="00701B35">
        <w:t xml:space="preserve">) and trace its evolution. </w:t>
      </w:r>
      <w:r w:rsidR="00F23DF0">
        <w:t>Conversely, we can identify notable absentees that were not present, which might suggest conflict with the monarch or other important reasons for their absence.</w:t>
      </w:r>
      <w:r w:rsidR="007F1B1C">
        <w:rPr>
          <w:rStyle w:val="a5"/>
        </w:rPr>
        <w:footnoteReference w:id="19"/>
      </w:r>
    </w:p>
    <w:p w14:paraId="5F0E7B03" w14:textId="77777777" w:rsidR="00F23DF0" w:rsidRDefault="00F23DF0"/>
    <w:p w14:paraId="015DC0EC" w14:textId="3CF3F9E8" w:rsidR="00F23DF0" w:rsidRDefault="00F23DF0">
      <w:r>
        <w:t xml:space="preserve">In summary, charters are a rich source of information for those involved in historical research. They have survived in considerable </w:t>
      </w:r>
      <w:r w:rsidR="008F3D41">
        <w:t xml:space="preserve">numbers and offer a wealth of information about medieval life and society. Indeed, even medieval forgeries can be useful in </w:t>
      </w:r>
      <w:r w:rsidR="00080E18">
        <w:t>helping us make inferences</w:t>
      </w:r>
      <w:r w:rsidR="008F3D41">
        <w:t xml:space="preserve"> about a particular individual, place or epoch. Charters are among the most important primary sources in the research arsenal of a modern historian.</w:t>
      </w:r>
    </w:p>
    <w:p w14:paraId="4F7A7E7F" w14:textId="77777777" w:rsidR="00D8416D" w:rsidRDefault="00D8416D"/>
    <w:p w14:paraId="0A9C2545" w14:textId="5DD04F66" w:rsidR="00D8416D" w:rsidRPr="006A5C98" w:rsidRDefault="006A5C98">
      <w:pPr>
        <w:rPr>
          <w:u w:val="single"/>
        </w:rPr>
      </w:pPr>
      <w:r w:rsidRPr="006A5C98">
        <w:rPr>
          <w:u w:val="single"/>
        </w:rPr>
        <w:t>Bibliography</w:t>
      </w:r>
    </w:p>
    <w:p w14:paraId="56BE4E57" w14:textId="77777777" w:rsidR="006A5C98" w:rsidRDefault="006A5C98"/>
    <w:p w14:paraId="0560035A" w14:textId="335C7787" w:rsidR="006A5C98" w:rsidRDefault="006A5C98" w:rsidP="006A5C98">
      <w:r>
        <w:t xml:space="preserve">Brown, R. Allen, </w:t>
      </w:r>
      <w:r w:rsidRPr="000C5AD1">
        <w:rPr>
          <w:i/>
        </w:rPr>
        <w:t xml:space="preserve">The Norman Conquest of England: Sources and Documents </w:t>
      </w:r>
      <w:r>
        <w:rPr>
          <w:rFonts w:hint="eastAsia"/>
        </w:rPr>
        <w:t>(</w:t>
      </w:r>
      <w:r>
        <w:t xml:space="preserve">Woodbridge: </w:t>
      </w:r>
      <w:r>
        <w:rPr>
          <w:rFonts w:hint="eastAsia"/>
        </w:rPr>
        <w:t>B</w:t>
      </w:r>
      <w:r w:rsidRPr="000C5AD1">
        <w:t>oydell &amp; Brewer Ltd.</w:t>
      </w:r>
      <w:r>
        <w:t>, 1995)</w:t>
      </w:r>
    </w:p>
    <w:p w14:paraId="4F6D363D" w14:textId="77777777" w:rsidR="006A5C98" w:rsidRDefault="006A5C98" w:rsidP="006A5C98"/>
    <w:p w14:paraId="2BC691E3" w14:textId="77777777" w:rsidR="006A5C98" w:rsidRDefault="006A5C98" w:rsidP="006A5C98">
      <w:r>
        <w:rPr>
          <w:rFonts w:hint="eastAsia"/>
        </w:rPr>
        <w:t>Hyam</w:t>
      </w:r>
      <w:r>
        <w:t>s, P.R., ‘Warranty and Good Lordship in Twelfth Century England’, Law and History Review Vol. 5(2) (Autumn, 1987), pp.437-503</w:t>
      </w:r>
    </w:p>
    <w:p w14:paraId="7BD76F21" w14:textId="77777777" w:rsidR="006A5C98" w:rsidRDefault="006A5C98" w:rsidP="006A5C98"/>
    <w:p w14:paraId="12CF31A3" w14:textId="77777777" w:rsidR="006A5C98" w:rsidRDefault="006A5C98" w:rsidP="006A5C98">
      <w:r>
        <w:t xml:space="preserve">Maitland, F.W., </w:t>
      </w:r>
      <w:r w:rsidRPr="00B675A4">
        <w:rPr>
          <w:i/>
        </w:rPr>
        <w:t>The Domesday Book and Beyond</w:t>
      </w:r>
      <w:r>
        <w:t xml:space="preserve"> (Cambridge University Press: Cambridge, 1921)</w:t>
      </w:r>
    </w:p>
    <w:p w14:paraId="31AFFC61" w14:textId="77777777" w:rsidR="006A5C98" w:rsidRDefault="006A5C98" w:rsidP="006A5C98"/>
    <w:p w14:paraId="4771D7A0" w14:textId="77777777" w:rsidR="006A5C98" w:rsidRDefault="006A5C98" w:rsidP="006A5C98">
      <w:r>
        <w:t xml:space="preserve">Sharpe, R., ‘Charters, Deeds and Diplomatics’, in Mantello, F.A.C., Rigg, A.G. (eds.), </w:t>
      </w:r>
      <w:r w:rsidRPr="00B675A4">
        <w:rPr>
          <w:i/>
        </w:rPr>
        <w:t>Medieval Latin: An Introduction and Bibliographical Guide</w:t>
      </w:r>
      <w:r>
        <w:t>, The Catholic University of America Press (Washington: 1996) p.230-40</w:t>
      </w:r>
    </w:p>
    <w:p w14:paraId="7569EC6A" w14:textId="77777777" w:rsidR="006A5C98" w:rsidRDefault="006A5C98" w:rsidP="006A5C98"/>
    <w:p w14:paraId="7B9F8FCC" w14:textId="4F7F1AE5" w:rsidR="006A5C98" w:rsidRDefault="006A5C98" w:rsidP="006A5C98">
      <w:r>
        <w:t xml:space="preserve">Thomas, H.M., </w:t>
      </w:r>
      <w:r w:rsidRPr="00450AB7">
        <w:rPr>
          <w:i/>
        </w:rPr>
        <w:t xml:space="preserve">The Norman Conquest: England after William the Conqueror </w:t>
      </w:r>
      <w:r>
        <w:t>(Ranham: Rowhan and Littlefield Publishers, 2008)</w:t>
      </w:r>
    </w:p>
    <w:p w14:paraId="1B82D632" w14:textId="77777777" w:rsidR="006A5C98" w:rsidRDefault="006A5C98"/>
    <w:p w14:paraId="4D769B99" w14:textId="77777777" w:rsidR="00A44732" w:rsidRDefault="00A44732"/>
    <w:p w14:paraId="6D4BB7B2" w14:textId="77777777" w:rsidR="00E209AB" w:rsidRDefault="00E209AB"/>
    <w:p w14:paraId="1868C6F5" w14:textId="77777777" w:rsidR="00E209AB" w:rsidRDefault="00E209AB"/>
    <w:p w14:paraId="404464AE" w14:textId="77777777" w:rsidR="009557FC" w:rsidRDefault="009557FC"/>
    <w:p w14:paraId="4CB3FABE" w14:textId="77777777" w:rsidR="009557FC" w:rsidRDefault="009557FC"/>
    <w:sectPr w:rsidR="009557FC" w:rsidSect="00BB34F2">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CE33C6" w14:textId="77777777" w:rsidR="00D12ABC" w:rsidRDefault="00D12ABC" w:rsidP="00D50482">
      <w:r>
        <w:separator/>
      </w:r>
    </w:p>
  </w:endnote>
  <w:endnote w:type="continuationSeparator" w:id="0">
    <w:p w14:paraId="1ACB43D6" w14:textId="77777777" w:rsidR="00D12ABC" w:rsidRDefault="00D12ABC" w:rsidP="00D504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SimSun">
    <w:altName w:val="宋体"/>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F9EE63" w14:textId="77777777" w:rsidR="00D12ABC" w:rsidRDefault="00D12ABC" w:rsidP="00D50482">
      <w:r>
        <w:separator/>
      </w:r>
    </w:p>
  </w:footnote>
  <w:footnote w:type="continuationSeparator" w:id="0">
    <w:p w14:paraId="573F8EC3" w14:textId="77777777" w:rsidR="00D12ABC" w:rsidRDefault="00D12ABC" w:rsidP="00D50482">
      <w:r>
        <w:continuationSeparator/>
      </w:r>
    </w:p>
  </w:footnote>
  <w:footnote w:id="1">
    <w:p w14:paraId="493D358D" w14:textId="0ECB3B5E" w:rsidR="00D12ABC" w:rsidRDefault="00D12ABC">
      <w:pPr>
        <w:pStyle w:val="a3"/>
      </w:pPr>
      <w:r>
        <w:rPr>
          <w:rStyle w:val="a5"/>
        </w:rPr>
        <w:footnoteRef/>
      </w:r>
      <w:r>
        <w:t xml:space="preserve"> </w:t>
      </w:r>
      <w:r w:rsidR="00586D0E">
        <w:rPr>
          <w:rFonts w:hint="eastAsia"/>
        </w:rPr>
        <w:t>Fr</w:t>
      </w:r>
      <w:r w:rsidR="00586D0E">
        <w:t xml:space="preserve">ederick </w:t>
      </w:r>
      <w:r w:rsidRPr="00D50482">
        <w:t xml:space="preserve">Maitland, </w:t>
      </w:r>
      <w:r w:rsidRPr="00D50482">
        <w:rPr>
          <w:i/>
        </w:rPr>
        <w:t>The Domesday Book and Beyond</w:t>
      </w:r>
      <w:r w:rsidRPr="00D50482">
        <w:t xml:space="preserve"> (Cambridge University Press: Cambridge, 1921)</w:t>
      </w:r>
      <w:r w:rsidR="0097308D">
        <w:t>, p.72</w:t>
      </w:r>
    </w:p>
  </w:footnote>
  <w:footnote w:id="2">
    <w:p w14:paraId="4EA84A5F" w14:textId="10F9C421" w:rsidR="00D12ABC" w:rsidRDefault="00D12ABC">
      <w:pPr>
        <w:pStyle w:val="a3"/>
      </w:pPr>
      <w:r>
        <w:rPr>
          <w:rStyle w:val="a5"/>
        </w:rPr>
        <w:footnoteRef/>
      </w:r>
      <w:r>
        <w:t xml:space="preserve"> </w:t>
      </w:r>
      <w:r w:rsidR="00586D0E">
        <w:t>Reginald Brown</w:t>
      </w:r>
      <w:r w:rsidRPr="00D50482">
        <w:t xml:space="preserve">, </w:t>
      </w:r>
      <w:r w:rsidRPr="00D50482">
        <w:rPr>
          <w:i/>
        </w:rPr>
        <w:t xml:space="preserve">The Norman Conquest of England: Sources and Documents </w:t>
      </w:r>
      <w:r w:rsidRPr="00D50482">
        <w:t>(Woodbridge: Boydell &amp; Brewer Ltd., 1995), p.145</w:t>
      </w:r>
    </w:p>
  </w:footnote>
  <w:footnote w:id="3">
    <w:p w14:paraId="179D0A52" w14:textId="7A046643" w:rsidR="00D12ABC" w:rsidRDefault="00D12ABC">
      <w:pPr>
        <w:pStyle w:val="a3"/>
      </w:pPr>
      <w:r>
        <w:rPr>
          <w:rStyle w:val="a5"/>
        </w:rPr>
        <w:footnoteRef/>
      </w:r>
      <w:r>
        <w:t xml:space="preserve"> </w:t>
      </w:r>
      <w:r w:rsidR="00586D0E">
        <w:t>Richard Sharpe</w:t>
      </w:r>
      <w:r w:rsidRPr="00D50482">
        <w:t xml:space="preserve">, ‘Charters, Deeds and Diplomatics’, in Mantello, F.A.C., Rigg, A.G. (eds.), </w:t>
      </w:r>
      <w:r w:rsidRPr="00D50482">
        <w:rPr>
          <w:i/>
        </w:rPr>
        <w:t>Medieval Latin: An Introduction and Bibliographical Guide</w:t>
      </w:r>
      <w:r w:rsidRPr="00D50482">
        <w:t>, The Catholic University of America Pres</w:t>
      </w:r>
      <w:r w:rsidR="0097308D">
        <w:t>s (Washington: 1996) p.235</w:t>
      </w:r>
      <w:r w:rsidRPr="00D50482">
        <w:t xml:space="preserve">   </w:t>
      </w:r>
    </w:p>
  </w:footnote>
  <w:footnote w:id="4">
    <w:p w14:paraId="487F9408" w14:textId="7F6BAC2B" w:rsidR="00D12ABC" w:rsidRDefault="00D12ABC">
      <w:pPr>
        <w:pStyle w:val="a3"/>
      </w:pPr>
      <w:r>
        <w:rPr>
          <w:rStyle w:val="a5"/>
        </w:rPr>
        <w:footnoteRef/>
      </w:r>
      <w:r w:rsidR="0097308D">
        <w:t xml:space="preserve"> Maitland, p.74</w:t>
      </w:r>
    </w:p>
  </w:footnote>
  <w:footnote w:id="5">
    <w:p w14:paraId="0FA8BB7D" w14:textId="72E015E6" w:rsidR="00D12ABC" w:rsidRDefault="00D12ABC">
      <w:pPr>
        <w:pStyle w:val="a3"/>
      </w:pPr>
      <w:r>
        <w:rPr>
          <w:rStyle w:val="a5"/>
        </w:rPr>
        <w:footnoteRef/>
      </w:r>
      <w:r w:rsidR="0097308D">
        <w:t xml:space="preserve"> Brown</w:t>
      </w:r>
    </w:p>
  </w:footnote>
  <w:footnote w:id="6">
    <w:p w14:paraId="2906E4A1" w14:textId="324360EB" w:rsidR="00D12ABC" w:rsidRDefault="00D12ABC">
      <w:pPr>
        <w:pStyle w:val="a3"/>
      </w:pPr>
      <w:r>
        <w:rPr>
          <w:rStyle w:val="a5"/>
        </w:rPr>
        <w:footnoteRef/>
      </w:r>
      <w:r>
        <w:t xml:space="preserve"> Maitland</w:t>
      </w:r>
      <w:r w:rsidR="0097308D">
        <w:t>, p.75</w:t>
      </w:r>
    </w:p>
  </w:footnote>
  <w:footnote w:id="7">
    <w:p w14:paraId="2B97951E" w14:textId="74557CE9" w:rsidR="00D12ABC" w:rsidRDefault="00D12ABC">
      <w:pPr>
        <w:pStyle w:val="a3"/>
      </w:pPr>
      <w:r>
        <w:rPr>
          <w:rStyle w:val="a5"/>
        </w:rPr>
        <w:footnoteRef/>
      </w:r>
      <w:r>
        <w:t xml:space="preserve"> Ibid</w:t>
      </w:r>
    </w:p>
  </w:footnote>
  <w:footnote w:id="8">
    <w:p w14:paraId="6651B2F1" w14:textId="75E79090" w:rsidR="00D12ABC" w:rsidRDefault="00D12ABC">
      <w:pPr>
        <w:pStyle w:val="a3"/>
      </w:pPr>
      <w:r>
        <w:rPr>
          <w:rStyle w:val="a5"/>
        </w:rPr>
        <w:footnoteRef/>
      </w:r>
      <w:r>
        <w:t xml:space="preserve"> Brown</w:t>
      </w:r>
    </w:p>
  </w:footnote>
  <w:footnote w:id="9">
    <w:p w14:paraId="26274D53" w14:textId="27F69179" w:rsidR="00D12ABC" w:rsidRDefault="00D12ABC">
      <w:pPr>
        <w:pStyle w:val="a3"/>
      </w:pPr>
      <w:r>
        <w:rPr>
          <w:rStyle w:val="a5"/>
        </w:rPr>
        <w:footnoteRef/>
      </w:r>
      <w:r w:rsidR="0097308D">
        <w:t xml:space="preserve"> Sharpe, p. 236</w:t>
      </w:r>
    </w:p>
  </w:footnote>
  <w:footnote w:id="10">
    <w:p w14:paraId="763B24D8" w14:textId="04C0DCE9" w:rsidR="00D12ABC" w:rsidRDefault="00D12ABC">
      <w:pPr>
        <w:pStyle w:val="a3"/>
      </w:pPr>
      <w:r>
        <w:rPr>
          <w:rStyle w:val="a5"/>
        </w:rPr>
        <w:footnoteRef/>
      </w:r>
      <w:r>
        <w:t xml:space="preserve"> Brown</w:t>
      </w:r>
    </w:p>
  </w:footnote>
  <w:footnote w:id="11">
    <w:p w14:paraId="0056E4BF" w14:textId="39378701" w:rsidR="00D12ABC" w:rsidRDefault="00D12ABC">
      <w:pPr>
        <w:pStyle w:val="a3"/>
      </w:pPr>
      <w:r>
        <w:rPr>
          <w:rStyle w:val="a5"/>
        </w:rPr>
        <w:footnoteRef/>
      </w:r>
      <w:r>
        <w:t xml:space="preserve"> Sharpe</w:t>
      </w:r>
      <w:r w:rsidR="0097308D">
        <w:t>, p. 236</w:t>
      </w:r>
    </w:p>
  </w:footnote>
  <w:footnote w:id="12">
    <w:p w14:paraId="6B62622C" w14:textId="49449CEC" w:rsidR="00D12ABC" w:rsidRDefault="00D12ABC">
      <w:pPr>
        <w:pStyle w:val="a3"/>
      </w:pPr>
      <w:r>
        <w:rPr>
          <w:rStyle w:val="a5"/>
        </w:rPr>
        <w:footnoteRef/>
      </w:r>
      <w:r>
        <w:t xml:space="preserve"> Brown</w:t>
      </w:r>
    </w:p>
  </w:footnote>
  <w:footnote w:id="13">
    <w:p w14:paraId="4EE20F3E" w14:textId="51981243" w:rsidR="00D12ABC" w:rsidRDefault="00D12ABC">
      <w:pPr>
        <w:pStyle w:val="a3"/>
      </w:pPr>
      <w:r>
        <w:rPr>
          <w:rStyle w:val="a5"/>
        </w:rPr>
        <w:footnoteRef/>
      </w:r>
      <w:r>
        <w:t xml:space="preserve"> Hugh Thomas, </w:t>
      </w:r>
      <w:r w:rsidR="00B32BB6" w:rsidRPr="00450AB7">
        <w:rPr>
          <w:i/>
        </w:rPr>
        <w:t xml:space="preserve">The Norman Conquest: England after William the Conqueror </w:t>
      </w:r>
      <w:r w:rsidR="00B32BB6">
        <w:t>(Ranham: Rowhan and Littlefield Publishers, 2008)</w:t>
      </w:r>
      <w:r w:rsidR="0097308D">
        <w:t xml:space="preserve">, </w:t>
      </w:r>
      <w:r w:rsidR="00B32BB6">
        <w:t>p. 39</w:t>
      </w:r>
    </w:p>
  </w:footnote>
  <w:footnote w:id="14">
    <w:p w14:paraId="59A679E5" w14:textId="42E24ED8" w:rsidR="00D12ABC" w:rsidRDefault="00D12ABC">
      <w:pPr>
        <w:pStyle w:val="a3"/>
      </w:pPr>
      <w:r>
        <w:rPr>
          <w:rStyle w:val="a5"/>
        </w:rPr>
        <w:footnoteRef/>
      </w:r>
      <w:r>
        <w:t xml:space="preserve"> </w:t>
      </w:r>
      <w:r w:rsidR="00B32BB6">
        <w:t>Ibid, p.43</w:t>
      </w:r>
    </w:p>
  </w:footnote>
  <w:footnote w:id="15">
    <w:p w14:paraId="0F03ABBD" w14:textId="2D50CFC6" w:rsidR="00D12ABC" w:rsidRDefault="00D12ABC">
      <w:pPr>
        <w:pStyle w:val="a3"/>
      </w:pPr>
      <w:r>
        <w:rPr>
          <w:rStyle w:val="a5"/>
        </w:rPr>
        <w:footnoteRef/>
      </w:r>
      <w:r>
        <w:t xml:space="preserve"> Brown</w:t>
      </w:r>
    </w:p>
  </w:footnote>
  <w:footnote w:id="16">
    <w:p w14:paraId="5F39C6B1" w14:textId="2243061C" w:rsidR="00D12ABC" w:rsidRDefault="00D12ABC">
      <w:pPr>
        <w:pStyle w:val="a3"/>
      </w:pPr>
      <w:r>
        <w:rPr>
          <w:rStyle w:val="a5"/>
        </w:rPr>
        <w:footnoteRef/>
      </w:r>
      <w:r>
        <w:t xml:space="preserve"> Sharpe</w:t>
      </w:r>
      <w:r w:rsidR="0097308D">
        <w:t>, p. 238</w:t>
      </w:r>
    </w:p>
  </w:footnote>
  <w:footnote w:id="17">
    <w:p w14:paraId="69D0E25F" w14:textId="1057F333" w:rsidR="00D12ABC" w:rsidRDefault="00D12ABC">
      <w:pPr>
        <w:pStyle w:val="a3"/>
      </w:pPr>
      <w:r>
        <w:rPr>
          <w:rStyle w:val="a5"/>
        </w:rPr>
        <w:footnoteRef/>
      </w:r>
      <w:r>
        <w:t xml:space="preserve"> Ibid</w:t>
      </w:r>
    </w:p>
  </w:footnote>
  <w:footnote w:id="18">
    <w:p w14:paraId="2EF769FF" w14:textId="3FFAB432" w:rsidR="00D12ABC" w:rsidRDefault="00D12ABC">
      <w:pPr>
        <w:pStyle w:val="a3"/>
      </w:pPr>
      <w:r>
        <w:rPr>
          <w:rStyle w:val="a5"/>
        </w:rPr>
        <w:footnoteRef/>
      </w:r>
      <w:r>
        <w:t xml:space="preserve"> Brown</w:t>
      </w:r>
    </w:p>
  </w:footnote>
  <w:footnote w:id="19">
    <w:p w14:paraId="45BF6513" w14:textId="50D59C23" w:rsidR="00D12ABC" w:rsidRDefault="00D12ABC">
      <w:pPr>
        <w:pStyle w:val="a3"/>
      </w:pPr>
      <w:r>
        <w:rPr>
          <w:rStyle w:val="a5"/>
        </w:rPr>
        <w:footnoteRef/>
      </w:r>
      <w:r>
        <w:t xml:space="preserve"> Sharpe</w:t>
      </w:r>
      <w:r w:rsidR="0097308D">
        <w:t>, p. 239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12"/>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2A3D"/>
    <w:rsid w:val="00080E18"/>
    <w:rsid w:val="000C4691"/>
    <w:rsid w:val="000F7DFA"/>
    <w:rsid w:val="001D60AF"/>
    <w:rsid w:val="00207D37"/>
    <w:rsid w:val="00222006"/>
    <w:rsid w:val="00273A3F"/>
    <w:rsid w:val="00293603"/>
    <w:rsid w:val="002A6563"/>
    <w:rsid w:val="00352708"/>
    <w:rsid w:val="00365FF2"/>
    <w:rsid w:val="003C181F"/>
    <w:rsid w:val="003E65CE"/>
    <w:rsid w:val="00404234"/>
    <w:rsid w:val="00404969"/>
    <w:rsid w:val="004D2A3D"/>
    <w:rsid w:val="004E15E3"/>
    <w:rsid w:val="0055468D"/>
    <w:rsid w:val="00586D0E"/>
    <w:rsid w:val="005A61BB"/>
    <w:rsid w:val="00634475"/>
    <w:rsid w:val="006A5C98"/>
    <w:rsid w:val="006D235F"/>
    <w:rsid w:val="00701B35"/>
    <w:rsid w:val="00752C3F"/>
    <w:rsid w:val="007F1B1C"/>
    <w:rsid w:val="008F3D41"/>
    <w:rsid w:val="00902321"/>
    <w:rsid w:val="00906ABF"/>
    <w:rsid w:val="00911652"/>
    <w:rsid w:val="009557FC"/>
    <w:rsid w:val="0097308D"/>
    <w:rsid w:val="00981B0E"/>
    <w:rsid w:val="00A07566"/>
    <w:rsid w:val="00A159EC"/>
    <w:rsid w:val="00A44732"/>
    <w:rsid w:val="00A85007"/>
    <w:rsid w:val="00AC78C3"/>
    <w:rsid w:val="00B129D8"/>
    <w:rsid w:val="00B32BB6"/>
    <w:rsid w:val="00B647F5"/>
    <w:rsid w:val="00B70A48"/>
    <w:rsid w:val="00B97E5B"/>
    <w:rsid w:val="00BB34F2"/>
    <w:rsid w:val="00BB6E2A"/>
    <w:rsid w:val="00BD2557"/>
    <w:rsid w:val="00C1166E"/>
    <w:rsid w:val="00C80F34"/>
    <w:rsid w:val="00D12ABC"/>
    <w:rsid w:val="00D50482"/>
    <w:rsid w:val="00D530F8"/>
    <w:rsid w:val="00D555F5"/>
    <w:rsid w:val="00D8416D"/>
    <w:rsid w:val="00DD07F2"/>
    <w:rsid w:val="00E209AB"/>
    <w:rsid w:val="00E53CB1"/>
    <w:rsid w:val="00F23DF0"/>
    <w:rsid w:val="00FC22CC"/>
    <w:rsid w:val="00FF74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D0A2DD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911652"/>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D50482"/>
    <w:pPr>
      <w:snapToGrid w:val="0"/>
      <w:jc w:val="left"/>
    </w:pPr>
    <w:rPr>
      <w:sz w:val="18"/>
      <w:szCs w:val="18"/>
    </w:rPr>
  </w:style>
  <w:style w:type="character" w:customStyle="1" w:styleId="a4">
    <w:name w:val="脚注文本字符"/>
    <w:basedOn w:val="a0"/>
    <w:link w:val="a3"/>
    <w:uiPriority w:val="99"/>
    <w:rsid w:val="00D50482"/>
    <w:rPr>
      <w:sz w:val="18"/>
      <w:szCs w:val="18"/>
    </w:rPr>
  </w:style>
  <w:style w:type="character" w:styleId="a5">
    <w:name w:val="footnote reference"/>
    <w:basedOn w:val="a0"/>
    <w:uiPriority w:val="99"/>
    <w:unhideWhenUsed/>
    <w:rsid w:val="00D50482"/>
    <w:rPr>
      <w:vertAlign w:val="superscript"/>
    </w:rPr>
  </w:style>
  <w:style w:type="character" w:customStyle="1" w:styleId="30">
    <w:name w:val="标题 3字符"/>
    <w:basedOn w:val="a0"/>
    <w:link w:val="3"/>
    <w:rsid w:val="00911652"/>
    <w:rPr>
      <w:rFonts w:ascii="Tahoma" w:eastAsia="SimSun" w:hAnsi="Tahoma" w:cs="Tahoma"/>
      <w:b/>
      <w:bCs/>
      <w:kern w:val="0"/>
      <w:sz w:val="20"/>
      <w:szCs w:val="20"/>
      <w:lang w:val="en-GB"/>
    </w:rPr>
  </w:style>
  <w:style w:type="paragraph" w:styleId="a6">
    <w:name w:val="Normal (Web)"/>
    <w:basedOn w:val="a"/>
    <w:rsid w:val="00911652"/>
    <w:pPr>
      <w:widowControl/>
      <w:spacing w:before="100" w:beforeAutospacing="1" w:after="100" w:afterAutospacing="1"/>
      <w:jc w:val="left"/>
    </w:pPr>
    <w:rPr>
      <w:rFonts w:ascii="Georgia" w:eastAsia="SimSun" w:hAnsi="Georgia" w:cs="Times New Roman"/>
      <w:color w:val="000000"/>
      <w:kern w:val="0"/>
      <w:sz w:val="21"/>
      <w:szCs w:val="21"/>
      <w:lang w:val="en-GB"/>
    </w:rPr>
  </w:style>
  <w:style w:type="paragraph" w:styleId="a7">
    <w:name w:val="Balloon Text"/>
    <w:basedOn w:val="a"/>
    <w:link w:val="a8"/>
    <w:uiPriority w:val="99"/>
    <w:semiHidden/>
    <w:unhideWhenUsed/>
    <w:rsid w:val="00911652"/>
    <w:rPr>
      <w:rFonts w:ascii="Lucida Grande" w:hAnsi="Lucida Grande" w:cs="Lucida Grande"/>
      <w:sz w:val="18"/>
      <w:szCs w:val="18"/>
    </w:rPr>
  </w:style>
  <w:style w:type="character" w:customStyle="1" w:styleId="a8">
    <w:name w:val="批注框文本字符"/>
    <w:basedOn w:val="a0"/>
    <w:link w:val="a7"/>
    <w:uiPriority w:val="99"/>
    <w:semiHidden/>
    <w:rsid w:val="00911652"/>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link w:val="30"/>
    <w:qFormat/>
    <w:rsid w:val="00911652"/>
    <w:pPr>
      <w:keepNext/>
      <w:widowControl/>
      <w:ind w:left="720"/>
      <w:outlineLvl w:val="2"/>
    </w:pPr>
    <w:rPr>
      <w:rFonts w:ascii="Tahoma" w:eastAsia="SimSun"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D50482"/>
    <w:pPr>
      <w:snapToGrid w:val="0"/>
      <w:jc w:val="left"/>
    </w:pPr>
    <w:rPr>
      <w:sz w:val="18"/>
      <w:szCs w:val="18"/>
    </w:rPr>
  </w:style>
  <w:style w:type="character" w:customStyle="1" w:styleId="a4">
    <w:name w:val="脚注文本字符"/>
    <w:basedOn w:val="a0"/>
    <w:link w:val="a3"/>
    <w:uiPriority w:val="99"/>
    <w:rsid w:val="00D50482"/>
    <w:rPr>
      <w:sz w:val="18"/>
      <w:szCs w:val="18"/>
    </w:rPr>
  </w:style>
  <w:style w:type="character" w:styleId="a5">
    <w:name w:val="footnote reference"/>
    <w:basedOn w:val="a0"/>
    <w:uiPriority w:val="99"/>
    <w:unhideWhenUsed/>
    <w:rsid w:val="00D50482"/>
    <w:rPr>
      <w:vertAlign w:val="superscript"/>
    </w:rPr>
  </w:style>
  <w:style w:type="character" w:customStyle="1" w:styleId="30">
    <w:name w:val="标题 3字符"/>
    <w:basedOn w:val="a0"/>
    <w:link w:val="3"/>
    <w:rsid w:val="00911652"/>
    <w:rPr>
      <w:rFonts w:ascii="Tahoma" w:eastAsia="SimSun" w:hAnsi="Tahoma" w:cs="Tahoma"/>
      <w:b/>
      <w:bCs/>
      <w:kern w:val="0"/>
      <w:sz w:val="20"/>
      <w:szCs w:val="20"/>
      <w:lang w:val="en-GB"/>
    </w:rPr>
  </w:style>
  <w:style w:type="paragraph" w:styleId="a6">
    <w:name w:val="Normal (Web)"/>
    <w:basedOn w:val="a"/>
    <w:rsid w:val="00911652"/>
    <w:pPr>
      <w:widowControl/>
      <w:spacing w:before="100" w:beforeAutospacing="1" w:after="100" w:afterAutospacing="1"/>
      <w:jc w:val="left"/>
    </w:pPr>
    <w:rPr>
      <w:rFonts w:ascii="Georgia" w:eastAsia="SimSun" w:hAnsi="Georgia" w:cs="Times New Roman"/>
      <w:color w:val="000000"/>
      <w:kern w:val="0"/>
      <w:sz w:val="21"/>
      <w:szCs w:val="21"/>
      <w:lang w:val="en-GB"/>
    </w:rPr>
  </w:style>
  <w:style w:type="paragraph" w:styleId="a7">
    <w:name w:val="Balloon Text"/>
    <w:basedOn w:val="a"/>
    <w:link w:val="a8"/>
    <w:uiPriority w:val="99"/>
    <w:semiHidden/>
    <w:unhideWhenUsed/>
    <w:rsid w:val="00911652"/>
    <w:rPr>
      <w:rFonts w:ascii="Lucida Grande" w:hAnsi="Lucida Grande" w:cs="Lucida Grande"/>
      <w:sz w:val="18"/>
      <w:szCs w:val="18"/>
    </w:rPr>
  </w:style>
  <w:style w:type="character" w:customStyle="1" w:styleId="a8">
    <w:name w:val="批注框文本字符"/>
    <w:basedOn w:val="a0"/>
    <w:link w:val="a7"/>
    <w:uiPriority w:val="99"/>
    <w:semiHidden/>
    <w:rsid w:val="00911652"/>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265</TotalTime>
  <Pages>7</Pages>
  <Words>1775</Words>
  <Characters>10124</Characters>
  <Application>Microsoft Macintosh Word</Application>
  <DocSecurity>0</DocSecurity>
  <Lines>84</Lines>
  <Paragraphs>23</Paragraphs>
  <ScaleCrop>false</ScaleCrop>
  <Company/>
  <LinksUpToDate>false</LinksUpToDate>
  <CharactersWithSpaces>11876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dc:creator>
  <cp:keywords/>
  <dc:description/>
  <cp:lastModifiedBy>Gina</cp:lastModifiedBy>
  <cp:revision>37</cp:revision>
  <dcterms:created xsi:type="dcterms:W3CDTF">2020-05-19T07:30:00Z</dcterms:created>
  <dcterms:modified xsi:type="dcterms:W3CDTF">2020-06-08T08:40:00Z</dcterms:modified>
</cp:coreProperties>
</file>