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10AC" w:rsidRDefault="006D1BB9">
      <w:pPr>
        <w:rPr>
          <w:sz w:val="24"/>
          <w:szCs w:val="24"/>
        </w:rPr>
      </w:pPr>
      <w:r>
        <w:rPr>
          <w:noProof/>
          <w:sz w:val="24"/>
          <w:szCs w:val="24"/>
        </w:rPr>
        <w:drawing>
          <wp:anchor distT="0" distB="0" distL="114300" distR="114300" simplePos="0" relativeHeight="251658240" behindDoc="0" locked="0" layoutInCell="1" allowOverlap="1" wp14:anchorId="3F7CEFB1">
            <wp:simplePos x="0" y="0"/>
            <wp:positionH relativeFrom="margin">
              <wp:posOffset>-1104900</wp:posOffset>
            </wp:positionH>
            <wp:positionV relativeFrom="margin">
              <wp:posOffset>-76200</wp:posOffset>
            </wp:positionV>
            <wp:extent cx="9339580" cy="39325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339580" cy="3932555"/>
                    </a:xfrm>
                    <a:prstGeom prst="rect">
                      <a:avLst/>
                    </a:prstGeom>
                    <a:noFill/>
                  </pic:spPr>
                </pic:pic>
              </a:graphicData>
            </a:graphic>
          </wp:anchor>
        </w:drawing>
      </w:r>
      <w:r w:rsidRPr="00783697">
        <w:rPr>
          <w:sz w:val="24"/>
          <w:szCs w:val="24"/>
        </w:rPr>
        <w:t>Scene from the Bayeux Tapestry; Harold swears an oath to William</w:t>
      </w:r>
    </w:p>
    <w:p w:rsidR="00E67A02" w:rsidRDefault="00E67A02">
      <w:pPr>
        <w:rPr>
          <w:sz w:val="24"/>
          <w:szCs w:val="24"/>
        </w:rPr>
      </w:pPr>
    </w:p>
    <w:p w:rsidR="00E67A02" w:rsidRDefault="00E67A02" w:rsidP="00230BA5">
      <w:pPr>
        <w:spacing w:line="480" w:lineRule="auto"/>
      </w:pPr>
      <w:r w:rsidRPr="00E67A02">
        <w:t>The Bayeux Tapestry is an embroidered cloth that is nearly seventy metres long and fifty centimetres tall. The cloth depicts the events leading up to the Norman conquest of England. It details the main figures involved</w:t>
      </w:r>
      <w:r>
        <w:t>,</w:t>
      </w:r>
      <w:r w:rsidRPr="00E67A02">
        <w:t xml:space="preserve"> William Duke of Normandy and Harold, Earl of Wessex who woul</w:t>
      </w:r>
      <w:r w:rsidR="008931E6">
        <w:t>d l</w:t>
      </w:r>
      <w:r w:rsidR="00431DE8">
        <w:t>ater become King of England.</w:t>
      </w:r>
      <w:r w:rsidR="00E722DE">
        <w:rPr>
          <w:rStyle w:val="FootnoteReference"/>
        </w:rPr>
        <w:footnoteReference w:id="1"/>
      </w:r>
      <w:r w:rsidRPr="00E67A02">
        <w:t xml:space="preserve"> </w:t>
      </w:r>
      <w:r w:rsidRPr="00DF6195">
        <w:t>The tapestry portrays a tale with a moral: the story of the retribution that meets the man who is disloyal and who breaks his oath</w:t>
      </w:r>
      <w:r w:rsidR="00431DE8" w:rsidRPr="00DF6195">
        <w:t>.</w:t>
      </w:r>
      <w:r w:rsidR="00B06CDA">
        <w:rPr>
          <w:rStyle w:val="FootnoteReference"/>
        </w:rPr>
        <w:footnoteReference w:id="2"/>
      </w:r>
      <w:r w:rsidR="00431DE8" w:rsidRPr="00DF6195">
        <w:t xml:space="preserve"> </w:t>
      </w:r>
      <w:r w:rsidR="00431DE8">
        <w:t>The study of the Bayeux Tapestry and its historical significance has caused much debate. Historians often approach the Bayeux tapestry in one of two ways: firstly, it offers evidence that allows historians to study a wide range of topics that the Bayeux tapestry draws attention to, such as politics of the time, military and social aspects of Norman life that would otherwise be unknown. Secondly, historians use the tapestry as a vital piece of evidence towards the understanding of Anglo-Norman history.</w:t>
      </w:r>
      <w:r w:rsidR="00B06CDA">
        <w:rPr>
          <w:rStyle w:val="FootnoteReference"/>
        </w:rPr>
        <w:footnoteReference w:id="3"/>
      </w:r>
      <w:r w:rsidR="00431DE8">
        <w:t xml:space="preserve"> </w:t>
      </w:r>
      <w:r w:rsidR="00DF6195">
        <w:t xml:space="preserve">A popular conception of the Bayeux Tapestry is that it is a work to emphasise Norman triumph, an incredibly important historical document but </w:t>
      </w:r>
      <w:r w:rsidR="00DF6195">
        <w:lastRenderedPageBreak/>
        <w:t xml:space="preserve">what it ultimately is a work that was produced by the Normans </w:t>
      </w:r>
      <w:r w:rsidR="006A2561">
        <w:t>to</w:t>
      </w:r>
      <w:r w:rsidR="00DF6195">
        <w:t xml:space="preserve"> celebrate and justify the Norman conquest of England.</w:t>
      </w:r>
      <w:r w:rsidR="00B06CDA">
        <w:rPr>
          <w:rStyle w:val="FootnoteReference"/>
        </w:rPr>
        <w:footnoteReference w:id="4"/>
      </w:r>
      <w:r w:rsidR="00DF6195">
        <w:t xml:space="preserve">  </w:t>
      </w:r>
    </w:p>
    <w:p w:rsidR="00C82A88" w:rsidRPr="00431DE8" w:rsidRDefault="00C82A88" w:rsidP="00230BA5">
      <w:pPr>
        <w:spacing w:line="480" w:lineRule="auto"/>
      </w:pPr>
      <w:r>
        <w:t xml:space="preserve">The Bayeux tapestry </w:t>
      </w:r>
      <w:r>
        <w:t>maintains</w:t>
      </w:r>
      <w:r>
        <w:t xml:space="preserve"> the enigma of the </w:t>
      </w:r>
      <w:r>
        <w:t xml:space="preserve">Norman </w:t>
      </w:r>
      <w:r>
        <w:t>conquest because its inscriptions give little detail and are therefore open to interpretation.</w:t>
      </w:r>
      <w:r w:rsidR="007E46A6">
        <w:rPr>
          <w:rStyle w:val="FootnoteReference"/>
        </w:rPr>
        <w:footnoteReference w:id="5"/>
      </w:r>
      <w:r>
        <w:t xml:space="preserve"> The inscription of the oath scene is</w:t>
      </w:r>
      <w:r>
        <w:t xml:space="preserve"> </w:t>
      </w:r>
      <w:r w:rsidRPr="00C82A88">
        <w:rPr>
          <w:i/>
        </w:rPr>
        <w:t>“</w:t>
      </w:r>
      <w:r w:rsidRPr="00C82A88">
        <w:rPr>
          <w:i/>
        </w:rPr>
        <w:t xml:space="preserve">Ubi Harold </w:t>
      </w:r>
      <w:r w:rsidRPr="00C82A88">
        <w:rPr>
          <w:i/>
        </w:rPr>
        <w:t>sacramentum fecit Willelmo duci”</w:t>
      </w:r>
      <w:r>
        <w:t xml:space="preserve"> </w:t>
      </w:r>
      <w:r>
        <w:t>(</w:t>
      </w:r>
      <w:r>
        <w:t>Where Harold took an oath to Duke William</w:t>
      </w:r>
      <w:r>
        <w:t>)</w:t>
      </w:r>
      <w:r w:rsidR="00DA453F">
        <w:t xml:space="preserve">. </w:t>
      </w:r>
      <w:r w:rsidR="00583D8B">
        <w:rPr>
          <w:rStyle w:val="FootnoteReference"/>
        </w:rPr>
        <w:footnoteReference w:id="6"/>
      </w:r>
      <w:r w:rsidR="00DA453F">
        <w:t xml:space="preserve">In the scene </w:t>
      </w:r>
      <w:r w:rsidR="00DA453F">
        <w:t>Duke William is shown seated on a thrown bearing his sword; Harold is shown standing between to relics</w:t>
      </w:r>
      <w:r w:rsidR="00DA453F">
        <w:t xml:space="preserve"> reaching</w:t>
      </w:r>
      <w:r w:rsidR="00DA453F">
        <w:t xml:space="preserve"> his hands over them. There is no indication of what Harold swore to William.</w:t>
      </w:r>
      <w:r w:rsidR="009A73CF">
        <w:rPr>
          <w:rStyle w:val="FootnoteReference"/>
        </w:rPr>
        <w:footnoteReference w:id="7"/>
      </w:r>
      <w:r w:rsidR="00DA453F">
        <w:t xml:space="preserve"> The earlier scene that depicts Harold seeing Edward before his departure to the continent gives no reasoning for his voyage.</w:t>
      </w:r>
      <w:r w:rsidR="009B2DBC">
        <w:rPr>
          <w:rStyle w:val="FootnoteReference"/>
        </w:rPr>
        <w:footnoteReference w:id="8"/>
      </w:r>
    </w:p>
    <w:p w:rsidR="00FA3F9C" w:rsidRDefault="00431DE8" w:rsidP="00230BA5">
      <w:pPr>
        <w:spacing w:line="480" w:lineRule="auto"/>
        <w:rPr>
          <w:color w:val="FF0000"/>
        </w:rPr>
      </w:pPr>
      <w:r>
        <w:t>The scene on the tapestry shows Harold swearing an oath to William, Duke of Normandy. This scene is the first high point in the first section of the narrative. The first series of images on the tapestry document Harold’s journey to the continent</w:t>
      </w:r>
      <w:r w:rsidR="00230BA5">
        <w:t>.</w:t>
      </w:r>
      <w:r w:rsidR="00C40923">
        <w:rPr>
          <w:rStyle w:val="FootnoteReference"/>
        </w:rPr>
        <w:footnoteReference w:id="9"/>
      </w:r>
      <w:r w:rsidR="00230BA5">
        <w:t xml:space="preserve"> A journey that Harold made according to the Norman story but not the English one, according to the Norman story he travelled from England to France and back again. The reasoning for Harold travelling to Normandy </w:t>
      </w:r>
      <w:r w:rsidR="00143BB8">
        <w:t xml:space="preserve">has been a source of debate amongst </w:t>
      </w:r>
      <w:r w:rsidR="00230BA5">
        <w:t>historians. Eadmer of Canterbury who was writing at the beginning of the twelfth century seems to offer the most plausible explanation as to why Harold was in Normandy and later swore the oath to William.</w:t>
      </w:r>
      <w:r w:rsidR="001F395B">
        <w:rPr>
          <w:rStyle w:val="FootnoteReference"/>
        </w:rPr>
        <w:footnoteReference w:id="10"/>
      </w:r>
      <w:r w:rsidR="00230BA5">
        <w:t xml:space="preserve"> </w:t>
      </w:r>
      <w:r w:rsidR="005D76DE">
        <w:t>Eadmer</w:t>
      </w:r>
      <w:r w:rsidR="00C82A88">
        <w:t xml:space="preserve"> says that Harold travelled to the duchy of Normandy </w:t>
      </w:r>
      <w:r w:rsidR="00EB3271">
        <w:t>to</w:t>
      </w:r>
      <w:r w:rsidR="00C82A88">
        <w:t xml:space="preserve"> negotiate the release of his brother Wulfnoth or his nephew Hakon. They were previously given to Edward the Confessor as hostages and he had presumably placed them in the care of William to be kept securely.</w:t>
      </w:r>
      <w:r w:rsidR="0010772E">
        <w:rPr>
          <w:rStyle w:val="FootnoteReference"/>
        </w:rPr>
        <w:footnoteReference w:id="11"/>
      </w:r>
      <w:r w:rsidR="00C82A88">
        <w:t xml:space="preserve"> </w:t>
      </w:r>
      <w:r w:rsidR="00DE36FC">
        <w:t>It can be suggested</w:t>
      </w:r>
      <w:r w:rsidR="00C82A88">
        <w:t xml:space="preserve"> that Harold was manipulated into promising to support William’s </w:t>
      </w:r>
      <w:r w:rsidR="00C82A88">
        <w:lastRenderedPageBreak/>
        <w:t xml:space="preserve">claim to the English throne to secure the release of his family. William of Poitiers suggests that the hostages were given to William as security for William’s succession as king, and that Harold was sent to Normandy to confirm Edward’s </w:t>
      </w:r>
      <w:r w:rsidR="00C82A88" w:rsidRPr="00E93CD3">
        <w:t>promise</w:t>
      </w:r>
      <w:r w:rsidR="00C82A88">
        <w:t xml:space="preserve"> to William.</w:t>
      </w:r>
      <w:r w:rsidR="009E67CD">
        <w:rPr>
          <w:rStyle w:val="FootnoteReference"/>
        </w:rPr>
        <w:footnoteReference w:id="12"/>
      </w:r>
      <w:r w:rsidR="00C82A88">
        <w:t xml:space="preserve"> Regardless of the reasons for Harold’s journey </w:t>
      </w:r>
      <w:r w:rsidR="00EB3271">
        <w:t>both accounts</w:t>
      </w:r>
      <w:r w:rsidR="00C82A88">
        <w:t xml:space="preserve"> tell a similar tale, that Harold swore and oath to William and that he would act as his agent and strive to ensure that William would ascend to the English throne. </w:t>
      </w:r>
      <w:r w:rsidR="00AB0AAB">
        <w:t>English sources for the conquest omit altogether any mention of the oath.</w:t>
      </w:r>
      <w:r w:rsidR="001C735D">
        <w:rPr>
          <w:rStyle w:val="FootnoteReference"/>
        </w:rPr>
        <w:footnoteReference w:id="13"/>
      </w:r>
      <w:r w:rsidR="00911B27">
        <w:t xml:space="preserve"> </w:t>
      </w:r>
      <w:r w:rsidR="00EB7524">
        <w:t xml:space="preserve">Harold could justifiably object that the oath was made under duress and was therefore invalid. </w:t>
      </w:r>
      <w:r w:rsidR="00FA3F9C" w:rsidRPr="00FA3F9C">
        <w:t xml:space="preserve">The tapestry does not always follow the tradition of the Norman narration, in some scenes it does deviate to the English narration. Norman chroniclers state that upon Edwards death Harold immediately seized the throne, </w:t>
      </w:r>
      <w:r w:rsidR="00FA3F9C">
        <w:t xml:space="preserve">William of </w:t>
      </w:r>
      <w:r w:rsidR="00FA3F9C" w:rsidRPr="00FA3F9C">
        <w:t>Poitiers later shows that he was aware of Harold’s claim to have been desig</w:t>
      </w:r>
      <w:r w:rsidR="00D8098D">
        <w:t>nated by the dying King Edward.</w:t>
      </w:r>
      <w:r w:rsidR="00D8098D">
        <w:rPr>
          <w:rStyle w:val="FootnoteReference"/>
        </w:rPr>
        <w:footnoteReference w:id="14"/>
      </w:r>
    </w:p>
    <w:p w:rsidR="00EB3271" w:rsidRPr="00255DF2" w:rsidRDefault="00EB3271" w:rsidP="00230BA5">
      <w:pPr>
        <w:spacing w:line="480" w:lineRule="auto"/>
      </w:pPr>
      <w:r w:rsidRPr="00EB3271">
        <w:t>The oath of Harold to William was the crux of the Norman claim to the English throne.</w:t>
      </w:r>
      <w:r>
        <w:t xml:space="preserve"> </w:t>
      </w:r>
      <w:r w:rsidRPr="00EB3271">
        <w:t>If people believe there is a justification for a violent act, then it becomes more acceptable. Knowledge of the Norman story of the promise and oath</w:t>
      </w:r>
      <w:r>
        <w:t xml:space="preserve"> act</w:t>
      </w:r>
      <w:r w:rsidRPr="00EB3271">
        <w:t xml:space="preserve"> as </w:t>
      </w:r>
      <w:r>
        <w:t>a justification of the conquest.</w:t>
      </w:r>
      <w:r w:rsidR="001C59C8">
        <w:rPr>
          <w:rStyle w:val="FootnoteReference"/>
        </w:rPr>
        <w:footnoteReference w:id="15"/>
      </w:r>
      <w:r>
        <w:t xml:space="preserve"> The tapestry approaches the conquest from a Norman perspective, perhaps </w:t>
      </w:r>
      <w:r w:rsidR="00985911">
        <w:t>to</w:t>
      </w:r>
      <w:r>
        <w:t xml:space="preserve"> justify the invasion launched by William to claim what</w:t>
      </w:r>
      <w:r w:rsidR="007425DD">
        <w:t xml:space="preserve"> he believed was rightfully his. </w:t>
      </w:r>
      <w:r w:rsidR="00F64416" w:rsidRPr="00F64416">
        <w:t>The Bayeux Tapestry has a lot in common with the other Norman accounts of the conquest of England, namely William of Jumieges and William of Poitiers. It reflects a version of the events</w:t>
      </w:r>
      <w:r w:rsidR="00F64416">
        <w:t xml:space="preserve"> of the years 1064-1066 that were current and accepted </w:t>
      </w:r>
      <w:r w:rsidR="00F64416" w:rsidRPr="00F64416">
        <w:t>among the Norman ruling class.</w:t>
      </w:r>
      <w:r w:rsidR="00FA03FD">
        <w:rPr>
          <w:rStyle w:val="FootnoteReference"/>
        </w:rPr>
        <w:footnoteReference w:id="16"/>
      </w:r>
      <w:r w:rsidR="00EB7524">
        <w:t xml:space="preserve"> </w:t>
      </w:r>
    </w:p>
    <w:p w:rsidR="00985911" w:rsidRDefault="001203C0" w:rsidP="00230BA5">
      <w:pPr>
        <w:spacing w:line="480" w:lineRule="auto"/>
      </w:pPr>
      <w:r>
        <w:t xml:space="preserve">To conclude if Harold did or did not swear an oath of fealty to William in Normandy is less important when considering the events leading up to the Norman conquest, regardless of whether this oath did happen or if the </w:t>
      </w:r>
      <w:r w:rsidR="000F69ED">
        <w:t>meaning of the oath is lost</w:t>
      </w:r>
      <w:r>
        <w:t xml:space="preserve">, the events leading up to 1066 and the year itself has </w:t>
      </w:r>
      <w:r>
        <w:lastRenderedPageBreak/>
        <w:t>become one of the most important dates within English history.</w:t>
      </w:r>
      <w:r w:rsidR="001216E8">
        <w:rPr>
          <w:rStyle w:val="FootnoteReference"/>
        </w:rPr>
        <w:footnoteReference w:id="17"/>
      </w:r>
      <w:r>
        <w:t xml:space="preserve"> </w:t>
      </w:r>
      <w:r w:rsidR="006A01C4">
        <w:t>It can be suggested that with or without Harold’s promise being broken, William would have inevitably invaded England as he believed he was claiming the throne that was promised to him. The Norman invasion brought about the most radical change in society seen in England.</w:t>
      </w:r>
      <w:r w:rsidR="000424B3">
        <w:rPr>
          <w:rStyle w:val="FootnoteReference"/>
        </w:rPr>
        <w:footnoteReference w:id="18"/>
      </w:r>
      <w:r w:rsidR="006A01C4">
        <w:t xml:space="preserve"> The feudal system was introduced with the creation of the Domesday Book, the landscape of England changed enormously with the new Norman architecture that was erected and arguably the most significant change was on the culture and language of England changing and for around three hundred years Norman-French was the language of court, politics and the upper echelon of society.</w:t>
      </w:r>
      <w:r w:rsidR="00E97D51">
        <w:rPr>
          <w:rStyle w:val="FootnoteReference"/>
        </w:rPr>
        <w:footnoteReference w:id="19"/>
      </w:r>
      <w:r w:rsidR="006A01C4">
        <w:t xml:space="preserve"> </w:t>
      </w:r>
      <w:r w:rsidR="00911B27" w:rsidRPr="00911B27">
        <w:t xml:space="preserve">When care is taken to understand the conventions and limitations of its design and technique and to distinguish the nineteenth-century restorations from the original work, the </w:t>
      </w:r>
      <w:r w:rsidR="005F44B4">
        <w:t xml:space="preserve">Bayeux </w:t>
      </w:r>
      <w:r w:rsidR="00911B27" w:rsidRPr="00911B27">
        <w:t>Tapestry can take its place as a major authority for the events of the Norman conquest. It is an early and well-placed source with access both to English and Norman traditions</w:t>
      </w:r>
      <w:r w:rsidR="00D60933">
        <w:t xml:space="preserve">. </w:t>
      </w:r>
      <w:r w:rsidR="00E93CD3">
        <w:t>However,</w:t>
      </w:r>
      <w:r w:rsidR="00D60933">
        <w:t xml:space="preserve"> th</w:t>
      </w:r>
      <w:r w:rsidR="00911B27" w:rsidRPr="00911B27">
        <w:t>is does not mean that its account is in any way objective or even free from error</w:t>
      </w:r>
      <w:r w:rsidR="00D60933">
        <w:t>.</w:t>
      </w:r>
      <w:r w:rsidR="00417E24">
        <w:rPr>
          <w:rStyle w:val="FootnoteReference"/>
        </w:rPr>
        <w:footnoteReference w:id="20"/>
      </w:r>
      <w:r w:rsidR="004D6A18">
        <w:t xml:space="preserve"> </w:t>
      </w:r>
    </w:p>
    <w:p w:rsidR="004E3D30" w:rsidRDefault="004E3D30" w:rsidP="00230BA5">
      <w:pPr>
        <w:spacing w:line="480" w:lineRule="auto"/>
      </w:pPr>
    </w:p>
    <w:p w:rsidR="004E3D30" w:rsidRDefault="004E3D30" w:rsidP="00230BA5">
      <w:pPr>
        <w:spacing w:line="480" w:lineRule="auto"/>
      </w:pPr>
    </w:p>
    <w:p w:rsidR="004E3D30" w:rsidRDefault="004E3D30" w:rsidP="00230BA5">
      <w:pPr>
        <w:spacing w:line="480" w:lineRule="auto"/>
      </w:pPr>
    </w:p>
    <w:p w:rsidR="004E3D30" w:rsidRDefault="004E3D30" w:rsidP="00230BA5">
      <w:pPr>
        <w:spacing w:line="480" w:lineRule="auto"/>
      </w:pPr>
    </w:p>
    <w:p w:rsidR="004E3D30" w:rsidRDefault="004E3D30" w:rsidP="00230BA5">
      <w:pPr>
        <w:spacing w:line="480" w:lineRule="auto"/>
      </w:pPr>
    </w:p>
    <w:p w:rsidR="004E3D30" w:rsidRDefault="004E3D30" w:rsidP="00230BA5">
      <w:pPr>
        <w:spacing w:line="480" w:lineRule="auto"/>
      </w:pPr>
    </w:p>
    <w:p w:rsidR="004E3D30" w:rsidRDefault="004E3D30" w:rsidP="00230BA5">
      <w:pPr>
        <w:spacing w:line="480" w:lineRule="auto"/>
      </w:pPr>
    </w:p>
    <w:p w:rsidR="004E3D30" w:rsidRDefault="004E3D30" w:rsidP="00230BA5">
      <w:pPr>
        <w:spacing w:line="480" w:lineRule="auto"/>
      </w:pPr>
      <w:r>
        <w:lastRenderedPageBreak/>
        <w:t>Bibliography</w:t>
      </w:r>
    </w:p>
    <w:p w:rsidR="00726369" w:rsidRDefault="00726369" w:rsidP="00230BA5">
      <w:pPr>
        <w:spacing w:line="480" w:lineRule="auto"/>
      </w:pPr>
      <w:proofErr w:type="spellStart"/>
      <w:r>
        <w:t>Bridgeford</w:t>
      </w:r>
      <w:proofErr w:type="spellEnd"/>
      <w:r>
        <w:t>,</w:t>
      </w:r>
      <w:r>
        <w:t xml:space="preserve"> A,</w:t>
      </w:r>
      <w:r>
        <w:t xml:space="preserve"> </w:t>
      </w:r>
      <w:r>
        <w:rPr>
          <w:i/>
        </w:rPr>
        <w:t>1066: The Hidden History of the Bayeux Tapestry</w:t>
      </w:r>
      <w:r>
        <w:t xml:space="preserve"> (London: Harper Collins Publishers, 2004)</w:t>
      </w:r>
      <w:r w:rsidR="009F07CB">
        <w:t>.</w:t>
      </w:r>
    </w:p>
    <w:p w:rsidR="000D2584" w:rsidRDefault="000D2584" w:rsidP="00230BA5">
      <w:pPr>
        <w:spacing w:line="480" w:lineRule="auto"/>
      </w:pPr>
      <w:proofErr w:type="spellStart"/>
      <w:r>
        <w:t>Brownlie</w:t>
      </w:r>
      <w:proofErr w:type="spellEnd"/>
      <w:r>
        <w:t>,</w:t>
      </w:r>
      <w:r>
        <w:t xml:space="preserve"> S,</w:t>
      </w:r>
      <w:r>
        <w:t xml:space="preserve"> </w:t>
      </w:r>
      <w:r>
        <w:rPr>
          <w:i/>
        </w:rPr>
        <w:t xml:space="preserve">Memory and Myths of the Norman Conquest </w:t>
      </w:r>
      <w:r>
        <w:t>(Woodbridge: The Boydell Press, 2013)</w:t>
      </w:r>
      <w:r w:rsidR="00FB5D5F">
        <w:t>.</w:t>
      </w:r>
    </w:p>
    <w:p w:rsidR="004E3D30" w:rsidRDefault="004E3D30" w:rsidP="00230BA5">
      <w:pPr>
        <w:spacing w:line="480" w:lineRule="auto"/>
      </w:pPr>
      <w:r>
        <w:t>Gameson</w:t>
      </w:r>
      <w:r>
        <w:t>, R</w:t>
      </w:r>
      <w:r>
        <w:t>,</w:t>
      </w:r>
      <w:r>
        <w:rPr>
          <w:i/>
        </w:rPr>
        <w:t xml:space="preserve"> The Study of The Bayeux Tapestry </w:t>
      </w:r>
      <w:r>
        <w:t>(Woodbridge: The Boydell Press, 1997).</w:t>
      </w:r>
    </w:p>
    <w:p w:rsidR="009F07CB" w:rsidRDefault="009F07CB" w:rsidP="00230BA5">
      <w:pPr>
        <w:spacing w:line="480" w:lineRule="auto"/>
      </w:pPr>
      <w:r>
        <w:t>Hagger,</w:t>
      </w:r>
      <w:r>
        <w:t xml:space="preserve"> M,</w:t>
      </w:r>
      <w:r>
        <w:t xml:space="preserve"> </w:t>
      </w:r>
      <w:r>
        <w:rPr>
          <w:i/>
        </w:rPr>
        <w:t xml:space="preserve">William: King and Conqueror </w:t>
      </w:r>
      <w:r>
        <w:t>(London: Tauris &amp; Co. Ltd, 2012) p37</w:t>
      </w:r>
    </w:p>
    <w:p w:rsidR="00726369" w:rsidRDefault="00726369" w:rsidP="00230BA5">
      <w:pPr>
        <w:spacing w:line="480" w:lineRule="auto"/>
      </w:pPr>
      <w:proofErr w:type="spellStart"/>
      <w:r w:rsidRPr="00726369">
        <w:t>Hilliam</w:t>
      </w:r>
      <w:proofErr w:type="spellEnd"/>
      <w:r w:rsidRPr="00726369">
        <w:t>,</w:t>
      </w:r>
      <w:r>
        <w:t xml:space="preserve"> P,</w:t>
      </w:r>
      <w:r w:rsidRPr="00726369">
        <w:t xml:space="preserve"> William the Conqueror: First Norman King of England (New York: The Rosen Publishing Group, 2005)</w:t>
      </w:r>
      <w:r>
        <w:t>.</w:t>
      </w:r>
    </w:p>
    <w:p w:rsidR="005F5A94" w:rsidRDefault="005F5A94" w:rsidP="00230BA5">
      <w:pPr>
        <w:spacing w:line="480" w:lineRule="auto"/>
      </w:pPr>
      <w:r>
        <w:t>White,</w:t>
      </w:r>
      <w:r>
        <w:t xml:space="preserve"> </w:t>
      </w:r>
      <w:r w:rsidR="005C419F">
        <w:t>S,</w:t>
      </w:r>
      <w:r>
        <w:t xml:space="preserve"> </w:t>
      </w:r>
      <w:r>
        <w:rPr>
          <w:i/>
        </w:rPr>
        <w:t xml:space="preserve">The Bayeux Tapestry and its Contents: A Reassessment </w:t>
      </w:r>
      <w:r>
        <w:t>(Woodbridge: They Boydell Press, 2014</w:t>
      </w:r>
      <w:r w:rsidR="00726369">
        <w:t>).</w:t>
      </w:r>
    </w:p>
    <w:p w:rsidR="00726369" w:rsidRDefault="00726369" w:rsidP="00230BA5">
      <w:pPr>
        <w:spacing w:line="480" w:lineRule="auto"/>
      </w:pPr>
    </w:p>
    <w:sectPr w:rsidR="007263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083A" w:rsidRDefault="00D3083A" w:rsidP="00E722DE">
      <w:pPr>
        <w:spacing w:after="0" w:line="240" w:lineRule="auto"/>
      </w:pPr>
      <w:r>
        <w:separator/>
      </w:r>
    </w:p>
  </w:endnote>
  <w:endnote w:type="continuationSeparator" w:id="0">
    <w:p w:rsidR="00D3083A" w:rsidRDefault="00D3083A" w:rsidP="00E72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083A" w:rsidRDefault="00D3083A" w:rsidP="00E722DE">
      <w:pPr>
        <w:spacing w:after="0" w:line="240" w:lineRule="auto"/>
      </w:pPr>
      <w:r>
        <w:separator/>
      </w:r>
    </w:p>
  </w:footnote>
  <w:footnote w:type="continuationSeparator" w:id="0">
    <w:p w:rsidR="00D3083A" w:rsidRDefault="00D3083A" w:rsidP="00E722DE">
      <w:pPr>
        <w:spacing w:after="0" w:line="240" w:lineRule="auto"/>
      </w:pPr>
      <w:r>
        <w:continuationSeparator/>
      </w:r>
    </w:p>
  </w:footnote>
  <w:footnote w:id="1">
    <w:p w:rsidR="007A3CDD" w:rsidRPr="00E722DE" w:rsidRDefault="00E722DE">
      <w:pPr>
        <w:pStyle w:val="FootnoteText"/>
      </w:pPr>
      <w:r>
        <w:rPr>
          <w:rStyle w:val="FootnoteReference"/>
        </w:rPr>
        <w:footnoteRef/>
      </w:r>
      <w:r>
        <w:t xml:space="preserve"> </w:t>
      </w:r>
      <w:r w:rsidR="007A3CDD">
        <w:t>R. Gameson,</w:t>
      </w:r>
      <w:r>
        <w:rPr>
          <w:i/>
        </w:rPr>
        <w:t xml:space="preserve"> The Study of The Bayeux Tapestry </w:t>
      </w:r>
      <w:r>
        <w:t>(Woodbridge: The Boydell Press, 1997).</w:t>
      </w:r>
      <w:r w:rsidR="007A3CDD">
        <w:t xml:space="preserve"> P</w:t>
      </w:r>
      <w:r w:rsidR="00B06CDA">
        <w:t xml:space="preserve"> </w:t>
      </w:r>
      <w:r w:rsidR="007A3CDD">
        <w:t>64</w:t>
      </w:r>
    </w:p>
  </w:footnote>
  <w:footnote w:id="2">
    <w:p w:rsidR="00B06CDA" w:rsidRDefault="00B06CDA">
      <w:pPr>
        <w:pStyle w:val="FootnoteText"/>
      </w:pPr>
      <w:r>
        <w:rPr>
          <w:rStyle w:val="FootnoteReference"/>
        </w:rPr>
        <w:footnoteRef/>
      </w:r>
      <w:r>
        <w:t xml:space="preserve"> Ibid. p 64</w:t>
      </w:r>
    </w:p>
  </w:footnote>
  <w:footnote w:id="3">
    <w:p w:rsidR="00B06CDA" w:rsidRDefault="00B06CDA">
      <w:pPr>
        <w:pStyle w:val="FootnoteText"/>
      </w:pPr>
      <w:r>
        <w:rPr>
          <w:rStyle w:val="FootnoteReference"/>
        </w:rPr>
        <w:footnoteRef/>
      </w:r>
      <w:r>
        <w:t xml:space="preserve"> Gameson, </w:t>
      </w:r>
      <w:r>
        <w:rPr>
          <w:i/>
        </w:rPr>
        <w:t>The Study of The Bayeux Tapestry</w:t>
      </w:r>
      <w:r>
        <w:rPr>
          <w:i/>
        </w:rPr>
        <w:t>,</w:t>
      </w:r>
      <w:r w:rsidRPr="00B06CDA">
        <w:t xml:space="preserve"> p93</w:t>
      </w:r>
    </w:p>
  </w:footnote>
  <w:footnote w:id="4">
    <w:p w:rsidR="000424B3" w:rsidRDefault="00B06CDA">
      <w:pPr>
        <w:pStyle w:val="FootnoteText"/>
      </w:pPr>
      <w:r>
        <w:rPr>
          <w:rStyle w:val="FootnoteReference"/>
        </w:rPr>
        <w:footnoteRef/>
      </w:r>
      <w:r>
        <w:t xml:space="preserve"> P </w:t>
      </w:r>
      <w:proofErr w:type="spellStart"/>
      <w:r>
        <w:t>Hilliam</w:t>
      </w:r>
      <w:proofErr w:type="spellEnd"/>
      <w:r>
        <w:t xml:space="preserve">, </w:t>
      </w:r>
      <w:r w:rsidRPr="00CD3A37">
        <w:rPr>
          <w:i/>
        </w:rPr>
        <w:t>William the Conqueror</w:t>
      </w:r>
      <w:r w:rsidR="00CD3A37" w:rsidRPr="00CD3A37">
        <w:rPr>
          <w:i/>
        </w:rPr>
        <w:t>: First Norman King of England</w:t>
      </w:r>
      <w:r w:rsidR="00CD3A37">
        <w:rPr>
          <w:i/>
        </w:rPr>
        <w:t xml:space="preserve"> </w:t>
      </w:r>
      <w:r w:rsidR="00CD3A37">
        <w:t>(New York: The Rosen Publishing Group, 2005)</w:t>
      </w:r>
      <w:r w:rsidR="007E46A6">
        <w:t xml:space="preserve"> p</w:t>
      </w:r>
      <w:r w:rsidR="00CD3A37">
        <w:t xml:space="preserve"> 9-11</w:t>
      </w:r>
    </w:p>
    <w:p w:rsidR="000424B3" w:rsidRPr="000424B3" w:rsidRDefault="000424B3">
      <w:pPr>
        <w:pStyle w:val="FootnoteText"/>
      </w:pPr>
      <w:r>
        <w:t xml:space="preserve"> A. </w:t>
      </w:r>
      <w:proofErr w:type="spellStart"/>
      <w:r>
        <w:t>Bridgeford</w:t>
      </w:r>
      <w:proofErr w:type="spellEnd"/>
      <w:r>
        <w:t xml:space="preserve">, </w:t>
      </w:r>
      <w:bookmarkStart w:id="0" w:name="_Hlk500503517"/>
      <w:r>
        <w:rPr>
          <w:i/>
        </w:rPr>
        <w:t>1066: The Hidden History of the Bayeux Tapestry</w:t>
      </w:r>
      <w:r>
        <w:t xml:space="preserve"> </w:t>
      </w:r>
      <w:bookmarkEnd w:id="0"/>
      <w:r>
        <w:t>(London: Harper Collins Publishers, 2004).</w:t>
      </w:r>
      <w:r w:rsidR="00FB5D5F">
        <w:t xml:space="preserve"> </w:t>
      </w:r>
      <w:bookmarkStart w:id="1" w:name="_GoBack"/>
      <w:bookmarkEnd w:id="1"/>
      <w:r>
        <w:t>p 4</w:t>
      </w:r>
    </w:p>
  </w:footnote>
  <w:footnote w:id="5">
    <w:p w:rsidR="007E46A6" w:rsidRPr="007E46A6" w:rsidRDefault="007E46A6">
      <w:pPr>
        <w:pStyle w:val="FootnoteText"/>
      </w:pPr>
      <w:r>
        <w:rPr>
          <w:rStyle w:val="FootnoteReference"/>
        </w:rPr>
        <w:footnoteRef/>
      </w:r>
      <w:r>
        <w:t xml:space="preserve"> S. </w:t>
      </w:r>
      <w:proofErr w:type="spellStart"/>
      <w:r>
        <w:t>Brownlie</w:t>
      </w:r>
      <w:proofErr w:type="spellEnd"/>
      <w:r>
        <w:t xml:space="preserve">, </w:t>
      </w:r>
      <w:r>
        <w:rPr>
          <w:i/>
        </w:rPr>
        <w:t xml:space="preserve">Memory and Myths of the Norman Conquest </w:t>
      </w:r>
      <w:r>
        <w:t>(Woodbridge: The Boydell Press, 2013)</w:t>
      </w:r>
      <w:r w:rsidR="00FB5D5F">
        <w:t>.</w:t>
      </w:r>
      <w:r>
        <w:t xml:space="preserve"> p107</w:t>
      </w:r>
    </w:p>
  </w:footnote>
  <w:footnote w:id="6">
    <w:p w:rsidR="00583D8B" w:rsidRDefault="00583D8B">
      <w:pPr>
        <w:pStyle w:val="FootnoteText"/>
      </w:pPr>
      <w:r>
        <w:rPr>
          <w:rStyle w:val="FootnoteReference"/>
        </w:rPr>
        <w:footnoteRef/>
      </w:r>
      <w:r>
        <w:t xml:space="preserve"> Ibid p 108</w:t>
      </w:r>
    </w:p>
  </w:footnote>
  <w:footnote w:id="7">
    <w:p w:rsidR="009A73CF" w:rsidRDefault="009A73CF">
      <w:pPr>
        <w:pStyle w:val="FootnoteText"/>
      </w:pPr>
      <w:r>
        <w:rPr>
          <w:rStyle w:val="FootnoteReference"/>
        </w:rPr>
        <w:footnoteRef/>
      </w:r>
      <w:r>
        <w:t xml:space="preserve"> </w:t>
      </w:r>
      <w:proofErr w:type="spellStart"/>
      <w:r>
        <w:t>Bridgeford</w:t>
      </w:r>
      <w:proofErr w:type="spellEnd"/>
      <w:r>
        <w:t xml:space="preserve">, </w:t>
      </w:r>
      <w:r>
        <w:rPr>
          <w:i/>
        </w:rPr>
        <w:t>1066: The Hidden History of the Bayeux Tapestry</w:t>
      </w:r>
      <w:r>
        <w:rPr>
          <w:i/>
        </w:rPr>
        <w:t>, p5-10</w:t>
      </w:r>
    </w:p>
  </w:footnote>
  <w:footnote w:id="8">
    <w:p w:rsidR="009B2DBC" w:rsidRDefault="009B2DBC">
      <w:pPr>
        <w:pStyle w:val="FootnoteText"/>
      </w:pPr>
      <w:r>
        <w:rPr>
          <w:rStyle w:val="FootnoteReference"/>
        </w:rPr>
        <w:footnoteRef/>
      </w:r>
      <w:r>
        <w:t xml:space="preserve"> Ibid p 108</w:t>
      </w:r>
    </w:p>
  </w:footnote>
  <w:footnote w:id="9">
    <w:p w:rsidR="00C40923" w:rsidRDefault="00C40923">
      <w:pPr>
        <w:pStyle w:val="FootnoteText"/>
      </w:pPr>
      <w:r>
        <w:rPr>
          <w:rStyle w:val="FootnoteReference"/>
        </w:rPr>
        <w:footnoteRef/>
      </w:r>
      <w:r>
        <w:t xml:space="preserve"> </w:t>
      </w:r>
      <w:r>
        <w:t xml:space="preserve">Gameson, </w:t>
      </w:r>
      <w:r>
        <w:rPr>
          <w:i/>
        </w:rPr>
        <w:t>The Study of The Bayeux Tapestry,</w:t>
      </w:r>
      <w:r>
        <w:t xml:space="preserve"> p105</w:t>
      </w:r>
    </w:p>
  </w:footnote>
  <w:footnote w:id="10">
    <w:p w:rsidR="001F395B" w:rsidRPr="001F395B" w:rsidRDefault="001F395B">
      <w:pPr>
        <w:pStyle w:val="FootnoteText"/>
        <w:rPr>
          <w:i/>
        </w:rPr>
      </w:pPr>
      <w:r>
        <w:rPr>
          <w:rStyle w:val="FootnoteReference"/>
        </w:rPr>
        <w:footnoteRef/>
      </w:r>
      <w:r>
        <w:t xml:space="preserve"> M. Hagger, </w:t>
      </w:r>
      <w:r>
        <w:rPr>
          <w:i/>
        </w:rPr>
        <w:t xml:space="preserve">William: King and Conqueror </w:t>
      </w:r>
      <w:r>
        <w:t>(London: Tauris &amp; Co. Ltd, 2012)</w:t>
      </w:r>
      <w:r w:rsidR="00FB5D5F">
        <w:t>.</w:t>
      </w:r>
      <w:r>
        <w:t xml:space="preserve"> p37</w:t>
      </w:r>
      <w:r>
        <w:rPr>
          <w:i/>
        </w:rPr>
        <w:t xml:space="preserve"> </w:t>
      </w:r>
    </w:p>
  </w:footnote>
  <w:footnote w:id="11">
    <w:p w:rsidR="0010772E" w:rsidRPr="0010772E" w:rsidRDefault="0010772E">
      <w:pPr>
        <w:pStyle w:val="FootnoteText"/>
      </w:pPr>
      <w:r>
        <w:rPr>
          <w:rStyle w:val="FootnoteReference"/>
        </w:rPr>
        <w:footnoteRef/>
      </w:r>
      <w:r>
        <w:t xml:space="preserve"> Hagger, </w:t>
      </w:r>
      <w:r>
        <w:rPr>
          <w:i/>
        </w:rPr>
        <w:t>William: King and Conqueror</w:t>
      </w:r>
      <w:r>
        <w:rPr>
          <w:i/>
        </w:rPr>
        <w:t xml:space="preserve"> </w:t>
      </w:r>
      <w:r>
        <w:t>p37</w:t>
      </w:r>
    </w:p>
  </w:footnote>
  <w:footnote w:id="12">
    <w:p w:rsidR="009E67CD" w:rsidRDefault="009E67CD">
      <w:pPr>
        <w:pStyle w:val="FootnoteText"/>
      </w:pPr>
      <w:r>
        <w:rPr>
          <w:rStyle w:val="FootnoteReference"/>
        </w:rPr>
        <w:footnoteRef/>
      </w:r>
      <w:r>
        <w:t xml:space="preserve"> Ibid p38</w:t>
      </w:r>
    </w:p>
  </w:footnote>
  <w:footnote w:id="13">
    <w:p w:rsidR="001C735D" w:rsidRDefault="001C735D">
      <w:pPr>
        <w:pStyle w:val="FootnoteText"/>
      </w:pPr>
      <w:r>
        <w:rPr>
          <w:rStyle w:val="FootnoteReference"/>
        </w:rPr>
        <w:footnoteRef/>
      </w:r>
      <w:r>
        <w:t xml:space="preserve"> Ibid p38</w:t>
      </w:r>
    </w:p>
  </w:footnote>
  <w:footnote w:id="14">
    <w:p w:rsidR="00D8098D" w:rsidRDefault="00D8098D">
      <w:pPr>
        <w:pStyle w:val="FootnoteText"/>
      </w:pPr>
      <w:r>
        <w:rPr>
          <w:rStyle w:val="FootnoteReference"/>
        </w:rPr>
        <w:footnoteRef/>
      </w:r>
      <w:r>
        <w:t xml:space="preserve"> </w:t>
      </w:r>
      <w:r>
        <w:t xml:space="preserve">Gameson, </w:t>
      </w:r>
      <w:r>
        <w:rPr>
          <w:i/>
        </w:rPr>
        <w:t>The Study of The Bayeux Tapestry,</w:t>
      </w:r>
      <w:r>
        <w:t xml:space="preserve"> p73</w:t>
      </w:r>
    </w:p>
  </w:footnote>
  <w:footnote w:id="15">
    <w:p w:rsidR="001C59C8" w:rsidRDefault="001C59C8">
      <w:pPr>
        <w:pStyle w:val="FootnoteText"/>
      </w:pPr>
      <w:r>
        <w:rPr>
          <w:rStyle w:val="FootnoteReference"/>
        </w:rPr>
        <w:footnoteRef/>
      </w:r>
      <w:r>
        <w:t xml:space="preserve"> </w:t>
      </w:r>
      <w:r>
        <w:t>Ibid p67</w:t>
      </w:r>
    </w:p>
  </w:footnote>
  <w:footnote w:id="16">
    <w:p w:rsidR="00FA03FD" w:rsidRDefault="00FA03FD">
      <w:pPr>
        <w:pStyle w:val="FootnoteText"/>
      </w:pPr>
      <w:r>
        <w:rPr>
          <w:rStyle w:val="FootnoteReference"/>
        </w:rPr>
        <w:footnoteRef/>
      </w:r>
      <w:r>
        <w:t xml:space="preserve"> Ibid p67</w:t>
      </w:r>
    </w:p>
  </w:footnote>
  <w:footnote w:id="17">
    <w:p w:rsidR="001216E8" w:rsidRPr="005121AE" w:rsidRDefault="001216E8">
      <w:pPr>
        <w:pStyle w:val="FootnoteText"/>
      </w:pPr>
      <w:r>
        <w:rPr>
          <w:rStyle w:val="FootnoteReference"/>
        </w:rPr>
        <w:footnoteRef/>
      </w:r>
      <w:r>
        <w:t xml:space="preserve"> S. White, </w:t>
      </w:r>
      <w:r>
        <w:rPr>
          <w:i/>
        </w:rPr>
        <w:t xml:space="preserve">The Bayeux Tapestry and its Contents: A Reassessment </w:t>
      </w:r>
      <w:r w:rsidR="005121AE">
        <w:t>(Woodbridge: They Boydell Press, 2014)</w:t>
      </w:r>
      <w:r w:rsidR="00FB5D5F">
        <w:t>.</w:t>
      </w:r>
      <w:r w:rsidR="005121AE">
        <w:t xml:space="preserve"> p 105</w:t>
      </w:r>
    </w:p>
  </w:footnote>
  <w:footnote w:id="18">
    <w:p w:rsidR="000424B3" w:rsidRDefault="000424B3">
      <w:pPr>
        <w:pStyle w:val="FootnoteText"/>
      </w:pPr>
      <w:r>
        <w:rPr>
          <w:rStyle w:val="FootnoteReference"/>
        </w:rPr>
        <w:footnoteRef/>
      </w:r>
      <w:r>
        <w:t xml:space="preserve"> </w:t>
      </w:r>
      <w:r w:rsidR="005121AE">
        <w:t>Ibid 288</w:t>
      </w:r>
      <w:r w:rsidR="0086014D">
        <w:t>-292</w:t>
      </w:r>
    </w:p>
  </w:footnote>
  <w:footnote w:id="19">
    <w:p w:rsidR="00E97D51" w:rsidRDefault="00E97D51">
      <w:pPr>
        <w:pStyle w:val="FootnoteText"/>
      </w:pPr>
      <w:r>
        <w:rPr>
          <w:rStyle w:val="FootnoteReference"/>
        </w:rPr>
        <w:footnoteRef/>
      </w:r>
      <w:r>
        <w:t xml:space="preserve"> </w:t>
      </w:r>
      <w:proofErr w:type="spellStart"/>
      <w:r>
        <w:t>Hilliam</w:t>
      </w:r>
      <w:proofErr w:type="spellEnd"/>
      <w:r>
        <w:t xml:space="preserve">, </w:t>
      </w:r>
      <w:r w:rsidRPr="00CD3A37">
        <w:rPr>
          <w:i/>
        </w:rPr>
        <w:t>William the Conqueror: First Norman King of England</w:t>
      </w:r>
      <w:r>
        <w:rPr>
          <w:i/>
        </w:rPr>
        <w:t xml:space="preserve"> </w:t>
      </w:r>
      <w:r>
        <w:t xml:space="preserve">p </w:t>
      </w:r>
      <w:r>
        <w:t>10</w:t>
      </w:r>
    </w:p>
  </w:footnote>
  <w:footnote w:id="20">
    <w:p w:rsidR="00417E24" w:rsidRDefault="00417E24">
      <w:pPr>
        <w:pStyle w:val="FootnoteText"/>
      </w:pPr>
      <w:r>
        <w:rPr>
          <w:rStyle w:val="FootnoteReference"/>
        </w:rPr>
        <w:footnoteRef/>
      </w:r>
      <w:r>
        <w:t xml:space="preserve"> </w:t>
      </w:r>
      <w:r>
        <w:t xml:space="preserve">Gameson, </w:t>
      </w:r>
      <w:r>
        <w:rPr>
          <w:i/>
        </w:rPr>
        <w:t>The Study of The Bayeux Tapestry,</w:t>
      </w:r>
      <w:r w:rsidR="00A36453">
        <w:t xml:space="preserve"> p91-92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396C07"/>
    <w:multiLevelType w:val="hybridMultilevel"/>
    <w:tmpl w:val="36D04F0A"/>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1BB9"/>
    <w:rsid w:val="000424B3"/>
    <w:rsid w:val="000555C0"/>
    <w:rsid w:val="000D2584"/>
    <w:rsid w:val="000F69ED"/>
    <w:rsid w:val="0010772E"/>
    <w:rsid w:val="001203C0"/>
    <w:rsid w:val="001216E8"/>
    <w:rsid w:val="001310AC"/>
    <w:rsid w:val="00143BB8"/>
    <w:rsid w:val="001C59C8"/>
    <w:rsid w:val="001C735D"/>
    <w:rsid w:val="001F395B"/>
    <w:rsid w:val="00230BA5"/>
    <w:rsid w:val="00255DF2"/>
    <w:rsid w:val="002C5AD7"/>
    <w:rsid w:val="003A556F"/>
    <w:rsid w:val="0040545A"/>
    <w:rsid w:val="00417E24"/>
    <w:rsid w:val="00431DE8"/>
    <w:rsid w:val="004D6A18"/>
    <w:rsid w:val="004E3D30"/>
    <w:rsid w:val="005121AE"/>
    <w:rsid w:val="00583D8B"/>
    <w:rsid w:val="005C419F"/>
    <w:rsid w:val="005D76DE"/>
    <w:rsid w:val="005F44B4"/>
    <w:rsid w:val="005F5A94"/>
    <w:rsid w:val="006A01C4"/>
    <w:rsid w:val="006A2561"/>
    <w:rsid w:val="006D1BB9"/>
    <w:rsid w:val="00726369"/>
    <w:rsid w:val="007425DD"/>
    <w:rsid w:val="007A3CDD"/>
    <w:rsid w:val="007E46A6"/>
    <w:rsid w:val="0086014D"/>
    <w:rsid w:val="008931E6"/>
    <w:rsid w:val="00911B27"/>
    <w:rsid w:val="00985911"/>
    <w:rsid w:val="00996432"/>
    <w:rsid w:val="009A73CF"/>
    <w:rsid w:val="009B2DBC"/>
    <w:rsid w:val="009E67CD"/>
    <w:rsid w:val="009F07CB"/>
    <w:rsid w:val="00A36453"/>
    <w:rsid w:val="00AB0AAB"/>
    <w:rsid w:val="00AD6B82"/>
    <w:rsid w:val="00B04293"/>
    <w:rsid w:val="00B06CDA"/>
    <w:rsid w:val="00BB0C16"/>
    <w:rsid w:val="00BC42FF"/>
    <w:rsid w:val="00C40923"/>
    <w:rsid w:val="00C82A88"/>
    <w:rsid w:val="00CD3A37"/>
    <w:rsid w:val="00D17B55"/>
    <w:rsid w:val="00D3083A"/>
    <w:rsid w:val="00D60933"/>
    <w:rsid w:val="00D8098D"/>
    <w:rsid w:val="00DA453F"/>
    <w:rsid w:val="00DE36FC"/>
    <w:rsid w:val="00DF6195"/>
    <w:rsid w:val="00E67A02"/>
    <w:rsid w:val="00E722DE"/>
    <w:rsid w:val="00E93CD3"/>
    <w:rsid w:val="00E97D51"/>
    <w:rsid w:val="00EB3271"/>
    <w:rsid w:val="00EB7524"/>
    <w:rsid w:val="00F64416"/>
    <w:rsid w:val="00F9136C"/>
    <w:rsid w:val="00FA03FD"/>
    <w:rsid w:val="00FA3F9C"/>
    <w:rsid w:val="00FB5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3F30E"/>
  <w15:chartTrackingRefBased/>
  <w15:docId w15:val="{44AD67BB-30F3-43EE-B650-E51F2FE77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A02"/>
    <w:pPr>
      <w:ind w:left="720"/>
      <w:contextualSpacing/>
    </w:pPr>
  </w:style>
  <w:style w:type="paragraph" w:styleId="FootnoteText">
    <w:name w:val="footnote text"/>
    <w:basedOn w:val="Normal"/>
    <w:link w:val="FootnoteTextChar"/>
    <w:uiPriority w:val="99"/>
    <w:semiHidden/>
    <w:unhideWhenUsed/>
    <w:rsid w:val="00E722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22DE"/>
    <w:rPr>
      <w:sz w:val="20"/>
      <w:szCs w:val="20"/>
    </w:rPr>
  </w:style>
  <w:style w:type="character" w:styleId="FootnoteReference">
    <w:name w:val="footnote reference"/>
    <w:basedOn w:val="DefaultParagraphFont"/>
    <w:uiPriority w:val="99"/>
    <w:semiHidden/>
    <w:unhideWhenUsed/>
    <w:rsid w:val="00E722D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9246C-6B1B-475E-AD4E-0BA437D96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2309</TotalTime>
  <Pages>5</Pages>
  <Words>1002</Words>
  <Characters>5717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Skene</dc:creator>
  <cp:keywords/>
  <dc:description/>
  <cp:lastModifiedBy>Kimberley Skene</cp:lastModifiedBy>
  <cp:revision>65</cp:revision>
  <dcterms:created xsi:type="dcterms:W3CDTF">2017-11-29T11:05:00Z</dcterms:created>
  <dcterms:modified xsi:type="dcterms:W3CDTF">2017-12-08T13:46:00Z</dcterms:modified>
</cp:coreProperties>
</file>