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576C0" w14:textId="77777777" w:rsidR="00254766" w:rsidRPr="00425682" w:rsidRDefault="00254766" w:rsidP="00254766">
      <w:pPr>
        <w:spacing w:line="276" w:lineRule="auto"/>
        <w:jc w:val="right"/>
        <w:rPr>
          <w:rFonts w:ascii="Arial" w:hAnsi="Arial" w:cs="Arial"/>
          <w:b/>
          <w:sz w:val="28"/>
        </w:rPr>
      </w:pPr>
      <w:r w:rsidRPr="00425682">
        <w:rPr>
          <w:rFonts w:ascii="Arial" w:hAnsi="Arial" w:cs="Arial"/>
          <w:b/>
          <w:noProof/>
          <w:sz w:val="28"/>
        </w:rPr>
        <w:drawing>
          <wp:inline distT="0" distB="0" distL="0" distR="0" wp14:anchorId="353174AD" wp14:editId="4555E6A4">
            <wp:extent cx="2486025" cy="11080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ifysgo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2711" cy="1111067"/>
                    </a:xfrm>
                    <a:prstGeom prst="rect">
                      <a:avLst/>
                    </a:prstGeom>
                  </pic:spPr>
                </pic:pic>
              </a:graphicData>
            </a:graphic>
          </wp:inline>
        </w:drawing>
      </w:r>
    </w:p>
    <w:p w14:paraId="40A991F8" w14:textId="77777777" w:rsidR="00254766" w:rsidRPr="00425682" w:rsidRDefault="00254766" w:rsidP="00254766">
      <w:pPr>
        <w:spacing w:line="276" w:lineRule="auto"/>
        <w:jc w:val="center"/>
        <w:rPr>
          <w:rFonts w:ascii="Arial" w:hAnsi="Arial" w:cs="Arial"/>
          <w:b/>
          <w:sz w:val="28"/>
        </w:rPr>
      </w:pPr>
    </w:p>
    <w:p w14:paraId="4451B85A" w14:textId="77777777" w:rsidR="00254766" w:rsidRPr="00425682" w:rsidRDefault="00254766" w:rsidP="00254766">
      <w:pPr>
        <w:jc w:val="center"/>
        <w:rPr>
          <w:rFonts w:ascii="Arial" w:hAnsi="Arial" w:cs="Arial"/>
          <w:b/>
          <w:sz w:val="28"/>
          <w:u w:val="single"/>
        </w:rPr>
      </w:pPr>
      <w:r w:rsidRPr="00425682">
        <w:rPr>
          <w:rFonts w:ascii="Arial" w:hAnsi="Arial" w:cs="Arial"/>
          <w:b/>
          <w:sz w:val="28"/>
          <w:u w:val="single"/>
        </w:rPr>
        <w:t>Title: The 2024 European Wildfires and Their Lasting Impact on the Global Hospitality Industry: A Case Study of TUI Group in London</w:t>
      </w:r>
    </w:p>
    <w:p w14:paraId="0E1A25B2" w14:textId="77777777" w:rsidR="00254766" w:rsidRPr="00425682" w:rsidRDefault="00254766" w:rsidP="00254766">
      <w:pPr>
        <w:spacing w:line="276" w:lineRule="auto"/>
        <w:jc w:val="center"/>
        <w:rPr>
          <w:rFonts w:ascii="Arial" w:hAnsi="Arial" w:cs="Arial"/>
          <w:b/>
          <w:sz w:val="28"/>
        </w:rPr>
      </w:pPr>
    </w:p>
    <w:p w14:paraId="1C24DEB4" w14:textId="77777777" w:rsidR="00254766" w:rsidRPr="00425682" w:rsidRDefault="00254766" w:rsidP="00254766">
      <w:pPr>
        <w:spacing w:line="276" w:lineRule="auto"/>
        <w:jc w:val="center"/>
        <w:rPr>
          <w:rFonts w:ascii="Arial" w:hAnsi="Arial" w:cs="Arial"/>
          <w:b/>
          <w:sz w:val="28"/>
        </w:rPr>
      </w:pPr>
      <w:r w:rsidRPr="00425682">
        <w:rPr>
          <w:rFonts w:ascii="Arial" w:hAnsi="Arial" w:cs="Arial"/>
          <w:b/>
          <w:sz w:val="28"/>
        </w:rPr>
        <w:t>Module: Contemporary Themes in the Hotel and Hospitality Sector</w:t>
      </w:r>
    </w:p>
    <w:p w14:paraId="4D806C57" w14:textId="77777777" w:rsidR="00254766" w:rsidRPr="00425682" w:rsidRDefault="00254766" w:rsidP="00254766">
      <w:pPr>
        <w:spacing w:line="276" w:lineRule="auto"/>
        <w:jc w:val="center"/>
        <w:rPr>
          <w:rFonts w:ascii="Arial" w:hAnsi="Arial" w:cs="Arial"/>
          <w:b/>
          <w:sz w:val="28"/>
          <w:u w:val="single"/>
        </w:rPr>
      </w:pPr>
      <w:r w:rsidRPr="00425682">
        <w:rPr>
          <w:rFonts w:ascii="Arial" w:hAnsi="Arial" w:cs="Arial"/>
          <w:b/>
          <w:sz w:val="28"/>
        </w:rPr>
        <w:t>Module code: BMIH6001</w:t>
      </w:r>
    </w:p>
    <w:p w14:paraId="52C93459" w14:textId="77777777" w:rsidR="00254766" w:rsidRPr="00425682" w:rsidRDefault="00254766" w:rsidP="00254766">
      <w:pPr>
        <w:spacing w:line="276" w:lineRule="auto"/>
        <w:jc w:val="center"/>
        <w:rPr>
          <w:rFonts w:ascii="Arial" w:hAnsi="Arial" w:cs="Arial"/>
          <w:b/>
          <w:sz w:val="28"/>
        </w:rPr>
      </w:pPr>
      <w:r w:rsidRPr="00425682">
        <w:rPr>
          <w:rFonts w:ascii="Arial" w:hAnsi="Arial" w:cs="Arial"/>
          <w:b/>
          <w:sz w:val="28"/>
        </w:rPr>
        <w:t>Student name:</w:t>
      </w:r>
      <w:r w:rsidRPr="00425682">
        <w:rPr>
          <w:rFonts w:ascii="Arial" w:hAnsi="Arial" w:cs="Arial"/>
        </w:rPr>
        <w:t xml:space="preserve"> </w:t>
      </w:r>
      <w:r>
        <w:rPr>
          <w:rFonts w:ascii="Arial" w:hAnsi="Arial" w:cs="Arial"/>
          <w:b/>
          <w:sz w:val="28"/>
        </w:rPr>
        <w:t>Florin Nicolae Matache</w:t>
      </w:r>
    </w:p>
    <w:p w14:paraId="0BEA2602" w14:textId="77777777" w:rsidR="00254766" w:rsidRPr="00425682" w:rsidRDefault="00254766" w:rsidP="00254766">
      <w:pPr>
        <w:spacing w:line="276" w:lineRule="auto"/>
        <w:jc w:val="center"/>
        <w:rPr>
          <w:rFonts w:ascii="Arial" w:hAnsi="Arial" w:cs="Arial"/>
          <w:b/>
          <w:sz w:val="28"/>
        </w:rPr>
      </w:pPr>
      <w:r w:rsidRPr="00425682">
        <w:rPr>
          <w:rFonts w:ascii="Arial" w:hAnsi="Arial" w:cs="Arial"/>
          <w:b/>
          <w:sz w:val="28"/>
        </w:rPr>
        <w:t>Student ID number:</w:t>
      </w:r>
      <w:r w:rsidRPr="00BB4540">
        <w:rPr>
          <w:rFonts w:ascii="Arial" w:hAnsi="Arial" w:cs="Arial"/>
          <w:lang w:eastAsia="zh-CN"/>
        </w:rPr>
        <w:t xml:space="preserve"> </w:t>
      </w:r>
      <w:r w:rsidRPr="00BB4540">
        <w:rPr>
          <w:rFonts w:ascii="Arial" w:hAnsi="Arial" w:cs="Arial"/>
          <w:b/>
          <w:sz w:val="28"/>
        </w:rPr>
        <w:t>2126293</w:t>
      </w:r>
    </w:p>
    <w:p w14:paraId="30C0CEE1" w14:textId="77777777" w:rsidR="00254766" w:rsidRPr="00425682" w:rsidRDefault="00254766" w:rsidP="00254766">
      <w:pPr>
        <w:spacing w:line="276" w:lineRule="auto"/>
        <w:jc w:val="center"/>
        <w:rPr>
          <w:rFonts w:ascii="Arial" w:hAnsi="Arial" w:cs="Arial"/>
          <w:b/>
          <w:sz w:val="28"/>
        </w:rPr>
      </w:pPr>
      <w:r>
        <w:rPr>
          <w:rFonts w:ascii="Arial" w:hAnsi="Arial" w:cs="Arial"/>
          <w:b/>
          <w:sz w:val="28"/>
        </w:rPr>
        <w:t>Tutor:</w:t>
      </w:r>
      <w:r w:rsidRPr="00BB4540">
        <w:rPr>
          <w:rFonts w:ascii="Arial" w:hAnsi="Arial" w:cs="Arial"/>
          <w:b/>
          <w:sz w:val="28"/>
        </w:rPr>
        <w:t xml:space="preserve"> BEN </w:t>
      </w:r>
      <w:r w:rsidRPr="00BB4540">
        <w:rPr>
          <w:rFonts w:ascii="Arial" w:hAnsi="Arial" w:cs="Arial"/>
          <w:b/>
          <w:bCs/>
          <w:sz w:val="28"/>
          <w:szCs w:val="28"/>
          <w:lang w:eastAsia="zh-CN"/>
        </w:rPr>
        <w:t>C</w:t>
      </w:r>
      <w:r w:rsidRPr="00BB4540">
        <w:rPr>
          <w:rFonts w:ascii="Arial" w:hAnsi="Arial" w:cs="Arial"/>
          <w:b/>
          <w:sz w:val="28"/>
          <w:szCs w:val="28"/>
        </w:rPr>
        <w:t>H</w:t>
      </w:r>
      <w:r w:rsidRPr="00BB4540">
        <w:rPr>
          <w:rFonts w:ascii="Arial" w:hAnsi="Arial" w:cs="Arial"/>
          <w:b/>
          <w:sz w:val="28"/>
        </w:rPr>
        <w:t>ONG</w:t>
      </w:r>
    </w:p>
    <w:p w14:paraId="6FCD5165" w14:textId="77777777" w:rsidR="00254766" w:rsidRPr="00425682" w:rsidRDefault="00254766" w:rsidP="00254766">
      <w:pPr>
        <w:spacing w:line="276" w:lineRule="auto"/>
        <w:jc w:val="center"/>
        <w:rPr>
          <w:rFonts w:ascii="Arial" w:hAnsi="Arial" w:cs="Arial"/>
          <w:b/>
          <w:sz w:val="28"/>
        </w:rPr>
      </w:pPr>
    </w:p>
    <w:p w14:paraId="32B890B8" w14:textId="77777777" w:rsidR="00254766" w:rsidRPr="00425682" w:rsidRDefault="00254766" w:rsidP="00254766">
      <w:pPr>
        <w:spacing w:line="276" w:lineRule="auto"/>
        <w:jc w:val="center"/>
        <w:rPr>
          <w:rFonts w:ascii="Arial" w:hAnsi="Arial" w:cs="Arial"/>
          <w:b/>
          <w:sz w:val="28"/>
          <w:u w:val="single"/>
        </w:rPr>
      </w:pPr>
      <w:r w:rsidRPr="00425682">
        <w:rPr>
          <w:rFonts w:ascii="Arial" w:hAnsi="Arial" w:cs="Arial"/>
          <w:b/>
          <w:sz w:val="28"/>
          <w:u w:val="single"/>
        </w:rPr>
        <w:t>Declaration</w:t>
      </w:r>
    </w:p>
    <w:p w14:paraId="6D94B497" w14:textId="77777777" w:rsidR="00254766" w:rsidRPr="00425682" w:rsidRDefault="00254766" w:rsidP="00254766">
      <w:pPr>
        <w:rPr>
          <w:rFonts w:ascii="Arial" w:hAnsi="Arial" w:cs="Arial"/>
        </w:rPr>
      </w:pPr>
      <w:r w:rsidRPr="00425682">
        <w:rPr>
          <w:rFonts w:ascii="Arial" w:hAnsi="Arial" w:cs="Arial"/>
        </w:rPr>
        <w:t xml:space="preserve">I fully acknowledge that, in my writing no content is incorporated that was generated AI tools. But to find and correct the errors of grammatical matters, I used several tools like </w:t>
      </w:r>
      <w:proofErr w:type="spellStart"/>
      <w:r w:rsidRPr="00425682">
        <w:rPr>
          <w:rFonts w:ascii="Arial" w:hAnsi="Arial" w:cs="Arial"/>
        </w:rPr>
        <w:t>grammarly</w:t>
      </w:r>
      <w:proofErr w:type="spellEnd"/>
      <w:r w:rsidRPr="00425682">
        <w:rPr>
          <w:rFonts w:ascii="Arial" w:hAnsi="Arial" w:cs="Arial"/>
        </w:rPr>
        <w:t xml:space="preserve"> and </w:t>
      </w:r>
      <w:proofErr w:type="spellStart"/>
      <w:r w:rsidRPr="00425682">
        <w:rPr>
          <w:rFonts w:ascii="Arial" w:hAnsi="Arial" w:cs="Arial"/>
        </w:rPr>
        <w:t>Chatgpt</w:t>
      </w:r>
      <w:proofErr w:type="spellEnd"/>
      <w:r w:rsidRPr="00425682">
        <w:rPr>
          <w:rFonts w:ascii="Arial" w:hAnsi="Arial" w:cs="Arial"/>
        </w:rPr>
        <w:t xml:space="preserve">. I have used the following prompt for the </w:t>
      </w:r>
      <w:proofErr w:type="gramStart"/>
      <w:r w:rsidRPr="00425682">
        <w:rPr>
          <w:rFonts w:ascii="Arial" w:hAnsi="Arial" w:cs="Arial"/>
        </w:rPr>
        <w:t>above mentioned</w:t>
      </w:r>
      <w:proofErr w:type="gramEnd"/>
      <w:r w:rsidRPr="00425682">
        <w:rPr>
          <w:rFonts w:ascii="Arial" w:hAnsi="Arial" w:cs="Arial"/>
        </w:rPr>
        <w:t xml:space="preserve"> purpose of grammatical check on 8-2-2025</w:t>
      </w:r>
      <w:r>
        <w:rPr>
          <w:rFonts w:ascii="Arial" w:hAnsi="Arial" w:cs="Arial"/>
        </w:rPr>
        <w:t>.</w:t>
      </w:r>
    </w:p>
    <w:p w14:paraId="7CE0E536" w14:textId="77777777" w:rsidR="00254766" w:rsidRPr="00425682" w:rsidRDefault="00254766" w:rsidP="00254766">
      <w:pPr>
        <w:pStyle w:val="ListParagraph"/>
        <w:numPr>
          <w:ilvl w:val="0"/>
          <w:numId w:val="32"/>
        </w:numPr>
        <w:spacing w:after="200" w:line="360" w:lineRule="auto"/>
        <w:jc w:val="both"/>
        <w:rPr>
          <w:rFonts w:ascii="Arial" w:hAnsi="Arial" w:cs="Arial"/>
        </w:rPr>
      </w:pPr>
      <w:r w:rsidRPr="00425682">
        <w:rPr>
          <w:rFonts w:ascii="Arial" w:hAnsi="Arial" w:cs="Arial"/>
        </w:rPr>
        <w:t xml:space="preserve">Do check the report very carefully and guide me by figuring out all the </w:t>
      </w:r>
      <w:proofErr w:type="gramStart"/>
      <w:r w:rsidRPr="00425682">
        <w:rPr>
          <w:rFonts w:ascii="Arial" w:hAnsi="Arial" w:cs="Arial"/>
        </w:rPr>
        <w:t>mistakes existing</w:t>
      </w:r>
      <w:proofErr w:type="gramEnd"/>
      <w:r w:rsidRPr="00425682">
        <w:rPr>
          <w:rFonts w:ascii="Arial" w:hAnsi="Arial" w:cs="Arial"/>
        </w:rPr>
        <w:t xml:space="preserve"> with grammar. </w:t>
      </w:r>
    </w:p>
    <w:p w14:paraId="5AC6393C" w14:textId="77777777" w:rsidR="00254766" w:rsidRPr="00425682" w:rsidRDefault="00254766" w:rsidP="00254766">
      <w:pPr>
        <w:spacing w:line="276" w:lineRule="auto"/>
        <w:jc w:val="center"/>
        <w:rPr>
          <w:rFonts w:ascii="Arial" w:hAnsi="Arial" w:cs="Arial"/>
          <w:b/>
          <w:sz w:val="28"/>
          <w:u w:val="single"/>
        </w:rPr>
      </w:pPr>
      <w:r w:rsidRPr="00425682">
        <w:rPr>
          <w:rFonts w:ascii="Arial" w:hAnsi="Arial" w:cs="Arial"/>
          <w:b/>
          <w:sz w:val="28"/>
          <w:u w:val="single"/>
        </w:rPr>
        <w:br w:type="page"/>
      </w:r>
    </w:p>
    <w:sdt>
      <w:sdtPr>
        <w:rPr>
          <w:rFonts w:ascii="Arial" w:eastAsiaTheme="minorHAnsi" w:hAnsi="Arial" w:cs="Arial"/>
          <w:b w:val="0"/>
          <w:bCs w:val="0"/>
          <w:color w:val="auto"/>
          <w:sz w:val="24"/>
          <w:szCs w:val="22"/>
          <w:lang w:eastAsia="en-US"/>
        </w:rPr>
        <w:id w:val="1110324345"/>
        <w:docPartObj>
          <w:docPartGallery w:val="Table of Contents"/>
          <w:docPartUnique/>
        </w:docPartObj>
      </w:sdtPr>
      <w:sdtEndPr>
        <w:rPr>
          <w:noProof/>
          <w:sz w:val="22"/>
        </w:rPr>
      </w:sdtEndPr>
      <w:sdtContent>
        <w:p w14:paraId="018E8CF1" w14:textId="77777777" w:rsidR="00254766" w:rsidRPr="00425682" w:rsidRDefault="00254766" w:rsidP="00254766">
          <w:pPr>
            <w:pStyle w:val="TOCHeading"/>
            <w:rPr>
              <w:rFonts w:ascii="Arial" w:hAnsi="Arial" w:cs="Arial"/>
            </w:rPr>
          </w:pPr>
          <w:r w:rsidRPr="00425682">
            <w:rPr>
              <w:rFonts w:ascii="Arial" w:hAnsi="Arial" w:cs="Arial"/>
            </w:rPr>
            <w:t>Table of Contents</w:t>
          </w:r>
        </w:p>
        <w:p w14:paraId="54C19A5E" w14:textId="77777777" w:rsidR="00254766" w:rsidRPr="00425682" w:rsidRDefault="00254766" w:rsidP="00254766">
          <w:pPr>
            <w:pStyle w:val="TOC1"/>
            <w:tabs>
              <w:tab w:val="right" w:leader="dot" w:pos="9350"/>
            </w:tabs>
            <w:rPr>
              <w:rFonts w:ascii="Arial" w:eastAsiaTheme="minorEastAsia" w:hAnsi="Arial" w:cs="Arial"/>
              <w:noProof/>
              <w:sz w:val="22"/>
            </w:rPr>
          </w:pPr>
          <w:r w:rsidRPr="00425682">
            <w:rPr>
              <w:rFonts w:ascii="Arial" w:hAnsi="Arial" w:cs="Arial"/>
            </w:rPr>
            <w:fldChar w:fldCharType="begin"/>
          </w:r>
          <w:r w:rsidRPr="00425682">
            <w:rPr>
              <w:rFonts w:ascii="Arial" w:hAnsi="Arial" w:cs="Arial"/>
            </w:rPr>
            <w:instrText xml:space="preserve"> TOC \o "1-3" \h \z \u </w:instrText>
          </w:r>
          <w:r w:rsidRPr="00425682">
            <w:rPr>
              <w:rFonts w:ascii="Arial" w:hAnsi="Arial" w:cs="Arial"/>
            </w:rPr>
            <w:fldChar w:fldCharType="separate"/>
          </w:r>
          <w:hyperlink w:anchor="_Toc189693243" w:history="1">
            <w:r w:rsidRPr="00425682">
              <w:rPr>
                <w:rStyle w:val="Hyperlink"/>
                <w:rFonts w:ascii="Arial" w:hAnsi="Arial" w:cs="Arial"/>
                <w:noProof/>
              </w:rPr>
              <w:t>Abstract</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_Toc189693243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1</w:t>
            </w:r>
            <w:r w:rsidRPr="00425682">
              <w:rPr>
                <w:rFonts w:ascii="Arial" w:hAnsi="Arial" w:cs="Arial"/>
                <w:noProof/>
                <w:webHidden/>
              </w:rPr>
              <w:fldChar w:fldCharType="end"/>
            </w:r>
          </w:hyperlink>
        </w:p>
        <w:p w14:paraId="224BF76C" w14:textId="77777777" w:rsidR="00254766" w:rsidRPr="00425682" w:rsidRDefault="00254766" w:rsidP="00254766">
          <w:pPr>
            <w:pStyle w:val="TOC1"/>
            <w:tabs>
              <w:tab w:val="right" w:leader="dot" w:pos="9350"/>
            </w:tabs>
            <w:rPr>
              <w:rFonts w:ascii="Arial" w:eastAsiaTheme="minorEastAsia" w:hAnsi="Arial" w:cs="Arial"/>
              <w:noProof/>
              <w:sz w:val="22"/>
            </w:rPr>
          </w:pPr>
          <w:hyperlink w:anchor="_Toc189693244" w:history="1">
            <w:r w:rsidRPr="00425682">
              <w:rPr>
                <w:rStyle w:val="Hyperlink"/>
                <w:rFonts w:ascii="Arial" w:hAnsi="Arial" w:cs="Arial"/>
                <w:noProof/>
              </w:rPr>
              <w:t>Introduction</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_Toc189693244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2</w:t>
            </w:r>
            <w:r w:rsidRPr="00425682">
              <w:rPr>
                <w:rFonts w:ascii="Arial" w:hAnsi="Arial" w:cs="Arial"/>
                <w:noProof/>
                <w:webHidden/>
              </w:rPr>
              <w:fldChar w:fldCharType="end"/>
            </w:r>
          </w:hyperlink>
        </w:p>
        <w:p w14:paraId="575F9F0F" w14:textId="77777777" w:rsidR="00254766" w:rsidRPr="00425682" w:rsidRDefault="00254766" w:rsidP="00254766">
          <w:pPr>
            <w:pStyle w:val="TOC1"/>
            <w:tabs>
              <w:tab w:val="right" w:leader="dot" w:pos="9350"/>
            </w:tabs>
            <w:rPr>
              <w:rFonts w:ascii="Arial" w:eastAsiaTheme="minorEastAsia" w:hAnsi="Arial" w:cs="Arial"/>
              <w:noProof/>
              <w:sz w:val="22"/>
            </w:rPr>
          </w:pPr>
          <w:hyperlink w:anchor="_Toc189693245" w:history="1">
            <w:r w:rsidRPr="00425682">
              <w:rPr>
                <w:rStyle w:val="Hyperlink"/>
                <w:rFonts w:ascii="Arial" w:hAnsi="Arial" w:cs="Arial"/>
                <w:noProof/>
              </w:rPr>
              <w:t>Literature Review</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_Toc189693245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3</w:t>
            </w:r>
            <w:r w:rsidRPr="00425682">
              <w:rPr>
                <w:rFonts w:ascii="Arial" w:hAnsi="Arial" w:cs="Arial"/>
                <w:noProof/>
                <w:webHidden/>
              </w:rPr>
              <w:fldChar w:fldCharType="end"/>
            </w:r>
          </w:hyperlink>
        </w:p>
        <w:p w14:paraId="0A65DE77" w14:textId="77777777" w:rsidR="00254766" w:rsidRPr="00425682" w:rsidRDefault="00254766" w:rsidP="00254766">
          <w:pPr>
            <w:pStyle w:val="TOC1"/>
            <w:tabs>
              <w:tab w:val="right" w:leader="dot" w:pos="9350"/>
            </w:tabs>
            <w:rPr>
              <w:rFonts w:ascii="Arial" w:eastAsiaTheme="minorEastAsia" w:hAnsi="Arial" w:cs="Arial"/>
              <w:noProof/>
              <w:sz w:val="22"/>
            </w:rPr>
          </w:pPr>
          <w:hyperlink w:anchor="_Toc189693246" w:history="1">
            <w:r w:rsidRPr="00425682">
              <w:rPr>
                <w:rStyle w:val="Hyperlink"/>
                <w:rFonts w:ascii="Arial" w:hAnsi="Arial" w:cs="Arial"/>
                <w:noProof/>
              </w:rPr>
              <w:t>Methodology</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_Toc189693246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5</w:t>
            </w:r>
            <w:r w:rsidRPr="00425682">
              <w:rPr>
                <w:rFonts w:ascii="Arial" w:hAnsi="Arial" w:cs="Arial"/>
                <w:noProof/>
                <w:webHidden/>
              </w:rPr>
              <w:fldChar w:fldCharType="end"/>
            </w:r>
          </w:hyperlink>
        </w:p>
        <w:p w14:paraId="011430CF" w14:textId="77777777" w:rsidR="00254766" w:rsidRPr="00425682" w:rsidRDefault="00254766" w:rsidP="00254766">
          <w:pPr>
            <w:pStyle w:val="TOC1"/>
            <w:tabs>
              <w:tab w:val="right" w:leader="dot" w:pos="9350"/>
            </w:tabs>
            <w:rPr>
              <w:rFonts w:ascii="Arial" w:eastAsiaTheme="minorEastAsia" w:hAnsi="Arial" w:cs="Arial"/>
              <w:noProof/>
              <w:sz w:val="22"/>
            </w:rPr>
          </w:pPr>
          <w:hyperlink w:anchor="_Toc189693247" w:history="1">
            <w:r w:rsidRPr="00425682">
              <w:rPr>
                <w:rStyle w:val="Hyperlink"/>
                <w:rFonts w:ascii="Arial" w:hAnsi="Arial" w:cs="Arial"/>
                <w:noProof/>
              </w:rPr>
              <w:t>Theme Impact Analysis</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_Toc189693247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6</w:t>
            </w:r>
            <w:r w:rsidRPr="00425682">
              <w:rPr>
                <w:rFonts w:ascii="Arial" w:hAnsi="Arial" w:cs="Arial"/>
                <w:noProof/>
                <w:webHidden/>
              </w:rPr>
              <w:fldChar w:fldCharType="end"/>
            </w:r>
          </w:hyperlink>
        </w:p>
        <w:p w14:paraId="7EA123CD" w14:textId="77777777" w:rsidR="00254766" w:rsidRPr="00425682" w:rsidRDefault="00254766" w:rsidP="00254766">
          <w:pPr>
            <w:pStyle w:val="TOC2"/>
            <w:tabs>
              <w:tab w:val="right" w:leader="dot" w:pos="9350"/>
            </w:tabs>
            <w:rPr>
              <w:rFonts w:ascii="Arial" w:eastAsiaTheme="minorEastAsia" w:hAnsi="Arial" w:cs="Arial"/>
              <w:noProof/>
              <w:sz w:val="22"/>
            </w:rPr>
          </w:pPr>
          <w:hyperlink w:anchor="_Toc189693248" w:history="1">
            <w:r w:rsidRPr="00425682">
              <w:rPr>
                <w:rStyle w:val="Hyperlink"/>
                <w:rFonts w:ascii="Arial" w:hAnsi="Arial" w:cs="Arial"/>
                <w:noProof/>
              </w:rPr>
              <w:t>Political impact</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_Toc189693248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6</w:t>
            </w:r>
            <w:r w:rsidRPr="00425682">
              <w:rPr>
                <w:rFonts w:ascii="Arial" w:hAnsi="Arial" w:cs="Arial"/>
                <w:noProof/>
                <w:webHidden/>
              </w:rPr>
              <w:fldChar w:fldCharType="end"/>
            </w:r>
          </w:hyperlink>
        </w:p>
        <w:p w14:paraId="06E76EEE" w14:textId="77777777" w:rsidR="00254766" w:rsidRPr="00425682" w:rsidRDefault="00254766" w:rsidP="00254766">
          <w:pPr>
            <w:pStyle w:val="TOC2"/>
            <w:tabs>
              <w:tab w:val="right" w:leader="dot" w:pos="9350"/>
            </w:tabs>
            <w:rPr>
              <w:rFonts w:ascii="Arial" w:eastAsiaTheme="minorEastAsia" w:hAnsi="Arial" w:cs="Arial"/>
              <w:noProof/>
              <w:sz w:val="22"/>
            </w:rPr>
          </w:pPr>
          <w:hyperlink w:anchor="_Toc189693249" w:history="1">
            <w:r w:rsidRPr="00425682">
              <w:rPr>
                <w:rStyle w:val="Hyperlink"/>
                <w:rFonts w:ascii="Arial" w:hAnsi="Arial" w:cs="Arial"/>
                <w:noProof/>
              </w:rPr>
              <w:t>Economic Impact</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_Toc189693249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6</w:t>
            </w:r>
            <w:r w:rsidRPr="00425682">
              <w:rPr>
                <w:rFonts w:ascii="Arial" w:hAnsi="Arial" w:cs="Arial"/>
                <w:noProof/>
                <w:webHidden/>
              </w:rPr>
              <w:fldChar w:fldCharType="end"/>
            </w:r>
          </w:hyperlink>
        </w:p>
        <w:p w14:paraId="77975E6C" w14:textId="77777777" w:rsidR="00254766" w:rsidRPr="00425682" w:rsidRDefault="00254766" w:rsidP="00254766">
          <w:pPr>
            <w:pStyle w:val="TOC2"/>
            <w:tabs>
              <w:tab w:val="right" w:leader="dot" w:pos="9350"/>
            </w:tabs>
            <w:rPr>
              <w:rFonts w:ascii="Arial" w:eastAsiaTheme="minorEastAsia" w:hAnsi="Arial" w:cs="Arial"/>
              <w:noProof/>
              <w:sz w:val="22"/>
            </w:rPr>
          </w:pPr>
          <w:hyperlink w:anchor="_Toc189693250" w:history="1">
            <w:r w:rsidRPr="00425682">
              <w:rPr>
                <w:rStyle w:val="Hyperlink"/>
                <w:rFonts w:ascii="Arial" w:hAnsi="Arial" w:cs="Arial"/>
                <w:noProof/>
              </w:rPr>
              <w:t>Social Impact</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_Toc189693250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7</w:t>
            </w:r>
            <w:r w:rsidRPr="00425682">
              <w:rPr>
                <w:rFonts w:ascii="Arial" w:hAnsi="Arial" w:cs="Arial"/>
                <w:noProof/>
                <w:webHidden/>
              </w:rPr>
              <w:fldChar w:fldCharType="end"/>
            </w:r>
          </w:hyperlink>
        </w:p>
        <w:p w14:paraId="050E5DC2" w14:textId="77777777" w:rsidR="00254766" w:rsidRPr="00425682" w:rsidRDefault="00254766" w:rsidP="00254766">
          <w:pPr>
            <w:pStyle w:val="TOC2"/>
            <w:tabs>
              <w:tab w:val="right" w:leader="dot" w:pos="9350"/>
            </w:tabs>
            <w:rPr>
              <w:rFonts w:ascii="Arial" w:eastAsiaTheme="minorEastAsia" w:hAnsi="Arial" w:cs="Arial"/>
              <w:noProof/>
              <w:sz w:val="22"/>
            </w:rPr>
          </w:pPr>
          <w:hyperlink w:anchor="_Toc189693251" w:history="1">
            <w:r w:rsidRPr="00425682">
              <w:rPr>
                <w:rStyle w:val="Hyperlink"/>
                <w:rFonts w:ascii="Arial" w:hAnsi="Arial" w:cs="Arial"/>
                <w:noProof/>
              </w:rPr>
              <w:t>Technological Impact</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_Toc189693251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7</w:t>
            </w:r>
            <w:r w:rsidRPr="00425682">
              <w:rPr>
                <w:rFonts w:ascii="Arial" w:hAnsi="Arial" w:cs="Arial"/>
                <w:noProof/>
                <w:webHidden/>
              </w:rPr>
              <w:fldChar w:fldCharType="end"/>
            </w:r>
          </w:hyperlink>
        </w:p>
        <w:p w14:paraId="132F8D28" w14:textId="77777777" w:rsidR="00254766" w:rsidRPr="00425682" w:rsidRDefault="00254766" w:rsidP="00254766">
          <w:pPr>
            <w:pStyle w:val="TOC2"/>
            <w:tabs>
              <w:tab w:val="right" w:leader="dot" w:pos="9350"/>
            </w:tabs>
            <w:rPr>
              <w:rFonts w:ascii="Arial" w:eastAsiaTheme="minorEastAsia" w:hAnsi="Arial" w:cs="Arial"/>
              <w:noProof/>
              <w:sz w:val="22"/>
            </w:rPr>
          </w:pPr>
          <w:hyperlink w:anchor="_Toc189693252" w:history="1">
            <w:r w:rsidRPr="00425682">
              <w:rPr>
                <w:rStyle w:val="Hyperlink"/>
                <w:rFonts w:ascii="Arial" w:hAnsi="Arial" w:cs="Arial"/>
                <w:noProof/>
              </w:rPr>
              <w:t>Legal Impact</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_Toc189693252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7</w:t>
            </w:r>
            <w:r w:rsidRPr="00425682">
              <w:rPr>
                <w:rFonts w:ascii="Arial" w:hAnsi="Arial" w:cs="Arial"/>
                <w:noProof/>
                <w:webHidden/>
              </w:rPr>
              <w:fldChar w:fldCharType="end"/>
            </w:r>
          </w:hyperlink>
        </w:p>
        <w:p w14:paraId="2246FB6B" w14:textId="77777777" w:rsidR="00254766" w:rsidRPr="00425682" w:rsidRDefault="00254766" w:rsidP="00254766">
          <w:pPr>
            <w:pStyle w:val="TOC2"/>
            <w:tabs>
              <w:tab w:val="right" w:leader="dot" w:pos="9350"/>
            </w:tabs>
            <w:rPr>
              <w:rFonts w:ascii="Arial" w:eastAsiaTheme="minorEastAsia" w:hAnsi="Arial" w:cs="Arial"/>
              <w:noProof/>
              <w:sz w:val="22"/>
            </w:rPr>
          </w:pPr>
          <w:hyperlink w:anchor="_Toc189693253" w:history="1">
            <w:r w:rsidRPr="00425682">
              <w:rPr>
                <w:rStyle w:val="Hyperlink"/>
                <w:rFonts w:ascii="Arial" w:hAnsi="Arial" w:cs="Arial"/>
                <w:noProof/>
              </w:rPr>
              <w:t>Environmental Impact</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_Toc189693253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8</w:t>
            </w:r>
            <w:r w:rsidRPr="00425682">
              <w:rPr>
                <w:rFonts w:ascii="Arial" w:hAnsi="Arial" w:cs="Arial"/>
                <w:noProof/>
                <w:webHidden/>
              </w:rPr>
              <w:fldChar w:fldCharType="end"/>
            </w:r>
          </w:hyperlink>
        </w:p>
        <w:p w14:paraId="18280114" w14:textId="77777777" w:rsidR="00254766" w:rsidRPr="00425682" w:rsidRDefault="00254766" w:rsidP="00254766">
          <w:pPr>
            <w:pStyle w:val="TOC1"/>
            <w:tabs>
              <w:tab w:val="right" w:leader="dot" w:pos="9350"/>
            </w:tabs>
            <w:rPr>
              <w:rFonts w:ascii="Arial" w:eastAsiaTheme="minorEastAsia" w:hAnsi="Arial" w:cs="Arial"/>
              <w:noProof/>
              <w:sz w:val="22"/>
            </w:rPr>
          </w:pPr>
          <w:hyperlink w:anchor="_Toc189693254" w:history="1">
            <w:r w:rsidRPr="00425682">
              <w:rPr>
                <w:rStyle w:val="Hyperlink"/>
                <w:rFonts w:ascii="Arial" w:hAnsi="Arial" w:cs="Arial"/>
                <w:noProof/>
              </w:rPr>
              <w:t>Conclusion</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_Toc189693254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9</w:t>
            </w:r>
            <w:r w:rsidRPr="00425682">
              <w:rPr>
                <w:rFonts w:ascii="Arial" w:hAnsi="Arial" w:cs="Arial"/>
                <w:noProof/>
                <w:webHidden/>
              </w:rPr>
              <w:fldChar w:fldCharType="end"/>
            </w:r>
          </w:hyperlink>
        </w:p>
        <w:p w14:paraId="51BE2180" w14:textId="77777777" w:rsidR="00254766" w:rsidRPr="00425682" w:rsidRDefault="00254766" w:rsidP="00254766">
          <w:pPr>
            <w:pStyle w:val="TOC1"/>
            <w:tabs>
              <w:tab w:val="right" w:leader="dot" w:pos="9350"/>
            </w:tabs>
            <w:rPr>
              <w:rFonts w:ascii="Arial" w:eastAsiaTheme="minorEastAsia" w:hAnsi="Arial" w:cs="Arial"/>
              <w:noProof/>
              <w:sz w:val="22"/>
            </w:rPr>
          </w:pPr>
          <w:hyperlink w:anchor="_Toc189693255" w:history="1">
            <w:r w:rsidRPr="00425682">
              <w:rPr>
                <w:rStyle w:val="Hyperlink"/>
                <w:rFonts w:ascii="Arial" w:hAnsi="Arial" w:cs="Arial"/>
                <w:noProof/>
              </w:rPr>
              <w:t>Recommendations</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_Toc189693255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10</w:t>
            </w:r>
            <w:r w:rsidRPr="00425682">
              <w:rPr>
                <w:rFonts w:ascii="Arial" w:hAnsi="Arial" w:cs="Arial"/>
                <w:noProof/>
                <w:webHidden/>
              </w:rPr>
              <w:fldChar w:fldCharType="end"/>
            </w:r>
          </w:hyperlink>
        </w:p>
        <w:p w14:paraId="0617FF0D" w14:textId="77777777" w:rsidR="00254766" w:rsidRPr="00425682" w:rsidRDefault="00254766" w:rsidP="00254766">
          <w:pPr>
            <w:pStyle w:val="TOC1"/>
            <w:tabs>
              <w:tab w:val="right" w:leader="dot" w:pos="9350"/>
            </w:tabs>
            <w:rPr>
              <w:rFonts w:ascii="Arial" w:eastAsiaTheme="minorEastAsia" w:hAnsi="Arial" w:cs="Arial"/>
              <w:noProof/>
              <w:sz w:val="22"/>
            </w:rPr>
          </w:pPr>
          <w:hyperlink w:anchor="_Toc189693256" w:history="1">
            <w:r w:rsidRPr="00425682">
              <w:rPr>
                <w:rStyle w:val="Hyperlink"/>
                <w:rFonts w:ascii="Arial" w:hAnsi="Arial" w:cs="Arial"/>
                <w:noProof/>
              </w:rPr>
              <w:t>Reference</w:t>
            </w:r>
            <w:r w:rsidRPr="00425682">
              <w:rPr>
                <w:rFonts w:ascii="Arial" w:hAnsi="Arial" w:cs="Arial"/>
                <w:noProof/>
                <w:webHidden/>
              </w:rPr>
              <w:tab/>
            </w:r>
            <w:r w:rsidRPr="00425682">
              <w:rPr>
                <w:rFonts w:ascii="Arial" w:hAnsi="Arial" w:cs="Arial"/>
                <w:noProof/>
                <w:webHidden/>
              </w:rPr>
              <w:fldChar w:fldCharType="begin"/>
            </w:r>
            <w:r w:rsidRPr="00425682">
              <w:rPr>
                <w:rFonts w:ascii="Arial" w:hAnsi="Arial" w:cs="Arial"/>
                <w:noProof/>
                <w:webHidden/>
              </w:rPr>
              <w:instrText xml:space="preserve"> PAGEREF _Toc189693256 \h </w:instrText>
            </w:r>
            <w:r w:rsidRPr="00425682">
              <w:rPr>
                <w:rFonts w:ascii="Arial" w:hAnsi="Arial" w:cs="Arial"/>
                <w:noProof/>
                <w:webHidden/>
              </w:rPr>
            </w:r>
            <w:r w:rsidRPr="00425682">
              <w:rPr>
                <w:rFonts w:ascii="Arial" w:hAnsi="Arial" w:cs="Arial"/>
                <w:noProof/>
                <w:webHidden/>
              </w:rPr>
              <w:fldChar w:fldCharType="separate"/>
            </w:r>
            <w:r w:rsidRPr="00425682">
              <w:rPr>
                <w:rFonts w:ascii="Arial" w:hAnsi="Arial" w:cs="Arial"/>
                <w:noProof/>
                <w:webHidden/>
              </w:rPr>
              <w:t>12</w:t>
            </w:r>
            <w:r w:rsidRPr="00425682">
              <w:rPr>
                <w:rFonts w:ascii="Arial" w:hAnsi="Arial" w:cs="Arial"/>
                <w:noProof/>
                <w:webHidden/>
              </w:rPr>
              <w:fldChar w:fldCharType="end"/>
            </w:r>
          </w:hyperlink>
        </w:p>
        <w:p w14:paraId="61A03724" w14:textId="77777777" w:rsidR="00254766" w:rsidRPr="00425682" w:rsidRDefault="00254766" w:rsidP="00254766">
          <w:pPr>
            <w:rPr>
              <w:rFonts w:ascii="Arial" w:hAnsi="Arial" w:cs="Arial"/>
            </w:rPr>
          </w:pPr>
          <w:r w:rsidRPr="00425682">
            <w:rPr>
              <w:rFonts w:ascii="Arial" w:hAnsi="Arial" w:cs="Arial"/>
              <w:b/>
              <w:bCs/>
              <w:noProof/>
            </w:rPr>
            <w:fldChar w:fldCharType="end"/>
          </w:r>
        </w:p>
      </w:sdtContent>
    </w:sdt>
    <w:p w14:paraId="5A703A5E" w14:textId="77777777" w:rsidR="00254766" w:rsidRPr="00425682" w:rsidRDefault="00254766" w:rsidP="00254766">
      <w:pPr>
        <w:spacing w:line="276" w:lineRule="auto"/>
        <w:rPr>
          <w:rFonts w:ascii="Arial" w:hAnsi="Arial" w:cs="Arial"/>
          <w:b/>
          <w:sz w:val="28"/>
          <w:u w:val="single"/>
        </w:rPr>
      </w:pPr>
      <w:r w:rsidRPr="00425682">
        <w:rPr>
          <w:rFonts w:ascii="Arial" w:hAnsi="Arial" w:cs="Arial"/>
          <w:b/>
          <w:sz w:val="28"/>
          <w:u w:val="single"/>
        </w:rPr>
        <w:br w:type="page"/>
      </w:r>
    </w:p>
    <w:p w14:paraId="1E7BFD45" w14:textId="77777777" w:rsidR="00254766" w:rsidRPr="00425682" w:rsidRDefault="00254766" w:rsidP="00254766">
      <w:pPr>
        <w:jc w:val="center"/>
        <w:rPr>
          <w:rFonts w:ascii="Arial" w:hAnsi="Arial" w:cs="Arial"/>
          <w:b/>
          <w:sz w:val="28"/>
          <w:u w:val="single"/>
        </w:rPr>
        <w:sectPr w:rsidR="00254766" w:rsidRPr="00425682" w:rsidSect="0025476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pPr>
    </w:p>
    <w:p w14:paraId="15B000BC" w14:textId="77777777" w:rsidR="00254766" w:rsidRPr="00425682" w:rsidRDefault="00254766" w:rsidP="00254766">
      <w:pPr>
        <w:pStyle w:val="Heading1"/>
        <w:rPr>
          <w:rFonts w:ascii="Arial" w:hAnsi="Arial" w:cs="Arial"/>
        </w:rPr>
      </w:pPr>
      <w:bookmarkStart w:id="0" w:name="_Toc189693243"/>
      <w:r w:rsidRPr="00425682">
        <w:rPr>
          <w:rFonts w:ascii="Arial" w:hAnsi="Arial" w:cs="Arial"/>
        </w:rPr>
        <w:lastRenderedPageBreak/>
        <w:t>Abstract</w:t>
      </w:r>
      <w:bookmarkEnd w:id="0"/>
    </w:p>
    <w:p w14:paraId="1C18D669" w14:textId="77777777" w:rsidR="00254766" w:rsidRPr="00425682" w:rsidRDefault="00254766" w:rsidP="00254766">
      <w:pPr>
        <w:rPr>
          <w:rFonts w:ascii="Arial" w:hAnsi="Arial" w:cs="Arial"/>
        </w:rPr>
      </w:pPr>
      <w:r w:rsidRPr="00425682">
        <w:rPr>
          <w:rFonts w:ascii="Arial" w:hAnsi="Arial" w:cs="Arial"/>
        </w:rPr>
        <w:t xml:space="preserve">This conference research paper will determine how the 2024 European wildfires disrupted the hospitality industry and its effects on TUI Group in London. This paper discusses the impacts of wildfires on the aspect of PESTLE in the industry. Some of the impacts of the wildfires included restricted mobility, bookings cancellation, change of demand pattern, and thus having a strong impact on companies such as the TUI Group. Therefore, the perceived vulnerabilities brought about by the crisis were perceived to be an eye-opener on issues such as crisis management, practicable sustainability, and communication in the hospitality sector. Finally, dangerous risks for the next crisis and the need to consider the sustainable development of strategies and business models are also described in the report. The recommendations addressed to members of the industry are the need to incorporate more open booking options, share more cooperation opportunities with the local government, and insurance companies, as well as encourage tourist green attitudes. Used in the following way, the information implies the need for an increased focus on the long-term impacts of crises on business environments in the context of environmental concerns in hospitality </w:t>
      </w:r>
      <w:proofErr w:type="spellStart"/>
      <w:r w:rsidRPr="00425682">
        <w:rPr>
          <w:rFonts w:ascii="Arial" w:hAnsi="Arial" w:cs="Arial"/>
        </w:rPr>
        <w:t>organisations</w:t>
      </w:r>
      <w:proofErr w:type="spellEnd"/>
      <w:r w:rsidRPr="00425682">
        <w:rPr>
          <w:rFonts w:ascii="Arial" w:hAnsi="Arial" w:cs="Arial"/>
        </w:rPr>
        <w:t>.</w:t>
      </w:r>
    </w:p>
    <w:p w14:paraId="7FE630C4" w14:textId="77777777" w:rsidR="00254766" w:rsidRPr="00425682" w:rsidRDefault="00254766" w:rsidP="00254766">
      <w:pPr>
        <w:spacing w:line="276" w:lineRule="auto"/>
        <w:rPr>
          <w:rFonts w:ascii="Arial" w:hAnsi="Arial" w:cs="Arial"/>
        </w:rPr>
      </w:pPr>
      <w:r w:rsidRPr="00425682">
        <w:rPr>
          <w:rFonts w:ascii="Arial" w:hAnsi="Arial" w:cs="Arial"/>
        </w:rPr>
        <w:br w:type="page"/>
      </w:r>
    </w:p>
    <w:p w14:paraId="3CE9B901" w14:textId="77777777" w:rsidR="00254766" w:rsidRPr="00425682" w:rsidRDefault="00254766" w:rsidP="00254766">
      <w:pPr>
        <w:pStyle w:val="Heading1"/>
        <w:rPr>
          <w:rFonts w:ascii="Arial" w:hAnsi="Arial" w:cs="Arial"/>
        </w:rPr>
      </w:pPr>
      <w:bookmarkStart w:id="1" w:name="_Toc189693244"/>
      <w:r w:rsidRPr="00425682">
        <w:rPr>
          <w:rFonts w:ascii="Arial" w:hAnsi="Arial" w:cs="Arial"/>
        </w:rPr>
        <w:lastRenderedPageBreak/>
        <w:t>Introduction</w:t>
      </w:r>
      <w:bookmarkEnd w:id="1"/>
    </w:p>
    <w:p w14:paraId="6D6B211E" w14:textId="77777777" w:rsidR="00254766" w:rsidRPr="00425682" w:rsidRDefault="00254766" w:rsidP="00254766">
      <w:pPr>
        <w:rPr>
          <w:rFonts w:ascii="Arial" w:hAnsi="Arial" w:cs="Arial"/>
        </w:rPr>
      </w:pPr>
      <w:r w:rsidRPr="00425682">
        <w:rPr>
          <w:rFonts w:ascii="Arial" w:hAnsi="Arial" w:cs="Arial"/>
        </w:rPr>
        <w:t xml:space="preserve">Wildfires remain among the emerging threats in the current generation that influence almost every sector in the world including the hospitality industry. The 2024 wildfires that occurred across Europe, especially in Greece and Spain have brought serious impacts to the tourism and travel industries. It is, therefore, imperative to comprehend how such crises affect </w:t>
      </w:r>
      <w:proofErr w:type="gramStart"/>
      <w:r w:rsidRPr="00425682">
        <w:rPr>
          <w:rFonts w:ascii="Arial" w:hAnsi="Arial" w:cs="Arial"/>
        </w:rPr>
        <w:t>the industry</w:t>
      </w:r>
      <w:proofErr w:type="gramEnd"/>
      <w:r w:rsidRPr="00425682">
        <w:rPr>
          <w:rFonts w:ascii="Arial" w:hAnsi="Arial" w:cs="Arial"/>
        </w:rPr>
        <w:t xml:space="preserve"> as there are close links between climate change, tourism, and hospitality. Wildfires are not only a threat to natural ecosystems but also </w:t>
      </w:r>
      <w:proofErr w:type="gramStart"/>
      <w:r w:rsidRPr="00425682">
        <w:rPr>
          <w:rFonts w:ascii="Arial" w:hAnsi="Arial" w:cs="Arial"/>
        </w:rPr>
        <w:t>affect</w:t>
      </w:r>
      <w:proofErr w:type="gramEnd"/>
      <w:r w:rsidRPr="00425682">
        <w:rPr>
          <w:rFonts w:ascii="Arial" w:hAnsi="Arial" w:cs="Arial"/>
        </w:rPr>
        <w:t xml:space="preserve"> travelling, occupations and people's wallets. There has been a gradual increase in frequency and severity of climatic disasters over the last years and wildfires are now a recurrent phenomenon, predominantly observed in the southern European countries. TUI </w:t>
      </w:r>
      <w:proofErr w:type="gramStart"/>
      <w:r w:rsidRPr="00425682">
        <w:rPr>
          <w:rFonts w:ascii="Arial" w:hAnsi="Arial" w:cs="Arial"/>
        </w:rPr>
        <w:t>GROUP</w:t>
      </w:r>
      <w:proofErr w:type="gramEnd"/>
      <w:r w:rsidRPr="00425682">
        <w:rPr>
          <w:rFonts w:ascii="Arial" w:hAnsi="Arial" w:cs="Arial"/>
        </w:rPr>
        <w:t xml:space="preserve"> being a large travel service provider was directly touched more, especially in the London </w:t>
      </w:r>
      <w:proofErr w:type="spellStart"/>
      <w:r w:rsidRPr="00425682">
        <w:rPr>
          <w:rFonts w:ascii="Arial" w:hAnsi="Arial" w:cs="Arial"/>
        </w:rPr>
        <w:t>centres</w:t>
      </w:r>
      <w:proofErr w:type="spellEnd"/>
      <w:r w:rsidRPr="00425682">
        <w:rPr>
          <w:rFonts w:ascii="Arial" w:hAnsi="Arial" w:cs="Arial"/>
        </w:rPr>
        <w:t xml:space="preserve"> that act as a springboard for most of the international travels. </w:t>
      </w:r>
      <w:proofErr w:type="spellStart"/>
      <w:r w:rsidRPr="00425682">
        <w:rPr>
          <w:rFonts w:ascii="Arial" w:hAnsi="Arial" w:cs="Arial"/>
        </w:rPr>
        <w:t>Analysing</w:t>
      </w:r>
      <w:proofErr w:type="spellEnd"/>
      <w:r w:rsidRPr="00425682">
        <w:rPr>
          <w:rFonts w:ascii="Arial" w:hAnsi="Arial" w:cs="Arial"/>
        </w:rPr>
        <w:t xml:space="preserve"> the impact of the 2024 wildfires case, this report will use the PESTLE form to identify any implications on TUI Group and the overall hospitality industry to employ strategies to create a more resilient system.</w:t>
      </w:r>
    </w:p>
    <w:p w14:paraId="41E28039" w14:textId="77777777" w:rsidR="00254766" w:rsidRPr="00425682" w:rsidRDefault="00254766" w:rsidP="00254766">
      <w:pPr>
        <w:spacing w:line="276" w:lineRule="auto"/>
        <w:rPr>
          <w:rFonts w:ascii="Arial" w:hAnsi="Arial" w:cs="Arial"/>
        </w:rPr>
      </w:pPr>
      <w:r w:rsidRPr="00425682">
        <w:rPr>
          <w:rFonts w:ascii="Arial" w:hAnsi="Arial" w:cs="Arial"/>
        </w:rPr>
        <w:br w:type="page"/>
      </w:r>
    </w:p>
    <w:p w14:paraId="295DDC28" w14:textId="77777777" w:rsidR="00254766" w:rsidRPr="00425682" w:rsidRDefault="00254766" w:rsidP="00254766">
      <w:pPr>
        <w:pStyle w:val="Heading1"/>
        <w:rPr>
          <w:rFonts w:ascii="Arial" w:hAnsi="Arial" w:cs="Arial"/>
        </w:rPr>
      </w:pPr>
      <w:bookmarkStart w:id="2" w:name="_Toc189693245"/>
      <w:r w:rsidRPr="00425682">
        <w:rPr>
          <w:rFonts w:ascii="Arial" w:hAnsi="Arial" w:cs="Arial"/>
        </w:rPr>
        <w:lastRenderedPageBreak/>
        <w:t>Literature Review</w:t>
      </w:r>
      <w:bookmarkEnd w:id="2"/>
    </w:p>
    <w:p w14:paraId="10D3AF05" w14:textId="77777777" w:rsidR="00254766" w:rsidRPr="00425682" w:rsidRDefault="00254766" w:rsidP="00254766">
      <w:pPr>
        <w:rPr>
          <w:rFonts w:ascii="Arial" w:hAnsi="Arial" w:cs="Arial"/>
        </w:rPr>
      </w:pPr>
      <w:r w:rsidRPr="00425682">
        <w:rPr>
          <w:rFonts w:ascii="Arial" w:hAnsi="Arial" w:cs="Arial"/>
        </w:rPr>
        <w:t xml:space="preserve">The rise in climate change has produced environmental impacts that have adverse effects on the hospitality industry and one of them is the increasing disasters of wildfire. The 2024 European wildfire is an example of </w:t>
      </w:r>
      <w:proofErr w:type="gramStart"/>
      <w:r w:rsidRPr="00425682">
        <w:rPr>
          <w:rFonts w:ascii="Arial" w:hAnsi="Arial" w:cs="Arial"/>
        </w:rPr>
        <w:t>an environmental</w:t>
      </w:r>
      <w:proofErr w:type="gramEnd"/>
      <w:r w:rsidRPr="00425682">
        <w:rPr>
          <w:rFonts w:ascii="Arial" w:hAnsi="Arial" w:cs="Arial"/>
        </w:rPr>
        <w:t xml:space="preserve"> catastrophes affecting travel, accommodations, and tourism-dependent industries. The present literature review is going to discuss global climate change, tourism crisis management, the effects of fire on the hospitality industry, and the use of the PESTLE model in the analysis of crises in the hospitality industry. Through a method of sorting literature that started from 2018 up to 2021, it evaluates the lasting </w:t>
      </w:r>
      <w:proofErr w:type="spellStart"/>
      <w:r w:rsidRPr="00425682">
        <w:rPr>
          <w:rFonts w:ascii="Arial" w:hAnsi="Arial" w:cs="Arial"/>
        </w:rPr>
        <w:t>imрасts</w:t>
      </w:r>
      <w:proofErr w:type="spellEnd"/>
      <w:r w:rsidRPr="00425682">
        <w:rPr>
          <w:rFonts w:ascii="Arial" w:hAnsi="Arial" w:cs="Arial"/>
        </w:rPr>
        <w:t xml:space="preserve"> </w:t>
      </w:r>
      <w:proofErr w:type="spellStart"/>
      <w:r w:rsidRPr="00425682">
        <w:rPr>
          <w:rFonts w:ascii="Arial" w:hAnsi="Arial" w:cs="Arial"/>
        </w:rPr>
        <w:t>οf</w:t>
      </w:r>
      <w:proofErr w:type="spellEnd"/>
      <w:r w:rsidRPr="00425682">
        <w:rPr>
          <w:rFonts w:ascii="Arial" w:hAnsi="Arial" w:cs="Arial"/>
        </w:rPr>
        <w:t xml:space="preserve"> wildfires </w:t>
      </w:r>
      <w:proofErr w:type="spellStart"/>
      <w:r w:rsidRPr="00425682">
        <w:rPr>
          <w:rFonts w:ascii="Arial" w:hAnsi="Arial" w:cs="Arial"/>
        </w:rPr>
        <w:t>οn</w:t>
      </w:r>
      <w:proofErr w:type="spellEnd"/>
      <w:r w:rsidRPr="00425682">
        <w:rPr>
          <w:rFonts w:ascii="Arial" w:hAnsi="Arial" w:cs="Arial"/>
        </w:rPr>
        <w:t xml:space="preserve"> global tourism.</w:t>
      </w:r>
    </w:p>
    <w:p w14:paraId="23EE070B" w14:textId="77777777" w:rsidR="00254766" w:rsidRPr="00425682" w:rsidRDefault="00254766" w:rsidP="00254766">
      <w:pPr>
        <w:rPr>
          <w:rFonts w:ascii="Arial" w:hAnsi="Arial" w:cs="Arial"/>
        </w:rPr>
      </w:pPr>
      <w:r w:rsidRPr="00425682">
        <w:rPr>
          <w:rFonts w:ascii="Arial" w:hAnsi="Arial" w:cs="Arial"/>
        </w:rPr>
        <w:t xml:space="preserve">This analysis shows that after the year 2018 and up to 2021, the hospitality sector is prone to climate-related disasters. Atzori, Fyall and Miller (2018) explain how the increase in world temperatures results in the occurrence of severe weather conditions such as cyclones, and fires, which negatively impacts the tourism sector by reducing tourists’ visits to the affected areas. Likewise, </w:t>
      </w:r>
      <w:proofErr w:type="spellStart"/>
      <w:r w:rsidRPr="00425682">
        <w:rPr>
          <w:rFonts w:ascii="Arial" w:hAnsi="Arial" w:cs="Arial"/>
        </w:rPr>
        <w:t>Ivkov</w:t>
      </w:r>
      <w:proofErr w:type="spellEnd"/>
      <w:r w:rsidRPr="00425682">
        <w:rPr>
          <w:rFonts w:ascii="Arial" w:hAnsi="Arial" w:cs="Arial"/>
        </w:rPr>
        <w:t xml:space="preserve"> et al. (2019) establish an impact of climate-induced shock on the financial domain referring to the negative result in terms of visitors' nights in destinations more exposed to wildfires and high insurance premiums for accommodation providers as well as tour operating companies. This is consistent with the recommendations by Rosselló, Becken and Santana-Gallego (2020) who noted that physical climate risks </w:t>
      </w:r>
      <w:proofErr w:type="gramStart"/>
      <w:r w:rsidRPr="00425682">
        <w:rPr>
          <w:rFonts w:ascii="Arial" w:hAnsi="Arial" w:cs="Arial"/>
        </w:rPr>
        <w:t>have to</w:t>
      </w:r>
      <w:proofErr w:type="gramEnd"/>
      <w:r w:rsidRPr="00425682">
        <w:rPr>
          <w:rFonts w:ascii="Arial" w:hAnsi="Arial" w:cs="Arial"/>
        </w:rPr>
        <w:t xml:space="preserve"> be managed within the hospitality industry for loss </w:t>
      </w:r>
      <w:proofErr w:type="spellStart"/>
      <w:r w:rsidRPr="00425682">
        <w:rPr>
          <w:rFonts w:ascii="Arial" w:hAnsi="Arial" w:cs="Arial"/>
        </w:rPr>
        <w:t>minimisation</w:t>
      </w:r>
      <w:proofErr w:type="spellEnd"/>
      <w:r w:rsidRPr="00425682">
        <w:rPr>
          <w:rFonts w:ascii="Arial" w:hAnsi="Arial" w:cs="Arial"/>
        </w:rPr>
        <w:t xml:space="preserve">. Further, Wut, Xu and Wong (2021) continue to assert the need to adopt </w:t>
      </w:r>
      <w:proofErr w:type="gramStart"/>
      <w:r w:rsidRPr="00425682">
        <w:rPr>
          <w:rFonts w:ascii="Arial" w:hAnsi="Arial" w:cs="Arial"/>
        </w:rPr>
        <w:t>the ideal</w:t>
      </w:r>
      <w:proofErr w:type="gramEnd"/>
      <w:r w:rsidRPr="00425682">
        <w:rPr>
          <w:rFonts w:ascii="Arial" w:hAnsi="Arial" w:cs="Arial"/>
        </w:rPr>
        <w:t xml:space="preserve"> strategies like diversification of tourism and putting in place coping measures for business continuity.</w:t>
      </w:r>
    </w:p>
    <w:p w14:paraId="7D90FB9F" w14:textId="77777777" w:rsidR="00254766" w:rsidRPr="00425682" w:rsidRDefault="00254766" w:rsidP="00254766">
      <w:pPr>
        <w:rPr>
          <w:rFonts w:ascii="Arial" w:hAnsi="Arial" w:cs="Arial"/>
        </w:rPr>
      </w:pPr>
      <w:r w:rsidRPr="00425682">
        <w:rPr>
          <w:rFonts w:ascii="Arial" w:hAnsi="Arial" w:cs="Arial"/>
        </w:rPr>
        <w:t xml:space="preserve">The hospitality industry has gone through many types of crises, and for this reason, crisis management is considerate. </w:t>
      </w:r>
      <w:proofErr w:type="spellStart"/>
      <w:r w:rsidRPr="00425682">
        <w:rPr>
          <w:rFonts w:ascii="Arial" w:hAnsi="Arial" w:cs="Arial"/>
        </w:rPr>
        <w:t>Batabyal</w:t>
      </w:r>
      <w:proofErr w:type="spellEnd"/>
      <w:r w:rsidRPr="00425682">
        <w:rPr>
          <w:rFonts w:ascii="Arial" w:hAnsi="Arial" w:cs="Arial"/>
        </w:rPr>
        <w:t xml:space="preserve"> and Das (2019) discuss previous global shifts, and disasters, such as natural disasters, and examine how the tourism businesses have dealt with these incidents and the need to plan for quick recovery. </w:t>
      </w:r>
      <w:proofErr w:type="gramStart"/>
      <w:r w:rsidRPr="00425682">
        <w:rPr>
          <w:rFonts w:ascii="Arial" w:hAnsi="Arial" w:cs="Arial"/>
        </w:rPr>
        <w:t>The emergencies</w:t>
      </w:r>
      <w:proofErr w:type="gramEnd"/>
      <w:r w:rsidRPr="00425682">
        <w:rPr>
          <w:rFonts w:ascii="Arial" w:hAnsi="Arial" w:cs="Arial"/>
        </w:rPr>
        <w:t xml:space="preserve"> such as Wildfires also affect the inbound as well as the outbound tourism. According to the study by Yu et al. (2020), the 2019–2020 bushfires in Australia have had a devastating effect on the hospitality industry of the country, including the cancellation of </w:t>
      </w:r>
      <w:proofErr w:type="gramStart"/>
      <w:r w:rsidRPr="00425682">
        <w:rPr>
          <w:rFonts w:ascii="Arial" w:hAnsi="Arial" w:cs="Arial"/>
        </w:rPr>
        <w:t>a large number of</w:t>
      </w:r>
      <w:proofErr w:type="gramEnd"/>
      <w:r w:rsidRPr="00425682">
        <w:rPr>
          <w:rFonts w:ascii="Arial" w:hAnsi="Arial" w:cs="Arial"/>
        </w:rPr>
        <w:t xml:space="preserve"> events, travel bans, and long-term brand damage. This is well applicable to the European </w:t>
      </w:r>
      <w:proofErr w:type="gramStart"/>
      <w:r w:rsidRPr="00425682">
        <w:rPr>
          <w:rFonts w:ascii="Arial" w:hAnsi="Arial" w:cs="Arial"/>
        </w:rPr>
        <w:t>wild fires</w:t>
      </w:r>
      <w:proofErr w:type="gramEnd"/>
      <w:r w:rsidRPr="00425682">
        <w:rPr>
          <w:rFonts w:ascii="Arial" w:hAnsi="Arial" w:cs="Arial"/>
        </w:rPr>
        <w:t xml:space="preserve"> where some of the problems that were faced here also occurred such as stranded tourists and loss of business both in terms of money and customer bookings for the regions affected.</w:t>
      </w:r>
    </w:p>
    <w:p w14:paraId="3E11FFAB" w14:textId="77777777" w:rsidR="00254766" w:rsidRPr="00425682" w:rsidRDefault="00254766" w:rsidP="00254766">
      <w:pPr>
        <w:rPr>
          <w:rFonts w:ascii="Arial" w:hAnsi="Arial" w:cs="Arial"/>
        </w:rPr>
      </w:pPr>
      <w:r w:rsidRPr="00425682">
        <w:rPr>
          <w:rFonts w:ascii="Arial" w:hAnsi="Arial" w:cs="Arial"/>
        </w:rPr>
        <w:t xml:space="preserve">Fires have been researched </w:t>
      </w:r>
      <w:proofErr w:type="gramStart"/>
      <w:r w:rsidRPr="00425682">
        <w:rPr>
          <w:rFonts w:ascii="Arial" w:hAnsi="Arial" w:cs="Arial"/>
        </w:rPr>
        <w:t>about</w:t>
      </w:r>
      <w:proofErr w:type="gramEnd"/>
      <w:r w:rsidRPr="00425682">
        <w:rPr>
          <w:rFonts w:ascii="Arial" w:hAnsi="Arial" w:cs="Arial"/>
        </w:rPr>
        <w:t xml:space="preserve"> tourism with an emphasis on the effects that they have on tourists as well as companies and </w:t>
      </w:r>
      <w:proofErr w:type="spellStart"/>
      <w:r w:rsidRPr="00425682">
        <w:rPr>
          <w:rFonts w:ascii="Arial" w:hAnsi="Arial" w:cs="Arial"/>
        </w:rPr>
        <w:t>organisations</w:t>
      </w:r>
      <w:proofErr w:type="spellEnd"/>
      <w:r w:rsidRPr="00425682">
        <w:rPr>
          <w:rFonts w:ascii="Arial" w:hAnsi="Arial" w:cs="Arial"/>
        </w:rPr>
        <w:t xml:space="preserve">. According to Karl, Muskat and Ritchie (2020), tourists are better aware of the climate risks and thus change their decision on where to travel based on the perceived security from the effects of climate change. They also recommend that hospitality operating in such regions should embrace protective mechanisms </w:t>
      </w:r>
      <w:proofErr w:type="gramStart"/>
      <w:r w:rsidRPr="00425682">
        <w:rPr>
          <w:rFonts w:ascii="Arial" w:hAnsi="Arial" w:cs="Arial"/>
        </w:rPr>
        <w:t>namely;</w:t>
      </w:r>
      <w:proofErr w:type="gramEnd"/>
      <w:r w:rsidRPr="00425682">
        <w:rPr>
          <w:rFonts w:ascii="Arial" w:hAnsi="Arial" w:cs="Arial"/>
        </w:rPr>
        <w:t xml:space="preserve"> fire prevention business continuity plans and crisis communication frameworks. Palaiologou et al. (2021) assess the impact of Mediterranean wildfires on Greek tourism as the post-crisis recovery factor is vital in restoring consumer confidence to help the tourism industry become sustainable once more.</w:t>
      </w:r>
    </w:p>
    <w:p w14:paraId="538A152B" w14:textId="77777777" w:rsidR="00254766" w:rsidRPr="00425682" w:rsidRDefault="00254766" w:rsidP="00254766">
      <w:pPr>
        <w:rPr>
          <w:rFonts w:ascii="Arial" w:hAnsi="Arial" w:cs="Arial"/>
        </w:rPr>
      </w:pPr>
      <w:r w:rsidRPr="00425682">
        <w:rPr>
          <w:rFonts w:ascii="Arial" w:hAnsi="Arial" w:cs="Arial"/>
        </w:rPr>
        <w:t xml:space="preserve">The evaluation of the crises at the multifaceted level is common in hospitality research by using the PESTLE framework. Nicula and </w:t>
      </w:r>
      <w:proofErr w:type="spellStart"/>
      <w:r w:rsidRPr="00425682">
        <w:rPr>
          <w:rFonts w:ascii="Arial" w:hAnsi="Arial" w:cs="Arial"/>
        </w:rPr>
        <w:t>Spânu</w:t>
      </w:r>
      <w:proofErr w:type="spellEnd"/>
      <w:r w:rsidRPr="00425682">
        <w:rPr>
          <w:rFonts w:ascii="Arial" w:hAnsi="Arial" w:cs="Arial"/>
        </w:rPr>
        <w:t xml:space="preserve"> (2019) reveal its use in establishing how political, economic, social, technological, legal and environmental factors bear an impact on crisis management strategies in tourism. There are numerous examples of the use of PESTLE in </w:t>
      </w:r>
      <w:r w:rsidRPr="00425682">
        <w:rPr>
          <w:rFonts w:ascii="Arial" w:hAnsi="Arial" w:cs="Arial"/>
        </w:rPr>
        <w:lastRenderedPageBreak/>
        <w:t xml:space="preserve">various contexts, and </w:t>
      </w:r>
      <w:proofErr w:type="spellStart"/>
      <w:r w:rsidRPr="00425682">
        <w:rPr>
          <w:rFonts w:ascii="Arial" w:hAnsi="Arial" w:cs="Arial"/>
        </w:rPr>
        <w:t>Afemikhe</w:t>
      </w:r>
      <w:proofErr w:type="spellEnd"/>
      <w:r w:rsidRPr="00425682">
        <w:rPr>
          <w:rFonts w:ascii="Arial" w:hAnsi="Arial" w:cs="Arial"/>
        </w:rPr>
        <w:t xml:space="preserve"> (2020) also applies PESTLE to examine the effects of the COVID-19 pandemic on the hospitality industry. Battista (2021) reveals that PESTLE analysis should be matched with risk management frameworks as an effective means of addressing crises in the hospitality industry.</w:t>
      </w:r>
    </w:p>
    <w:p w14:paraId="735AE87C" w14:textId="77777777" w:rsidR="00254766" w:rsidRPr="00425682" w:rsidRDefault="00254766" w:rsidP="00254766">
      <w:pPr>
        <w:rPr>
          <w:rFonts w:ascii="Arial" w:hAnsi="Arial" w:cs="Arial"/>
        </w:rPr>
      </w:pPr>
      <w:r w:rsidRPr="00425682">
        <w:rPr>
          <w:rFonts w:ascii="Arial" w:hAnsi="Arial" w:cs="Arial"/>
        </w:rPr>
        <w:t>This literature reviews publications from 2018 to 2021 in a chronological arrangement to show the climate change problem. The first articles deal with the impact of global climatic change and related financial and operational risks and moderately concern the management of crises and adaptation. Using the PESTLE model to assess the macro environment relative to the occurrence of wildfires is informative and can help give directions to the hospitality sector to prevent or address such risks.</w:t>
      </w:r>
    </w:p>
    <w:p w14:paraId="0195E366" w14:textId="77777777" w:rsidR="00254766" w:rsidRPr="00425682" w:rsidRDefault="00254766" w:rsidP="00254766">
      <w:pPr>
        <w:spacing w:line="276" w:lineRule="auto"/>
        <w:rPr>
          <w:rFonts w:ascii="Arial" w:hAnsi="Arial" w:cs="Arial"/>
        </w:rPr>
      </w:pPr>
      <w:r w:rsidRPr="00425682">
        <w:rPr>
          <w:rFonts w:ascii="Arial" w:hAnsi="Arial" w:cs="Arial"/>
        </w:rPr>
        <w:br w:type="page"/>
      </w:r>
    </w:p>
    <w:p w14:paraId="6E416764" w14:textId="77777777" w:rsidR="00254766" w:rsidRPr="00425682" w:rsidRDefault="00254766" w:rsidP="00254766">
      <w:pPr>
        <w:pStyle w:val="Heading1"/>
        <w:rPr>
          <w:rFonts w:ascii="Arial" w:hAnsi="Arial" w:cs="Arial"/>
        </w:rPr>
      </w:pPr>
      <w:bookmarkStart w:id="3" w:name="_Toc189693246"/>
      <w:r w:rsidRPr="00425682">
        <w:rPr>
          <w:rFonts w:ascii="Arial" w:hAnsi="Arial" w:cs="Arial"/>
        </w:rPr>
        <w:lastRenderedPageBreak/>
        <w:t>Methodology</w:t>
      </w:r>
      <w:bookmarkEnd w:id="3"/>
    </w:p>
    <w:p w14:paraId="5E284F07" w14:textId="77777777" w:rsidR="00254766" w:rsidRPr="00425682" w:rsidRDefault="00254766" w:rsidP="00254766">
      <w:pPr>
        <w:rPr>
          <w:rFonts w:ascii="Arial" w:hAnsi="Arial" w:cs="Arial"/>
        </w:rPr>
      </w:pPr>
      <w:r w:rsidRPr="00425682">
        <w:rPr>
          <w:rFonts w:ascii="Arial" w:hAnsi="Arial" w:cs="Arial"/>
        </w:rPr>
        <w:t xml:space="preserve">This work is a case study that includes the analysis of secondary sources, articles, cases, and industry reports to assess the effect of the 2024 European wildfires on the hospitality sector, particularly TUI Group in London. The PESTLE framework will be used in measuring additional impacts of the crisis in Political, Economic, Social, Technological, Legal and Environmental aspects. This framework gives a more detailed insight into how various factors in the external environment affect the hospitality industry. Regarding the data sources, the data will be sourced from online academic journals, government and industry reports, newspaper articles, and TUI Group company reports from and after the year 2024. These sources will prove helpful in collecting essential information about the economic implications of </w:t>
      </w:r>
      <w:proofErr w:type="gramStart"/>
      <w:r w:rsidRPr="00425682">
        <w:rPr>
          <w:rFonts w:ascii="Arial" w:hAnsi="Arial" w:cs="Arial"/>
        </w:rPr>
        <w:t>the wildfire</w:t>
      </w:r>
      <w:proofErr w:type="gramEnd"/>
      <w:r w:rsidRPr="00425682">
        <w:rPr>
          <w:rFonts w:ascii="Arial" w:hAnsi="Arial" w:cs="Arial"/>
        </w:rPr>
        <w:t xml:space="preserve">, changes in laws and policies, and alterations in customer trends (Wickham, 2019). However, given the multi-faceted nature of the crisis, it is possible to further leverage the PESTLE analysis which would help to pinpoint challenges as well as </w:t>
      </w:r>
      <w:proofErr w:type="spellStart"/>
      <w:r w:rsidRPr="00425682">
        <w:rPr>
          <w:rFonts w:ascii="Arial" w:hAnsi="Arial" w:cs="Arial"/>
        </w:rPr>
        <w:t>strategising</w:t>
      </w:r>
      <w:proofErr w:type="spellEnd"/>
      <w:r w:rsidRPr="00425682">
        <w:rPr>
          <w:rFonts w:ascii="Arial" w:hAnsi="Arial" w:cs="Arial"/>
        </w:rPr>
        <w:t xml:space="preserve"> within the hospitality industry in more detail.</w:t>
      </w:r>
    </w:p>
    <w:p w14:paraId="4B6CB3E8" w14:textId="77777777" w:rsidR="00254766" w:rsidRPr="00425682" w:rsidRDefault="00254766" w:rsidP="00254766">
      <w:pPr>
        <w:spacing w:line="276" w:lineRule="auto"/>
        <w:rPr>
          <w:rFonts w:ascii="Arial" w:hAnsi="Arial" w:cs="Arial"/>
        </w:rPr>
      </w:pPr>
      <w:r w:rsidRPr="00425682">
        <w:rPr>
          <w:rFonts w:ascii="Arial" w:hAnsi="Arial" w:cs="Arial"/>
        </w:rPr>
        <w:br w:type="page"/>
      </w:r>
    </w:p>
    <w:p w14:paraId="243EA87E" w14:textId="77777777" w:rsidR="00254766" w:rsidRPr="00425682" w:rsidRDefault="00254766" w:rsidP="00254766">
      <w:pPr>
        <w:pStyle w:val="Heading1"/>
        <w:rPr>
          <w:rFonts w:ascii="Arial" w:hAnsi="Arial" w:cs="Arial"/>
        </w:rPr>
      </w:pPr>
      <w:bookmarkStart w:id="4" w:name="_Toc189693247"/>
      <w:r w:rsidRPr="00425682">
        <w:rPr>
          <w:rFonts w:ascii="Arial" w:hAnsi="Arial" w:cs="Arial"/>
        </w:rPr>
        <w:lastRenderedPageBreak/>
        <w:t>Theme Impact Analysis</w:t>
      </w:r>
      <w:bookmarkEnd w:id="4"/>
    </w:p>
    <w:p w14:paraId="12D2C21E" w14:textId="77777777" w:rsidR="00254766" w:rsidRPr="00425682" w:rsidRDefault="00254766" w:rsidP="00254766">
      <w:pPr>
        <w:rPr>
          <w:rFonts w:ascii="Arial" w:hAnsi="Arial" w:cs="Arial"/>
        </w:rPr>
      </w:pPr>
      <w:r w:rsidRPr="00425682">
        <w:rPr>
          <w:rFonts w:ascii="Arial" w:hAnsi="Arial" w:cs="Arial"/>
        </w:rPr>
        <w:t xml:space="preserve">The 2024 European wildfires generated multiple effects which deeply impacted the worldwide hospitality industry with special focus on TUI Group. PESTLE analysis is applied to pinpoint challenges as well as </w:t>
      </w:r>
      <w:proofErr w:type="spellStart"/>
      <w:r w:rsidRPr="00425682">
        <w:rPr>
          <w:rFonts w:ascii="Arial" w:hAnsi="Arial" w:cs="Arial"/>
        </w:rPr>
        <w:t>strategising</w:t>
      </w:r>
      <w:proofErr w:type="spellEnd"/>
      <w:r w:rsidRPr="00425682">
        <w:rPr>
          <w:rFonts w:ascii="Arial" w:hAnsi="Arial" w:cs="Arial"/>
        </w:rPr>
        <w:t xml:space="preserve"> within the hospitality industry and TUI group.</w:t>
      </w:r>
    </w:p>
    <w:p w14:paraId="3A6DB24B" w14:textId="77777777" w:rsidR="00254766" w:rsidRPr="00425682" w:rsidRDefault="00254766" w:rsidP="00254766">
      <w:pPr>
        <w:pStyle w:val="Heading2"/>
        <w:rPr>
          <w:rFonts w:ascii="Arial" w:hAnsi="Arial" w:cs="Arial"/>
        </w:rPr>
      </w:pPr>
      <w:bookmarkStart w:id="5" w:name="_Toc189693248"/>
      <w:r w:rsidRPr="00425682">
        <w:rPr>
          <w:rFonts w:ascii="Arial" w:hAnsi="Arial" w:cs="Arial"/>
        </w:rPr>
        <w:t>Political impact</w:t>
      </w:r>
      <w:bookmarkEnd w:id="5"/>
    </w:p>
    <w:p w14:paraId="1D5DC655" w14:textId="77777777" w:rsidR="00254766" w:rsidRPr="00425682" w:rsidRDefault="00254766" w:rsidP="00254766">
      <w:pPr>
        <w:rPr>
          <w:rFonts w:ascii="Arial" w:hAnsi="Arial" w:cs="Arial"/>
        </w:rPr>
      </w:pPr>
      <w:r w:rsidRPr="00425682">
        <w:rPr>
          <w:rFonts w:ascii="Arial" w:hAnsi="Arial" w:cs="Arial"/>
        </w:rPr>
        <w:t xml:space="preserve">The 2024 European wildfires have affected travel, politics, and climate change for both the UK and Europe. Due to the huge loss recorded in the fire incidence governments in the European geography tightened their travel policies as well as made additional insurance coverage required for risks for tourists and hospitality industries (Gov.UK, 2023). Advisory warnings were issued to the people travelling to those regions in the UK contributing travel companies including TUI Group (TUI, 2024). It increased activity in the government addressing climate change as new policies to cut emissions and finance projects to adapt to climate change were part of the programs initiated. Specifically, TUI Group faced the challenges of dynamic government rules concerning travel restrictions and insurance claims (Svensson and </w:t>
      </w:r>
      <w:proofErr w:type="spellStart"/>
      <w:r w:rsidRPr="00425682">
        <w:rPr>
          <w:rFonts w:ascii="Arial" w:hAnsi="Arial" w:cs="Arial"/>
        </w:rPr>
        <w:t>Älmeby</w:t>
      </w:r>
      <w:proofErr w:type="spellEnd"/>
      <w:r w:rsidRPr="00425682">
        <w:rPr>
          <w:rFonts w:ascii="Arial" w:hAnsi="Arial" w:cs="Arial"/>
        </w:rPr>
        <w:t>, 2021). The enhancements of the safety policies that increased safety standards and the availability of insurance coverage for natural adversity forced TUI to charge its customers more for safety measures compromising their operation costs.</w:t>
      </w:r>
    </w:p>
    <w:p w14:paraId="318E719D" w14:textId="77777777" w:rsidR="00254766" w:rsidRPr="00425682" w:rsidRDefault="00254766" w:rsidP="00254766">
      <w:pPr>
        <w:pStyle w:val="Heading2"/>
        <w:rPr>
          <w:rFonts w:ascii="Arial" w:hAnsi="Arial" w:cs="Arial"/>
        </w:rPr>
      </w:pPr>
      <w:bookmarkStart w:id="6" w:name="_Toc189693249"/>
      <w:r w:rsidRPr="00425682">
        <w:rPr>
          <w:rFonts w:ascii="Arial" w:hAnsi="Arial" w:cs="Arial"/>
        </w:rPr>
        <w:t>Economic Impact</w:t>
      </w:r>
      <w:bookmarkEnd w:id="6"/>
    </w:p>
    <w:p w14:paraId="40A9597E" w14:textId="77777777" w:rsidR="00254766" w:rsidRPr="00425682" w:rsidRDefault="00254766" w:rsidP="00254766">
      <w:pPr>
        <w:rPr>
          <w:rFonts w:ascii="Arial" w:hAnsi="Arial" w:cs="Arial"/>
        </w:rPr>
      </w:pPr>
      <w:r w:rsidRPr="00425682">
        <w:rPr>
          <w:rFonts w:ascii="Arial" w:hAnsi="Arial" w:cs="Arial"/>
        </w:rPr>
        <w:t xml:space="preserve">The impacts of the 2024 European wildfires resulted in a ripple effect on the hospitality industry regarding cancellations, alteration of bookings and changes in demand for tourism in particular destinations. Fire incidents themselves lead to cancelled or rescheduled bookings by 15-20% for countries like Greece and Spain, for the fact that other destinations are considered safer than the regularly ravaged areas (Brida, </w:t>
      </w:r>
      <w:proofErr w:type="spellStart"/>
      <w:r w:rsidRPr="00425682">
        <w:rPr>
          <w:rFonts w:ascii="Arial" w:hAnsi="Arial" w:cs="Arial"/>
        </w:rPr>
        <w:t>Matesanz</w:t>
      </w:r>
      <w:proofErr w:type="spellEnd"/>
      <w:r w:rsidRPr="00425682">
        <w:rPr>
          <w:rFonts w:ascii="Arial" w:hAnsi="Arial" w:cs="Arial"/>
        </w:rPr>
        <w:t xml:space="preserve"> Gómez and Segarra, 2020). TUI Group faces financial losses mainly because most people cancelled or rescheduled their vacations. In turn, TUI Group never left customers abandoned, suggesting they go to other similar places like the Canary Islands' resorts on the coastline (Tuigroup.com, 2024). TUI's financial performance revealed that its quarterly revenue dropped by 10% </w:t>
      </w:r>
      <w:proofErr w:type="gramStart"/>
      <w:r w:rsidRPr="00425682">
        <w:rPr>
          <w:rFonts w:ascii="Arial" w:hAnsi="Arial" w:cs="Arial"/>
        </w:rPr>
        <w:t>due to the effect</w:t>
      </w:r>
      <w:proofErr w:type="gramEnd"/>
      <w:r w:rsidRPr="00425682">
        <w:rPr>
          <w:rFonts w:ascii="Arial" w:hAnsi="Arial" w:cs="Arial"/>
        </w:rPr>
        <w:t xml:space="preserve"> of the wildfires which majorly affected bookings to southern Europe (Tuigroup.com, 2024). TUI was able to adopt an attitude that pushed safe destinations thus recovering part of the loss made as the Canary Island bookings rose by 5% in the months of the fires.</w:t>
      </w:r>
    </w:p>
    <w:p w14:paraId="3BDB1F39" w14:textId="77777777" w:rsidR="00254766" w:rsidRPr="00425682" w:rsidRDefault="00254766" w:rsidP="00254766">
      <w:pPr>
        <w:pStyle w:val="Heading2"/>
        <w:rPr>
          <w:rFonts w:ascii="Arial" w:hAnsi="Arial" w:cs="Arial"/>
        </w:rPr>
      </w:pPr>
      <w:bookmarkStart w:id="7" w:name="_Toc189693250"/>
      <w:r w:rsidRPr="00425682">
        <w:rPr>
          <w:rFonts w:ascii="Arial" w:hAnsi="Arial" w:cs="Arial"/>
        </w:rPr>
        <w:t>Social Impact</w:t>
      </w:r>
      <w:bookmarkEnd w:id="7"/>
    </w:p>
    <w:p w14:paraId="6049AF7D" w14:textId="77777777" w:rsidR="00254766" w:rsidRPr="00425682" w:rsidRDefault="00254766" w:rsidP="00254766">
      <w:pPr>
        <w:rPr>
          <w:rFonts w:ascii="Arial" w:hAnsi="Arial" w:cs="Arial"/>
        </w:rPr>
      </w:pPr>
      <w:r w:rsidRPr="00425682">
        <w:rPr>
          <w:rFonts w:ascii="Arial" w:hAnsi="Arial" w:cs="Arial"/>
        </w:rPr>
        <w:t xml:space="preserve">However, it was regarding the societal aspect; the shift in perception of the safety of travelling during </w:t>
      </w:r>
      <w:proofErr w:type="gramStart"/>
      <w:r w:rsidRPr="00425682">
        <w:rPr>
          <w:rFonts w:ascii="Arial" w:hAnsi="Arial" w:cs="Arial"/>
        </w:rPr>
        <w:t>the September</w:t>
      </w:r>
      <w:proofErr w:type="gramEnd"/>
      <w:r w:rsidRPr="00425682">
        <w:rPr>
          <w:rFonts w:ascii="Arial" w:hAnsi="Arial" w:cs="Arial"/>
        </w:rPr>
        <w:t xml:space="preserve"> 2024 wildfires in UK tourists was observed. According to the survey conducted by the World Travel &amp; Tourism Council (2024)</w:t>
      </w:r>
      <w:proofErr w:type="gramStart"/>
      <w:r w:rsidRPr="00425682">
        <w:rPr>
          <w:rFonts w:ascii="Arial" w:hAnsi="Arial" w:cs="Arial"/>
        </w:rPr>
        <w:t>, for</w:t>
      </w:r>
      <w:proofErr w:type="gramEnd"/>
      <w:r w:rsidRPr="00425682">
        <w:rPr>
          <w:rFonts w:ascii="Arial" w:hAnsi="Arial" w:cs="Arial"/>
        </w:rPr>
        <w:t xml:space="preserve"> 38% of </w:t>
      </w:r>
      <w:proofErr w:type="spellStart"/>
      <w:r w:rsidRPr="00425682">
        <w:rPr>
          <w:rFonts w:ascii="Arial" w:hAnsi="Arial" w:cs="Arial"/>
        </w:rPr>
        <w:t>travellers</w:t>
      </w:r>
      <w:proofErr w:type="spellEnd"/>
      <w:r w:rsidRPr="00425682">
        <w:rPr>
          <w:rFonts w:ascii="Arial" w:hAnsi="Arial" w:cs="Arial"/>
        </w:rPr>
        <w:t xml:space="preserve"> to the UK, their holiday destination's safety is a great concern with the occurrence of wildfires. Also, it can lead to a change of perception about travel risk where most individuals choose destinations that they consider safer (Prof. John Tribe, 2009). It also led to a change in society's approach towards environmentally friendly travelling. According to the ETC (2023), there was a 30% improvement in the potential tourists' interest in green and sustainable tourism after the crisis. On this front, TUI Group and other travel providers have had to shift, by focusing on sustainable travel values like sustainable accommodations, and zero-emission transport solutions (TUI Group, 2023).</w:t>
      </w:r>
    </w:p>
    <w:p w14:paraId="05DE29D4" w14:textId="77777777" w:rsidR="00254766" w:rsidRPr="00425682" w:rsidRDefault="00254766" w:rsidP="00254766">
      <w:pPr>
        <w:pStyle w:val="Heading2"/>
        <w:rPr>
          <w:rFonts w:ascii="Arial" w:hAnsi="Arial" w:cs="Arial"/>
        </w:rPr>
      </w:pPr>
      <w:bookmarkStart w:id="8" w:name="_Toc189693251"/>
      <w:r w:rsidRPr="00425682">
        <w:rPr>
          <w:rFonts w:ascii="Arial" w:hAnsi="Arial" w:cs="Arial"/>
        </w:rPr>
        <w:t>Technological Impact</w:t>
      </w:r>
      <w:bookmarkEnd w:id="8"/>
    </w:p>
    <w:p w14:paraId="36F74E35" w14:textId="77777777" w:rsidR="00254766" w:rsidRPr="00425682" w:rsidRDefault="00254766" w:rsidP="00254766">
      <w:pPr>
        <w:rPr>
          <w:rFonts w:ascii="Arial" w:hAnsi="Arial" w:cs="Arial"/>
        </w:rPr>
      </w:pPr>
      <w:r w:rsidRPr="00425682">
        <w:rPr>
          <w:rFonts w:ascii="Arial" w:hAnsi="Arial" w:cs="Arial"/>
        </w:rPr>
        <w:t xml:space="preserve">This has shown that the employment of technology in handling any calamity or natural disaster was efficient in the case of TUI Group. Such measures as real-time travel updates and booking </w:t>
      </w:r>
      <w:r w:rsidRPr="00425682">
        <w:rPr>
          <w:rFonts w:ascii="Arial" w:hAnsi="Arial" w:cs="Arial"/>
        </w:rPr>
        <w:lastRenderedPageBreak/>
        <w:t xml:space="preserve">platforms with safety measures enabled effective bookings and cancellations during the crisis (TUI Group, 2023). To overcome this TUI Group had effective communication technology means to update the status of the trip, and other places that it recommended visiting. For example, TUI has implemented an artificially intelligent chatbot on its website to enable customers to find other holiday destinations and rearrange affected trips in the wake of the fires (TUI Group, 2024). Also, their booking site was modified to provide information on the current fire situation and precautions in various destinations for clients. This versatility of </w:t>
      </w:r>
      <w:proofErr w:type="gramStart"/>
      <w:r w:rsidRPr="00425682">
        <w:rPr>
          <w:rFonts w:ascii="Arial" w:hAnsi="Arial" w:cs="Arial"/>
        </w:rPr>
        <w:t>technology-assisted</w:t>
      </w:r>
      <w:proofErr w:type="gramEnd"/>
      <w:r w:rsidRPr="00425682">
        <w:rPr>
          <w:rFonts w:ascii="Arial" w:hAnsi="Arial" w:cs="Arial"/>
        </w:rPr>
        <w:t xml:space="preserve"> TUI in reducing the monetary losses resulting from cancellations and in retaining customers.</w:t>
      </w:r>
    </w:p>
    <w:p w14:paraId="488016D4" w14:textId="77777777" w:rsidR="00254766" w:rsidRPr="00425682" w:rsidRDefault="00254766" w:rsidP="00254766">
      <w:pPr>
        <w:pStyle w:val="Heading2"/>
        <w:rPr>
          <w:rFonts w:ascii="Arial" w:hAnsi="Arial" w:cs="Arial"/>
        </w:rPr>
      </w:pPr>
      <w:bookmarkStart w:id="9" w:name="_Toc189693252"/>
      <w:r w:rsidRPr="00425682">
        <w:rPr>
          <w:rFonts w:ascii="Arial" w:hAnsi="Arial" w:cs="Arial"/>
        </w:rPr>
        <w:t>Legal Impact</w:t>
      </w:r>
      <w:bookmarkEnd w:id="9"/>
    </w:p>
    <w:p w14:paraId="74F8991B" w14:textId="77777777" w:rsidR="00254766" w:rsidRPr="00425682" w:rsidRDefault="00254766" w:rsidP="00254766">
      <w:pPr>
        <w:rPr>
          <w:rFonts w:ascii="Arial" w:hAnsi="Arial" w:cs="Arial"/>
        </w:rPr>
      </w:pPr>
      <w:r w:rsidRPr="00425682">
        <w:rPr>
          <w:rFonts w:ascii="Arial" w:hAnsi="Arial" w:cs="Arial"/>
        </w:rPr>
        <w:t xml:space="preserve">New legislation was passed following the 2024 wildfires about safety measures, insurance as well as travel recommendations. Most of the countries including the UK have reviewed their respective travel insurance policy to include better coverage of natural disasters (GOV.UK, 2024). As a result, TUI Group changed some of its conditions as it improved insurance policies provided to customers travelling to risky destinations. This was coupled with a new legal guard for the consumer as far as new strict regulations for refunds and compensations in cases of holiday cancellation because of natural disasters are concerned (TUI Group, 2023). Moreover, there were concerns regarding increased safety services for tourists travelling through the hotel and resort chains and the fulfilment of the chain's responsibility to inform clients about safe </w:t>
      </w:r>
      <w:proofErr w:type="spellStart"/>
      <w:r w:rsidRPr="00425682">
        <w:rPr>
          <w:rFonts w:ascii="Arial" w:hAnsi="Arial" w:cs="Arial"/>
        </w:rPr>
        <w:t>behaviour</w:t>
      </w:r>
      <w:proofErr w:type="spellEnd"/>
      <w:r w:rsidRPr="00425682">
        <w:rPr>
          <w:rFonts w:ascii="Arial" w:hAnsi="Arial" w:cs="Arial"/>
        </w:rPr>
        <w:t xml:space="preserve"> in the event of an environmental crisis.</w:t>
      </w:r>
    </w:p>
    <w:p w14:paraId="001695B3" w14:textId="77777777" w:rsidR="00254766" w:rsidRPr="00425682" w:rsidRDefault="00254766" w:rsidP="00254766">
      <w:pPr>
        <w:pStyle w:val="Heading2"/>
        <w:rPr>
          <w:rFonts w:ascii="Arial" w:hAnsi="Arial" w:cs="Arial"/>
        </w:rPr>
      </w:pPr>
      <w:bookmarkStart w:id="10" w:name="_Toc189693253"/>
      <w:r w:rsidRPr="00425682">
        <w:rPr>
          <w:rFonts w:ascii="Arial" w:hAnsi="Arial" w:cs="Arial"/>
        </w:rPr>
        <w:t>Environmental Impact</w:t>
      </w:r>
      <w:bookmarkEnd w:id="10"/>
    </w:p>
    <w:p w14:paraId="7D79B549" w14:textId="77777777" w:rsidR="00254766" w:rsidRPr="00425682" w:rsidRDefault="00254766" w:rsidP="00254766">
      <w:pPr>
        <w:rPr>
          <w:rFonts w:ascii="Arial" w:hAnsi="Arial" w:cs="Arial"/>
        </w:rPr>
      </w:pPr>
      <w:r w:rsidRPr="00425682">
        <w:rPr>
          <w:rFonts w:ascii="Arial" w:hAnsi="Arial" w:cs="Arial"/>
        </w:rPr>
        <w:t xml:space="preserve">The wildfires of 2024 in Europe are a reference example of how environmental changes are casting impacts on the tourism and hospitality sectors. Wildfires have in the short term affected tourist attraction areas, </w:t>
      </w:r>
      <w:proofErr w:type="gramStart"/>
      <w:r w:rsidRPr="00425682">
        <w:rPr>
          <w:rFonts w:ascii="Arial" w:hAnsi="Arial" w:cs="Arial"/>
        </w:rPr>
        <w:t>cancellation</w:t>
      </w:r>
      <w:proofErr w:type="gramEnd"/>
      <w:r w:rsidRPr="00425682">
        <w:rPr>
          <w:rFonts w:ascii="Arial" w:hAnsi="Arial" w:cs="Arial"/>
        </w:rPr>
        <w:t xml:space="preserve"> of flights and destruction of property. In the long run, these occasions have shifted the trends of global mobility. UNWTO (2024) estimated that the 2024 European wildfires reduced tourism to southern European countries by 12%, and </w:t>
      </w:r>
      <w:proofErr w:type="spellStart"/>
      <w:r w:rsidRPr="00425682">
        <w:rPr>
          <w:rFonts w:ascii="Arial" w:hAnsi="Arial" w:cs="Arial"/>
        </w:rPr>
        <w:t>travellers</w:t>
      </w:r>
      <w:proofErr w:type="spellEnd"/>
      <w:r w:rsidRPr="00425682">
        <w:rPr>
          <w:rFonts w:ascii="Arial" w:hAnsi="Arial" w:cs="Arial"/>
        </w:rPr>
        <w:t xml:space="preserve"> shifted to northern Europe or other regions. So, the current human and structural changes in the hospitality industry such as sustainable tourism permanent change and more concern on climate change </w:t>
      </w:r>
      <w:proofErr w:type="gramStart"/>
      <w:r w:rsidRPr="00425682">
        <w:rPr>
          <w:rFonts w:ascii="Arial" w:hAnsi="Arial" w:cs="Arial"/>
        </w:rPr>
        <w:t>adaption</w:t>
      </w:r>
      <w:proofErr w:type="gramEnd"/>
      <w:r w:rsidRPr="00425682">
        <w:rPr>
          <w:rFonts w:ascii="Arial" w:hAnsi="Arial" w:cs="Arial"/>
        </w:rPr>
        <w:t xml:space="preserve">. TUI Group has set an emission target of a 30% decrease by 2030 to align itself with the rest of the industry trying to incorporate sustainability into its operations (TUI Group, 2023). Due to </w:t>
      </w:r>
      <w:proofErr w:type="gramStart"/>
      <w:r w:rsidRPr="00425682">
        <w:rPr>
          <w:rFonts w:ascii="Arial" w:hAnsi="Arial" w:cs="Arial"/>
        </w:rPr>
        <w:t>the</w:t>
      </w:r>
      <w:proofErr w:type="gramEnd"/>
      <w:r w:rsidRPr="00425682">
        <w:rPr>
          <w:rFonts w:ascii="Arial" w:hAnsi="Arial" w:cs="Arial"/>
        </w:rPr>
        <w:t xml:space="preserve"> occurrence, TUI and other operators are forced to offer environmentally friendly holiday packages and invest in carbon-neutral programs.</w:t>
      </w:r>
    </w:p>
    <w:p w14:paraId="412CB9BE" w14:textId="77777777" w:rsidR="00254766" w:rsidRPr="00425682" w:rsidRDefault="00254766" w:rsidP="00254766">
      <w:pPr>
        <w:spacing w:line="276" w:lineRule="auto"/>
        <w:rPr>
          <w:rFonts w:ascii="Arial" w:hAnsi="Arial" w:cs="Arial"/>
        </w:rPr>
      </w:pPr>
      <w:r w:rsidRPr="00425682">
        <w:rPr>
          <w:rFonts w:ascii="Arial" w:hAnsi="Arial" w:cs="Arial"/>
        </w:rPr>
        <w:br w:type="page"/>
      </w:r>
    </w:p>
    <w:p w14:paraId="6BDE77D3" w14:textId="77777777" w:rsidR="00254766" w:rsidRPr="00425682" w:rsidRDefault="00254766" w:rsidP="00254766">
      <w:pPr>
        <w:pStyle w:val="Heading1"/>
        <w:rPr>
          <w:rFonts w:ascii="Arial" w:hAnsi="Arial" w:cs="Arial"/>
        </w:rPr>
      </w:pPr>
      <w:bookmarkStart w:id="11" w:name="_Toc189693254"/>
      <w:r w:rsidRPr="00425682">
        <w:rPr>
          <w:rFonts w:ascii="Arial" w:hAnsi="Arial" w:cs="Arial"/>
        </w:rPr>
        <w:lastRenderedPageBreak/>
        <w:t>Conclusion</w:t>
      </w:r>
      <w:bookmarkEnd w:id="11"/>
    </w:p>
    <w:p w14:paraId="50A7D6A2" w14:textId="77777777" w:rsidR="00254766" w:rsidRPr="00425682" w:rsidRDefault="00254766" w:rsidP="00254766">
      <w:pPr>
        <w:rPr>
          <w:rFonts w:ascii="Arial" w:hAnsi="Arial" w:cs="Arial"/>
        </w:rPr>
      </w:pPr>
      <w:r w:rsidRPr="00425682">
        <w:rPr>
          <w:rFonts w:ascii="Arial" w:hAnsi="Arial" w:cs="Arial"/>
        </w:rPr>
        <w:t xml:space="preserve">The 2024 European wildfires have had a long-term influence on the hospitality marketing environment and TUI Group in London offers one of the most representative examples of the companies' management of the crisis. The losses translated politically to issues concerning travel restrictions and insurance policies while, for the economy, </w:t>
      </w:r>
      <w:proofErr w:type="gramStart"/>
      <w:r w:rsidRPr="00425682">
        <w:rPr>
          <w:rFonts w:ascii="Arial" w:hAnsi="Arial" w:cs="Arial"/>
        </w:rPr>
        <w:t>it</w:t>
      </w:r>
      <w:proofErr w:type="gramEnd"/>
      <w:r w:rsidRPr="00425682">
        <w:rPr>
          <w:rFonts w:ascii="Arial" w:hAnsi="Arial" w:cs="Arial"/>
        </w:rPr>
        <w:t xml:space="preserve"> resulted in cancellations and changes in demand in various destinations. Socially, the aspect of travelling </w:t>
      </w:r>
      <w:proofErr w:type="gramStart"/>
      <w:r w:rsidRPr="00425682">
        <w:rPr>
          <w:rFonts w:ascii="Arial" w:hAnsi="Arial" w:cs="Arial"/>
        </w:rPr>
        <w:t>changed</w:t>
      </w:r>
      <w:proofErr w:type="gramEnd"/>
      <w:r w:rsidRPr="00425682">
        <w:rPr>
          <w:rFonts w:ascii="Arial" w:hAnsi="Arial" w:cs="Arial"/>
        </w:rPr>
        <w:t xml:space="preserve"> and </w:t>
      </w:r>
      <w:proofErr w:type="spellStart"/>
      <w:r w:rsidRPr="00425682">
        <w:rPr>
          <w:rFonts w:ascii="Arial" w:hAnsi="Arial" w:cs="Arial"/>
        </w:rPr>
        <w:t>travellers</w:t>
      </w:r>
      <w:proofErr w:type="spellEnd"/>
      <w:r w:rsidRPr="00425682">
        <w:rPr>
          <w:rFonts w:ascii="Arial" w:hAnsi="Arial" w:cs="Arial"/>
        </w:rPr>
        <w:t xml:space="preserve"> became more conscious of safety thus increasing the demand for sustainable travelling. Technologically, crisis and management tools used were an improvement by TUI Group to reduce such incidences of loss, and legally, better safe regulations meant that this affected the operation of the industry. The wildfires raised a more sensitive issue concerning the sustainable development of tourism. For the wider industry, there are tendencies such as the need for enhanced crisis-readiness through sustainable initiatives, the increased use of technological solutions in crisis management, and consumers' changing expectations. Further research could be done on how the long-term impact on the economic status of Hospitality Companies can be managed as well as working on the strategies for managing crises that may likely occur in future affecting the efficiency of the natural environment.</w:t>
      </w:r>
    </w:p>
    <w:p w14:paraId="51E1DDCA" w14:textId="77777777" w:rsidR="00254766" w:rsidRPr="00425682" w:rsidRDefault="00254766" w:rsidP="00254766">
      <w:pPr>
        <w:spacing w:line="276" w:lineRule="auto"/>
        <w:rPr>
          <w:rFonts w:ascii="Arial" w:hAnsi="Arial" w:cs="Arial"/>
        </w:rPr>
      </w:pPr>
      <w:r w:rsidRPr="00425682">
        <w:rPr>
          <w:rFonts w:ascii="Arial" w:hAnsi="Arial" w:cs="Arial"/>
        </w:rPr>
        <w:br w:type="page"/>
      </w:r>
    </w:p>
    <w:p w14:paraId="61067F86" w14:textId="77777777" w:rsidR="00254766" w:rsidRPr="00425682" w:rsidRDefault="00254766" w:rsidP="00254766">
      <w:pPr>
        <w:pStyle w:val="Heading1"/>
        <w:rPr>
          <w:rFonts w:ascii="Arial" w:hAnsi="Arial" w:cs="Arial"/>
        </w:rPr>
      </w:pPr>
      <w:bookmarkStart w:id="12" w:name="_Toc189693255"/>
      <w:r w:rsidRPr="00425682">
        <w:rPr>
          <w:rFonts w:ascii="Arial" w:hAnsi="Arial" w:cs="Arial"/>
        </w:rPr>
        <w:lastRenderedPageBreak/>
        <w:t>Recommendations</w:t>
      </w:r>
      <w:bookmarkEnd w:id="12"/>
    </w:p>
    <w:p w14:paraId="51571C28" w14:textId="77777777" w:rsidR="00254766" w:rsidRPr="00425682" w:rsidRDefault="00254766" w:rsidP="00254766">
      <w:pPr>
        <w:rPr>
          <w:rFonts w:ascii="Arial" w:hAnsi="Arial" w:cs="Arial"/>
        </w:rPr>
      </w:pPr>
      <w:r w:rsidRPr="00425682">
        <w:rPr>
          <w:rFonts w:ascii="Arial" w:hAnsi="Arial" w:cs="Arial"/>
        </w:rPr>
        <w:t xml:space="preserve">These fires in the year 2024 have </w:t>
      </w:r>
      <w:proofErr w:type="gramStart"/>
      <w:r w:rsidRPr="00425682">
        <w:rPr>
          <w:rFonts w:ascii="Arial" w:hAnsi="Arial" w:cs="Arial"/>
        </w:rPr>
        <w:t>pointed</w:t>
      </w:r>
      <w:proofErr w:type="gramEnd"/>
      <w:r w:rsidRPr="00425682">
        <w:rPr>
          <w:rFonts w:ascii="Arial" w:hAnsi="Arial" w:cs="Arial"/>
        </w:rPr>
        <w:t xml:space="preserve"> to the need for the hospitality industry to cope with other calamities and crises such as the current environment. From the findings made in the current study, the following are recommended strategies:</w:t>
      </w:r>
    </w:p>
    <w:p w14:paraId="15E01AA0" w14:textId="77777777" w:rsidR="00254766" w:rsidRPr="00425682" w:rsidRDefault="00254766" w:rsidP="00254766">
      <w:pPr>
        <w:rPr>
          <w:rFonts w:ascii="Arial" w:hAnsi="Arial" w:cs="Arial"/>
        </w:rPr>
      </w:pPr>
      <w:r w:rsidRPr="00425682">
        <w:rPr>
          <w:rFonts w:ascii="Arial" w:hAnsi="Arial" w:cs="Arial"/>
        </w:rPr>
        <w:t xml:space="preserve">First, </w:t>
      </w:r>
      <w:proofErr w:type="gramStart"/>
      <w:r w:rsidRPr="00425682">
        <w:rPr>
          <w:rFonts w:ascii="Arial" w:hAnsi="Arial" w:cs="Arial"/>
        </w:rPr>
        <w:t>the companies</w:t>
      </w:r>
      <w:proofErr w:type="gramEnd"/>
      <w:r w:rsidRPr="00425682">
        <w:rPr>
          <w:rFonts w:ascii="Arial" w:hAnsi="Arial" w:cs="Arial"/>
        </w:rPr>
        <w:t xml:space="preserve"> should undertake an assessment on some of the risks that are likely to occur then prepare for the same through having various levels of response mechanisms in place (Ford and Sturman, 2020). For instance, TUI Group had to act in </w:t>
      </w:r>
      <w:proofErr w:type="gramStart"/>
      <w:r w:rsidRPr="00425682">
        <w:rPr>
          <w:rFonts w:ascii="Arial" w:hAnsi="Arial" w:cs="Arial"/>
        </w:rPr>
        <w:t>Rhodes was</w:t>
      </w:r>
      <w:proofErr w:type="gramEnd"/>
      <w:r w:rsidRPr="00425682">
        <w:rPr>
          <w:rFonts w:ascii="Arial" w:hAnsi="Arial" w:cs="Arial"/>
        </w:rPr>
        <w:t xml:space="preserve"> to react to the establishment of emergency plans at the holiday destinations, protect customers and </w:t>
      </w:r>
      <w:proofErr w:type="spellStart"/>
      <w:r w:rsidRPr="00425682">
        <w:rPr>
          <w:rFonts w:ascii="Arial" w:hAnsi="Arial" w:cs="Arial"/>
        </w:rPr>
        <w:t>organise</w:t>
      </w:r>
      <w:proofErr w:type="spellEnd"/>
      <w:r w:rsidRPr="00425682">
        <w:rPr>
          <w:rFonts w:ascii="Arial" w:hAnsi="Arial" w:cs="Arial"/>
        </w:rPr>
        <w:t xml:space="preserve"> the repatriation flights as measures to prevent reputational loss. </w:t>
      </w:r>
    </w:p>
    <w:p w14:paraId="516A3BC6" w14:textId="77777777" w:rsidR="00254766" w:rsidRPr="00425682" w:rsidRDefault="00254766" w:rsidP="00254766">
      <w:pPr>
        <w:rPr>
          <w:rFonts w:ascii="Arial" w:hAnsi="Arial" w:cs="Arial"/>
        </w:rPr>
      </w:pPr>
      <w:r w:rsidRPr="00425682">
        <w:rPr>
          <w:rFonts w:ascii="Arial" w:hAnsi="Arial" w:cs="Arial"/>
        </w:rPr>
        <w:t xml:space="preserve">Second, increasing the </w:t>
      </w:r>
      <w:proofErr w:type="spellStart"/>
      <w:r w:rsidRPr="00425682">
        <w:rPr>
          <w:rFonts w:ascii="Arial" w:hAnsi="Arial" w:cs="Arial"/>
        </w:rPr>
        <w:t>organisation’s</w:t>
      </w:r>
      <w:proofErr w:type="spellEnd"/>
      <w:r w:rsidRPr="00425682">
        <w:rPr>
          <w:rFonts w:ascii="Arial" w:hAnsi="Arial" w:cs="Arial"/>
        </w:rPr>
        <w:t xml:space="preserve"> sustainability is important. The Parliament Magazine (2024) shares the idea that the hospitality sector continues to be one of climate change’s biggest victims, which is affected by various risks, including fire and floods. Quick adaptations of risks for the climate because establishments like hotels, restaurants, bars and cafés are more </w:t>
      </w:r>
      <w:proofErr w:type="gramStart"/>
      <w:r w:rsidRPr="00425682">
        <w:rPr>
          <w:rFonts w:ascii="Arial" w:hAnsi="Arial" w:cs="Arial"/>
        </w:rPr>
        <w:t>vulnerable</w:t>
      </w:r>
      <w:proofErr w:type="gramEnd"/>
      <w:r w:rsidRPr="00425682">
        <w:rPr>
          <w:rFonts w:ascii="Arial" w:hAnsi="Arial" w:cs="Arial"/>
        </w:rPr>
        <w:t xml:space="preserve"> making their customers, staff and local communities exposed to risks. </w:t>
      </w:r>
    </w:p>
    <w:p w14:paraId="7383F7FD" w14:textId="77777777" w:rsidR="00254766" w:rsidRPr="00425682" w:rsidRDefault="00254766" w:rsidP="00254766">
      <w:pPr>
        <w:rPr>
          <w:rFonts w:ascii="Arial" w:hAnsi="Arial" w:cs="Arial"/>
        </w:rPr>
      </w:pPr>
      <w:r w:rsidRPr="00425682">
        <w:rPr>
          <w:rFonts w:ascii="Arial" w:hAnsi="Arial" w:cs="Arial"/>
        </w:rPr>
        <w:t xml:space="preserve">Thirdly, the use of technological advancements </w:t>
      </w:r>
      <w:proofErr w:type="gramStart"/>
      <w:r w:rsidRPr="00425682">
        <w:rPr>
          <w:rFonts w:ascii="Arial" w:hAnsi="Arial" w:cs="Arial"/>
        </w:rPr>
        <w:t>in the area of</w:t>
      </w:r>
      <w:proofErr w:type="gramEnd"/>
      <w:r w:rsidRPr="00425682">
        <w:rPr>
          <w:rFonts w:ascii="Arial" w:hAnsi="Arial" w:cs="Arial"/>
        </w:rPr>
        <w:t xml:space="preserve"> monitoring and/or communication enables an improved </w:t>
      </w:r>
      <w:proofErr w:type="spellStart"/>
      <w:r w:rsidRPr="00425682">
        <w:rPr>
          <w:rFonts w:ascii="Arial" w:hAnsi="Arial" w:cs="Arial"/>
        </w:rPr>
        <w:t>organisational</w:t>
      </w:r>
      <w:proofErr w:type="spellEnd"/>
      <w:r w:rsidRPr="00425682">
        <w:rPr>
          <w:rFonts w:ascii="Arial" w:hAnsi="Arial" w:cs="Arial"/>
        </w:rPr>
        <w:t xml:space="preserve"> response to such disasters (Cooper and Hall, 2019). </w:t>
      </w:r>
      <w:proofErr w:type="gramStart"/>
      <w:r w:rsidRPr="00425682">
        <w:rPr>
          <w:rFonts w:ascii="Arial" w:hAnsi="Arial" w:cs="Arial"/>
        </w:rPr>
        <w:t>At the moment</w:t>
      </w:r>
      <w:proofErr w:type="gramEnd"/>
      <w:r w:rsidRPr="00425682">
        <w:rPr>
          <w:rFonts w:ascii="Arial" w:hAnsi="Arial" w:cs="Arial"/>
        </w:rPr>
        <w:t xml:space="preserve">, there are new ideas being invented when it comes to detection and prevention of wildfires and there are trends toward integration of the various actors in fire management all over the world. So, the adoption of such technologies can help in the early identification of such a situation and the overall management of the situation. </w:t>
      </w:r>
    </w:p>
    <w:p w14:paraId="28CD95AE" w14:textId="77777777" w:rsidR="00254766" w:rsidRPr="00425682" w:rsidRDefault="00254766" w:rsidP="00254766">
      <w:pPr>
        <w:rPr>
          <w:rFonts w:ascii="Arial" w:hAnsi="Arial" w:cs="Arial"/>
        </w:rPr>
      </w:pPr>
      <w:r w:rsidRPr="00425682">
        <w:rPr>
          <w:rFonts w:ascii="Arial" w:hAnsi="Arial" w:cs="Arial"/>
        </w:rPr>
        <w:t xml:space="preserve">Fourthly, it is imperative to engage stakeholders to enhance </w:t>
      </w:r>
      <w:proofErr w:type="gramStart"/>
      <w:r w:rsidRPr="00425682">
        <w:rPr>
          <w:rFonts w:ascii="Arial" w:hAnsi="Arial" w:cs="Arial"/>
        </w:rPr>
        <w:t>a response</w:t>
      </w:r>
      <w:proofErr w:type="gramEnd"/>
      <w:r w:rsidRPr="00425682">
        <w:rPr>
          <w:rFonts w:ascii="Arial" w:hAnsi="Arial" w:cs="Arial"/>
        </w:rPr>
        <w:t xml:space="preserve"> to crises. European Travel Commission scenario of crisis management reviews Greece regarding heat waves and wildfires highlights the necessity of triangulation between the tourism </w:t>
      </w:r>
      <w:proofErr w:type="spellStart"/>
      <w:r w:rsidRPr="00425682">
        <w:rPr>
          <w:rFonts w:ascii="Arial" w:hAnsi="Arial" w:cs="Arial"/>
        </w:rPr>
        <w:t>organisations</w:t>
      </w:r>
      <w:proofErr w:type="spellEnd"/>
      <w:r w:rsidRPr="00425682">
        <w:rPr>
          <w:rFonts w:ascii="Arial" w:hAnsi="Arial" w:cs="Arial"/>
        </w:rPr>
        <w:t xml:space="preserve"> and governing departments (Clustercollaboration.eu, 2025). When it comes to epidemic prevention, offer priority to epidemic prevention, adjust the concepts of pricing and marketing during the extended crisis periods and reasonably arrange employee deployment and maintenance measures (</w:t>
      </w:r>
      <w:proofErr w:type="spellStart"/>
      <w:r w:rsidRPr="00425682">
        <w:rPr>
          <w:rFonts w:ascii="Arial" w:hAnsi="Arial" w:cs="Arial"/>
        </w:rPr>
        <w:t>WaiLai</w:t>
      </w:r>
      <w:proofErr w:type="spellEnd"/>
      <w:r w:rsidRPr="00425682">
        <w:rPr>
          <w:rFonts w:ascii="Arial" w:hAnsi="Arial" w:cs="Arial"/>
        </w:rPr>
        <w:t xml:space="preserve"> and Wong, 2020).</w:t>
      </w:r>
    </w:p>
    <w:p w14:paraId="71F3F5EC" w14:textId="77777777" w:rsidR="00254766" w:rsidRPr="00425682" w:rsidRDefault="00254766" w:rsidP="00254766">
      <w:pPr>
        <w:rPr>
          <w:rFonts w:ascii="Arial" w:hAnsi="Arial" w:cs="Arial"/>
        </w:rPr>
      </w:pPr>
      <w:r w:rsidRPr="00425682">
        <w:rPr>
          <w:rFonts w:ascii="Arial" w:hAnsi="Arial" w:cs="Arial"/>
        </w:rPr>
        <w:t xml:space="preserve">Lastly, tourism </w:t>
      </w:r>
      <w:proofErr w:type="gramStart"/>
      <w:r w:rsidRPr="00425682">
        <w:rPr>
          <w:rFonts w:ascii="Arial" w:hAnsi="Arial" w:cs="Arial"/>
        </w:rPr>
        <w:t>diversification</w:t>
      </w:r>
      <w:proofErr w:type="gramEnd"/>
      <w:r w:rsidRPr="00425682">
        <w:rPr>
          <w:rFonts w:ascii="Arial" w:hAnsi="Arial" w:cs="Arial"/>
        </w:rPr>
        <w:t xml:space="preserve"> which is a general expansion of tourism beyond climate-vulnerable areas qualifies as an effective way of handling risks. Existing harsh weather conditions change climate, many tourists prefer regions with cooler climates thus </w:t>
      </w:r>
      <w:proofErr w:type="gramStart"/>
      <w:r w:rsidRPr="00425682">
        <w:rPr>
          <w:rFonts w:ascii="Arial" w:hAnsi="Arial" w:cs="Arial"/>
        </w:rPr>
        <w:t>there</w:t>
      </w:r>
      <w:proofErr w:type="gramEnd"/>
      <w:r w:rsidRPr="00425682">
        <w:rPr>
          <w:rFonts w:ascii="Arial" w:hAnsi="Arial" w:cs="Arial"/>
        </w:rPr>
        <w:t xml:space="preserve"> existence of companies such as Norwegian Air and Norwegian Cruise Line started providing flights and cruises to northern Europe and Alaska (Bausch, Gartner and </w:t>
      </w:r>
      <w:proofErr w:type="spellStart"/>
      <w:r w:rsidRPr="00425682">
        <w:rPr>
          <w:rFonts w:ascii="Arial" w:hAnsi="Arial" w:cs="Arial"/>
        </w:rPr>
        <w:t>Humpe</w:t>
      </w:r>
      <w:proofErr w:type="spellEnd"/>
      <w:r w:rsidRPr="00425682">
        <w:rPr>
          <w:rFonts w:ascii="Arial" w:hAnsi="Arial" w:cs="Arial"/>
        </w:rPr>
        <w:t xml:space="preserve">, 2021). Thus, </w:t>
      </w:r>
      <w:proofErr w:type="gramStart"/>
      <w:r w:rsidRPr="00425682">
        <w:rPr>
          <w:rFonts w:ascii="Arial" w:hAnsi="Arial" w:cs="Arial"/>
        </w:rPr>
        <w:t>opening up</w:t>
      </w:r>
      <w:proofErr w:type="gramEnd"/>
      <w:r w:rsidRPr="00425682">
        <w:rPr>
          <w:rFonts w:ascii="Arial" w:hAnsi="Arial" w:cs="Arial"/>
        </w:rPr>
        <w:t xml:space="preserve"> more destinations mitigates the effects of environmental crises on the business. </w:t>
      </w:r>
    </w:p>
    <w:p w14:paraId="372E440A" w14:textId="77777777" w:rsidR="00254766" w:rsidRPr="00425682" w:rsidRDefault="00254766" w:rsidP="00254766">
      <w:pPr>
        <w:spacing w:line="276" w:lineRule="auto"/>
        <w:rPr>
          <w:rFonts w:ascii="Arial" w:hAnsi="Arial" w:cs="Arial"/>
        </w:rPr>
      </w:pPr>
      <w:r w:rsidRPr="00425682">
        <w:rPr>
          <w:rFonts w:ascii="Arial" w:hAnsi="Arial" w:cs="Arial"/>
        </w:rPr>
        <w:br w:type="page"/>
      </w:r>
    </w:p>
    <w:p w14:paraId="04F4FD4B" w14:textId="77777777" w:rsidR="00254766" w:rsidRPr="00425682" w:rsidRDefault="00254766" w:rsidP="00254766">
      <w:pPr>
        <w:pStyle w:val="Heading1"/>
        <w:rPr>
          <w:rFonts w:ascii="Arial" w:hAnsi="Arial" w:cs="Arial"/>
        </w:rPr>
      </w:pPr>
      <w:bookmarkStart w:id="13" w:name="_Toc189693256"/>
      <w:r w:rsidRPr="00425682">
        <w:rPr>
          <w:rFonts w:ascii="Arial" w:hAnsi="Arial" w:cs="Arial"/>
        </w:rPr>
        <w:lastRenderedPageBreak/>
        <w:t>Reference</w:t>
      </w:r>
      <w:bookmarkEnd w:id="13"/>
    </w:p>
    <w:p w14:paraId="45A5C890" w14:textId="77777777" w:rsidR="00254766" w:rsidRPr="00425682" w:rsidRDefault="00254766" w:rsidP="00254766">
      <w:pPr>
        <w:rPr>
          <w:rFonts w:ascii="Arial" w:hAnsi="Arial" w:cs="Arial"/>
        </w:rPr>
      </w:pPr>
      <w:proofErr w:type="spellStart"/>
      <w:r w:rsidRPr="00425682">
        <w:rPr>
          <w:rFonts w:ascii="Arial" w:hAnsi="Arial" w:cs="Arial"/>
        </w:rPr>
        <w:t>Afemikhe</w:t>
      </w:r>
      <w:proofErr w:type="spellEnd"/>
      <w:r w:rsidRPr="00425682">
        <w:rPr>
          <w:rFonts w:ascii="Arial" w:hAnsi="Arial" w:cs="Arial"/>
        </w:rPr>
        <w:t xml:space="preserve">, G. (2020) ‘PESTLE analysis of the coronavirus pandemic and what businesses can do to mitigate its impact’, </w:t>
      </w:r>
      <w:r w:rsidRPr="00425682">
        <w:rPr>
          <w:rFonts w:ascii="Arial" w:hAnsi="Arial" w:cs="Arial"/>
          <w:i/>
          <w:iCs/>
        </w:rPr>
        <w:t>Medium</w:t>
      </w:r>
      <w:r w:rsidRPr="00425682">
        <w:rPr>
          <w:rFonts w:ascii="Arial" w:hAnsi="Arial" w:cs="Arial"/>
        </w:rPr>
        <w:t xml:space="preserve">. Available at: </w:t>
      </w:r>
      <w:hyperlink r:id="rId15" w:tgtFrame="_new" w:history="1">
        <w:r w:rsidRPr="00425682">
          <w:rPr>
            <w:rStyle w:val="Hyperlink"/>
            <w:rFonts w:ascii="Arial" w:hAnsi="Arial" w:cs="Arial"/>
          </w:rPr>
          <w:t>https://medium.com/@greg.afemikhe/pestle-analysis-of-the-coronavirus-pandemic-and-what-businesses-can-do-to-mitigate-its-impact-2b2e70652ac7</w:t>
        </w:r>
      </w:hyperlink>
      <w:r w:rsidRPr="00425682">
        <w:rPr>
          <w:rFonts w:ascii="Arial" w:hAnsi="Arial" w:cs="Arial"/>
        </w:rPr>
        <w:t xml:space="preserve"> (Accessed: 30 January 2025).</w:t>
      </w:r>
    </w:p>
    <w:p w14:paraId="040C1D80" w14:textId="77777777" w:rsidR="00254766" w:rsidRPr="00425682" w:rsidRDefault="00254766" w:rsidP="00254766">
      <w:pPr>
        <w:rPr>
          <w:rFonts w:ascii="Arial" w:hAnsi="Arial" w:cs="Arial"/>
        </w:rPr>
      </w:pPr>
      <w:r w:rsidRPr="00425682">
        <w:rPr>
          <w:rFonts w:ascii="Arial" w:hAnsi="Arial" w:cs="Arial"/>
        </w:rPr>
        <w:t xml:space="preserve">Atzori, R., Fyall, A. and Miller, G. (2018) ‘Tourist responses to climate change: Potential impacts and adaptation in Florida’s coastal destinations’, </w:t>
      </w:r>
      <w:r w:rsidRPr="00425682">
        <w:rPr>
          <w:rFonts w:ascii="Arial" w:hAnsi="Arial" w:cs="Arial"/>
          <w:i/>
          <w:iCs/>
        </w:rPr>
        <w:t>Tourism Management</w:t>
      </w:r>
      <w:r w:rsidRPr="00425682">
        <w:rPr>
          <w:rFonts w:ascii="Arial" w:hAnsi="Arial" w:cs="Arial"/>
        </w:rPr>
        <w:t xml:space="preserve">, 69, pp. 12–22. Available at: </w:t>
      </w:r>
      <w:hyperlink r:id="rId16" w:tgtFrame="_new" w:history="1">
        <w:r w:rsidRPr="00425682">
          <w:rPr>
            <w:rStyle w:val="Hyperlink"/>
            <w:rFonts w:ascii="Arial" w:hAnsi="Arial" w:cs="Arial"/>
          </w:rPr>
          <w:t>https://doi.org/10.1016/j.tourman.2018.05.005</w:t>
        </w:r>
      </w:hyperlink>
      <w:r w:rsidRPr="00425682">
        <w:rPr>
          <w:rFonts w:ascii="Arial" w:hAnsi="Arial" w:cs="Arial"/>
        </w:rPr>
        <w:t xml:space="preserve"> (Accessed: 31 January 2025).</w:t>
      </w:r>
    </w:p>
    <w:p w14:paraId="5FD45B2A" w14:textId="77777777" w:rsidR="00254766" w:rsidRPr="00425682" w:rsidRDefault="00254766" w:rsidP="00254766">
      <w:pPr>
        <w:rPr>
          <w:rFonts w:ascii="Arial" w:hAnsi="Arial" w:cs="Arial"/>
        </w:rPr>
      </w:pPr>
      <w:r w:rsidRPr="00425682">
        <w:rPr>
          <w:rFonts w:ascii="Arial" w:hAnsi="Arial" w:cs="Arial"/>
        </w:rPr>
        <w:t xml:space="preserve">Battista, M. (2024) </w:t>
      </w:r>
      <w:r w:rsidRPr="00425682">
        <w:rPr>
          <w:rFonts w:ascii="Arial" w:hAnsi="Arial" w:cs="Arial"/>
          <w:i/>
          <w:iCs/>
        </w:rPr>
        <w:t>PESTLE analysis</w:t>
      </w:r>
      <w:r w:rsidRPr="00425682">
        <w:rPr>
          <w:rFonts w:ascii="Arial" w:hAnsi="Arial" w:cs="Arial"/>
        </w:rPr>
        <w:t xml:space="preserve">. </w:t>
      </w:r>
      <w:r w:rsidRPr="00425682">
        <w:rPr>
          <w:rFonts w:ascii="Arial" w:hAnsi="Arial" w:cs="Arial"/>
          <w:i/>
          <w:iCs/>
        </w:rPr>
        <w:t>CIPD</w:t>
      </w:r>
      <w:r w:rsidRPr="00425682">
        <w:rPr>
          <w:rFonts w:ascii="Arial" w:hAnsi="Arial" w:cs="Arial"/>
        </w:rPr>
        <w:t xml:space="preserve">. Available at: </w:t>
      </w:r>
      <w:hyperlink r:id="rId17" w:tgtFrame="_new" w:history="1">
        <w:r w:rsidRPr="00425682">
          <w:rPr>
            <w:rStyle w:val="Hyperlink"/>
            <w:rFonts w:ascii="Arial" w:hAnsi="Arial" w:cs="Arial"/>
          </w:rPr>
          <w:t>https://www.cipd.org/en/knowledge/factsheets/pestle-analysis-factsheet/</w:t>
        </w:r>
      </w:hyperlink>
      <w:r w:rsidRPr="00425682">
        <w:rPr>
          <w:rFonts w:ascii="Arial" w:hAnsi="Arial" w:cs="Arial"/>
        </w:rPr>
        <w:t xml:space="preserve"> (Accessed: 2 February 2025).</w:t>
      </w:r>
    </w:p>
    <w:p w14:paraId="70BA45C7" w14:textId="77777777" w:rsidR="00254766" w:rsidRPr="00425682" w:rsidRDefault="00254766" w:rsidP="00254766">
      <w:pPr>
        <w:rPr>
          <w:rFonts w:ascii="Arial" w:hAnsi="Arial" w:cs="Arial"/>
        </w:rPr>
      </w:pPr>
      <w:proofErr w:type="spellStart"/>
      <w:r w:rsidRPr="00425682">
        <w:rPr>
          <w:rFonts w:ascii="Arial" w:hAnsi="Arial" w:cs="Arial"/>
        </w:rPr>
        <w:t>Batabyal</w:t>
      </w:r>
      <w:proofErr w:type="spellEnd"/>
      <w:r w:rsidRPr="00425682">
        <w:rPr>
          <w:rFonts w:ascii="Arial" w:hAnsi="Arial" w:cs="Arial"/>
        </w:rPr>
        <w:t xml:space="preserve">, D. and Das, D.K. (2019) </w:t>
      </w:r>
      <w:r w:rsidRPr="00425682">
        <w:rPr>
          <w:rFonts w:ascii="Arial" w:hAnsi="Arial" w:cs="Arial"/>
          <w:i/>
          <w:iCs/>
        </w:rPr>
        <w:t>Global trends, practices, and challenges in contemporary tourism and hospitality management</w:t>
      </w:r>
      <w:r w:rsidRPr="00425682">
        <w:rPr>
          <w:rFonts w:ascii="Arial" w:hAnsi="Arial" w:cs="Arial"/>
        </w:rPr>
        <w:t>. Hershey, Pennsylvania.</w:t>
      </w:r>
    </w:p>
    <w:p w14:paraId="3513D63C" w14:textId="77777777" w:rsidR="00254766" w:rsidRPr="00425682" w:rsidRDefault="00254766" w:rsidP="00254766">
      <w:pPr>
        <w:rPr>
          <w:rFonts w:ascii="Arial" w:hAnsi="Arial" w:cs="Arial"/>
        </w:rPr>
      </w:pPr>
      <w:r w:rsidRPr="00425682">
        <w:rPr>
          <w:rFonts w:ascii="Arial" w:hAnsi="Arial" w:cs="Arial"/>
        </w:rPr>
        <w:t xml:space="preserve">Bausch, T., Gartner, W.C. and </w:t>
      </w:r>
      <w:proofErr w:type="spellStart"/>
      <w:r w:rsidRPr="00425682">
        <w:rPr>
          <w:rFonts w:ascii="Arial" w:hAnsi="Arial" w:cs="Arial"/>
        </w:rPr>
        <w:t>Humpe</w:t>
      </w:r>
      <w:proofErr w:type="spellEnd"/>
      <w:r w:rsidRPr="00425682">
        <w:rPr>
          <w:rFonts w:ascii="Arial" w:hAnsi="Arial" w:cs="Arial"/>
        </w:rPr>
        <w:t xml:space="preserve">, A. (2021) ‘How weather conditions affect guest arrivals and duration of stay: An alpine destination case’, </w:t>
      </w:r>
      <w:r w:rsidRPr="00425682">
        <w:rPr>
          <w:rFonts w:ascii="Arial" w:hAnsi="Arial" w:cs="Arial"/>
          <w:i/>
          <w:iCs/>
        </w:rPr>
        <w:t>International Journal of Tourism Research</w:t>
      </w:r>
      <w:r w:rsidRPr="00425682">
        <w:rPr>
          <w:rFonts w:ascii="Arial" w:hAnsi="Arial" w:cs="Arial"/>
        </w:rPr>
        <w:t xml:space="preserve">, 23(6), pp. 1006–1026. Available at: </w:t>
      </w:r>
      <w:hyperlink r:id="rId18" w:tgtFrame="_new" w:history="1">
        <w:r w:rsidRPr="00425682">
          <w:rPr>
            <w:rStyle w:val="Hyperlink"/>
            <w:rFonts w:ascii="Arial" w:hAnsi="Arial" w:cs="Arial"/>
          </w:rPr>
          <w:t>https://doi.org/10.1002/jtr.2459</w:t>
        </w:r>
      </w:hyperlink>
      <w:r w:rsidRPr="00425682">
        <w:rPr>
          <w:rFonts w:ascii="Arial" w:hAnsi="Arial" w:cs="Arial"/>
        </w:rPr>
        <w:t xml:space="preserve"> (Accessed: 4 February 2025).</w:t>
      </w:r>
    </w:p>
    <w:p w14:paraId="550E87D9" w14:textId="77777777" w:rsidR="00254766" w:rsidRPr="00425682" w:rsidRDefault="00254766" w:rsidP="00254766">
      <w:pPr>
        <w:rPr>
          <w:rFonts w:ascii="Arial" w:hAnsi="Arial" w:cs="Arial"/>
        </w:rPr>
      </w:pPr>
      <w:r w:rsidRPr="00425682">
        <w:rPr>
          <w:rFonts w:ascii="Arial" w:hAnsi="Arial" w:cs="Arial"/>
        </w:rPr>
        <w:t xml:space="preserve">Brida, J.G., </w:t>
      </w:r>
      <w:proofErr w:type="spellStart"/>
      <w:r w:rsidRPr="00425682">
        <w:rPr>
          <w:rFonts w:ascii="Arial" w:hAnsi="Arial" w:cs="Arial"/>
        </w:rPr>
        <w:t>Matesanz</w:t>
      </w:r>
      <w:proofErr w:type="spellEnd"/>
      <w:r w:rsidRPr="00425682">
        <w:rPr>
          <w:rFonts w:ascii="Arial" w:hAnsi="Arial" w:cs="Arial"/>
        </w:rPr>
        <w:t xml:space="preserve"> Gómez, D. and Segarra, V. (2020) ‘On the empirical relationship between tourism and economic growth’, </w:t>
      </w:r>
      <w:r w:rsidRPr="00425682">
        <w:rPr>
          <w:rFonts w:ascii="Arial" w:hAnsi="Arial" w:cs="Arial"/>
          <w:i/>
          <w:iCs/>
        </w:rPr>
        <w:t>Tourism Management</w:t>
      </w:r>
      <w:r w:rsidRPr="00425682">
        <w:rPr>
          <w:rFonts w:ascii="Arial" w:hAnsi="Arial" w:cs="Arial"/>
        </w:rPr>
        <w:t xml:space="preserve">, 81, p. 104131. Available at: </w:t>
      </w:r>
      <w:hyperlink r:id="rId19" w:tgtFrame="_new" w:history="1">
        <w:r w:rsidRPr="00425682">
          <w:rPr>
            <w:rStyle w:val="Hyperlink"/>
            <w:rFonts w:ascii="Arial" w:hAnsi="Arial" w:cs="Arial"/>
          </w:rPr>
          <w:t>https://doi.org/10.1016/j.tourman.2020.104131</w:t>
        </w:r>
      </w:hyperlink>
      <w:r w:rsidRPr="00425682">
        <w:rPr>
          <w:rFonts w:ascii="Arial" w:hAnsi="Arial" w:cs="Arial"/>
        </w:rPr>
        <w:t xml:space="preserve"> (Accessed: 6 February 2025).</w:t>
      </w:r>
    </w:p>
    <w:p w14:paraId="297E77AF" w14:textId="77777777" w:rsidR="00254766" w:rsidRPr="00425682" w:rsidRDefault="00254766" w:rsidP="00254766">
      <w:pPr>
        <w:rPr>
          <w:rFonts w:ascii="Arial" w:hAnsi="Arial" w:cs="Arial"/>
        </w:rPr>
      </w:pPr>
      <w:r w:rsidRPr="00425682">
        <w:rPr>
          <w:rFonts w:ascii="Arial" w:hAnsi="Arial" w:cs="Arial"/>
        </w:rPr>
        <w:t>Clustercollaboration.eu (</w:t>
      </w:r>
      <w:proofErr w:type="gramStart"/>
      <w:r w:rsidRPr="00425682">
        <w:rPr>
          <w:rFonts w:ascii="Arial" w:hAnsi="Arial" w:cs="Arial"/>
        </w:rPr>
        <w:t>2025) ‘</w:t>
      </w:r>
      <w:proofErr w:type="gramEnd"/>
      <w:r w:rsidRPr="00425682">
        <w:rPr>
          <w:rFonts w:ascii="Arial" w:hAnsi="Arial" w:cs="Arial"/>
        </w:rPr>
        <w:t xml:space="preserve">Strengthening tourism resilience - Key results from the European Commission "Crisis Management and Governance in Tourism" project’, </w:t>
      </w:r>
      <w:r w:rsidRPr="00425682">
        <w:rPr>
          <w:rFonts w:ascii="Arial" w:hAnsi="Arial" w:cs="Arial"/>
          <w:i/>
          <w:iCs/>
        </w:rPr>
        <w:t>European Cluster Collaboration Platform</w:t>
      </w:r>
      <w:r w:rsidRPr="00425682">
        <w:rPr>
          <w:rFonts w:ascii="Arial" w:hAnsi="Arial" w:cs="Arial"/>
        </w:rPr>
        <w:t xml:space="preserve">. Available at: </w:t>
      </w:r>
      <w:hyperlink r:id="rId20" w:tgtFrame="_new" w:history="1">
        <w:r w:rsidRPr="00425682">
          <w:rPr>
            <w:rStyle w:val="Hyperlink"/>
            <w:rFonts w:ascii="Arial" w:hAnsi="Arial" w:cs="Arial"/>
          </w:rPr>
          <w:t>https://www.clustercollaboration.eu/content/strengthening-tourism-resilience-key-results-european-commission-crisis</w:t>
        </w:r>
      </w:hyperlink>
      <w:r w:rsidRPr="00425682">
        <w:rPr>
          <w:rFonts w:ascii="Arial" w:hAnsi="Arial" w:cs="Arial"/>
        </w:rPr>
        <w:t xml:space="preserve"> (Accessed: 8 February 2025).</w:t>
      </w:r>
    </w:p>
    <w:p w14:paraId="73C244F8" w14:textId="77777777" w:rsidR="00254766" w:rsidRPr="00425682" w:rsidRDefault="00254766" w:rsidP="00254766">
      <w:pPr>
        <w:rPr>
          <w:rFonts w:ascii="Arial" w:hAnsi="Arial" w:cs="Arial"/>
        </w:rPr>
      </w:pPr>
      <w:r w:rsidRPr="00425682">
        <w:rPr>
          <w:rFonts w:ascii="Arial" w:hAnsi="Arial" w:cs="Arial"/>
        </w:rPr>
        <w:t xml:space="preserve">Cooper, C. and Hall, C.M. (2019) </w:t>
      </w:r>
      <w:r w:rsidRPr="00425682">
        <w:rPr>
          <w:rFonts w:ascii="Arial" w:hAnsi="Arial" w:cs="Arial"/>
          <w:i/>
          <w:iCs/>
        </w:rPr>
        <w:t>Contemporary tourism: An international approach</w:t>
      </w:r>
      <w:r w:rsidRPr="00425682">
        <w:rPr>
          <w:rFonts w:ascii="Arial" w:hAnsi="Arial" w:cs="Arial"/>
        </w:rPr>
        <w:t xml:space="preserve">. 4th </w:t>
      </w:r>
      <w:proofErr w:type="spellStart"/>
      <w:proofErr w:type="gramStart"/>
      <w:r w:rsidRPr="00425682">
        <w:rPr>
          <w:rFonts w:ascii="Arial" w:hAnsi="Arial" w:cs="Arial"/>
        </w:rPr>
        <w:t>edn</w:t>
      </w:r>
      <w:proofErr w:type="spellEnd"/>
      <w:proofErr w:type="gramEnd"/>
      <w:r w:rsidRPr="00425682">
        <w:rPr>
          <w:rFonts w:ascii="Arial" w:hAnsi="Arial" w:cs="Arial"/>
        </w:rPr>
        <w:t>. Oxford: Goodfellow Publishers, Limited.</w:t>
      </w:r>
    </w:p>
    <w:p w14:paraId="7EDCDA79" w14:textId="77777777" w:rsidR="00254766" w:rsidRPr="00425682" w:rsidRDefault="00254766" w:rsidP="00254766">
      <w:pPr>
        <w:rPr>
          <w:rFonts w:ascii="Arial" w:hAnsi="Arial" w:cs="Arial"/>
        </w:rPr>
      </w:pPr>
      <w:r w:rsidRPr="00425682">
        <w:rPr>
          <w:rFonts w:ascii="Arial" w:hAnsi="Arial" w:cs="Arial"/>
        </w:rPr>
        <w:t xml:space="preserve">ETC-Corporate (2023) </w:t>
      </w:r>
      <w:r w:rsidRPr="00425682">
        <w:rPr>
          <w:rFonts w:ascii="Arial" w:hAnsi="Arial" w:cs="Arial"/>
          <w:i/>
          <w:iCs/>
        </w:rPr>
        <w:t>Sustainable travel in an era of disruption: Impact of COVID-19 on sustainable tourism attitudes ETC market study</w:t>
      </w:r>
      <w:r w:rsidRPr="00425682">
        <w:rPr>
          <w:rFonts w:ascii="Arial" w:hAnsi="Arial" w:cs="Arial"/>
        </w:rPr>
        <w:t xml:space="preserve">. Available at: </w:t>
      </w:r>
      <w:hyperlink r:id="rId21" w:tgtFrame="_new" w:history="1">
        <w:r w:rsidRPr="00425682">
          <w:rPr>
            <w:rStyle w:val="Hyperlink"/>
            <w:rFonts w:ascii="Arial" w:hAnsi="Arial" w:cs="Arial"/>
          </w:rPr>
          <w:t>https://etc-corporate.org/uploads/2022/01/Impact-of-COVID-19-on-Sustainable-Tourism-Attitudes.pdf</w:t>
        </w:r>
      </w:hyperlink>
      <w:r w:rsidRPr="00425682">
        <w:rPr>
          <w:rFonts w:ascii="Arial" w:hAnsi="Arial" w:cs="Arial"/>
        </w:rPr>
        <w:t xml:space="preserve"> (Accessed: 30 January 2025).</w:t>
      </w:r>
    </w:p>
    <w:p w14:paraId="79B641E0" w14:textId="77777777" w:rsidR="00254766" w:rsidRPr="00425682" w:rsidRDefault="00254766" w:rsidP="00254766">
      <w:pPr>
        <w:rPr>
          <w:rFonts w:ascii="Arial" w:hAnsi="Arial" w:cs="Arial"/>
        </w:rPr>
      </w:pPr>
      <w:r w:rsidRPr="00425682">
        <w:rPr>
          <w:rFonts w:ascii="Arial" w:hAnsi="Arial" w:cs="Arial"/>
        </w:rPr>
        <w:t xml:space="preserve">Ford, R.C. and Sturman, M.C. (2020) </w:t>
      </w:r>
      <w:r w:rsidRPr="00425682">
        <w:rPr>
          <w:rFonts w:ascii="Arial" w:hAnsi="Arial" w:cs="Arial"/>
          <w:i/>
          <w:iCs/>
        </w:rPr>
        <w:t>Managing hospitality organizations</w:t>
      </w:r>
      <w:r w:rsidRPr="00425682">
        <w:rPr>
          <w:rFonts w:ascii="Arial" w:hAnsi="Arial" w:cs="Arial"/>
        </w:rPr>
        <w:t xml:space="preserve">. 2nd </w:t>
      </w:r>
      <w:proofErr w:type="spellStart"/>
      <w:proofErr w:type="gramStart"/>
      <w:r w:rsidRPr="00425682">
        <w:rPr>
          <w:rFonts w:ascii="Arial" w:hAnsi="Arial" w:cs="Arial"/>
        </w:rPr>
        <w:t>edn</w:t>
      </w:r>
      <w:proofErr w:type="spellEnd"/>
      <w:proofErr w:type="gramEnd"/>
      <w:r w:rsidRPr="00425682">
        <w:rPr>
          <w:rFonts w:ascii="Arial" w:hAnsi="Arial" w:cs="Arial"/>
        </w:rPr>
        <w:t>. SAGE Publications.</w:t>
      </w:r>
    </w:p>
    <w:p w14:paraId="600A1A32" w14:textId="77777777" w:rsidR="00254766" w:rsidRPr="00425682" w:rsidRDefault="00254766" w:rsidP="00254766">
      <w:pPr>
        <w:rPr>
          <w:rFonts w:ascii="Arial" w:hAnsi="Arial" w:cs="Arial"/>
        </w:rPr>
      </w:pPr>
      <w:r w:rsidRPr="00425682">
        <w:rPr>
          <w:rFonts w:ascii="Arial" w:hAnsi="Arial" w:cs="Arial"/>
        </w:rPr>
        <w:t xml:space="preserve">Gov.UK (2023) </w:t>
      </w:r>
      <w:r w:rsidRPr="00425682">
        <w:rPr>
          <w:rFonts w:ascii="Arial" w:hAnsi="Arial" w:cs="Arial"/>
          <w:i/>
          <w:iCs/>
        </w:rPr>
        <w:t>Crises: Supporting our customers</w:t>
      </w:r>
      <w:r w:rsidRPr="00425682">
        <w:rPr>
          <w:rFonts w:ascii="Arial" w:hAnsi="Arial" w:cs="Arial"/>
        </w:rPr>
        <w:t xml:space="preserve">. Available at: </w:t>
      </w:r>
      <w:hyperlink r:id="rId22" w:tgtFrame="_new" w:history="1">
        <w:r w:rsidRPr="00425682">
          <w:rPr>
            <w:rStyle w:val="Hyperlink"/>
            <w:rFonts w:ascii="Arial" w:hAnsi="Arial" w:cs="Arial"/>
          </w:rPr>
          <w:t>https://assets.publishing.service.gov.uk/media/63777d0fd3bf7f7214139444/Crisis_situations_supporting_our_customers_v4.pdf</w:t>
        </w:r>
      </w:hyperlink>
      <w:r w:rsidRPr="00425682">
        <w:rPr>
          <w:rFonts w:ascii="Arial" w:hAnsi="Arial" w:cs="Arial"/>
        </w:rPr>
        <w:t xml:space="preserve"> (Accessed: 31 January 2025).</w:t>
      </w:r>
    </w:p>
    <w:p w14:paraId="7E9BD8AF" w14:textId="77777777" w:rsidR="00254766" w:rsidRPr="00425682" w:rsidRDefault="00254766" w:rsidP="00254766">
      <w:pPr>
        <w:rPr>
          <w:rFonts w:ascii="Arial" w:hAnsi="Arial" w:cs="Arial"/>
        </w:rPr>
      </w:pPr>
      <w:r w:rsidRPr="00425682">
        <w:rPr>
          <w:rFonts w:ascii="Arial" w:hAnsi="Arial" w:cs="Arial"/>
        </w:rPr>
        <w:t xml:space="preserve">GOV.UK (2024) </w:t>
      </w:r>
      <w:r w:rsidRPr="00425682">
        <w:rPr>
          <w:rFonts w:ascii="Arial" w:hAnsi="Arial" w:cs="Arial"/>
          <w:i/>
          <w:iCs/>
        </w:rPr>
        <w:t>Foreign travel insurance</w:t>
      </w:r>
      <w:r w:rsidRPr="00425682">
        <w:rPr>
          <w:rFonts w:ascii="Arial" w:hAnsi="Arial" w:cs="Arial"/>
        </w:rPr>
        <w:t xml:space="preserve">. Available at: </w:t>
      </w:r>
      <w:hyperlink r:id="rId23" w:tgtFrame="_new" w:history="1">
        <w:r w:rsidRPr="00425682">
          <w:rPr>
            <w:rStyle w:val="Hyperlink"/>
            <w:rFonts w:ascii="Arial" w:hAnsi="Arial" w:cs="Arial"/>
          </w:rPr>
          <w:t>https://www.gov.uk/guidance/foreign-travel-insurance</w:t>
        </w:r>
      </w:hyperlink>
      <w:r w:rsidRPr="00425682">
        <w:rPr>
          <w:rFonts w:ascii="Arial" w:hAnsi="Arial" w:cs="Arial"/>
        </w:rPr>
        <w:t xml:space="preserve"> (Accessed: 2 February 2025).</w:t>
      </w:r>
    </w:p>
    <w:p w14:paraId="3BD4C0B0" w14:textId="77777777" w:rsidR="00254766" w:rsidRPr="00425682" w:rsidRDefault="00254766" w:rsidP="00254766">
      <w:pPr>
        <w:rPr>
          <w:rFonts w:ascii="Arial" w:hAnsi="Arial" w:cs="Arial"/>
        </w:rPr>
      </w:pPr>
      <w:proofErr w:type="spellStart"/>
      <w:r w:rsidRPr="00425682">
        <w:rPr>
          <w:rFonts w:ascii="Arial" w:hAnsi="Arial" w:cs="Arial"/>
        </w:rPr>
        <w:t>Ivkov</w:t>
      </w:r>
      <w:proofErr w:type="spellEnd"/>
      <w:r w:rsidRPr="00425682">
        <w:rPr>
          <w:rFonts w:ascii="Arial" w:hAnsi="Arial" w:cs="Arial"/>
        </w:rPr>
        <w:t xml:space="preserve">, M., </w:t>
      </w:r>
      <w:proofErr w:type="spellStart"/>
      <w:r w:rsidRPr="00425682">
        <w:rPr>
          <w:rFonts w:ascii="Arial" w:hAnsi="Arial" w:cs="Arial"/>
        </w:rPr>
        <w:t>Blešić</w:t>
      </w:r>
      <w:proofErr w:type="spellEnd"/>
      <w:r w:rsidRPr="00425682">
        <w:rPr>
          <w:rFonts w:ascii="Arial" w:hAnsi="Arial" w:cs="Arial"/>
        </w:rPr>
        <w:t xml:space="preserve">, I., </w:t>
      </w:r>
      <w:proofErr w:type="spellStart"/>
      <w:r w:rsidRPr="00425682">
        <w:rPr>
          <w:rFonts w:ascii="Arial" w:hAnsi="Arial" w:cs="Arial"/>
        </w:rPr>
        <w:t>Janićević</w:t>
      </w:r>
      <w:proofErr w:type="spellEnd"/>
      <w:r w:rsidRPr="00425682">
        <w:rPr>
          <w:rFonts w:ascii="Arial" w:hAnsi="Arial" w:cs="Arial"/>
        </w:rPr>
        <w:t xml:space="preserve">, S., Kovačić, S., </w:t>
      </w:r>
      <w:proofErr w:type="spellStart"/>
      <w:r w:rsidRPr="00425682">
        <w:rPr>
          <w:rFonts w:ascii="Arial" w:hAnsi="Arial" w:cs="Arial"/>
        </w:rPr>
        <w:t>Miljković</w:t>
      </w:r>
      <w:proofErr w:type="spellEnd"/>
      <w:r w:rsidRPr="00425682">
        <w:rPr>
          <w:rFonts w:ascii="Arial" w:hAnsi="Arial" w:cs="Arial"/>
        </w:rPr>
        <w:t xml:space="preserve">, Ð., Lukić, T. and </w:t>
      </w:r>
      <w:proofErr w:type="spellStart"/>
      <w:r w:rsidRPr="00425682">
        <w:rPr>
          <w:rFonts w:ascii="Arial" w:hAnsi="Arial" w:cs="Arial"/>
        </w:rPr>
        <w:t>Sakulski</w:t>
      </w:r>
      <w:proofErr w:type="spellEnd"/>
      <w:r w:rsidRPr="00425682">
        <w:rPr>
          <w:rFonts w:ascii="Arial" w:hAnsi="Arial" w:cs="Arial"/>
        </w:rPr>
        <w:t xml:space="preserve">, D. (2019) ‘Natural disasters vs hotel industry resilience: An exploratory study among hotel managers from </w:t>
      </w:r>
      <w:r w:rsidRPr="00425682">
        <w:rPr>
          <w:rFonts w:ascii="Arial" w:hAnsi="Arial" w:cs="Arial"/>
        </w:rPr>
        <w:lastRenderedPageBreak/>
        <w:t xml:space="preserve">Europe’, </w:t>
      </w:r>
      <w:r w:rsidRPr="00425682">
        <w:rPr>
          <w:rFonts w:ascii="Arial" w:hAnsi="Arial" w:cs="Arial"/>
          <w:i/>
          <w:iCs/>
        </w:rPr>
        <w:t>Open Geosciences</w:t>
      </w:r>
      <w:r w:rsidRPr="00425682">
        <w:rPr>
          <w:rFonts w:ascii="Arial" w:hAnsi="Arial" w:cs="Arial"/>
        </w:rPr>
        <w:t xml:space="preserve">, 11(1), pp. 378–390. Available at: </w:t>
      </w:r>
      <w:hyperlink r:id="rId24" w:tgtFrame="_new" w:history="1">
        <w:r w:rsidRPr="00425682">
          <w:rPr>
            <w:rStyle w:val="Hyperlink"/>
            <w:rFonts w:ascii="Arial" w:hAnsi="Arial" w:cs="Arial"/>
          </w:rPr>
          <w:t>https://doi.org/10.1515/geo-2019-0030</w:t>
        </w:r>
      </w:hyperlink>
      <w:r w:rsidRPr="00425682">
        <w:rPr>
          <w:rFonts w:ascii="Arial" w:hAnsi="Arial" w:cs="Arial"/>
        </w:rPr>
        <w:t xml:space="preserve"> (Accessed: 4 February 2025).</w:t>
      </w:r>
    </w:p>
    <w:p w14:paraId="6BF0F760" w14:textId="77777777" w:rsidR="00254766" w:rsidRPr="00425682" w:rsidRDefault="00254766" w:rsidP="00254766">
      <w:pPr>
        <w:rPr>
          <w:rFonts w:ascii="Arial" w:hAnsi="Arial" w:cs="Arial"/>
        </w:rPr>
      </w:pPr>
      <w:r w:rsidRPr="00425682">
        <w:rPr>
          <w:rFonts w:ascii="Arial" w:hAnsi="Arial" w:cs="Arial"/>
        </w:rPr>
        <w:t>Karl, M., Muskat, B. and Ritchie, B.W. (</w:t>
      </w:r>
      <w:proofErr w:type="gramStart"/>
      <w:r w:rsidRPr="00425682">
        <w:rPr>
          <w:rFonts w:ascii="Arial" w:hAnsi="Arial" w:cs="Arial"/>
        </w:rPr>
        <w:t>2020) ‘</w:t>
      </w:r>
      <w:proofErr w:type="gramEnd"/>
      <w:r w:rsidRPr="00425682">
        <w:rPr>
          <w:rFonts w:ascii="Arial" w:hAnsi="Arial" w:cs="Arial"/>
        </w:rPr>
        <w:t xml:space="preserve">Which travel risks are more salient for destination choice? An examination of the </w:t>
      </w:r>
      <w:proofErr w:type="gramStart"/>
      <w:r w:rsidRPr="00425682">
        <w:rPr>
          <w:rFonts w:ascii="Arial" w:hAnsi="Arial" w:cs="Arial"/>
        </w:rPr>
        <w:t>tourist’s</w:t>
      </w:r>
      <w:proofErr w:type="gramEnd"/>
      <w:r w:rsidRPr="00425682">
        <w:rPr>
          <w:rFonts w:ascii="Arial" w:hAnsi="Arial" w:cs="Arial"/>
        </w:rPr>
        <w:t xml:space="preserve"> decision-making process’, </w:t>
      </w:r>
      <w:r w:rsidRPr="00425682">
        <w:rPr>
          <w:rFonts w:ascii="Arial" w:hAnsi="Arial" w:cs="Arial"/>
          <w:i/>
          <w:iCs/>
        </w:rPr>
        <w:t>Journal of Destination Marketing &amp; Management</w:t>
      </w:r>
      <w:r w:rsidRPr="00425682">
        <w:rPr>
          <w:rFonts w:ascii="Arial" w:hAnsi="Arial" w:cs="Arial"/>
        </w:rPr>
        <w:t xml:space="preserve">, 18, p. 100487. Available at: </w:t>
      </w:r>
      <w:hyperlink r:id="rId25" w:tgtFrame="_new" w:history="1">
        <w:r w:rsidRPr="00425682">
          <w:rPr>
            <w:rStyle w:val="Hyperlink"/>
            <w:rFonts w:ascii="Arial" w:hAnsi="Arial" w:cs="Arial"/>
          </w:rPr>
          <w:t>https://doi.org/10.1016/j.jdmm.2020.100487</w:t>
        </w:r>
      </w:hyperlink>
      <w:r w:rsidRPr="00425682">
        <w:rPr>
          <w:rFonts w:ascii="Arial" w:hAnsi="Arial" w:cs="Arial"/>
        </w:rPr>
        <w:t xml:space="preserve"> (Accessed: 6 February 2025).</w:t>
      </w:r>
    </w:p>
    <w:p w14:paraId="164F1D1B" w14:textId="77777777" w:rsidR="00254766" w:rsidRPr="00425682" w:rsidRDefault="00254766" w:rsidP="00254766">
      <w:pPr>
        <w:rPr>
          <w:rFonts w:ascii="Arial" w:hAnsi="Arial" w:cs="Arial"/>
        </w:rPr>
      </w:pPr>
      <w:r w:rsidRPr="00425682">
        <w:rPr>
          <w:rFonts w:ascii="Arial" w:hAnsi="Arial" w:cs="Arial"/>
        </w:rPr>
        <w:t xml:space="preserve">Nicula, V. and </w:t>
      </w:r>
      <w:proofErr w:type="spellStart"/>
      <w:r w:rsidRPr="00425682">
        <w:rPr>
          <w:rFonts w:ascii="Arial" w:hAnsi="Arial" w:cs="Arial"/>
        </w:rPr>
        <w:t>Spânu</w:t>
      </w:r>
      <w:proofErr w:type="spellEnd"/>
      <w:r w:rsidRPr="00425682">
        <w:rPr>
          <w:rFonts w:ascii="Arial" w:hAnsi="Arial" w:cs="Arial"/>
        </w:rPr>
        <w:t xml:space="preserve">, S. (2019) ‘PESTEL analysis applied in tourism evaluation in Braila County’, </w:t>
      </w:r>
      <w:proofErr w:type="spellStart"/>
      <w:r w:rsidRPr="00425682">
        <w:rPr>
          <w:rFonts w:ascii="Arial" w:hAnsi="Arial" w:cs="Arial"/>
          <w:i/>
          <w:iCs/>
        </w:rPr>
        <w:t>Revista</w:t>
      </w:r>
      <w:proofErr w:type="spellEnd"/>
      <w:r w:rsidRPr="00425682">
        <w:rPr>
          <w:rFonts w:ascii="Arial" w:hAnsi="Arial" w:cs="Arial"/>
          <w:i/>
          <w:iCs/>
        </w:rPr>
        <w:t xml:space="preserve"> </w:t>
      </w:r>
      <w:proofErr w:type="spellStart"/>
      <w:r w:rsidRPr="00425682">
        <w:rPr>
          <w:rFonts w:ascii="Arial" w:hAnsi="Arial" w:cs="Arial"/>
          <w:i/>
          <w:iCs/>
        </w:rPr>
        <w:t>Economică</w:t>
      </w:r>
      <w:proofErr w:type="spellEnd"/>
      <w:r w:rsidRPr="00425682">
        <w:rPr>
          <w:rFonts w:ascii="Arial" w:hAnsi="Arial" w:cs="Arial"/>
        </w:rPr>
        <w:t xml:space="preserve">. Available at: </w:t>
      </w:r>
      <w:hyperlink r:id="rId26" w:tgtFrame="_new" w:history="1">
        <w:r w:rsidRPr="00425682">
          <w:rPr>
            <w:rStyle w:val="Hyperlink"/>
            <w:rFonts w:ascii="Arial" w:hAnsi="Arial" w:cs="Arial"/>
          </w:rPr>
          <w:t>http://economice.ulbsibiu.ro/revista.economica/archive/71304nicula&amp;spanu.pdf</w:t>
        </w:r>
      </w:hyperlink>
      <w:r w:rsidRPr="00425682">
        <w:rPr>
          <w:rFonts w:ascii="Arial" w:hAnsi="Arial" w:cs="Arial"/>
        </w:rPr>
        <w:t xml:space="preserve"> (Accessed: 8 February 2025).</w:t>
      </w:r>
    </w:p>
    <w:p w14:paraId="741C58C4" w14:textId="77777777" w:rsidR="00254766" w:rsidRPr="00425682" w:rsidRDefault="00254766" w:rsidP="00254766">
      <w:pPr>
        <w:rPr>
          <w:rFonts w:ascii="Arial" w:hAnsi="Arial" w:cs="Arial"/>
        </w:rPr>
      </w:pPr>
      <w:r w:rsidRPr="00425682">
        <w:rPr>
          <w:rFonts w:ascii="Arial" w:hAnsi="Arial" w:cs="Arial"/>
        </w:rPr>
        <w:t xml:space="preserve">Palaiologou, P., </w:t>
      </w:r>
      <w:proofErr w:type="spellStart"/>
      <w:r w:rsidRPr="00425682">
        <w:rPr>
          <w:rFonts w:ascii="Arial" w:hAnsi="Arial" w:cs="Arial"/>
        </w:rPr>
        <w:t>Kalabokidis</w:t>
      </w:r>
      <w:proofErr w:type="spellEnd"/>
      <w:r w:rsidRPr="00425682">
        <w:rPr>
          <w:rFonts w:ascii="Arial" w:hAnsi="Arial" w:cs="Arial"/>
        </w:rPr>
        <w:t xml:space="preserve">, K., </w:t>
      </w:r>
      <w:proofErr w:type="spellStart"/>
      <w:r w:rsidRPr="00425682">
        <w:rPr>
          <w:rFonts w:ascii="Arial" w:hAnsi="Arial" w:cs="Arial"/>
        </w:rPr>
        <w:t>Troumbis</w:t>
      </w:r>
      <w:proofErr w:type="spellEnd"/>
      <w:r w:rsidRPr="00425682">
        <w:rPr>
          <w:rFonts w:ascii="Arial" w:hAnsi="Arial" w:cs="Arial"/>
        </w:rPr>
        <w:t xml:space="preserve">, A., Day, M.A., Nielsen-Pincus, M. and Ager, A.A. (2021) ‘Socio-ecological perceptions of wildfire management and effects in Greece’, </w:t>
      </w:r>
      <w:r w:rsidRPr="00425682">
        <w:rPr>
          <w:rFonts w:ascii="Arial" w:hAnsi="Arial" w:cs="Arial"/>
          <w:i/>
          <w:iCs/>
        </w:rPr>
        <w:t>Fire</w:t>
      </w:r>
      <w:r w:rsidRPr="00425682">
        <w:rPr>
          <w:rFonts w:ascii="Arial" w:hAnsi="Arial" w:cs="Arial"/>
        </w:rPr>
        <w:t xml:space="preserve">, 4(2), p.18. Available at: </w:t>
      </w:r>
      <w:hyperlink r:id="rId27" w:tgtFrame="_new" w:history="1">
        <w:r w:rsidRPr="00425682">
          <w:rPr>
            <w:rStyle w:val="Hyperlink"/>
            <w:rFonts w:ascii="Arial" w:hAnsi="Arial" w:cs="Arial"/>
          </w:rPr>
          <w:t>https://doi.org/10.3390/fire4020018</w:t>
        </w:r>
      </w:hyperlink>
      <w:r w:rsidRPr="00425682">
        <w:rPr>
          <w:rFonts w:ascii="Arial" w:hAnsi="Arial" w:cs="Arial"/>
        </w:rPr>
        <w:t xml:space="preserve"> (Accessed: 30 January 2025).</w:t>
      </w:r>
    </w:p>
    <w:p w14:paraId="7E864DBC" w14:textId="77777777" w:rsidR="00254766" w:rsidRPr="00425682" w:rsidRDefault="00254766" w:rsidP="00254766">
      <w:pPr>
        <w:rPr>
          <w:rFonts w:ascii="Arial" w:hAnsi="Arial" w:cs="Arial"/>
        </w:rPr>
      </w:pPr>
      <w:r w:rsidRPr="00425682">
        <w:rPr>
          <w:rFonts w:ascii="Arial" w:hAnsi="Arial" w:cs="Arial"/>
        </w:rPr>
        <w:t xml:space="preserve">Prof. John Tribe (2009) </w:t>
      </w:r>
      <w:r w:rsidRPr="00425682">
        <w:rPr>
          <w:rFonts w:ascii="Arial" w:hAnsi="Arial" w:cs="Arial"/>
          <w:i/>
          <w:iCs/>
        </w:rPr>
        <w:t>Philosophical issues in tourism</w:t>
      </w:r>
      <w:r w:rsidRPr="00425682">
        <w:rPr>
          <w:rFonts w:ascii="Arial" w:hAnsi="Arial" w:cs="Arial"/>
        </w:rPr>
        <w:t>. Channel View Publications.</w:t>
      </w:r>
    </w:p>
    <w:p w14:paraId="0161334A" w14:textId="77777777" w:rsidR="00254766" w:rsidRPr="00425682" w:rsidRDefault="00254766" w:rsidP="00254766">
      <w:pPr>
        <w:rPr>
          <w:rFonts w:ascii="Arial" w:hAnsi="Arial" w:cs="Arial"/>
        </w:rPr>
      </w:pPr>
      <w:r w:rsidRPr="00425682">
        <w:rPr>
          <w:rFonts w:ascii="Arial" w:hAnsi="Arial" w:cs="Arial"/>
        </w:rPr>
        <w:t xml:space="preserve">Rosselló, J., Becken, S. and Santana-Gallego, M. (2020) ‘The effects of natural disasters on international tourism: A global analysis’, </w:t>
      </w:r>
      <w:r w:rsidRPr="00425682">
        <w:rPr>
          <w:rFonts w:ascii="Arial" w:hAnsi="Arial" w:cs="Arial"/>
          <w:i/>
          <w:iCs/>
        </w:rPr>
        <w:t>Tourism Management</w:t>
      </w:r>
      <w:r w:rsidRPr="00425682">
        <w:rPr>
          <w:rFonts w:ascii="Arial" w:hAnsi="Arial" w:cs="Arial"/>
        </w:rPr>
        <w:t xml:space="preserve">, 79(104080), p.104080. Available at: </w:t>
      </w:r>
      <w:hyperlink r:id="rId28" w:tgtFrame="_new" w:history="1">
        <w:r w:rsidRPr="00425682">
          <w:rPr>
            <w:rStyle w:val="Hyperlink"/>
            <w:rFonts w:ascii="Arial" w:hAnsi="Arial" w:cs="Arial"/>
          </w:rPr>
          <w:t>https://doi.org/10.1016/j.tourman.2020.104080</w:t>
        </w:r>
      </w:hyperlink>
      <w:r w:rsidRPr="00425682">
        <w:rPr>
          <w:rFonts w:ascii="Arial" w:hAnsi="Arial" w:cs="Arial"/>
        </w:rPr>
        <w:t xml:space="preserve"> (Accessed: 31 January 2025).</w:t>
      </w:r>
    </w:p>
    <w:p w14:paraId="08F95974" w14:textId="77777777" w:rsidR="00254766" w:rsidRPr="00425682" w:rsidRDefault="00254766" w:rsidP="00254766">
      <w:pPr>
        <w:rPr>
          <w:rFonts w:ascii="Arial" w:hAnsi="Arial" w:cs="Arial"/>
        </w:rPr>
      </w:pPr>
      <w:r w:rsidRPr="00425682">
        <w:rPr>
          <w:rFonts w:ascii="Arial" w:hAnsi="Arial" w:cs="Arial"/>
        </w:rPr>
        <w:t xml:space="preserve">Svensson, A. and </w:t>
      </w:r>
      <w:proofErr w:type="spellStart"/>
      <w:r w:rsidRPr="00425682">
        <w:rPr>
          <w:rFonts w:ascii="Arial" w:hAnsi="Arial" w:cs="Arial"/>
        </w:rPr>
        <w:t>Älmeby</w:t>
      </w:r>
      <w:proofErr w:type="spellEnd"/>
      <w:r w:rsidRPr="00425682">
        <w:rPr>
          <w:rFonts w:ascii="Arial" w:hAnsi="Arial" w:cs="Arial"/>
        </w:rPr>
        <w:t xml:space="preserve">, C. (2021) ‘How can </w:t>
      </w:r>
      <w:proofErr w:type="spellStart"/>
      <w:r w:rsidRPr="00425682">
        <w:rPr>
          <w:rFonts w:ascii="Arial" w:hAnsi="Arial" w:cs="Arial"/>
        </w:rPr>
        <w:t>organisations</w:t>
      </w:r>
      <w:proofErr w:type="spellEnd"/>
      <w:r w:rsidRPr="00425682">
        <w:rPr>
          <w:rFonts w:ascii="Arial" w:hAnsi="Arial" w:cs="Arial"/>
        </w:rPr>
        <w:t xml:space="preserve"> survive in an increasingly changing business environment? A case study of TUI Nordic on how to manage crises and </w:t>
      </w:r>
      <w:proofErr w:type="gramStart"/>
      <w:r w:rsidRPr="00425682">
        <w:rPr>
          <w:rFonts w:ascii="Arial" w:hAnsi="Arial" w:cs="Arial"/>
        </w:rPr>
        <w:t>change</w:t>
      </w:r>
      <w:proofErr w:type="gramEnd"/>
      <w:r w:rsidRPr="00425682">
        <w:rPr>
          <w:rFonts w:ascii="Arial" w:hAnsi="Arial" w:cs="Arial"/>
        </w:rPr>
        <w:t xml:space="preserve">’, </w:t>
      </w:r>
      <w:r w:rsidRPr="00425682">
        <w:rPr>
          <w:rFonts w:ascii="Arial" w:hAnsi="Arial" w:cs="Arial"/>
          <w:i/>
          <w:iCs/>
        </w:rPr>
        <w:t>Lund University Student Papers</w:t>
      </w:r>
      <w:r w:rsidRPr="00425682">
        <w:rPr>
          <w:rFonts w:ascii="Arial" w:hAnsi="Arial" w:cs="Arial"/>
        </w:rPr>
        <w:t xml:space="preserve">. Available at: </w:t>
      </w:r>
      <w:hyperlink r:id="rId29" w:tgtFrame="_new" w:history="1">
        <w:r w:rsidRPr="00425682">
          <w:rPr>
            <w:rStyle w:val="Hyperlink"/>
            <w:rFonts w:ascii="Arial" w:hAnsi="Arial" w:cs="Arial"/>
          </w:rPr>
          <w:t>https://lup.lub.lu.se/student-papers/record/9060150/file/9060323.pdf</w:t>
        </w:r>
      </w:hyperlink>
      <w:r w:rsidRPr="00425682">
        <w:rPr>
          <w:rFonts w:ascii="Arial" w:hAnsi="Arial" w:cs="Arial"/>
        </w:rPr>
        <w:t xml:space="preserve"> (Accessed: 2 February 2025).</w:t>
      </w:r>
    </w:p>
    <w:p w14:paraId="60E97A20" w14:textId="77777777" w:rsidR="00254766" w:rsidRPr="00425682" w:rsidRDefault="00254766" w:rsidP="00254766">
      <w:pPr>
        <w:rPr>
          <w:rFonts w:ascii="Arial" w:hAnsi="Arial" w:cs="Arial"/>
        </w:rPr>
      </w:pPr>
      <w:r w:rsidRPr="00425682">
        <w:rPr>
          <w:rFonts w:ascii="Arial" w:hAnsi="Arial" w:cs="Arial"/>
        </w:rPr>
        <w:t>The Parliament Magazine (</w:t>
      </w:r>
      <w:proofErr w:type="gramStart"/>
      <w:r w:rsidRPr="00425682">
        <w:rPr>
          <w:rFonts w:ascii="Arial" w:hAnsi="Arial" w:cs="Arial"/>
        </w:rPr>
        <w:t>2024) ‘</w:t>
      </w:r>
      <w:proofErr w:type="gramEnd"/>
      <w:r w:rsidRPr="00425682">
        <w:rPr>
          <w:rFonts w:ascii="Arial" w:hAnsi="Arial" w:cs="Arial"/>
        </w:rPr>
        <w:t xml:space="preserve">The climate crisis: hospitality’s new reality’. Available at: </w:t>
      </w:r>
      <w:hyperlink r:id="rId30" w:tgtFrame="_new" w:history="1">
        <w:r w:rsidRPr="00425682">
          <w:rPr>
            <w:rStyle w:val="Hyperlink"/>
            <w:rFonts w:ascii="Arial" w:hAnsi="Arial" w:cs="Arial"/>
          </w:rPr>
          <w:t>https://www.theparliamentmagazine.eu/partner/article/the-climate-crisis-hospitalitys-new-reality</w:t>
        </w:r>
      </w:hyperlink>
      <w:r w:rsidRPr="00425682">
        <w:rPr>
          <w:rFonts w:ascii="Arial" w:hAnsi="Arial" w:cs="Arial"/>
        </w:rPr>
        <w:t xml:space="preserve"> (Accessed: 4 February 2025).</w:t>
      </w:r>
    </w:p>
    <w:p w14:paraId="77FF11CC" w14:textId="77777777" w:rsidR="00254766" w:rsidRPr="00425682" w:rsidRDefault="00254766" w:rsidP="00254766">
      <w:pPr>
        <w:rPr>
          <w:rFonts w:ascii="Arial" w:hAnsi="Arial" w:cs="Arial"/>
        </w:rPr>
      </w:pPr>
      <w:r w:rsidRPr="00425682">
        <w:rPr>
          <w:rFonts w:ascii="Arial" w:hAnsi="Arial" w:cs="Arial"/>
        </w:rPr>
        <w:t xml:space="preserve">TUI (2024) </w:t>
      </w:r>
      <w:r w:rsidRPr="00425682">
        <w:rPr>
          <w:rFonts w:ascii="Arial" w:hAnsi="Arial" w:cs="Arial"/>
          <w:i/>
          <w:iCs/>
        </w:rPr>
        <w:t>Safe travel</w:t>
      </w:r>
      <w:r w:rsidRPr="00425682">
        <w:rPr>
          <w:rFonts w:ascii="Arial" w:hAnsi="Arial" w:cs="Arial"/>
        </w:rPr>
        <w:t xml:space="preserve">. Available at: </w:t>
      </w:r>
      <w:hyperlink r:id="rId31" w:tgtFrame="_new" w:history="1">
        <w:r w:rsidRPr="00425682">
          <w:rPr>
            <w:rStyle w:val="Hyperlink"/>
            <w:rFonts w:ascii="Arial" w:hAnsi="Arial" w:cs="Arial"/>
          </w:rPr>
          <w:t>https://www.tuigroup.com/en-en/responsibility/public-policy/safe-travel</w:t>
        </w:r>
      </w:hyperlink>
      <w:r w:rsidRPr="00425682">
        <w:rPr>
          <w:rFonts w:ascii="Arial" w:hAnsi="Arial" w:cs="Arial"/>
        </w:rPr>
        <w:t xml:space="preserve"> (Accessed: 6 February 2025).</w:t>
      </w:r>
    </w:p>
    <w:p w14:paraId="0F5AC47C" w14:textId="77777777" w:rsidR="00254766" w:rsidRPr="00425682" w:rsidRDefault="00254766" w:rsidP="00254766">
      <w:pPr>
        <w:rPr>
          <w:rFonts w:ascii="Arial" w:hAnsi="Arial" w:cs="Arial"/>
        </w:rPr>
      </w:pPr>
      <w:r w:rsidRPr="00425682">
        <w:rPr>
          <w:rFonts w:ascii="Arial" w:hAnsi="Arial" w:cs="Arial"/>
        </w:rPr>
        <w:t xml:space="preserve">TUI Group (2023) </w:t>
      </w:r>
      <w:r w:rsidRPr="00425682">
        <w:rPr>
          <w:rFonts w:ascii="Arial" w:hAnsi="Arial" w:cs="Arial"/>
          <w:i/>
          <w:iCs/>
        </w:rPr>
        <w:t>Sustainability</w:t>
      </w:r>
      <w:r w:rsidRPr="00425682">
        <w:rPr>
          <w:rFonts w:ascii="Arial" w:hAnsi="Arial" w:cs="Arial"/>
        </w:rPr>
        <w:t xml:space="preserve">. Available at: </w:t>
      </w:r>
      <w:hyperlink r:id="rId32" w:tgtFrame="_new" w:history="1">
        <w:r w:rsidRPr="00425682">
          <w:rPr>
            <w:rStyle w:val="Hyperlink"/>
            <w:rFonts w:ascii="Arial" w:hAnsi="Arial" w:cs="Arial"/>
          </w:rPr>
          <w:t>https://www.tuigroup.com/en-en/responsibility/sustainability</w:t>
        </w:r>
      </w:hyperlink>
      <w:r w:rsidRPr="00425682">
        <w:rPr>
          <w:rFonts w:ascii="Arial" w:hAnsi="Arial" w:cs="Arial"/>
        </w:rPr>
        <w:t xml:space="preserve"> (Accessed: 8 February 2025).</w:t>
      </w:r>
    </w:p>
    <w:p w14:paraId="283088D0" w14:textId="77777777" w:rsidR="00254766" w:rsidRPr="00425682" w:rsidRDefault="00254766" w:rsidP="00254766">
      <w:pPr>
        <w:rPr>
          <w:rFonts w:ascii="Arial" w:hAnsi="Arial" w:cs="Arial"/>
        </w:rPr>
      </w:pPr>
      <w:r w:rsidRPr="00425682">
        <w:rPr>
          <w:rFonts w:ascii="Arial" w:hAnsi="Arial" w:cs="Arial"/>
        </w:rPr>
        <w:t>TUI Group (</w:t>
      </w:r>
      <w:proofErr w:type="gramStart"/>
      <w:r w:rsidRPr="00425682">
        <w:rPr>
          <w:rFonts w:ascii="Arial" w:hAnsi="Arial" w:cs="Arial"/>
        </w:rPr>
        <w:t>2024) ‘</w:t>
      </w:r>
      <w:proofErr w:type="gramEnd"/>
      <w:r w:rsidRPr="00425682">
        <w:rPr>
          <w:rFonts w:ascii="Arial" w:hAnsi="Arial" w:cs="Arial"/>
        </w:rPr>
        <w:t xml:space="preserve">TUI brings ChatGPT to its mobile app in the UK’, </w:t>
      </w:r>
      <w:r w:rsidRPr="00425682">
        <w:rPr>
          <w:rFonts w:ascii="Arial" w:hAnsi="Arial" w:cs="Arial"/>
          <w:i/>
          <w:iCs/>
        </w:rPr>
        <w:t>TUI Group Press Release</w:t>
      </w:r>
      <w:r w:rsidRPr="00425682">
        <w:rPr>
          <w:rFonts w:ascii="Arial" w:hAnsi="Arial" w:cs="Arial"/>
        </w:rPr>
        <w:t xml:space="preserve">. Available at: </w:t>
      </w:r>
      <w:hyperlink r:id="rId33" w:tgtFrame="_new" w:history="1">
        <w:r w:rsidRPr="00425682">
          <w:rPr>
            <w:rStyle w:val="Hyperlink"/>
            <w:rFonts w:ascii="Arial" w:hAnsi="Arial" w:cs="Arial"/>
          </w:rPr>
          <w:t>https://www.tuigroup.com/en-en/media/press-releases/2023/2023-08-17-tui-brings-chatgpt-to-its-mobile-app-in-uk</w:t>
        </w:r>
      </w:hyperlink>
      <w:r w:rsidRPr="00425682">
        <w:rPr>
          <w:rFonts w:ascii="Arial" w:hAnsi="Arial" w:cs="Arial"/>
        </w:rPr>
        <w:t xml:space="preserve"> (Accessed: 30 January 2025).</w:t>
      </w:r>
    </w:p>
    <w:p w14:paraId="68FD5D24" w14:textId="77777777" w:rsidR="00254766" w:rsidRPr="00425682" w:rsidRDefault="00254766" w:rsidP="00254766">
      <w:pPr>
        <w:rPr>
          <w:rFonts w:ascii="Arial" w:hAnsi="Arial" w:cs="Arial"/>
        </w:rPr>
      </w:pPr>
      <w:r w:rsidRPr="00425682">
        <w:rPr>
          <w:rFonts w:ascii="Arial" w:hAnsi="Arial" w:cs="Arial"/>
        </w:rPr>
        <w:t xml:space="preserve">Tuigroup.com (2024) </w:t>
      </w:r>
      <w:r w:rsidRPr="00425682">
        <w:rPr>
          <w:rFonts w:ascii="Arial" w:hAnsi="Arial" w:cs="Arial"/>
          <w:i/>
          <w:iCs/>
        </w:rPr>
        <w:t>Annual report 2024</w:t>
      </w:r>
      <w:r w:rsidRPr="00425682">
        <w:rPr>
          <w:rFonts w:ascii="Arial" w:hAnsi="Arial" w:cs="Arial"/>
        </w:rPr>
        <w:t xml:space="preserve">. Available at: </w:t>
      </w:r>
      <w:hyperlink r:id="rId34" w:tgtFrame="_new" w:history="1">
        <w:r w:rsidRPr="00425682">
          <w:rPr>
            <w:rStyle w:val="Hyperlink"/>
            <w:rFonts w:ascii="Arial" w:hAnsi="Arial" w:cs="Arial"/>
          </w:rPr>
          <w:t>https://www.tuigroup.com/en-en/media/fy24_annual_report_2024</w:t>
        </w:r>
      </w:hyperlink>
      <w:r w:rsidRPr="00425682">
        <w:rPr>
          <w:rFonts w:ascii="Arial" w:hAnsi="Arial" w:cs="Arial"/>
        </w:rPr>
        <w:t xml:space="preserve"> (Accessed: 31 January 2025).</w:t>
      </w:r>
    </w:p>
    <w:p w14:paraId="5AEB1627" w14:textId="77777777" w:rsidR="00254766" w:rsidRPr="00425682" w:rsidRDefault="00254766" w:rsidP="00254766">
      <w:pPr>
        <w:rPr>
          <w:rFonts w:ascii="Arial" w:hAnsi="Arial" w:cs="Arial"/>
        </w:rPr>
      </w:pPr>
      <w:r w:rsidRPr="00425682">
        <w:rPr>
          <w:rFonts w:ascii="Arial" w:hAnsi="Arial" w:cs="Arial"/>
        </w:rPr>
        <w:t xml:space="preserve">UNWTO (2024) ‘International tourism will recover to pre-pandemic levels in 2024’. Available at: </w:t>
      </w:r>
      <w:hyperlink r:id="rId35" w:tgtFrame="_new" w:history="1">
        <w:r w:rsidRPr="00425682">
          <w:rPr>
            <w:rStyle w:val="Hyperlink"/>
            <w:rFonts w:ascii="Arial" w:hAnsi="Arial" w:cs="Arial"/>
          </w:rPr>
          <w:t>http://www.unwto.org/news/international-tourism-recovers-pre-pandemic-levels-in-2024</w:t>
        </w:r>
      </w:hyperlink>
      <w:r w:rsidRPr="00425682">
        <w:rPr>
          <w:rFonts w:ascii="Arial" w:hAnsi="Arial" w:cs="Arial"/>
        </w:rPr>
        <w:t xml:space="preserve"> (Accessed: 2 February 2025).</w:t>
      </w:r>
    </w:p>
    <w:p w14:paraId="07BDBB7A" w14:textId="77777777" w:rsidR="00254766" w:rsidRPr="00425682" w:rsidRDefault="00254766" w:rsidP="00254766">
      <w:pPr>
        <w:rPr>
          <w:rFonts w:ascii="Arial" w:hAnsi="Arial" w:cs="Arial"/>
        </w:rPr>
      </w:pPr>
      <w:proofErr w:type="spellStart"/>
      <w:r w:rsidRPr="00425682">
        <w:rPr>
          <w:rFonts w:ascii="Arial" w:hAnsi="Arial" w:cs="Arial"/>
        </w:rPr>
        <w:t>WaiLai</w:t>
      </w:r>
      <w:proofErr w:type="spellEnd"/>
      <w:r w:rsidRPr="00425682">
        <w:rPr>
          <w:rFonts w:ascii="Arial" w:hAnsi="Arial" w:cs="Arial"/>
        </w:rPr>
        <w:t>, I.K. and Wong, J.W.C. (</w:t>
      </w:r>
      <w:proofErr w:type="gramStart"/>
      <w:r w:rsidRPr="00425682">
        <w:rPr>
          <w:rFonts w:ascii="Arial" w:hAnsi="Arial" w:cs="Arial"/>
        </w:rPr>
        <w:t>2020) ‘</w:t>
      </w:r>
      <w:proofErr w:type="gramEnd"/>
      <w:r w:rsidRPr="00425682">
        <w:rPr>
          <w:rFonts w:ascii="Arial" w:hAnsi="Arial" w:cs="Arial"/>
        </w:rPr>
        <w:t xml:space="preserve">Comparing crisis management practices in the hotel industry between initial and pandemic stages of COVID-19’, </w:t>
      </w:r>
      <w:r w:rsidRPr="00425682">
        <w:rPr>
          <w:rFonts w:ascii="Arial" w:hAnsi="Arial" w:cs="Arial"/>
          <w:i/>
          <w:iCs/>
        </w:rPr>
        <w:t>Crisis Management Practices</w:t>
      </w:r>
      <w:r w:rsidRPr="00425682">
        <w:rPr>
          <w:rFonts w:ascii="Arial" w:hAnsi="Arial" w:cs="Arial"/>
        </w:rPr>
        <w:t xml:space="preserve">. Available at: </w:t>
      </w:r>
      <w:hyperlink r:id="rId36" w:tgtFrame="_new" w:history="1">
        <w:r w:rsidRPr="00425682">
          <w:rPr>
            <w:rStyle w:val="Hyperlink"/>
            <w:rFonts w:ascii="Arial" w:hAnsi="Arial" w:cs="Arial"/>
          </w:rPr>
          <w:t>https://www.emerald.com/insight/0959-6119.htm</w:t>
        </w:r>
      </w:hyperlink>
      <w:r w:rsidRPr="00425682">
        <w:rPr>
          <w:rFonts w:ascii="Arial" w:hAnsi="Arial" w:cs="Arial"/>
        </w:rPr>
        <w:t xml:space="preserve"> (Accessed: 4 February 2025).</w:t>
      </w:r>
    </w:p>
    <w:p w14:paraId="14CDDA9D" w14:textId="77777777" w:rsidR="00254766" w:rsidRPr="00425682" w:rsidRDefault="00254766" w:rsidP="00254766">
      <w:pPr>
        <w:rPr>
          <w:rFonts w:ascii="Arial" w:hAnsi="Arial" w:cs="Arial"/>
        </w:rPr>
      </w:pPr>
      <w:r w:rsidRPr="00425682">
        <w:rPr>
          <w:rFonts w:ascii="Arial" w:hAnsi="Arial" w:cs="Arial"/>
        </w:rPr>
        <w:lastRenderedPageBreak/>
        <w:t xml:space="preserve">Wickham, R. (2019) ‘Secondary analysis research’, </w:t>
      </w:r>
      <w:r w:rsidRPr="00425682">
        <w:rPr>
          <w:rFonts w:ascii="Arial" w:hAnsi="Arial" w:cs="Arial"/>
          <w:i/>
          <w:iCs/>
        </w:rPr>
        <w:t>Journal of the Advanced Practitioner in Oncology</w:t>
      </w:r>
      <w:r w:rsidRPr="00425682">
        <w:rPr>
          <w:rFonts w:ascii="Arial" w:hAnsi="Arial" w:cs="Arial"/>
        </w:rPr>
        <w:t xml:space="preserve">, 10(4), pp. 395–400. Available at: </w:t>
      </w:r>
      <w:hyperlink r:id="rId37" w:tgtFrame="_new" w:history="1">
        <w:r w:rsidRPr="00425682">
          <w:rPr>
            <w:rStyle w:val="Hyperlink"/>
            <w:rFonts w:ascii="Arial" w:hAnsi="Arial" w:cs="Arial"/>
          </w:rPr>
          <w:t>https://doi.org/10.6004/jadpro.2019.10.4.7</w:t>
        </w:r>
      </w:hyperlink>
      <w:r w:rsidRPr="00425682">
        <w:rPr>
          <w:rFonts w:ascii="Arial" w:hAnsi="Arial" w:cs="Arial"/>
        </w:rPr>
        <w:t xml:space="preserve"> (Accessed: 6 February 2025).</w:t>
      </w:r>
    </w:p>
    <w:p w14:paraId="384881B7" w14:textId="77777777" w:rsidR="00254766" w:rsidRPr="00425682" w:rsidRDefault="00254766" w:rsidP="00254766">
      <w:pPr>
        <w:rPr>
          <w:rFonts w:ascii="Arial" w:hAnsi="Arial" w:cs="Arial"/>
        </w:rPr>
      </w:pPr>
      <w:r w:rsidRPr="00425682">
        <w:rPr>
          <w:rFonts w:ascii="Arial" w:hAnsi="Arial" w:cs="Arial"/>
        </w:rPr>
        <w:t>WTTC (</w:t>
      </w:r>
      <w:proofErr w:type="gramStart"/>
      <w:r w:rsidRPr="00425682">
        <w:rPr>
          <w:rFonts w:ascii="Arial" w:hAnsi="Arial" w:cs="Arial"/>
        </w:rPr>
        <w:t>2024) ‘</w:t>
      </w:r>
      <w:proofErr w:type="gramEnd"/>
      <w:r w:rsidRPr="00425682">
        <w:rPr>
          <w:rFonts w:ascii="Arial" w:hAnsi="Arial" w:cs="Arial"/>
        </w:rPr>
        <w:t xml:space="preserve">News Article | World Travel &amp; Tourism Council (WTTC)’. Available at: </w:t>
      </w:r>
      <w:hyperlink r:id="rId38" w:tgtFrame="_new" w:history="1">
        <w:r w:rsidRPr="00425682">
          <w:rPr>
            <w:rStyle w:val="Hyperlink"/>
            <w:rFonts w:ascii="Arial" w:hAnsi="Arial" w:cs="Arial"/>
          </w:rPr>
          <w:t>https://wttc.org/News-Article/WTTC-unveils-Safe-Travels-new-global-protocols-to-restart-the-Travel-Tourism-sector</w:t>
        </w:r>
      </w:hyperlink>
      <w:r w:rsidRPr="00425682">
        <w:rPr>
          <w:rFonts w:ascii="Arial" w:hAnsi="Arial" w:cs="Arial"/>
        </w:rPr>
        <w:t xml:space="preserve"> (Accessed: 8 February 2025).</w:t>
      </w:r>
    </w:p>
    <w:p w14:paraId="50A52AA9" w14:textId="77777777" w:rsidR="00254766" w:rsidRPr="00425682" w:rsidRDefault="00254766" w:rsidP="00254766">
      <w:pPr>
        <w:rPr>
          <w:rFonts w:ascii="Arial" w:hAnsi="Arial" w:cs="Arial"/>
        </w:rPr>
      </w:pPr>
      <w:r w:rsidRPr="00425682">
        <w:rPr>
          <w:rFonts w:ascii="Arial" w:hAnsi="Arial" w:cs="Arial"/>
        </w:rPr>
        <w:t xml:space="preserve">Wut, T.M., Xu, J. (Bill) and Wong, S. (2021) ‘Crisis management research (1985–2020) in the hospitality and tourism industry: A review and research agenda’, </w:t>
      </w:r>
      <w:r w:rsidRPr="00425682">
        <w:rPr>
          <w:rFonts w:ascii="Arial" w:hAnsi="Arial" w:cs="Arial"/>
          <w:i/>
          <w:iCs/>
        </w:rPr>
        <w:t>Tourism Management</w:t>
      </w:r>
      <w:r w:rsidRPr="00425682">
        <w:rPr>
          <w:rFonts w:ascii="Arial" w:hAnsi="Arial" w:cs="Arial"/>
        </w:rPr>
        <w:t xml:space="preserve">, 85, p.104307. Available at: </w:t>
      </w:r>
      <w:hyperlink r:id="rId39" w:tgtFrame="_new" w:history="1">
        <w:r w:rsidRPr="00425682">
          <w:rPr>
            <w:rStyle w:val="Hyperlink"/>
            <w:rFonts w:ascii="Arial" w:hAnsi="Arial" w:cs="Arial"/>
          </w:rPr>
          <w:t>https://doi.org/10.1016/j.tourman.2021.104307</w:t>
        </w:r>
      </w:hyperlink>
      <w:r w:rsidRPr="00425682">
        <w:rPr>
          <w:rFonts w:ascii="Arial" w:hAnsi="Arial" w:cs="Arial"/>
        </w:rPr>
        <w:t xml:space="preserve"> (Accessed: 30 January 2025).</w:t>
      </w:r>
    </w:p>
    <w:p w14:paraId="6B6285C9" w14:textId="77777777" w:rsidR="00254766" w:rsidRPr="00425682" w:rsidRDefault="00254766" w:rsidP="00254766">
      <w:pPr>
        <w:rPr>
          <w:rFonts w:ascii="Arial" w:hAnsi="Arial" w:cs="Arial"/>
        </w:rPr>
      </w:pPr>
      <w:r w:rsidRPr="00425682">
        <w:rPr>
          <w:rFonts w:ascii="Arial" w:hAnsi="Arial" w:cs="Arial"/>
        </w:rPr>
        <w:t xml:space="preserve">Yu, P., Xu, R., Abramson, M.J., Li, S. and Guo, Y. (2020) ‘Bushfires in Australia: A serious health emergency under climate change’, </w:t>
      </w:r>
      <w:r w:rsidRPr="00425682">
        <w:rPr>
          <w:rFonts w:ascii="Arial" w:hAnsi="Arial" w:cs="Arial"/>
          <w:i/>
          <w:iCs/>
        </w:rPr>
        <w:t>The Lancet Planetary Health</w:t>
      </w:r>
      <w:r w:rsidRPr="00425682">
        <w:rPr>
          <w:rFonts w:ascii="Arial" w:hAnsi="Arial" w:cs="Arial"/>
        </w:rPr>
        <w:t xml:space="preserve">, 4(1). Available at: </w:t>
      </w:r>
      <w:hyperlink r:id="rId40" w:tgtFrame="_new" w:history="1">
        <w:r w:rsidRPr="00425682">
          <w:rPr>
            <w:rStyle w:val="Hyperlink"/>
            <w:rFonts w:ascii="Arial" w:hAnsi="Arial" w:cs="Arial"/>
          </w:rPr>
          <w:t>https://doi.org/10.1016/s2542-5196(19)30267-0</w:t>
        </w:r>
      </w:hyperlink>
      <w:r w:rsidRPr="00425682">
        <w:rPr>
          <w:rFonts w:ascii="Arial" w:hAnsi="Arial" w:cs="Arial"/>
        </w:rPr>
        <w:t xml:space="preserve"> (Accessed: 31 January 2025).</w:t>
      </w:r>
    </w:p>
    <w:p w14:paraId="3DB35B8B" w14:textId="77777777" w:rsidR="00254766" w:rsidRPr="00425682" w:rsidRDefault="00254766" w:rsidP="00254766">
      <w:pPr>
        <w:rPr>
          <w:rFonts w:ascii="Arial" w:hAnsi="Arial" w:cs="Arial"/>
        </w:rPr>
      </w:pPr>
    </w:p>
    <w:p w14:paraId="24CBB026" w14:textId="77777777" w:rsidR="00254766" w:rsidRPr="00425682" w:rsidRDefault="00254766" w:rsidP="00254766">
      <w:pPr>
        <w:rPr>
          <w:rFonts w:ascii="Arial" w:hAnsi="Arial" w:cs="Arial"/>
        </w:rPr>
      </w:pPr>
    </w:p>
    <w:p w14:paraId="19999341" w14:textId="301C9815" w:rsidR="00A470DD" w:rsidRPr="00254766" w:rsidRDefault="00A470DD" w:rsidP="00254766"/>
    <w:sectPr w:rsidR="00A470DD" w:rsidRPr="00254766">
      <w:head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C7279" w14:textId="77777777" w:rsidR="00311BDF" w:rsidRDefault="00311BDF" w:rsidP="00B23580">
      <w:pPr>
        <w:spacing w:after="0" w:line="240" w:lineRule="auto"/>
      </w:pPr>
      <w:r>
        <w:separator/>
      </w:r>
    </w:p>
  </w:endnote>
  <w:endnote w:type="continuationSeparator" w:id="0">
    <w:p w14:paraId="053A1B33" w14:textId="77777777" w:rsidR="00311BDF" w:rsidRDefault="00311BDF" w:rsidP="00B23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31CBD" w14:textId="77777777" w:rsidR="00254766" w:rsidRDefault="002547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2E467" w14:textId="77777777" w:rsidR="00254766" w:rsidRDefault="002547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88180" w14:textId="77777777" w:rsidR="00254766" w:rsidRDefault="00254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B0ADB" w14:textId="77777777" w:rsidR="00311BDF" w:rsidRDefault="00311BDF" w:rsidP="00B23580">
      <w:pPr>
        <w:spacing w:after="0" w:line="240" w:lineRule="auto"/>
      </w:pPr>
      <w:r>
        <w:separator/>
      </w:r>
    </w:p>
  </w:footnote>
  <w:footnote w:type="continuationSeparator" w:id="0">
    <w:p w14:paraId="54A82ED0" w14:textId="77777777" w:rsidR="00311BDF" w:rsidRDefault="00311BDF" w:rsidP="00B235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DFA99" w14:textId="77777777" w:rsidR="00254766" w:rsidRDefault="002547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B6616" w14:textId="77777777" w:rsidR="00254766" w:rsidRDefault="002547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9D0C1" w14:textId="77777777" w:rsidR="00254766" w:rsidRDefault="0025476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1334475"/>
      <w:docPartObj>
        <w:docPartGallery w:val="Page Numbers (Top of Page)"/>
        <w:docPartUnique/>
      </w:docPartObj>
    </w:sdtPr>
    <w:sdtEndPr>
      <w:rPr>
        <w:rFonts w:asciiTheme="majorHAnsi" w:hAnsiTheme="majorHAnsi" w:cstheme="majorHAnsi"/>
        <w:noProof/>
        <w:sz w:val="24"/>
      </w:rPr>
    </w:sdtEndPr>
    <w:sdtContent>
      <w:p w14:paraId="506C0C4C" w14:textId="1B764750" w:rsidR="008F782A" w:rsidRPr="00B23580" w:rsidRDefault="008F782A">
        <w:pPr>
          <w:pStyle w:val="Header"/>
          <w:jc w:val="right"/>
          <w:rPr>
            <w:rFonts w:asciiTheme="majorHAnsi" w:hAnsiTheme="majorHAnsi" w:cstheme="majorHAnsi"/>
            <w:sz w:val="24"/>
          </w:rPr>
        </w:pPr>
        <w:r w:rsidRPr="00B23580">
          <w:rPr>
            <w:rFonts w:asciiTheme="majorHAnsi" w:hAnsiTheme="majorHAnsi" w:cstheme="majorHAnsi"/>
            <w:sz w:val="24"/>
          </w:rPr>
          <w:fldChar w:fldCharType="begin"/>
        </w:r>
        <w:r w:rsidRPr="00B23580">
          <w:rPr>
            <w:rFonts w:asciiTheme="majorHAnsi" w:hAnsiTheme="majorHAnsi" w:cstheme="majorHAnsi"/>
            <w:sz w:val="24"/>
          </w:rPr>
          <w:instrText xml:space="preserve"> PAGE   \* MERGEFORMAT </w:instrText>
        </w:r>
        <w:r w:rsidRPr="00B23580">
          <w:rPr>
            <w:rFonts w:asciiTheme="majorHAnsi" w:hAnsiTheme="majorHAnsi" w:cstheme="majorHAnsi"/>
            <w:sz w:val="24"/>
          </w:rPr>
          <w:fldChar w:fldCharType="separate"/>
        </w:r>
        <w:r w:rsidR="00C9728E">
          <w:rPr>
            <w:rFonts w:asciiTheme="majorHAnsi" w:hAnsiTheme="majorHAnsi" w:cstheme="majorHAnsi"/>
            <w:noProof/>
            <w:sz w:val="24"/>
          </w:rPr>
          <w:t>5</w:t>
        </w:r>
        <w:r w:rsidRPr="00B23580">
          <w:rPr>
            <w:rFonts w:asciiTheme="majorHAnsi" w:hAnsiTheme="majorHAnsi" w:cstheme="majorHAnsi"/>
            <w:noProof/>
            <w:sz w:val="24"/>
          </w:rPr>
          <w:fldChar w:fldCharType="end"/>
        </w:r>
      </w:p>
    </w:sdtContent>
  </w:sdt>
  <w:p w14:paraId="5C208F2F" w14:textId="77777777" w:rsidR="008F782A" w:rsidRDefault="008F78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1BE2"/>
    <w:multiLevelType w:val="hybridMultilevel"/>
    <w:tmpl w:val="B3184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3C1515"/>
    <w:multiLevelType w:val="hybridMultilevel"/>
    <w:tmpl w:val="79E6F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A5FE5"/>
    <w:multiLevelType w:val="hybridMultilevel"/>
    <w:tmpl w:val="C57E16BC"/>
    <w:lvl w:ilvl="0" w:tplc="74C880A6">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69457D"/>
    <w:multiLevelType w:val="hybridMultilevel"/>
    <w:tmpl w:val="BAE80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875FF"/>
    <w:multiLevelType w:val="multilevel"/>
    <w:tmpl w:val="FBBC0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383CF0"/>
    <w:multiLevelType w:val="multilevel"/>
    <w:tmpl w:val="EBB6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A0A8D"/>
    <w:multiLevelType w:val="hybridMultilevel"/>
    <w:tmpl w:val="F5B4A67C"/>
    <w:lvl w:ilvl="0" w:tplc="6BC034D6">
      <w:start w:val="1"/>
      <w:numFmt w:val="bullet"/>
      <w:lvlText w:val="•"/>
      <w:lvlJc w:val="left"/>
      <w:pPr>
        <w:tabs>
          <w:tab w:val="num" w:pos="720"/>
        </w:tabs>
        <w:ind w:left="720" w:hanging="360"/>
      </w:pPr>
      <w:rPr>
        <w:rFonts w:ascii="Arial" w:hAnsi="Arial" w:hint="default"/>
      </w:rPr>
    </w:lvl>
    <w:lvl w:ilvl="1" w:tplc="5CF23BE0" w:tentative="1">
      <w:start w:val="1"/>
      <w:numFmt w:val="bullet"/>
      <w:lvlText w:val="•"/>
      <w:lvlJc w:val="left"/>
      <w:pPr>
        <w:tabs>
          <w:tab w:val="num" w:pos="1440"/>
        </w:tabs>
        <w:ind w:left="1440" w:hanging="360"/>
      </w:pPr>
      <w:rPr>
        <w:rFonts w:ascii="Arial" w:hAnsi="Arial" w:hint="default"/>
      </w:rPr>
    </w:lvl>
    <w:lvl w:ilvl="2" w:tplc="60BA5D26" w:tentative="1">
      <w:start w:val="1"/>
      <w:numFmt w:val="bullet"/>
      <w:lvlText w:val="•"/>
      <w:lvlJc w:val="left"/>
      <w:pPr>
        <w:tabs>
          <w:tab w:val="num" w:pos="2160"/>
        </w:tabs>
        <w:ind w:left="2160" w:hanging="360"/>
      </w:pPr>
      <w:rPr>
        <w:rFonts w:ascii="Arial" w:hAnsi="Arial" w:hint="default"/>
      </w:rPr>
    </w:lvl>
    <w:lvl w:ilvl="3" w:tplc="DF1EFC4C" w:tentative="1">
      <w:start w:val="1"/>
      <w:numFmt w:val="bullet"/>
      <w:lvlText w:val="•"/>
      <w:lvlJc w:val="left"/>
      <w:pPr>
        <w:tabs>
          <w:tab w:val="num" w:pos="2880"/>
        </w:tabs>
        <w:ind w:left="2880" w:hanging="360"/>
      </w:pPr>
      <w:rPr>
        <w:rFonts w:ascii="Arial" w:hAnsi="Arial" w:hint="default"/>
      </w:rPr>
    </w:lvl>
    <w:lvl w:ilvl="4" w:tplc="7758EDD0" w:tentative="1">
      <w:start w:val="1"/>
      <w:numFmt w:val="bullet"/>
      <w:lvlText w:val="•"/>
      <w:lvlJc w:val="left"/>
      <w:pPr>
        <w:tabs>
          <w:tab w:val="num" w:pos="3600"/>
        </w:tabs>
        <w:ind w:left="3600" w:hanging="360"/>
      </w:pPr>
      <w:rPr>
        <w:rFonts w:ascii="Arial" w:hAnsi="Arial" w:hint="default"/>
      </w:rPr>
    </w:lvl>
    <w:lvl w:ilvl="5" w:tplc="C4707F98" w:tentative="1">
      <w:start w:val="1"/>
      <w:numFmt w:val="bullet"/>
      <w:lvlText w:val="•"/>
      <w:lvlJc w:val="left"/>
      <w:pPr>
        <w:tabs>
          <w:tab w:val="num" w:pos="4320"/>
        </w:tabs>
        <w:ind w:left="4320" w:hanging="360"/>
      </w:pPr>
      <w:rPr>
        <w:rFonts w:ascii="Arial" w:hAnsi="Arial" w:hint="default"/>
      </w:rPr>
    </w:lvl>
    <w:lvl w:ilvl="6" w:tplc="8E8C09F4" w:tentative="1">
      <w:start w:val="1"/>
      <w:numFmt w:val="bullet"/>
      <w:lvlText w:val="•"/>
      <w:lvlJc w:val="left"/>
      <w:pPr>
        <w:tabs>
          <w:tab w:val="num" w:pos="5040"/>
        </w:tabs>
        <w:ind w:left="5040" w:hanging="360"/>
      </w:pPr>
      <w:rPr>
        <w:rFonts w:ascii="Arial" w:hAnsi="Arial" w:hint="default"/>
      </w:rPr>
    </w:lvl>
    <w:lvl w:ilvl="7" w:tplc="3E98C162" w:tentative="1">
      <w:start w:val="1"/>
      <w:numFmt w:val="bullet"/>
      <w:lvlText w:val="•"/>
      <w:lvlJc w:val="left"/>
      <w:pPr>
        <w:tabs>
          <w:tab w:val="num" w:pos="5760"/>
        </w:tabs>
        <w:ind w:left="5760" w:hanging="360"/>
      </w:pPr>
      <w:rPr>
        <w:rFonts w:ascii="Arial" w:hAnsi="Arial" w:hint="default"/>
      </w:rPr>
    </w:lvl>
    <w:lvl w:ilvl="8" w:tplc="562EA0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A0D0A5A"/>
    <w:multiLevelType w:val="hybridMultilevel"/>
    <w:tmpl w:val="AA58A5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C168D"/>
    <w:multiLevelType w:val="multilevel"/>
    <w:tmpl w:val="B2448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2845F1"/>
    <w:multiLevelType w:val="hybridMultilevel"/>
    <w:tmpl w:val="265C1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5F4C3E"/>
    <w:multiLevelType w:val="multilevel"/>
    <w:tmpl w:val="50009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51365E"/>
    <w:multiLevelType w:val="multilevel"/>
    <w:tmpl w:val="EB12D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6E4217"/>
    <w:multiLevelType w:val="multilevel"/>
    <w:tmpl w:val="727E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4B29A7"/>
    <w:multiLevelType w:val="multilevel"/>
    <w:tmpl w:val="516AB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2A5416"/>
    <w:multiLevelType w:val="hybridMultilevel"/>
    <w:tmpl w:val="1FF6AC1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396354B4"/>
    <w:multiLevelType w:val="multilevel"/>
    <w:tmpl w:val="7384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8E164D"/>
    <w:multiLevelType w:val="hybridMultilevel"/>
    <w:tmpl w:val="85B26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FC63CC"/>
    <w:multiLevelType w:val="multilevel"/>
    <w:tmpl w:val="B7024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C54528"/>
    <w:multiLevelType w:val="multilevel"/>
    <w:tmpl w:val="A470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ED6E48"/>
    <w:multiLevelType w:val="hybridMultilevel"/>
    <w:tmpl w:val="2660B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053593"/>
    <w:multiLevelType w:val="multilevel"/>
    <w:tmpl w:val="13586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AC6BA2"/>
    <w:multiLevelType w:val="hybridMultilevel"/>
    <w:tmpl w:val="02B67100"/>
    <w:lvl w:ilvl="0" w:tplc="A2702B98">
      <w:start w:val="2"/>
      <w:numFmt w:val="upperLetter"/>
      <w:lvlText w:val="%1."/>
      <w:lvlJc w:val="left"/>
      <w:pPr>
        <w:tabs>
          <w:tab w:val="num" w:pos="720"/>
        </w:tabs>
        <w:ind w:left="720" w:hanging="360"/>
      </w:pPr>
    </w:lvl>
    <w:lvl w:ilvl="1" w:tplc="F0A0D498" w:tentative="1">
      <w:start w:val="1"/>
      <w:numFmt w:val="decimal"/>
      <w:lvlText w:val="%2."/>
      <w:lvlJc w:val="left"/>
      <w:pPr>
        <w:tabs>
          <w:tab w:val="num" w:pos="1440"/>
        </w:tabs>
        <w:ind w:left="1440" w:hanging="360"/>
      </w:pPr>
    </w:lvl>
    <w:lvl w:ilvl="2" w:tplc="76AABF8E" w:tentative="1">
      <w:start w:val="1"/>
      <w:numFmt w:val="decimal"/>
      <w:lvlText w:val="%3."/>
      <w:lvlJc w:val="left"/>
      <w:pPr>
        <w:tabs>
          <w:tab w:val="num" w:pos="2160"/>
        </w:tabs>
        <w:ind w:left="2160" w:hanging="360"/>
      </w:pPr>
    </w:lvl>
    <w:lvl w:ilvl="3" w:tplc="573AD008" w:tentative="1">
      <w:start w:val="1"/>
      <w:numFmt w:val="decimal"/>
      <w:lvlText w:val="%4."/>
      <w:lvlJc w:val="left"/>
      <w:pPr>
        <w:tabs>
          <w:tab w:val="num" w:pos="2880"/>
        </w:tabs>
        <w:ind w:left="2880" w:hanging="360"/>
      </w:pPr>
    </w:lvl>
    <w:lvl w:ilvl="4" w:tplc="728E0CD6" w:tentative="1">
      <w:start w:val="1"/>
      <w:numFmt w:val="decimal"/>
      <w:lvlText w:val="%5."/>
      <w:lvlJc w:val="left"/>
      <w:pPr>
        <w:tabs>
          <w:tab w:val="num" w:pos="3600"/>
        </w:tabs>
        <w:ind w:left="3600" w:hanging="360"/>
      </w:pPr>
    </w:lvl>
    <w:lvl w:ilvl="5" w:tplc="DCC2C27A" w:tentative="1">
      <w:start w:val="1"/>
      <w:numFmt w:val="decimal"/>
      <w:lvlText w:val="%6."/>
      <w:lvlJc w:val="left"/>
      <w:pPr>
        <w:tabs>
          <w:tab w:val="num" w:pos="4320"/>
        </w:tabs>
        <w:ind w:left="4320" w:hanging="360"/>
      </w:pPr>
    </w:lvl>
    <w:lvl w:ilvl="6" w:tplc="5BC27DF4" w:tentative="1">
      <w:start w:val="1"/>
      <w:numFmt w:val="decimal"/>
      <w:lvlText w:val="%7."/>
      <w:lvlJc w:val="left"/>
      <w:pPr>
        <w:tabs>
          <w:tab w:val="num" w:pos="5040"/>
        </w:tabs>
        <w:ind w:left="5040" w:hanging="360"/>
      </w:pPr>
    </w:lvl>
    <w:lvl w:ilvl="7" w:tplc="8D42C99C" w:tentative="1">
      <w:start w:val="1"/>
      <w:numFmt w:val="decimal"/>
      <w:lvlText w:val="%8."/>
      <w:lvlJc w:val="left"/>
      <w:pPr>
        <w:tabs>
          <w:tab w:val="num" w:pos="5760"/>
        </w:tabs>
        <w:ind w:left="5760" w:hanging="360"/>
      </w:pPr>
    </w:lvl>
    <w:lvl w:ilvl="8" w:tplc="EAF8F45A" w:tentative="1">
      <w:start w:val="1"/>
      <w:numFmt w:val="decimal"/>
      <w:lvlText w:val="%9."/>
      <w:lvlJc w:val="left"/>
      <w:pPr>
        <w:tabs>
          <w:tab w:val="num" w:pos="6480"/>
        </w:tabs>
        <w:ind w:left="6480" w:hanging="360"/>
      </w:pPr>
    </w:lvl>
  </w:abstractNum>
  <w:abstractNum w:abstractNumId="22" w15:restartNumberingAfterBreak="0">
    <w:nsid w:val="59A434E1"/>
    <w:multiLevelType w:val="multilevel"/>
    <w:tmpl w:val="A9D4D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F20BD7"/>
    <w:multiLevelType w:val="multilevel"/>
    <w:tmpl w:val="B17EA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2662B9"/>
    <w:multiLevelType w:val="hybridMultilevel"/>
    <w:tmpl w:val="54B4F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7A6269"/>
    <w:multiLevelType w:val="multilevel"/>
    <w:tmpl w:val="61DA5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EC2929"/>
    <w:multiLevelType w:val="multilevel"/>
    <w:tmpl w:val="ABA2F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AD5311"/>
    <w:multiLevelType w:val="multilevel"/>
    <w:tmpl w:val="0838B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E077BA"/>
    <w:multiLevelType w:val="hybridMultilevel"/>
    <w:tmpl w:val="B83C5186"/>
    <w:lvl w:ilvl="0" w:tplc="FD8C665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004B19"/>
    <w:multiLevelType w:val="hybridMultilevel"/>
    <w:tmpl w:val="B6CE9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687B40"/>
    <w:multiLevelType w:val="multilevel"/>
    <w:tmpl w:val="211A2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431C31"/>
    <w:multiLevelType w:val="hybridMultilevel"/>
    <w:tmpl w:val="86AE4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9851106">
    <w:abstractNumId w:val="2"/>
  </w:num>
  <w:num w:numId="2" w16cid:durableId="416099323">
    <w:abstractNumId w:val="22"/>
    <w:lvlOverride w:ilvl="0">
      <w:lvl w:ilvl="0">
        <w:numFmt w:val="lowerLetter"/>
        <w:lvlText w:val="%1."/>
        <w:lvlJc w:val="left"/>
      </w:lvl>
    </w:lvlOverride>
  </w:num>
  <w:num w:numId="3" w16cid:durableId="319970052">
    <w:abstractNumId w:val="25"/>
    <w:lvlOverride w:ilvl="0">
      <w:lvl w:ilvl="0">
        <w:numFmt w:val="lowerLetter"/>
        <w:lvlText w:val="%1."/>
        <w:lvlJc w:val="left"/>
      </w:lvl>
    </w:lvlOverride>
  </w:num>
  <w:num w:numId="4" w16cid:durableId="2092386347">
    <w:abstractNumId w:val="17"/>
    <w:lvlOverride w:ilvl="0">
      <w:lvl w:ilvl="0">
        <w:numFmt w:val="upperLetter"/>
        <w:lvlText w:val="%1."/>
        <w:lvlJc w:val="left"/>
      </w:lvl>
    </w:lvlOverride>
  </w:num>
  <w:num w:numId="5" w16cid:durableId="182979042">
    <w:abstractNumId w:val="23"/>
  </w:num>
  <w:num w:numId="6" w16cid:durableId="1101216601">
    <w:abstractNumId w:val="10"/>
  </w:num>
  <w:num w:numId="7" w16cid:durableId="1211116764">
    <w:abstractNumId w:val="8"/>
    <w:lvlOverride w:ilvl="0">
      <w:lvl w:ilvl="0">
        <w:numFmt w:val="lowerLetter"/>
        <w:lvlText w:val="%1."/>
        <w:lvlJc w:val="left"/>
      </w:lvl>
    </w:lvlOverride>
  </w:num>
  <w:num w:numId="8" w16cid:durableId="1587954211">
    <w:abstractNumId w:val="21"/>
  </w:num>
  <w:num w:numId="9" w16cid:durableId="560798857">
    <w:abstractNumId w:val="27"/>
  </w:num>
  <w:num w:numId="10" w16cid:durableId="1781951888">
    <w:abstractNumId w:val="3"/>
  </w:num>
  <w:num w:numId="11" w16cid:durableId="2105107381">
    <w:abstractNumId w:val="4"/>
  </w:num>
  <w:num w:numId="12" w16cid:durableId="589195502">
    <w:abstractNumId w:val="6"/>
  </w:num>
  <w:num w:numId="13" w16cid:durableId="1030648238">
    <w:abstractNumId w:val="29"/>
  </w:num>
  <w:num w:numId="14" w16cid:durableId="1495486016">
    <w:abstractNumId w:val="7"/>
  </w:num>
  <w:num w:numId="15" w16cid:durableId="240724072">
    <w:abstractNumId w:val="30"/>
    <w:lvlOverride w:ilvl="0">
      <w:lvl w:ilvl="0">
        <w:numFmt w:val="lowerLetter"/>
        <w:lvlText w:val="%1."/>
        <w:lvlJc w:val="left"/>
      </w:lvl>
    </w:lvlOverride>
  </w:num>
  <w:num w:numId="16" w16cid:durableId="21177243">
    <w:abstractNumId w:val="11"/>
  </w:num>
  <w:num w:numId="17" w16cid:durableId="649217552">
    <w:abstractNumId w:val="18"/>
  </w:num>
  <w:num w:numId="18" w16cid:durableId="1339964864">
    <w:abstractNumId w:val="15"/>
  </w:num>
  <w:num w:numId="19" w16cid:durableId="142895897">
    <w:abstractNumId w:val="5"/>
  </w:num>
  <w:num w:numId="20" w16cid:durableId="298388589">
    <w:abstractNumId w:val="1"/>
  </w:num>
  <w:num w:numId="21" w16cid:durableId="390545809">
    <w:abstractNumId w:val="14"/>
  </w:num>
  <w:num w:numId="22" w16cid:durableId="835876765">
    <w:abstractNumId w:val="24"/>
  </w:num>
  <w:num w:numId="23" w16cid:durableId="695352118">
    <w:abstractNumId w:val="31"/>
  </w:num>
  <w:num w:numId="24" w16cid:durableId="790631311">
    <w:abstractNumId w:val="19"/>
  </w:num>
  <w:num w:numId="25" w16cid:durableId="715274603">
    <w:abstractNumId w:val="16"/>
  </w:num>
  <w:num w:numId="26" w16cid:durableId="98768178">
    <w:abstractNumId w:val="0"/>
  </w:num>
  <w:num w:numId="27" w16cid:durableId="656566954">
    <w:abstractNumId w:val="9"/>
  </w:num>
  <w:num w:numId="28" w16cid:durableId="108551658">
    <w:abstractNumId w:val="20"/>
  </w:num>
  <w:num w:numId="29" w16cid:durableId="670110077">
    <w:abstractNumId w:val="13"/>
  </w:num>
  <w:num w:numId="30" w16cid:durableId="1759786375">
    <w:abstractNumId w:val="12"/>
  </w:num>
  <w:num w:numId="31" w16cid:durableId="1688751159">
    <w:abstractNumId w:val="26"/>
  </w:num>
  <w:num w:numId="32" w16cid:durableId="16685556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S2NDGwtDAxsLAwNDJV0lEKTi0uzszPAykwqQUApArtUCwAAAA="/>
  </w:docVars>
  <w:rsids>
    <w:rsidRoot w:val="00B23580"/>
    <w:rsid w:val="00003794"/>
    <w:rsid w:val="000322AB"/>
    <w:rsid w:val="00047BAA"/>
    <w:rsid w:val="00061413"/>
    <w:rsid w:val="0006666F"/>
    <w:rsid w:val="00090E03"/>
    <w:rsid w:val="0009357C"/>
    <w:rsid w:val="000A638D"/>
    <w:rsid w:val="000D450D"/>
    <w:rsid w:val="000E1A7C"/>
    <w:rsid w:val="000F7ADD"/>
    <w:rsid w:val="001058FB"/>
    <w:rsid w:val="00120AFA"/>
    <w:rsid w:val="001821BE"/>
    <w:rsid w:val="0018514F"/>
    <w:rsid w:val="001A0360"/>
    <w:rsid w:val="001A5193"/>
    <w:rsid w:val="001C5F6F"/>
    <w:rsid w:val="001D535B"/>
    <w:rsid w:val="001E3ED7"/>
    <w:rsid w:val="00254766"/>
    <w:rsid w:val="00270216"/>
    <w:rsid w:val="00293CF7"/>
    <w:rsid w:val="00295890"/>
    <w:rsid w:val="002A5D49"/>
    <w:rsid w:val="002B4022"/>
    <w:rsid w:val="002F5E14"/>
    <w:rsid w:val="00311BDF"/>
    <w:rsid w:val="0036464A"/>
    <w:rsid w:val="00371A2B"/>
    <w:rsid w:val="00376657"/>
    <w:rsid w:val="00385584"/>
    <w:rsid w:val="0038647D"/>
    <w:rsid w:val="003965D9"/>
    <w:rsid w:val="003A1A4F"/>
    <w:rsid w:val="003C661B"/>
    <w:rsid w:val="00403EE7"/>
    <w:rsid w:val="0042547F"/>
    <w:rsid w:val="00427E62"/>
    <w:rsid w:val="0046069B"/>
    <w:rsid w:val="005032F7"/>
    <w:rsid w:val="00504238"/>
    <w:rsid w:val="00505658"/>
    <w:rsid w:val="005072E9"/>
    <w:rsid w:val="00560A0D"/>
    <w:rsid w:val="00564B96"/>
    <w:rsid w:val="00570984"/>
    <w:rsid w:val="005A282B"/>
    <w:rsid w:val="005A29AC"/>
    <w:rsid w:val="005A4227"/>
    <w:rsid w:val="005C400C"/>
    <w:rsid w:val="005C6E99"/>
    <w:rsid w:val="005E0CA4"/>
    <w:rsid w:val="005E22DB"/>
    <w:rsid w:val="00626A85"/>
    <w:rsid w:val="006457BF"/>
    <w:rsid w:val="006560E2"/>
    <w:rsid w:val="00663D73"/>
    <w:rsid w:val="006C31AB"/>
    <w:rsid w:val="006F2EB6"/>
    <w:rsid w:val="006F646E"/>
    <w:rsid w:val="0070168D"/>
    <w:rsid w:val="00712EF1"/>
    <w:rsid w:val="00716099"/>
    <w:rsid w:val="00732B51"/>
    <w:rsid w:val="007912D6"/>
    <w:rsid w:val="007918BA"/>
    <w:rsid w:val="0079634F"/>
    <w:rsid w:val="00801B8C"/>
    <w:rsid w:val="00803672"/>
    <w:rsid w:val="00840849"/>
    <w:rsid w:val="00877127"/>
    <w:rsid w:val="00877E72"/>
    <w:rsid w:val="008819FF"/>
    <w:rsid w:val="00893C57"/>
    <w:rsid w:val="008C1DBE"/>
    <w:rsid w:val="008D08CA"/>
    <w:rsid w:val="008D739B"/>
    <w:rsid w:val="008E3ED1"/>
    <w:rsid w:val="008F782A"/>
    <w:rsid w:val="00926A8A"/>
    <w:rsid w:val="009338BF"/>
    <w:rsid w:val="009735D1"/>
    <w:rsid w:val="009A0E0A"/>
    <w:rsid w:val="009A79A1"/>
    <w:rsid w:val="009C5CD9"/>
    <w:rsid w:val="009E7110"/>
    <w:rsid w:val="009F289D"/>
    <w:rsid w:val="009F4C2A"/>
    <w:rsid w:val="009F6562"/>
    <w:rsid w:val="00A25E7D"/>
    <w:rsid w:val="00A3102A"/>
    <w:rsid w:val="00A470DD"/>
    <w:rsid w:val="00A53105"/>
    <w:rsid w:val="00A67406"/>
    <w:rsid w:val="00AB2A56"/>
    <w:rsid w:val="00AB769D"/>
    <w:rsid w:val="00AD545A"/>
    <w:rsid w:val="00AD5A24"/>
    <w:rsid w:val="00AF3462"/>
    <w:rsid w:val="00AF707E"/>
    <w:rsid w:val="00B02897"/>
    <w:rsid w:val="00B07564"/>
    <w:rsid w:val="00B23580"/>
    <w:rsid w:val="00B55461"/>
    <w:rsid w:val="00B61D53"/>
    <w:rsid w:val="00B631F8"/>
    <w:rsid w:val="00B94A9F"/>
    <w:rsid w:val="00BB0EA1"/>
    <w:rsid w:val="00BF2967"/>
    <w:rsid w:val="00C033AD"/>
    <w:rsid w:val="00C402EE"/>
    <w:rsid w:val="00C62BAF"/>
    <w:rsid w:val="00C9450B"/>
    <w:rsid w:val="00C9728E"/>
    <w:rsid w:val="00CC1E64"/>
    <w:rsid w:val="00CD3DD7"/>
    <w:rsid w:val="00CF03A4"/>
    <w:rsid w:val="00CF3760"/>
    <w:rsid w:val="00D408DB"/>
    <w:rsid w:val="00D87E80"/>
    <w:rsid w:val="00D9291B"/>
    <w:rsid w:val="00D976B7"/>
    <w:rsid w:val="00DA4DD0"/>
    <w:rsid w:val="00DD51E5"/>
    <w:rsid w:val="00E01885"/>
    <w:rsid w:val="00E361FD"/>
    <w:rsid w:val="00E529BE"/>
    <w:rsid w:val="00E56813"/>
    <w:rsid w:val="00E6792F"/>
    <w:rsid w:val="00E71BDB"/>
    <w:rsid w:val="00E85431"/>
    <w:rsid w:val="00EB4843"/>
    <w:rsid w:val="00F34866"/>
    <w:rsid w:val="00F5512B"/>
    <w:rsid w:val="00F91935"/>
    <w:rsid w:val="00FB671A"/>
    <w:rsid w:val="00FF1BC1"/>
    <w:rsid w:val="00FF7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D9A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8FB"/>
  </w:style>
  <w:style w:type="paragraph" w:styleId="Heading1">
    <w:name w:val="heading 1"/>
    <w:basedOn w:val="Normal"/>
    <w:next w:val="Normal"/>
    <w:link w:val="Heading1Char"/>
    <w:uiPriority w:val="9"/>
    <w:qFormat/>
    <w:rsid w:val="002547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547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0D450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5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580"/>
  </w:style>
  <w:style w:type="paragraph" w:styleId="Footer">
    <w:name w:val="footer"/>
    <w:basedOn w:val="Normal"/>
    <w:link w:val="FooterChar"/>
    <w:uiPriority w:val="99"/>
    <w:unhideWhenUsed/>
    <w:rsid w:val="00B235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580"/>
  </w:style>
  <w:style w:type="paragraph" w:styleId="ListParagraph">
    <w:name w:val="List Paragraph"/>
    <w:basedOn w:val="Normal"/>
    <w:uiPriority w:val="34"/>
    <w:qFormat/>
    <w:rsid w:val="0070168D"/>
    <w:pPr>
      <w:ind w:left="720"/>
      <w:contextualSpacing/>
    </w:pPr>
  </w:style>
  <w:style w:type="character" w:styleId="Hyperlink">
    <w:name w:val="Hyperlink"/>
    <w:basedOn w:val="DefaultParagraphFont"/>
    <w:uiPriority w:val="99"/>
    <w:unhideWhenUsed/>
    <w:rsid w:val="00A53105"/>
    <w:rPr>
      <w:color w:val="0563C1" w:themeColor="hyperlink"/>
      <w:u w:val="single"/>
    </w:rPr>
  </w:style>
  <w:style w:type="paragraph" w:styleId="NormalWeb">
    <w:name w:val="Normal (Web)"/>
    <w:basedOn w:val="Normal"/>
    <w:uiPriority w:val="99"/>
    <w:unhideWhenUsed/>
    <w:rsid w:val="006560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6560E2"/>
  </w:style>
  <w:style w:type="character" w:styleId="Strong">
    <w:name w:val="Strong"/>
    <w:basedOn w:val="DefaultParagraphFont"/>
    <w:uiPriority w:val="22"/>
    <w:qFormat/>
    <w:rsid w:val="00427E62"/>
    <w:rPr>
      <w:b/>
      <w:bCs/>
    </w:rPr>
  </w:style>
  <w:style w:type="character" w:styleId="Emphasis">
    <w:name w:val="Emphasis"/>
    <w:basedOn w:val="DefaultParagraphFont"/>
    <w:uiPriority w:val="20"/>
    <w:qFormat/>
    <w:rsid w:val="00427E62"/>
    <w:rPr>
      <w:i/>
      <w:iCs/>
    </w:rPr>
  </w:style>
  <w:style w:type="character" w:styleId="CommentReference">
    <w:name w:val="annotation reference"/>
    <w:basedOn w:val="DefaultParagraphFont"/>
    <w:uiPriority w:val="99"/>
    <w:semiHidden/>
    <w:unhideWhenUsed/>
    <w:rsid w:val="00AB769D"/>
    <w:rPr>
      <w:sz w:val="16"/>
      <w:szCs w:val="16"/>
    </w:rPr>
  </w:style>
  <w:style w:type="paragraph" w:styleId="CommentText">
    <w:name w:val="annotation text"/>
    <w:basedOn w:val="Normal"/>
    <w:link w:val="CommentTextChar"/>
    <w:uiPriority w:val="99"/>
    <w:semiHidden/>
    <w:unhideWhenUsed/>
    <w:rsid w:val="00AB769D"/>
    <w:pPr>
      <w:spacing w:line="240" w:lineRule="auto"/>
    </w:pPr>
    <w:rPr>
      <w:sz w:val="20"/>
      <w:szCs w:val="20"/>
    </w:rPr>
  </w:style>
  <w:style w:type="character" w:customStyle="1" w:styleId="CommentTextChar">
    <w:name w:val="Comment Text Char"/>
    <w:basedOn w:val="DefaultParagraphFont"/>
    <w:link w:val="CommentText"/>
    <w:uiPriority w:val="99"/>
    <w:semiHidden/>
    <w:rsid w:val="00AB769D"/>
    <w:rPr>
      <w:sz w:val="20"/>
      <w:szCs w:val="20"/>
    </w:rPr>
  </w:style>
  <w:style w:type="paragraph" w:styleId="CommentSubject">
    <w:name w:val="annotation subject"/>
    <w:basedOn w:val="CommentText"/>
    <w:next w:val="CommentText"/>
    <w:link w:val="CommentSubjectChar"/>
    <w:uiPriority w:val="99"/>
    <w:semiHidden/>
    <w:unhideWhenUsed/>
    <w:rsid w:val="00AB769D"/>
    <w:rPr>
      <w:b/>
      <w:bCs/>
    </w:rPr>
  </w:style>
  <w:style w:type="character" w:customStyle="1" w:styleId="CommentSubjectChar">
    <w:name w:val="Comment Subject Char"/>
    <w:basedOn w:val="CommentTextChar"/>
    <w:link w:val="CommentSubject"/>
    <w:uiPriority w:val="99"/>
    <w:semiHidden/>
    <w:rsid w:val="00AB769D"/>
    <w:rPr>
      <w:b/>
      <w:bCs/>
      <w:sz w:val="20"/>
      <w:szCs w:val="20"/>
    </w:rPr>
  </w:style>
  <w:style w:type="paragraph" w:styleId="BalloonText">
    <w:name w:val="Balloon Text"/>
    <w:basedOn w:val="Normal"/>
    <w:link w:val="BalloonTextChar"/>
    <w:uiPriority w:val="99"/>
    <w:semiHidden/>
    <w:unhideWhenUsed/>
    <w:rsid w:val="00AB76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69D"/>
    <w:rPr>
      <w:rFonts w:ascii="Segoe UI" w:hAnsi="Segoe UI" w:cs="Segoe UI"/>
      <w:sz w:val="18"/>
      <w:szCs w:val="18"/>
    </w:rPr>
  </w:style>
  <w:style w:type="character" w:customStyle="1" w:styleId="Heading4Char">
    <w:name w:val="Heading 4 Char"/>
    <w:basedOn w:val="DefaultParagraphFont"/>
    <w:link w:val="Heading4"/>
    <w:uiPriority w:val="9"/>
    <w:rsid w:val="000D450D"/>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25476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25476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semiHidden/>
    <w:unhideWhenUsed/>
    <w:qFormat/>
    <w:rsid w:val="00254766"/>
    <w:pPr>
      <w:spacing w:before="480" w:line="276" w:lineRule="auto"/>
      <w:outlineLvl w:val="9"/>
    </w:pPr>
    <w:rPr>
      <w:b/>
      <w:bCs/>
      <w:sz w:val="28"/>
      <w:szCs w:val="28"/>
      <w:lang w:eastAsia="ja-JP"/>
    </w:rPr>
  </w:style>
  <w:style w:type="paragraph" w:styleId="TOC1">
    <w:name w:val="toc 1"/>
    <w:basedOn w:val="Normal"/>
    <w:next w:val="Normal"/>
    <w:autoRedefine/>
    <w:uiPriority w:val="39"/>
    <w:unhideWhenUsed/>
    <w:rsid w:val="00254766"/>
    <w:pPr>
      <w:spacing w:after="100" w:line="360" w:lineRule="auto"/>
      <w:jc w:val="both"/>
    </w:pPr>
    <w:rPr>
      <w:rFonts w:ascii="Times New Roman" w:hAnsi="Times New Roman"/>
      <w:sz w:val="24"/>
    </w:rPr>
  </w:style>
  <w:style w:type="paragraph" w:styleId="TOC2">
    <w:name w:val="toc 2"/>
    <w:basedOn w:val="Normal"/>
    <w:next w:val="Normal"/>
    <w:autoRedefine/>
    <w:uiPriority w:val="39"/>
    <w:unhideWhenUsed/>
    <w:rsid w:val="00254766"/>
    <w:pPr>
      <w:spacing w:after="100" w:line="360" w:lineRule="auto"/>
      <w:ind w:left="240"/>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3469">
      <w:bodyDiv w:val="1"/>
      <w:marLeft w:val="0"/>
      <w:marRight w:val="0"/>
      <w:marTop w:val="0"/>
      <w:marBottom w:val="0"/>
      <w:divBdr>
        <w:top w:val="none" w:sz="0" w:space="0" w:color="auto"/>
        <w:left w:val="none" w:sz="0" w:space="0" w:color="auto"/>
        <w:bottom w:val="none" w:sz="0" w:space="0" w:color="auto"/>
        <w:right w:val="none" w:sz="0" w:space="0" w:color="auto"/>
      </w:divBdr>
    </w:div>
    <w:div w:id="274337693">
      <w:bodyDiv w:val="1"/>
      <w:marLeft w:val="0"/>
      <w:marRight w:val="0"/>
      <w:marTop w:val="0"/>
      <w:marBottom w:val="0"/>
      <w:divBdr>
        <w:top w:val="none" w:sz="0" w:space="0" w:color="auto"/>
        <w:left w:val="none" w:sz="0" w:space="0" w:color="auto"/>
        <w:bottom w:val="none" w:sz="0" w:space="0" w:color="auto"/>
        <w:right w:val="none" w:sz="0" w:space="0" w:color="auto"/>
      </w:divBdr>
    </w:div>
    <w:div w:id="386337823">
      <w:bodyDiv w:val="1"/>
      <w:marLeft w:val="0"/>
      <w:marRight w:val="0"/>
      <w:marTop w:val="0"/>
      <w:marBottom w:val="0"/>
      <w:divBdr>
        <w:top w:val="none" w:sz="0" w:space="0" w:color="auto"/>
        <w:left w:val="none" w:sz="0" w:space="0" w:color="auto"/>
        <w:bottom w:val="none" w:sz="0" w:space="0" w:color="auto"/>
        <w:right w:val="none" w:sz="0" w:space="0" w:color="auto"/>
      </w:divBdr>
    </w:div>
    <w:div w:id="498735241">
      <w:bodyDiv w:val="1"/>
      <w:marLeft w:val="0"/>
      <w:marRight w:val="0"/>
      <w:marTop w:val="0"/>
      <w:marBottom w:val="0"/>
      <w:divBdr>
        <w:top w:val="none" w:sz="0" w:space="0" w:color="auto"/>
        <w:left w:val="none" w:sz="0" w:space="0" w:color="auto"/>
        <w:bottom w:val="none" w:sz="0" w:space="0" w:color="auto"/>
        <w:right w:val="none" w:sz="0" w:space="0" w:color="auto"/>
      </w:divBdr>
    </w:div>
    <w:div w:id="631055617">
      <w:bodyDiv w:val="1"/>
      <w:marLeft w:val="0"/>
      <w:marRight w:val="0"/>
      <w:marTop w:val="0"/>
      <w:marBottom w:val="0"/>
      <w:divBdr>
        <w:top w:val="none" w:sz="0" w:space="0" w:color="auto"/>
        <w:left w:val="none" w:sz="0" w:space="0" w:color="auto"/>
        <w:bottom w:val="none" w:sz="0" w:space="0" w:color="auto"/>
        <w:right w:val="none" w:sz="0" w:space="0" w:color="auto"/>
      </w:divBdr>
    </w:div>
    <w:div w:id="662901163">
      <w:bodyDiv w:val="1"/>
      <w:marLeft w:val="0"/>
      <w:marRight w:val="0"/>
      <w:marTop w:val="0"/>
      <w:marBottom w:val="0"/>
      <w:divBdr>
        <w:top w:val="none" w:sz="0" w:space="0" w:color="auto"/>
        <w:left w:val="none" w:sz="0" w:space="0" w:color="auto"/>
        <w:bottom w:val="none" w:sz="0" w:space="0" w:color="auto"/>
        <w:right w:val="none" w:sz="0" w:space="0" w:color="auto"/>
      </w:divBdr>
    </w:div>
    <w:div w:id="758595803">
      <w:bodyDiv w:val="1"/>
      <w:marLeft w:val="0"/>
      <w:marRight w:val="0"/>
      <w:marTop w:val="0"/>
      <w:marBottom w:val="0"/>
      <w:divBdr>
        <w:top w:val="none" w:sz="0" w:space="0" w:color="auto"/>
        <w:left w:val="none" w:sz="0" w:space="0" w:color="auto"/>
        <w:bottom w:val="none" w:sz="0" w:space="0" w:color="auto"/>
        <w:right w:val="none" w:sz="0" w:space="0" w:color="auto"/>
      </w:divBdr>
    </w:div>
    <w:div w:id="821387920">
      <w:bodyDiv w:val="1"/>
      <w:marLeft w:val="0"/>
      <w:marRight w:val="0"/>
      <w:marTop w:val="0"/>
      <w:marBottom w:val="0"/>
      <w:divBdr>
        <w:top w:val="none" w:sz="0" w:space="0" w:color="auto"/>
        <w:left w:val="none" w:sz="0" w:space="0" w:color="auto"/>
        <w:bottom w:val="none" w:sz="0" w:space="0" w:color="auto"/>
        <w:right w:val="none" w:sz="0" w:space="0" w:color="auto"/>
      </w:divBdr>
    </w:div>
    <w:div w:id="995449433">
      <w:bodyDiv w:val="1"/>
      <w:marLeft w:val="0"/>
      <w:marRight w:val="0"/>
      <w:marTop w:val="0"/>
      <w:marBottom w:val="0"/>
      <w:divBdr>
        <w:top w:val="none" w:sz="0" w:space="0" w:color="auto"/>
        <w:left w:val="none" w:sz="0" w:space="0" w:color="auto"/>
        <w:bottom w:val="none" w:sz="0" w:space="0" w:color="auto"/>
        <w:right w:val="none" w:sz="0" w:space="0" w:color="auto"/>
      </w:divBdr>
      <w:divsChild>
        <w:div w:id="1899393398">
          <w:marLeft w:val="274"/>
          <w:marRight w:val="0"/>
          <w:marTop w:val="0"/>
          <w:marBottom w:val="0"/>
          <w:divBdr>
            <w:top w:val="none" w:sz="0" w:space="0" w:color="auto"/>
            <w:left w:val="none" w:sz="0" w:space="0" w:color="auto"/>
            <w:bottom w:val="none" w:sz="0" w:space="0" w:color="auto"/>
            <w:right w:val="none" w:sz="0" w:space="0" w:color="auto"/>
          </w:divBdr>
        </w:div>
        <w:div w:id="878515529">
          <w:marLeft w:val="274"/>
          <w:marRight w:val="0"/>
          <w:marTop w:val="0"/>
          <w:marBottom w:val="0"/>
          <w:divBdr>
            <w:top w:val="none" w:sz="0" w:space="0" w:color="auto"/>
            <w:left w:val="none" w:sz="0" w:space="0" w:color="auto"/>
            <w:bottom w:val="none" w:sz="0" w:space="0" w:color="auto"/>
            <w:right w:val="none" w:sz="0" w:space="0" w:color="auto"/>
          </w:divBdr>
        </w:div>
        <w:div w:id="1240796824">
          <w:marLeft w:val="274"/>
          <w:marRight w:val="0"/>
          <w:marTop w:val="0"/>
          <w:marBottom w:val="0"/>
          <w:divBdr>
            <w:top w:val="none" w:sz="0" w:space="0" w:color="auto"/>
            <w:left w:val="none" w:sz="0" w:space="0" w:color="auto"/>
            <w:bottom w:val="none" w:sz="0" w:space="0" w:color="auto"/>
            <w:right w:val="none" w:sz="0" w:space="0" w:color="auto"/>
          </w:divBdr>
        </w:div>
        <w:div w:id="477067464">
          <w:marLeft w:val="274"/>
          <w:marRight w:val="0"/>
          <w:marTop w:val="0"/>
          <w:marBottom w:val="0"/>
          <w:divBdr>
            <w:top w:val="none" w:sz="0" w:space="0" w:color="auto"/>
            <w:left w:val="none" w:sz="0" w:space="0" w:color="auto"/>
            <w:bottom w:val="none" w:sz="0" w:space="0" w:color="auto"/>
            <w:right w:val="none" w:sz="0" w:space="0" w:color="auto"/>
          </w:divBdr>
        </w:div>
        <w:div w:id="1132215028">
          <w:marLeft w:val="274"/>
          <w:marRight w:val="0"/>
          <w:marTop w:val="0"/>
          <w:marBottom w:val="0"/>
          <w:divBdr>
            <w:top w:val="none" w:sz="0" w:space="0" w:color="auto"/>
            <w:left w:val="none" w:sz="0" w:space="0" w:color="auto"/>
            <w:bottom w:val="none" w:sz="0" w:space="0" w:color="auto"/>
            <w:right w:val="none" w:sz="0" w:space="0" w:color="auto"/>
          </w:divBdr>
        </w:div>
      </w:divsChild>
    </w:div>
    <w:div w:id="1087186854">
      <w:bodyDiv w:val="1"/>
      <w:marLeft w:val="0"/>
      <w:marRight w:val="0"/>
      <w:marTop w:val="0"/>
      <w:marBottom w:val="0"/>
      <w:divBdr>
        <w:top w:val="none" w:sz="0" w:space="0" w:color="auto"/>
        <w:left w:val="none" w:sz="0" w:space="0" w:color="auto"/>
        <w:bottom w:val="none" w:sz="0" w:space="0" w:color="auto"/>
        <w:right w:val="none" w:sz="0" w:space="0" w:color="auto"/>
      </w:divBdr>
    </w:div>
    <w:div w:id="1209758695">
      <w:bodyDiv w:val="1"/>
      <w:marLeft w:val="0"/>
      <w:marRight w:val="0"/>
      <w:marTop w:val="0"/>
      <w:marBottom w:val="0"/>
      <w:divBdr>
        <w:top w:val="none" w:sz="0" w:space="0" w:color="auto"/>
        <w:left w:val="none" w:sz="0" w:space="0" w:color="auto"/>
        <w:bottom w:val="none" w:sz="0" w:space="0" w:color="auto"/>
        <w:right w:val="none" w:sz="0" w:space="0" w:color="auto"/>
      </w:divBdr>
    </w:div>
    <w:div w:id="1391729076">
      <w:bodyDiv w:val="1"/>
      <w:marLeft w:val="0"/>
      <w:marRight w:val="0"/>
      <w:marTop w:val="0"/>
      <w:marBottom w:val="0"/>
      <w:divBdr>
        <w:top w:val="none" w:sz="0" w:space="0" w:color="auto"/>
        <w:left w:val="none" w:sz="0" w:space="0" w:color="auto"/>
        <w:bottom w:val="none" w:sz="0" w:space="0" w:color="auto"/>
        <w:right w:val="none" w:sz="0" w:space="0" w:color="auto"/>
      </w:divBdr>
    </w:div>
    <w:div w:id="1394742059">
      <w:bodyDiv w:val="1"/>
      <w:marLeft w:val="0"/>
      <w:marRight w:val="0"/>
      <w:marTop w:val="0"/>
      <w:marBottom w:val="0"/>
      <w:divBdr>
        <w:top w:val="none" w:sz="0" w:space="0" w:color="auto"/>
        <w:left w:val="none" w:sz="0" w:space="0" w:color="auto"/>
        <w:bottom w:val="none" w:sz="0" w:space="0" w:color="auto"/>
        <w:right w:val="none" w:sz="0" w:space="0" w:color="auto"/>
      </w:divBdr>
    </w:div>
    <w:div w:id="1485317805">
      <w:bodyDiv w:val="1"/>
      <w:marLeft w:val="0"/>
      <w:marRight w:val="0"/>
      <w:marTop w:val="0"/>
      <w:marBottom w:val="0"/>
      <w:divBdr>
        <w:top w:val="none" w:sz="0" w:space="0" w:color="auto"/>
        <w:left w:val="none" w:sz="0" w:space="0" w:color="auto"/>
        <w:bottom w:val="none" w:sz="0" w:space="0" w:color="auto"/>
        <w:right w:val="none" w:sz="0" w:space="0" w:color="auto"/>
      </w:divBdr>
    </w:div>
    <w:div w:id="1596672811">
      <w:bodyDiv w:val="1"/>
      <w:marLeft w:val="0"/>
      <w:marRight w:val="0"/>
      <w:marTop w:val="0"/>
      <w:marBottom w:val="0"/>
      <w:divBdr>
        <w:top w:val="none" w:sz="0" w:space="0" w:color="auto"/>
        <w:left w:val="none" w:sz="0" w:space="0" w:color="auto"/>
        <w:bottom w:val="none" w:sz="0" w:space="0" w:color="auto"/>
        <w:right w:val="none" w:sz="0" w:space="0" w:color="auto"/>
      </w:divBdr>
    </w:div>
    <w:div w:id="1623922642">
      <w:bodyDiv w:val="1"/>
      <w:marLeft w:val="0"/>
      <w:marRight w:val="0"/>
      <w:marTop w:val="0"/>
      <w:marBottom w:val="0"/>
      <w:divBdr>
        <w:top w:val="none" w:sz="0" w:space="0" w:color="auto"/>
        <w:left w:val="none" w:sz="0" w:space="0" w:color="auto"/>
        <w:bottom w:val="none" w:sz="0" w:space="0" w:color="auto"/>
        <w:right w:val="none" w:sz="0" w:space="0" w:color="auto"/>
      </w:divBdr>
    </w:div>
    <w:div w:id="1647006109">
      <w:bodyDiv w:val="1"/>
      <w:marLeft w:val="0"/>
      <w:marRight w:val="0"/>
      <w:marTop w:val="0"/>
      <w:marBottom w:val="0"/>
      <w:divBdr>
        <w:top w:val="none" w:sz="0" w:space="0" w:color="auto"/>
        <w:left w:val="none" w:sz="0" w:space="0" w:color="auto"/>
        <w:bottom w:val="none" w:sz="0" w:space="0" w:color="auto"/>
        <w:right w:val="none" w:sz="0" w:space="0" w:color="auto"/>
      </w:divBdr>
    </w:div>
    <w:div w:id="1684431019">
      <w:bodyDiv w:val="1"/>
      <w:marLeft w:val="0"/>
      <w:marRight w:val="0"/>
      <w:marTop w:val="0"/>
      <w:marBottom w:val="0"/>
      <w:divBdr>
        <w:top w:val="none" w:sz="0" w:space="0" w:color="auto"/>
        <w:left w:val="none" w:sz="0" w:space="0" w:color="auto"/>
        <w:bottom w:val="none" w:sz="0" w:space="0" w:color="auto"/>
        <w:right w:val="none" w:sz="0" w:space="0" w:color="auto"/>
      </w:divBdr>
    </w:div>
    <w:div w:id="1770465641">
      <w:bodyDiv w:val="1"/>
      <w:marLeft w:val="0"/>
      <w:marRight w:val="0"/>
      <w:marTop w:val="0"/>
      <w:marBottom w:val="0"/>
      <w:divBdr>
        <w:top w:val="none" w:sz="0" w:space="0" w:color="auto"/>
        <w:left w:val="none" w:sz="0" w:space="0" w:color="auto"/>
        <w:bottom w:val="none" w:sz="0" w:space="0" w:color="auto"/>
        <w:right w:val="none" w:sz="0" w:space="0" w:color="auto"/>
      </w:divBdr>
    </w:div>
    <w:div w:id="1825928493">
      <w:bodyDiv w:val="1"/>
      <w:marLeft w:val="0"/>
      <w:marRight w:val="0"/>
      <w:marTop w:val="0"/>
      <w:marBottom w:val="0"/>
      <w:divBdr>
        <w:top w:val="none" w:sz="0" w:space="0" w:color="auto"/>
        <w:left w:val="none" w:sz="0" w:space="0" w:color="auto"/>
        <w:bottom w:val="none" w:sz="0" w:space="0" w:color="auto"/>
        <w:right w:val="none" w:sz="0" w:space="0" w:color="auto"/>
      </w:divBdr>
      <w:divsChild>
        <w:div w:id="1828787691">
          <w:marLeft w:val="274"/>
          <w:marRight w:val="0"/>
          <w:marTop w:val="0"/>
          <w:marBottom w:val="0"/>
          <w:divBdr>
            <w:top w:val="none" w:sz="0" w:space="0" w:color="auto"/>
            <w:left w:val="none" w:sz="0" w:space="0" w:color="auto"/>
            <w:bottom w:val="none" w:sz="0" w:space="0" w:color="auto"/>
            <w:right w:val="none" w:sz="0" w:space="0" w:color="auto"/>
          </w:divBdr>
        </w:div>
      </w:divsChild>
    </w:div>
    <w:div w:id="1866211475">
      <w:bodyDiv w:val="1"/>
      <w:marLeft w:val="0"/>
      <w:marRight w:val="0"/>
      <w:marTop w:val="0"/>
      <w:marBottom w:val="0"/>
      <w:divBdr>
        <w:top w:val="none" w:sz="0" w:space="0" w:color="auto"/>
        <w:left w:val="none" w:sz="0" w:space="0" w:color="auto"/>
        <w:bottom w:val="none" w:sz="0" w:space="0" w:color="auto"/>
        <w:right w:val="none" w:sz="0" w:space="0" w:color="auto"/>
      </w:divBdr>
      <w:divsChild>
        <w:div w:id="1825781198">
          <w:marLeft w:val="274"/>
          <w:marRight w:val="0"/>
          <w:marTop w:val="0"/>
          <w:marBottom w:val="0"/>
          <w:divBdr>
            <w:top w:val="none" w:sz="0" w:space="0" w:color="auto"/>
            <w:left w:val="none" w:sz="0" w:space="0" w:color="auto"/>
            <w:bottom w:val="none" w:sz="0" w:space="0" w:color="auto"/>
            <w:right w:val="none" w:sz="0" w:space="0" w:color="auto"/>
          </w:divBdr>
        </w:div>
        <w:div w:id="723916312">
          <w:marLeft w:val="274"/>
          <w:marRight w:val="0"/>
          <w:marTop w:val="0"/>
          <w:marBottom w:val="0"/>
          <w:divBdr>
            <w:top w:val="none" w:sz="0" w:space="0" w:color="auto"/>
            <w:left w:val="none" w:sz="0" w:space="0" w:color="auto"/>
            <w:bottom w:val="none" w:sz="0" w:space="0" w:color="auto"/>
            <w:right w:val="none" w:sz="0" w:space="0" w:color="auto"/>
          </w:divBdr>
        </w:div>
        <w:div w:id="1315449177">
          <w:marLeft w:val="274"/>
          <w:marRight w:val="0"/>
          <w:marTop w:val="0"/>
          <w:marBottom w:val="0"/>
          <w:divBdr>
            <w:top w:val="none" w:sz="0" w:space="0" w:color="auto"/>
            <w:left w:val="none" w:sz="0" w:space="0" w:color="auto"/>
            <w:bottom w:val="none" w:sz="0" w:space="0" w:color="auto"/>
            <w:right w:val="none" w:sz="0" w:space="0" w:color="auto"/>
          </w:divBdr>
        </w:div>
        <w:div w:id="1960214434">
          <w:marLeft w:val="274"/>
          <w:marRight w:val="0"/>
          <w:marTop w:val="0"/>
          <w:marBottom w:val="0"/>
          <w:divBdr>
            <w:top w:val="none" w:sz="0" w:space="0" w:color="auto"/>
            <w:left w:val="none" w:sz="0" w:space="0" w:color="auto"/>
            <w:bottom w:val="none" w:sz="0" w:space="0" w:color="auto"/>
            <w:right w:val="none" w:sz="0" w:space="0" w:color="auto"/>
          </w:divBdr>
        </w:div>
        <w:div w:id="1825008694">
          <w:marLeft w:val="274"/>
          <w:marRight w:val="0"/>
          <w:marTop w:val="0"/>
          <w:marBottom w:val="0"/>
          <w:divBdr>
            <w:top w:val="none" w:sz="0" w:space="0" w:color="auto"/>
            <w:left w:val="none" w:sz="0" w:space="0" w:color="auto"/>
            <w:bottom w:val="none" w:sz="0" w:space="0" w:color="auto"/>
            <w:right w:val="none" w:sz="0" w:space="0" w:color="auto"/>
          </w:divBdr>
        </w:div>
      </w:divsChild>
    </w:div>
    <w:div w:id="1915698664">
      <w:bodyDiv w:val="1"/>
      <w:marLeft w:val="0"/>
      <w:marRight w:val="0"/>
      <w:marTop w:val="0"/>
      <w:marBottom w:val="0"/>
      <w:divBdr>
        <w:top w:val="none" w:sz="0" w:space="0" w:color="auto"/>
        <w:left w:val="none" w:sz="0" w:space="0" w:color="auto"/>
        <w:bottom w:val="none" w:sz="0" w:space="0" w:color="auto"/>
        <w:right w:val="none" w:sz="0" w:space="0" w:color="auto"/>
      </w:divBdr>
    </w:div>
    <w:div w:id="1985237421">
      <w:bodyDiv w:val="1"/>
      <w:marLeft w:val="0"/>
      <w:marRight w:val="0"/>
      <w:marTop w:val="0"/>
      <w:marBottom w:val="0"/>
      <w:divBdr>
        <w:top w:val="none" w:sz="0" w:space="0" w:color="auto"/>
        <w:left w:val="none" w:sz="0" w:space="0" w:color="auto"/>
        <w:bottom w:val="none" w:sz="0" w:space="0" w:color="auto"/>
        <w:right w:val="none" w:sz="0" w:space="0" w:color="auto"/>
      </w:divBdr>
    </w:div>
    <w:div w:id="2009942472">
      <w:bodyDiv w:val="1"/>
      <w:marLeft w:val="0"/>
      <w:marRight w:val="0"/>
      <w:marTop w:val="0"/>
      <w:marBottom w:val="0"/>
      <w:divBdr>
        <w:top w:val="none" w:sz="0" w:space="0" w:color="auto"/>
        <w:left w:val="none" w:sz="0" w:space="0" w:color="auto"/>
        <w:bottom w:val="none" w:sz="0" w:space="0" w:color="auto"/>
        <w:right w:val="none" w:sz="0" w:space="0" w:color="auto"/>
      </w:divBdr>
    </w:div>
    <w:div w:id="2014608303">
      <w:bodyDiv w:val="1"/>
      <w:marLeft w:val="0"/>
      <w:marRight w:val="0"/>
      <w:marTop w:val="0"/>
      <w:marBottom w:val="0"/>
      <w:divBdr>
        <w:top w:val="none" w:sz="0" w:space="0" w:color="auto"/>
        <w:left w:val="none" w:sz="0" w:space="0" w:color="auto"/>
        <w:bottom w:val="none" w:sz="0" w:space="0" w:color="auto"/>
        <w:right w:val="none" w:sz="0" w:space="0" w:color="auto"/>
      </w:divBdr>
    </w:div>
    <w:div w:id="214566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doi.org/10.1002/jtr.2459" TargetMode="External"/><Relationship Id="rId26" Type="http://schemas.openxmlformats.org/officeDocument/2006/relationships/hyperlink" Target="http://economice.ulbsibiu.ro/revista.economica/archive/71304nicula&amp;spanu.pdf" TargetMode="External"/><Relationship Id="rId39" Type="http://schemas.openxmlformats.org/officeDocument/2006/relationships/hyperlink" Target="https://doi.org/10.1016/j.tourman.2021.104307" TargetMode="External"/><Relationship Id="rId21" Type="http://schemas.openxmlformats.org/officeDocument/2006/relationships/hyperlink" Target="https://etc-corporate.org/uploads/2022/01/Impact-of-COVID-19-on-Sustainable-Tourism-Attitudes.pdf" TargetMode="External"/><Relationship Id="rId34" Type="http://schemas.openxmlformats.org/officeDocument/2006/relationships/hyperlink" Target="https://www.tuigroup.com/en-en/media/fy24_annual_report_2024"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tourman.2018.05.005" TargetMode="External"/><Relationship Id="rId20" Type="http://schemas.openxmlformats.org/officeDocument/2006/relationships/hyperlink" Target="https://www.clustercollaboration.eu/content/strengthening-tourism-resilience-key-results-european-commission-crisis" TargetMode="External"/><Relationship Id="rId29" Type="http://schemas.openxmlformats.org/officeDocument/2006/relationships/hyperlink" Target="https://lup.lub.lu.se/student-papers/record/9060150/file/9060323.pdf"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515/geo-2019-0030" TargetMode="External"/><Relationship Id="rId32" Type="http://schemas.openxmlformats.org/officeDocument/2006/relationships/hyperlink" Target="https://www.tuigroup.com/en-en/responsibility/sustainability" TargetMode="External"/><Relationship Id="rId37" Type="http://schemas.openxmlformats.org/officeDocument/2006/relationships/hyperlink" Target="https://doi.org/10.6004/jadpro.2019.10.4.7" TargetMode="External"/><Relationship Id="rId40" Type="http://schemas.openxmlformats.org/officeDocument/2006/relationships/hyperlink" Target="https://doi.org/10.1016/s2542-5196(19)30267-0" TargetMode="External"/><Relationship Id="rId5" Type="http://schemas.openxmlformats.org/officeDocument/2006/relationships/webSettings" Target="webSettings.xml"/><Relationship Id="rId15" Type="http://schemas.openxmlformats.org/officeDocument/2006/relationships/hyperlink" Target="https://medium.com/@greg.afemikhe/pestle-analysis-of-the-coronavirus-pandemic-and-what-businesses-can-do-to-mitigate-its-impact-2b2e70652ac7" TargetMode="External"/><Relationship Id="rId23" Type="http://schemas.openxmlformats.org/officeDocument/2006/relationships/hyperlink" Target="https://www.gov.uk/guidance/foreign-travel-insurance" TargetMode="External"/><Relationship Id="rId28" Type="http://schemas.openxmlformats.org/officeDocument/2006/relationships/hyperlink" Target="https://doi.org/10.1016/j.tourman.2020.104080" TargetMode="External"/><Relationship Id="rId36" Type="http://schemas.openxmlformats.org/officeDocument/2006/relationships/hyperlink" Target="https://www.emerald.com/insight/0959-6119.htm" TargetMode="External"/><Relationship Id="rId10" Type="http://schemas.openxmlformats.org/officeDocument/2006/relationships/header" Target="header2.xml"/><Relationship Id="rId19" Type="http://schemas.openxmlformats.org/officeDocument/2006/relationships/hyperlink" Target="https://doi.org/10.1016/j.tourman.2020.104131" TargetMode="External"/><Relationship Id="rId31" Type="http://schemas.openxmlformats.org/officeDocument/2006/relationships/hyperlink" Target="https://www.tuigroup.com/en-en/responsibility/public-policy/safe-trave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assets.publishing.service.gov.uk/media/63777d0fd3bf7f7214139444/Crisis_situations_supporting_our_customers_v4.pdf" TargetMode="External"/><Relationship Id="rId27" Type="http://schemas.openxmlformats.org/officeDocument/2006/relationships/hyperlink" Target="https://doi.org/10.3390/fire4020018" TargetMode="External"/><Relationship Id="rId30" Type="http://schemas.openxmlformats.org/officeDocument/2006/relationships/hyperlink" Target="https://www.theparliamentmagazine.eu/partner/article/the-climate-crisis-hospitalitys-new-reality" TargetMode="External"/><Relationship Id="rId35" Type="http://schemas.openxmlformats.org/officeDocument/2006/relationships/hyperlink" Target="http://www.unwto.org/news/international-tourism-recovers-pre-pandemic-levels-in-2024"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cipd.org/en/knowledge/factsheets/pestle-analysis-factsheet/" TargetMode="External"/><Relationship Id="rId25" Type="http://schemas.openxmlformats.org/officeDocument/2006/relationships/hyperlink" Target="https://doi.org/10.1016/j.jdmm.2020.100487" TargetMode="External"/><Relationship Id="rId33" Type="http://schemas.openxmlformats.org/officeDocument/2006/relationships/hyperlink" Target="https://www.tuigroup.com/en-en/media/press-releases/2023/2023-08-17-tui-brings-chatgpt-to-its-mobile-app-in-uk" TargetMode="External"/><Relationship Id="rId38" Type="http://schemas.openxmlformats.org/officeDocument/2006/relationships/hyperlink" Target="https://wttc.org/News-Article/WTTC-unveils-Safe-Travels-new-global-protocols-to-restart-the-Travel-Tourism-s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380D1-D628-4598-92FC-6696334A6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4462</Words>
  <Characters>25440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2025-02-09T14:04:00Z</dcterms:created>
  <dcterms:modified xsi:type="dcterms:W3CDTF">2025-02-09T14:04:00Z</dcterms:modified>
</cp:coreProperties>
</file>