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62A301" w14:textId="7B144642" w:rsidR="00E41DD0" w:rsidRPr="00A82DE8" w:rsidRDefault="00E41DD0">
      <w:pPr>
        <w:rPr>
          <w:rFonts w:ascii="Arial" w:hAnsi="Arial" w:cs="Arial"/>
        </w:rPr>
      </w:pPr>
    </w:p>
    <w:p w14:paraId="53D85D91" w14:textId="2E8A6CCD" w:rsidR="00E41DD0" w:rsidRPr="00A82DE8" w:rsidRDefault="00E41DD0">
      <w:pPr>
        <w:rPr>
          <w:rFonts w:ascii="Arial" w:hAnsi="Arial" w:cs="Arial"/>
        </w:rPr>
      </w:pPr>
    </w:p>
    <w:p w14:paraId="28E8E6FD" w14:textId="63DE7B7A" w:rsidR="00D37365" w:rsidRPr="00A82DE8" w:rsidRDefault="00D37365" w:rsidP="00D37365">
      <w:pPr>
        <w:pStyle w:val="NormalWeb"/>
        <w:spacing w:before="0" w:beforeAutospacing="0" w:after="0" w:afterAutospacing="0"/>
        <w:ind w:left="-180" w:right="-334"/>
        <w:rPr>
          <w:rFonts w:ascii="Arial" w:hAnsi="Arial" w:cs="Arial"/>
        </w:rPr>
      </w:pPr>
      <w:r w:rsidRPr="00A82DE8">
        <w:rPr>
          <w:rFonts w:ascii="Arial" w:hAnsi="Arial" w:cs="Arial"/>
          <w:noProof/>
        </w:rPr>
        <w:drawing>
          <wp:inline distT="0" distB="0" distL="0" distR="0" wp14:anchorId="6A2BAF17" wp14:editId="59D53852">
            <wp:extent cx="1906270" cy="638175"/>
            <wp:effectExtent l="19050" t="19050" r="1778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09F24564" w14:textId="77777777" w:rsidR="00D37365" w:rsidRPr="00A82DE8" w:rsidRDefault="00D37365" w:rsidP="00D37365">
      <w:pPr>
        <w:pStyle w:val="NormalWeb"/>
        <w:spacing w:before="0" w:beforeAutospacing="0" w:after="0" w:afterAutospacing="0"/>
        <w:ind w:left="-180" w:right="-334"/>
        <w:rPr>
          <w:rFonts w:ascii="Arial" w:hAnsi="Arial" w:cs="Arial"/>
        </w:rPr>
      </w:pPr>
    </w:p>
    <w:p w14:paraId="2E5CB9C3" w14:textId="77777777" w:rsidR="00D37365" w:rsidRPr="00A82DE8" w:rsidRDefault="00D37365" w:rsidP="00D37365">
      <w:pPr>
        <w:pStyle w:val="NormalWeb"/>
        <w:spacing w:before="0" w:beforeAutospacing="0" w:after="0" w:afterAutospacing="0"/>
        <w:ind w:left="-180" w:right="-334"/>
        <w:rPr>
          <w:rFonts w:ascii="Arial" w:hAnsi="Arial" w:cs="Arial"/>
        </w:rPr>
      </w:pPr>
    </w:p>
    <w:p w14:paraId="364F3CAA" w14:textId="77777777" w:rsidR="00D37365" w:rsidRPr="00A82DE8" w:rsidRDefault="00D37365" w:rsidP="00D37365">
      <w:pPr>
        <w:pStyle w:val="NormalWeb"/>
        <w:spacing w:before="0" w:beforeAutospacing="0" w:after="0" w:afterAutospacing="0"/>
        <w:ind w:left="-180" w:right="-334"/>
        <w:jc w:val="center"/>
        <w:rPr>
          <w:rFonts w:ascii="Arial" w:hAnsi="Arial" w:cs="Arial"/>
          <w:b/>
          <w:sz w:val="28"/>
          <w:szCs w:val="28"/>
          <w:lang w:val="cy-GB"/>
        </w:rPr>
      </w:pPr>
      <w:r w:rsidRPr="00A82DE8">
        <w:rPr>
          <w:rFonts w:ascii="Arial" w:hAnsi="Arial" w:cs="Arial"/>
          <w:b/>
          <w:sz w:val="28"/>
          <w:szCs w:val="28"/>
          <w:lang w:val="cy-GB"/>
        </w:rPr>
        <w:t xml:space="preserve">Postgraduate/Distance Learning </w:t>
      </w:r>
    </w:p>
    <w:p w14:paraId="18D722E5" w14:textId="77777777" w:rsidR="00D37365" w:rsidRPr="00A82DE8" w:rsidRDefault="00D37365" w:rsidP="00D37365">
      <w:pPr>
        <w:pStyle w:val="NormalWeb"/>
        <w:spacing w:before="0" w:beforeAutospacing="0" w:after="0" w:afterAutospacing="0"/>
        <w:ind w:left="-180" w:right="-334"/>
        <w:jc w:val="center"/>
        <w:rPr>
          <w:rFonts w:ascii="Arial" w:hAnsi="Arial" w:cs="Arial"/>
          <w:b/>
          <w:sz w:val="28"/>
          <w:szCs w:val="28"/>
        </w:rPr>
      </w:pPr>
      <w:r w:rsidRPr="00A82DE8">
        <w:rPr>
          <w:rFonts w:ascii="Arial" w:hAnsi="Arial" w:cs="Arial"/>
          <w:b/>
          <w:sz w:val="28"/>
          <w:szCs w:val="28"/>
          <w:lang w:val="cy-GB"/>
        </w:rPr>
        <w:t>Assignment coversheet &amp; feedback form</w:t>
      </w:r>
    </w:p>
    <w:p w14:paraId="10627C91" w14:textId="77777777" w:rsidR="00D37365" w:rsidRPr="00A82DE8" w:rsidRDefault="00D37365" w:rsidP="00D37365">
      <w:pPr>
        <w:rPr>
          <w:rFonts w:ascii="Arial" w:hAnsi="Arial" w:cs="Arial"/>
          <w:sz w:val="28"/>
          <w:szCs w:val="28"/>
          <w:lang w:val="cy-GB"/>
        </w:rPr>
      </w:pPr>
    </w:p>
    <w:p w14:paraId="2D518432" w14:textId="77777777" w:rsidR="00D37365" w:rsidRPr="00A82DE8" w:rsidRDefault="00D37365" w:rsidP="00D37365">
      <w:pPr>
        <w:pStyle w:val="Heading3"/>
        <w:jc w:val="center"/>
        <w:rPr>
          <w:rFonts w:ascii="Arial" w:eastAsia="SimSun" w:hAnsi="Arial" w:cs="Arial"/>
          <w:lang w:val="cy-GB"/>
        </w:rPr>
      </w:pPr>
      <w:r w:rsidRPr="00A82DE8">
        <w:rPr>
          <w:rFonts w:ascii="Arial" w:eastAsia="SimSun" w:hAnsi="Arial" w:cs="Arial"/>
          <w:lang w:val="cy-GB"/>
        </w:rPr>
        <w:t>THIS SHEET MUST BE THE FIRST PAGE OF THE ASSIGNMENT YOU ARE SUBMITTING  (DO NOT SEND AS A SEPARATE FILE)</w:t>
      </w:r>
    </w:p>
    <w:p w14:paraId="2B492A83" w14:textId="77777777" w:rsidR="00D37365" w:rsidRPr="00A82DE8" w:rsidRDefault="00D37365" w:rsidP="00D37365">
      <w:pPr>
        <w:pStyle w:val="Heading3"/>
        <w:jc w:val="center"/>
        <w:rPr>
          <w:rFonts w:ascii="Arial" w:eastAsia="SimSun"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37365" w:rsidRPr="00A82DE8" w14:paraId="1C4A1189" w14:textId="77777777" w:rsidTr="00D37365">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30F0ADD8" w14:textId="77777777"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b/>
                <w:sz w:val="22"/>
                <w:szCs w:val="22"/>
              </w:rPr>
              <w:t>For completion by the student</w:t>
            </w:r>
            <w:r w:rsidRPr="00A82DE8">
              <w:rPr>
                <w:rFonts w:ascii="Arial" w:hAnsi="Arial" w:cs="Arial"/>
                <w:sz w:val="22"/>
                <w:szCs w:val="22"/>
              </w:rPr>
              <w:t>:</w:t>
            </w:r>
          </w:p>
        </w:tc>
      </w:tr>
      <w:tr w:rsidR="00D37365" w:rsidRPr="00A82DE8" w14:paraId="5305BF60" w14:textId="77777777" w:rsidTr="00D37365">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608F74FB" w14:textId="1965F928"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Student Name:</w:t>
            </w:r>
            <w:r w:rsidRPr="00A82DE8">
              <w:rPr>
                <w:rFonts w:ascii="Arial" w:hAnsi="Arial" w:cs="Arial"/>
                <w:sz w:val="22"/>
                <w:szCs w:val="22"/>
              </w:rPr>
              <w:t xml:space="preserve"> Sara El Bizri</w:t>
            </w:r>
          </w:p>
          <w:p w14:paraId="7A87B492" w14:textId="77777777" w:rsidR="00D37365" w:rsidRPr="00A82DE8" w:rsidRDefault="00D37365">
            <w:pPr>
              <w:pStyle w:val="NormalWeb"/>
              <w:spacing w:before="0" w:beforeAutospacing="0" w:after="0" w:afterAutospacing="0"/>
              <w:ind w:right="34"/>
              <w:rPr>
                <w:rFonts w:ascii="Arial" w:hAnsi="Arial" w:cs="Arial"/>
                <w:sz w:val="22"/>
                <w:szCs w:val="22"/>
              </w:rPr>
            </w:pPr>
          </w:p>
          <w:p w14:paraId="43273AC0" w14:textId="3204E398"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 xml:space="preserve">Student </w:t>
            </w:r>
            <w:r w:rsidRPr="00A82DE8">
              <w:rPr>
                <w:rFonts w:ascii="Arial" w:hAnsi="Arial" w:cs="Arial"/>
                <w:b/>
                <w:bCs/>
                <w:sz w:val="22"/>
                <w:szCs w:val="22"/>
                <w:u w:val="single"/>
              </w:rPr>
              <w:t>University</w:t>
            </w:r>
            <w:r w:rsidRPr="00A82DE8">
              <w:rPr>
                <w:rFonts w:ascii="Arial" w:hAnsi="Arial" w:cs="Arial"/>
                <w:sz w:val="22"/>
                <w:szCs w:val="22"/>
                <w:u w:val="single"/>
              </w:rPr>
              <w:t xml:space="preserve"> </w:t>
            </w:r>
            <w:r w:rsidRPr="00A82DE8">
              <w:rPr>
                <w:rFonts w:ascii="Arial" w:hAnsi="Arial" w:cs="Arial"/>
                <w:sz w:val="22"/>
                <w:szCs w:val="22"/>
              </w:rPr>
              <w:t xml:space="preserve">Email: </w:t>
            </w:r>
            <w:r w:rsidRPr="00A82DE8">
              <w:rPr>
                <w:rFonts w:ascii="Arial" w:hAnsi="Arial" w:cs="Arial"/>
                <w:sz w:val="22"/>
                <w:szCs w:val="22"/>
              </w:rPr>
              <w:t>1805674@student.uwtsd.ac.uk</w:t>
            </w:r>
          </w:p>
        </w:tc>
      </w:tr>
      <w:tr w:rsidR="00D37365" w:rsidRPr="00A82DE8" w14:paraId="3F58F4A5" w14:textId="77777777" w:rsidTr="00D37365">
        <w:trPr>
          <w:trHeight w:val="849"/>
        </w:trPr>
        <w:tc>
          <w:tcPr>
            <w:tcW w:w="4788" w:type="dxa"/>
            <w:tcBorders>
              <w:top w:val="single" w:sz="4" w:space="0" w:color="000000"/>
              <w:left w:val="single" w:sz="4" w:space="0" w:color="000000"/>
              <w:bottom w:val="single" w:sz="4" w:space="0" w:color="000000"/>
              <w:right w:val="single" w:sz="4" w:space="0" w:color="000000"/>
            </w:tcBorders>
          </w:tcPr>
          <w:p w14:paraId="1E8BA7BC" w14:textId="54AB1B4C"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Module code:</w:t>
            </w:r>
            <w:r w:rsidRPr="00A82DE8">
              <w:rPr>
                <w:rFonts w:ascii="Arial" w:hAnsi="Arial" w:cs="Arial"/>
                <w:sz w:val="22"/>
                <w:szCs w:val="22"/>
              </w:rPr>
              <w:t xml:space="preserve"> HPCA7018</w:t>
            </w:r>
          </w:p>
          <w:p w14:paraId="6EAE9350" w14:textId="77777777" w:rsidR="00D37365" w:rsidRPr="00A82DE8" w:rsidRDefault="00D37365">
            <w:pPr>
              <w:pStyle w:val="NormalWeb"/>
              <w:spacing w:before="0" w:beforeAutospacing="0" w:after="0" w:afterAutospacing="0"/>
              <w:ind w:right="34"/>
              <w:rPr>
                <w:rFonts w:ascii="Arial" w:hAnsi="Arial" w:cs="Arial"/>
                <w:sz w:val="22"/>
                <w:szCs w:val="22"/>
              </w:rPr>
            </w:pPr>
          </w:p>
          <w:p w14:paraId="3A5650DC" w14:textId="00D13A68"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Module title:</w:t>
            </w:r>
            <w:r w:rsidRPr="00A82DE8">
              <w:rPr>
                <w:rFonts w:ascii="Arial" w:hAnsi="Arial" w:cs="Arial"/>
                <w:sz w:val="22"/>
                <w:szCs w:val="22"/>
              </w:rPr>
              <w:t xml:space="preserve"> Independent Study – sky and psyche </w:t>
            </w:r>
          </w:p>
          <w:p w14:paraId="1C68D7DF" w14:textId="77777777" w:rsidR="00D37365" w:rsidRPr="00A82DE8" w:rsidRDefault="00D37365">
            <w:pPr>
              <w:pStyle w:val="NormalWeb"/>
              <w:spacing w:before="0" w:beforeAutospacing="0" w:after="0" w:afterAutospacing="0"/>
              <w:ind w:right="34"/>
              <w:rPr>
                <w:rFonts w:ascii="Arial" w:hAnsi="Arial" w:cs="Arial"/>
                <w:sz w:val="22"/>
                <w:szCs w:val="22"/>
              </w:rPr>
            </w:pPr>
          </w:p>
          <w:p w14:paraId="7D2E5894" w14:textId="77777777" w:rsidR="00D37365" w:rsidRPr="00A82DE8" w:rsidRDefault="00D37365">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09E13DEE" w14:textId="77777777"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Student ID number:</w:t>
            </w:r>
          </w:p>
          <w:p w14:paraId="36BD8A85" w14:textId="77777777" w:rsidR="00D37365" w:rsidRPr="00A82DE8" w:rsidRDefault="00D37365">
            <w:pPr>
              <w:pStyle w:val="NormalWeb"/>
              <w:spacing w:before="0" w:beforeAutospacing="0" w:after="0" w:afterAutospacing="0"/>
              <w:ind w:right="34"/>
              <w:rPr>
                <w:rFonts w:ascii="Arial" w:hAnsi="Arial" w:cs="Arial"/>
                <w:sz w:val="22"/>
                <w:szCs w:val="22"/>
              </w:rPr>
            </w:pPr>
          </w:p>
          <w:p w14:paraId="76092C69" w14:textId="77EC9A56"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1805674</w:t>
            </w:r>
          </w:p>
        </w:tc>
        <w:tc>
          <w:tcPr>
            <w:tcW w:w="1802" w:type="dxa"/>
            <w:tcBorders>
              <w:top w:val="single" w:sz="4" w:space="0" w:color="000000"/>
              <w:left w:val="single" w:sz="4" w:space="0" w:color="000000"/>
              <w:bottom w:val="single" w:sz="4" w:space="0" w:color="000000"/>
              <w:right w:val="single" w:sz="4" w:space="0" w:color="000000"/>
            </w:tcBorders>
            <w:hideMark/>
          </w:tcPr>
          <w:p w14:paraId="58F9A1B8" w14:textId="77777777"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Educational support needs:</w:t>
            </w:r>
          </w:p>
          <w:p w14:paraId="7BBDE722" w14:textId="77777777"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Yes/No</w:t>
            </w:r>
          </w:p>
        </w:tc>
      </w:tr>
      <w:tr w:rsidR="00D37365" w:rsidRPr="00A82DE8" w14:paraId="126964F5" w14:textId="77777777" w:rsidTr="00D37365">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52AE29FE" w14:textId="2674022F"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Assignment title:</w:t>
            </w:r>
            <w:r w:rsidRPr="00A82DE8">
              <w:rPr>
                <w:rFonts w:ascii="Arial" w:hAnsi="Arial" w:cs="Arial"/>
                <w:sz w:val="22"/>
                <w:szCs w:val="22"/>
              </w:rPr>
              <w:t xml:space="preserve"> </w:t>
            </w:r>
            <w:r w:rsidRPr="00A82DE8">
              <w:rPr>
                <w:rFonts w:ascii="Arial" w:hAnsi="Arial" w:cs="Arial"/>
                <w:sz w:val="22"/>
                <w:szCs w:val="22"/>
              </w:rPr>
              <w:t>A Critical Comparison of Two Articles on The Red Book by C. G. Jung</w:t>
            </w:r>
          </w:p>
          <w:p w14:paraId="7E8DDD1F" w14:textId="77777777" w:rsidR="00D37365" w:rsidRPr="00A82DE8" w:rsidRDefault="00D37365">
            <w:pPr>
              <w:pStyle w:val="NormalWeb"/>
              <w:spacing w:before="0" w:beforeAutospacing="0" w:after="0" w:afterAutospacing="0"/>
              <w:ind w:right="34"/>
              <w:rPr>
                <w:rFonts w:ascii="Arial" w:hAnsi="Arial" w:cs="Arial"/>
                <w:sz w:val="22"/>
                <w:szCs w:val="22"/>
              </w:rPr>
            </w:pPr>
          </w:p>
          <w:p w14:paraId="2368E506" w14:textId="77777777" w:rsidR="00D37365" w:rsidRPr="00A82DE8" w:rsidRDefault="00D37365">
            <w:pPr>
              <w:pStyle w:val="NormalWeb"/>
              <w:spacing w:before="0" w:beforeAutospacing="0" w:after="0" w:afterAutospacing="0"/>
              <w:ind w:right="34"/>
              <w:rPr>
                <w:rFonts w:ascii="Arial" w:hAnsi="Arial" w:cs="Arial"/>
                <w:sz w:val="22"/>
                <w:szCs w:val="22"/>
              </w:rPr>
            </w:pPr>
          </w:p>
          <w:p w14:paraId="0A26ED47" w14:textId="4EB2F1F0"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Assignment due date:</w:t>
            </w:r>
            <w:r w:rsidRPr="00A82DE8">
              <w:rPr>
                <w:rFonts w:ascii="Arial" w:hAnsi="Arial" w:cs="Arial"/>
                <w:sz w:val="22"/>
                <w:szCs w:val="22"/>
              </w:rPr>
              <w:t>4 -12-2020</w:t>
            </w:r>
          </w:p>
        </w:tc>
      </w:tr>
      <w:tr w:rsidR="00D37365" w:rsidRPr="00A82DE8" w14:paraId="33732E90" w14:textId="77777777" w:rsidTr="00D37365">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7052CC44" w14:textId="77777777" w:rsidR="00D37365" w:rsidRPr="00A82DE8" w:rsidRDefault="00D37365">
            <w:pPr>
              <w:rPr>
                <w:rFonts w:ascii="Arial" w:hAnsi="Arial" w:cs="Arial"/>
              </w:rPr>
            </w:pPr>
            <w:r w:rsidRPr="00A82DE8">
              <w:rPr>
                <w:rFonts w:ascii="Arial" w:hAnsi="Arial" w:cs="Arial"/>
              </w:rPr>
              <w:t>This assignment is for the       1</w:t>
            </w:r>
            <w:r w:rsidRPr="00A82DE8">
              <w:rPr>
                <w:rFonts w:ascii="Arial" w:hAnsi="Arial" w:cs="Arial"/>
                <w:vertAlign w:val="superscript"/>
              </w:rPr>
              <w:t xml:space="preserve">st </w:t>
            </w:r>
            <w:r w:rsidRPr="00A82DE8">
              <w:rPr>
                <w:rFonts w:ascii="Arial" w:hAnsi="Arial" w:cs="Arial"/>
              </w:rPr>
              <w:fldChar w:fldCharType="begin">
                <w:ffData>
                  <w:name w:val="Check13"/>
                  <w:enabled/>
                  <w:calcOnExit w:val="0"/>
                  <w:checkBox>
                    <w:sizeAuto/>
                    <w:default w:val="0"/>
                  </w:checkBox>
                </w:ffData>
              </w:fldChar>
            </w:r>
            <w:bookmarkStart w:id="0" w:name="Check13"/>
            <w:r w:rsidRPr="00A82DE8">
              <w:rPr>
                <w:rFonts w:ascii="Arial" w:hAnsi="Arial" w:cs="Arial"/>
              </w:rPr>
              <w:instrText xml:space="preserve"> FORMCHECKBOX </w:instrText>
            </w:r>
            <w:r w:rsidRPr="00A82DE8">
              <w:rPr>
                <w:rFonts w:ascii="Arial" w:hAnsi="Arial" w:cs="Arial"/>
              </w:rPr>
            </w:r>
            <w:r w:rsidRPr="00A82DE8">
              <w:rPr>
                <w:rFonts w:ascii="Arial" w:hAnsi="Arial" w:cs="Arial"/>
                <w:sz w:val="24"/>
                <w:szCs w:val="24"/>
              </w:rPr>
              <w:fldChar w:fldCharType="end"/>
            </w:r>
            <w:bookmarkEnd w:id="0"/>
            <w:r w:rsidRPr="00A82DE8">
              <w:rPr>
                <w:rFonts w:ascii="Arial" w:hAnsi="Arial" w:cs="Arial"/>
              </w:rPr>
              <w:t xml:space="preserve">    2</w:t>
            </w:r>
            <w:r w:rsidRPr="00A82DE8">
              <w:rPr>
                <w:rFonts w:ascii="Arial" w:hAnsi="Arial" w:cs="Arial"/>
                <w:vertAlign w:val="superscript"/>
              </w:rPr>
              <w:t>nd</w:t>
            </w:r>
            <w:r w:rsidRPr="00A82DE8">
              <w:rPr>
                <w:rFonts w:ascii="Arial" w:hAnsi="Arial" w:cs="Arial"/>
              </w:rPr>
              <w:t xml:space="preserve">  </w:t>
            </w:r>
            <w:r w:rsidRPr="00A82DE8">
              <w:rPr>
                <w:rFonts w:ascii="Arial" w:hAnsi="Arial" w:cs="Arial"/>
              </w:rPr>
              <w:fldChar w:fldCharType="begin">
                <w:ffData>
                  <w:name w:val="Check14"/>
                  <w:enabled/>
                  <w:calcOnExit w:val="0"/>
                  <w:checkBox>
                    <w:sizeAuto/>
                    <w:default w:val="0"/>
                  </w:checkBox>
                </w:ffData>
              </w:fldChar>
            </w:r>
            <w:bookmarkStart w:id="1" w:name="Check14"/>
            <w:r w:rsidRPr="00A82DE8">
              <w:rPr>
                <w:rFonts w:ascii="Arial" w:hAnsi="Arial" w:cs="Arial"/>
              </w:rPr>
              <w:instrText xml:space="preserve"> FORMCHECKBOX </w:instrText>
            </w:r>
            <w:r w:rsidRPr="00A82DE8">
              <w:rPr>
                <w:rFonts w:ascii="Arial" w:hAnsi="Arial" w:cs="Arial"/>
              </w:rPr>
            </w:r>
            <w:r w:rsidRPr="00A82DE8">
              <w:rPr>
                <w:rFonts w:ascii="Arial" w:hAnsi="Arial" w:cs="Arial"/>
                <w:sz w:val="24"/>
                <w:szCs w:val="24"/>
              </w:rPr>
              <w:fldChar w:fldCharType="end"/>
            </w:r>
            <w:bookmarkEnd w:id="1"/>
            <w:r w:rsidRPr="00A82DE8">
              <w:rPr>
                <w:rFonts w:ascii="Arial" w:hAnsi="Arial" w:cs="Arial"/>
              </w:rPr>
              <w:t xml:space="preserve">     3</w:t>
            </w:r>
            <w:r w:rsidRPr="00A82DE8">
              <w:rPr>
                <w:rFonts w:ascii="Arial" w:hAnsi="Arial" w:cs="Arial"/>
                <w:vertAlign w:val="superscript"/>
              </w:rPr>
              <w:t>rd</w:t>
            </w:r>
            <w:r w:rsidRPr="00A82DE8">
              <w:rPr>
                <w:rFonts w:ascii="Arial" w:hAnsi="Arial" w:cs="Arial"/>
              </w:rPr>
              <w:t xml:space="preserve">  </w:t>
            </w:r>
            <w:r w:rsidRPr="00A82DE8">
              <w:rPr>
                <w:rFonts w:ascii="Arial" w:hAnsi="Arial" w:cs="Arial"/>
              </w:rPr>
              <w:fldChar w:fldCharType="begin">
                <w:ffData>
                  <w:name w:val="Check15"/>
                  <w:enabled/>
                  <w:calcOnExit w:val="0"/>
                  <w:checkBox>
                    <w:sizeAuto/>
                    <w:default w:val="0"/>
                  </w:checkBox>
                </w:ffData>
              </w:fldChar>
            </w:r>
            <w:bookmarkStart w:id="2" w:name="Check15"/>
            <w:r w:rsidRPr="00A82DE8">
              <w:rPr>
                <w:rFonts w:ascii="Arial" w:hAnsi="Arial" w:cs="Arial"/>
              </w:rPr>
              <w:instrText xml:space="preserve"> FORMCHECKBOX </w:instrText>
            </w:r>
            <w:r w:rsidRPr="00A82DE8">
              <w:rPr>
                <w:rFonts w:ascii="Arial" w:hAnsi="Arial" w:cs="Arial"/>
              </w:rPr>
            </w:r>
            <w:r w:rsidRPr="00A82DE8">
              <w:rPr>
                <w:rFonts w:ascii="Arial" w:hAnsi="Arial" w:cs="Arial"/>
                <w:sz w:val="24"/>
                <w:szCs w:val="24"/>
              </w:rPr>
              <w:fldChar w:fldCharType="end"/>
            </w:r>
            <w:bookmarkEnd w:id="2"/>
            <w:r w:rsidRPr="00A82DE8">
              <w:rPr>
                <w:rFonts w:ascii="Arial" w:hAnsi="Arial" w:cs="Arial"/>
              </w:rPr>
              <w:t xml:space="preserve">      4</w:t>
            </w:r>
            <w:r w:rsidRPr="00A82DE8">
              <w:rPr>
                <w:rFonts w:ascii="Arial" w:hAnsi="Arial" w:cs="Arial"/>
                <w:vertAlign w:val="superscript"/>
              </w:rPr>
              <w:t>th</w:t>
            </w:r>
            <w:r w:rsidRPr="00A82DE8">
              <w:rPr>
                <w:rFonts w:ascii="Arial" w:hAnsi="Arial" w:cs="Arial"/>
              </w:rPr>
              <w:t xml:space="preserve"> </w:t>
            </w:r>
            <w:r w:rsidRPr="00A82DE8">
              <w:rPr>
                <w:rFonts w:ascii="Arial" w:hAnsi="Arial" w:cs="Arial"/>
              </w:rPr>
              <w:fldChar w:fldCharType="begin">
                <w:ffData>
                  <w:name w:val="Check16"/>
                  <w:enabled/>
                  <w:calcOnExit w:val="0"/>
                  <w:checkBox>
                    <w:sizeAuto/>
                    <w:default w:val="0"/>
                  </w:checkBox>
                </w:ffData>
              </w:fldChar>
            </w:r>
            <w:bookmarkStart w:id="3" w:name="Check16"/>
            <w:r w:rsidRPr="00A82DE8">
              <w:rPr>
                <w:rFonts w:ascii="Arial" w:hAnsi="Arial" w:cs="Arial"/>
              </w:rPr>
              <w:instrText xml:space="preserve"> FORMCHECKBOX </w:instrText>
            </w:r>
            <w:r w:rsidRPr="00A82DE8">
              <w:rPr>
                <w:rFonts w:ascii="Arial" w:hAnsi="Arial" w:cs="Arial"/>
              </w:rPr>
            </w:r>
            <w:r w:rsidRPr="00A82DE8">
              <w:rPr>
                <w:rFonts w:ascii="Arial" w:hAnsi="Arial" w:cs="Arial"/>
                <w:sz w:val="24"/>
                <w:szCs w:val="24"/>
              </w:rPr>
              <w:fldChar w:fldCharType="end"/>
            </w:r>
            <w:bookmarkEnd w:id="3"/>
            <w:r w:rsidRPr="00A82DE8">
              <w:rPr>
                <w:rFonts w:ascii="Arial" w:hAnsi="Arial" w:cs="Arial"/>
              </w:rPr>
              <w:t xml:space="preserve">      5</w:t>
            </w:r>
            <w:r w:rsidRPr="00A82DE8">
              <w:rPr>
                <w:rFonts w:ascii="Arial" w:hAnsi="Arial" w:cs="Arial"/>
                <w:vertAlign w:val="superscript"/>
              </w:rPr>
              <w:t>th</w:t>
            </w:r>
            <w:r w:rsidRPr="00A82DE8">
              <w:rPr>
                <w:rFonts w:ascii="Arial" w:hAnsi="Arial" w:cs="Arial"/>
              </w:rPr>
              <w:t xml:space="preserve"> </w:t>
            </w:r>
            <w:r w:rsidRPr="00A82DE8">
              <w:rPr>
                <w:rFonts w:ascii="Arial" w:hAnsi="Arial" w:cs="Arial"/>
              </w:rPr>
              <w:fldChar w:fldCharType="begin">
                <w:ffData>
                  <w:name w:val="Check17"/>
                  <w:enabled/>
                  <w:calcOnExit w:val="0"/>
                  <w:checkBox>
                    <w:sizeAuto/>
                    <w:default w:val="0"/>
                  </w:checkBox>
                </w:ffData>
              </w:fldChar>
            </w:r>
            <w:bookmarkStart w:id="4" w:name="Check17"/>
            <w:r w:rsidRPr="00A82DE8">
              <w:rPr>
                <w:rFonts w:ascii="Arial" w:hAnsi="Arial" w:cs="Arial"/>
              </w:rPr>
              <w:instrText xml:space="preserve"> FORMCHECKBOX </w:instrText>
            </w:r>
            <w:r w:rsidRPr="00A82DE8">
              <w:rPr>
                <w:rFonts w:ascii="Arial" w:hAnsi="Arial" w:cs="Arial"/>
              </w:rPr>
            </w:r>
            <w:r w:rsidRPr="00A82DE8">
              <w:rPr>
                <w:rFonts w:ascii="Arial" w:hAnsi="Arial" w:cs="Arial"/>
                <w:sz w:val="24"/>
                <w:szCs w:val="24"/>
              </w:rPr>
              <w:fldChar w:fldCharType="end"/>
            </w:r>
            <w:bookmarkEnd w:id="4"/>
            <w:r w:rsidRPr="00A82DE8">
              <w:rPr>
                <w:rFonts w:ascii="Arial" w:hAnsi="Arial" w:cs="Arial"/>
              </w:rPr>
              <w:t xml:space="preserve">      6</w:t>
            </w:r>
            <w:r w:rsidRPr="00A82DE8">
              <w:rPr>
                <w:rFonts w:ascii="Arial" w:hAnsi="Arial" w:cs="Arial"/>
                <w:vertAlign w:val="superscript"/>
              </w:rPr>
              <w:t>th</w:t>
            </w:r>
            <w:r w:rsidRPr="00A82DE8">
              <w:rPr>
                <w:rFonts w:ascii="Arial" w:hAnsi="Arial" w:cs="Arial"/>
              </w:rPr>
              <w:t xml:space="preserve"> </w:t>
            </w:r>
            <w:r w:rsidRPr="00A82DE8">
              <w:rPr>
                <w:rFonts w:ascii="Arial" w:hAnsi="Arial" w:cs="Arial"/>
              </w:rPr>
              <w:fldChar w:fldCharType="begin">
                <w:ffData>
                  <w:name w:val="Check18"/>
                  <w:enabled/>
                  <w:calcOnExit w:val="0"/>
                  <w:checkBox>
                    <w:sizeAuto/>
                    <w:default w:val="0"/>
                  </w:checkBox>
                </w:ffData>
              </w:fldChar>
            </w:r>
            <w:bookmarkStart w:id="5" w:name="Check18"/>
            <w:r w:rsidRPr="00A82DE8">
              <w:rPr>
                <w:rFonts w:ascii="Arial" w:hAnsi="Arial" w:cs="Arial"/>
              </w:rPr>
              <w:instrText xml:space="preserve"> FORMCHECKBOX </w:instrText>
            </w:r>
            <w:r w:rsidRPr="00A82DE8">
              <w:rPr>
                <w:rFonts w:ascii="Arial" w:hAnsi="Arial" w:cs="Arial"/>
              </w:rPr>
            </w:r>
            <w:r w:rsidRPr="00A82DE8">
              <w:rPr>
                <w:rFonts w:ascii="Arial" w:hAnsi="Arial" w:cs="Arial"/>
                <w:sz w:val="24"/>
                <w:szCs w:val="24"/>
              </w:rPr>
              <w:fldChar w:fldCharType="end"/>
            </w:r>
            <w:bookmarkEnd w:id="5"/>
            <w:r w:rsidRPr="00A82DE8">
              <w:rPr>
                <w:rFonts w:ascii="Arial" w:hAnsi="Arial" w:cs="Arial"/>
                <w:b/>
              </w:rPr>
              <w:t xml:space="preserve">   </w:t>
            </w:r>
            <w:r w:rsidRPr="00A82DE8">
              <w:rPr>
                <w:rFonts w:ascii="Arial" w:hAnsi="Arial" w:cs="Arial"/>
              </w:rPr>
              <w:t>module of the degree</w:t>
            </w:r>
          </w:p>
        </w:tc>
      </w:tr>
      <w:tr w:rsidR="00D37365" w:rsidRPr="00A82DE8" w14:paraId="5CBE5D6A" w14:textId="77777777" w:rsidTr="00D37365">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64CE067A" w14:textId="77777777"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I confirm that this is my original work and that I have adhered to the University policy on plagiarism.</w:t>
            </w:r>
          </w:p>
          <w:p w14:paraId="4EDB710D" w14:textId="3668F81D"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sz w:val="22"/>
                <w:szCs w:val="22"/>
              </w:rPr>
              <w:t>Signed …………</w:t>
            </w:r>
            <w:r w:rsidRPr="00A82DE8">
              <w:rPr>
                <w:rFonts w:ascii="Arial" w:hAnsi="Arial" w:cs="Arial"/>
                <w:sz w:val="22"/>
                <w:szCs w:val="22"/>
              </w:rPr>
              <w:t>Sara El Bizri</w:t>
            </w:r>
            <w:r w:rsidRPr="00A82DE8">
              <w:rPr>
                <w:rFonts w:ascii="Arial" w:hAnsi="Arial" w:cs="Arial"/>
                <w:sz w:val="22"/>
                <w:szCs w:val="22"/>
              </w:rPr>
              <w:t>…………………………………………………</w:t>
            </w:r>
          </w:p>
          <w:p w14:paraId="538CEDCB" w14:textId="11B568F2" w:rsidR="00D37365" w:rsidRPr="00A82DE8" w:rsidRDefault="00D37365">
            <w:pPr>
              <w:pStyle w:val="NormalWeb"/>
              <w:spacing w:before="0" w:beforeAutospacing="0" w:after="0" w:afterAutospacing="0"/>
              <w:ind w:right="34"/>
              <w:rPr>
                <w:rFonts w:ascii="Arial" w:hAnsi="Arial" w:cs="Arial"/>
                <w:b/>
                <w:sz w:val="44"/>
                <w:szCs w:val="44"/>
              </w:rPr>
            </w:pPr>
            <w:r w:rsidRPr="00A82DE8">
              <w:rPr>
                <w:rFonts w:ascii="Arial" w:hAnsi="Arial" w:cs="Arial"/>
                <w:b/>
                <w:noProof/>
                <w:sz w:val="24"/>
                <w:szCs w:val="24"/>
              </w:rPr>
              <mc:AlternateContent>
                <mc:Choice Requires="wps">
                  <w:drawing>
                    <wp:anchor distT="0" distB="0" distL="114300" distR="114300" simplePos="0" relativeHeight="251659264" behindDoc="0" locked="0" layoutInCell="1" allowOverlap="1" wp14:anchorId="7787CF6C" wp14:editId="5D1CD44D">
                      <wp:simplePos x="0" y="0"/>
                      <wp:positionH relativeFrom="column">
                        <wp:posOffset>5052336</wp:posOffset>
                      </wp:positionH>
                      <wp:positionV relativeFrom="paragraph">
                        <wp:posOffset>54310</wp:posOffset>
                      </wp:positionV>
                      <wp:extent cx="155275" cy="164209"/>
                      <wp:effectExtent l="0" t="0" r="16510" b="26670"/>
                      <wp:wrapNone/>
                      <wp:docPr id="3" name="Freeform: Shape 3"/>
                      <wp:cNvGraphicFramePr/>
                      <a:graphic xmlns:a="http://schemas.openxmlformats.org/drawingml/2006/main">
                        <a:graphicData uri="http://schemas.microsoft.com/office/word/2010/wordprocessingShape">
                          <wps:wsp>
                            <wps:cNvSpPr/>
                            <wps:spPr>
                              <a:xfrm>
                                <a:off x="0" y="0"/>
                                <a:ext cx="155275" cy="164209"/>
                              </a:xfrm>
                              <a:custGeom>
                                <a:avLst/>
                                <a:gdLst>
                                  <a:gd name="connsiteX0" fmla="*/ 0 w 155275"/>
                                  <a:gd name="connsiteY0" fmla="*/ 112144 h 164209"/>
                                  <a:gd name="connsiteX1" fmla="*/ 43132 w 155275"/>
                                  <a:gd name="connsiteY1" fmla="*/ 146650 h 164209"/>
                                  <a:gd name="connsiteX2" fmla="*/ 69011 w 155275"/>
                                  <a:gd name="connsiteY2" fmla="*/ 163902 h 164209"/>
                                  <a:gd name="connsiteX3" fmla="*/ 77637 w 155275"/>
                                  <a:gd name="connsiteY3" fmla="*/ 138023 h 164209"/>
                                  <a:gd name="connsiteX4" fmla="*/ 86264 w 155275"/>
                                  <a:gd name="connsiteY4" fmla="*/ 103517 h 164209"/>
                                  <a:gd name="connsiteX5" fmla="*/ 138022 w 155275"/>
                                  <a:gd name="connsiteY5" fmla="*/ 25880 h 164209"/>
                                  <a:gd name="connsiteX6" fmla="*/ 155275 w 155275"/>
                                  <a:gd name="connsiteY6" fmla="*/ 0 h 164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55275" h="164209">
                                    <a:moveTo>
                                      <a:pt x="0" y="112144"/>
                                    </a:moveTo>
                                    <a:cubicBezTo>
                                      <a:pt x="14377" y="123646"/>
                                      <a:pt x="28402" y="135603"/>
                                      <a:pt x="43132" y="146650"/>
                                    </a:cubicBezTo>
                                    <a:cubicBezTo>
                                      <a:pt x="51426" y="152870"/>
                                      <a:pt x="58953" y="166417"/>
                                      <a:pt x="69011" y="163902"/>
                                    </a:cubicBezTo>
                                    <a:cubicBezTo>
                                      <a:pt x="77832" y="161696"/>
                                      <a:pt x="75139" y="146766"/>
                                      <a:pt x="77637" y="138023"/>
                                    </a:cubicBezTo>
                                    <a:cubicBezTo>
                                      <a:pt x="80894" y="126623"/>
                                      <a:pt x="80962" y="114121"/>
                                      <a:pt x="86264" y="103517"/>
                                    </a:cubicBezTo>
                                    <a:cubicBezTo>
                                      <a:pt x="86268" y="103508"/>
                                      <a:pt x="129393" y="38824"/>
                                      <a:pt x="138022" y="25880"/>
                                    </a:cubicBezTo>
                                    <a:lnTo>
                                      <a:pt x="155275" y="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3AFE1E" id="Freeform: Shape 3" o:spid="_x0000_s1026" style="position:absolute;margin-left:397.8pt;margin-top:4.3pt;width:12.25pt;height:12.9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55275,164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" path="m,112144v14377,11502,28402,23459,43132,34506c51426,152870,58953,166417,69011,163902v8821,-2206,6128,-17136,8626,-25879c80894,126623,80962,114121,86264,103517v4,-9,43129,-64693,51758,-77637l155275,e" filled="f" strokecolor="#1f3763 [1604]" strokeweight="1pt">
                      <v:stroke joinstyle="miter"/>
                      <v:path arrowok="t" o:connecttype="custom" o:connectlocs="0,112144;43132,146650;69011,163902;77637,138023;86264,103517;138022,25880;155275,0" o:connectangles="0,0,0,0,0,0,0"/>
                    </v:shape>
                  </w:pict>
                </mc:Fallback>
              </mc:AlternateContent>
            </w:r>
            <w:r w:rsidRPr="00A82DE8">
              <w:rPr>
                <w:rFonts w:ascii="Arial" w:hAnsi="Arial" w:cs="Arial"/>
                <w:b/>
                <w:sz w:val="24"/>
                <w:szCs w:val="24"/>
              </w:rPr>
              <w:t xml:space="preserve">Email </w:t>
            </w:r>
            <w:proofErr w:type="spellStart"/>
            <w:proofErr w:type="gramStart"/>
            <w:r w:rsidRPr="00A82DE8">
              <w:rPr>
                <w:rFonts w:ascii="Arial" w:hAnsi="Arial" w:cs="Arial"/>
                <w:b/>
                <w:sz w:val="24"/>
                <w:szCs w:val="24"/>
              </w:rPr>
              <w:t>submission:if</w:t>
            </w:r>
            <w:proofErr w:type="spellEnd"/>
            <w:proofErr w:type="gramEnd"/>
            <w:r w:rsidRPr="00A82DE8">
              <w:rPr>
                <w:rFonts w:ascii="Arial" w:hAnsi="Arial" w:cs="Arial"/>
                <w:b/>
                <w:sz w:val="24"/>
                <w:szCs w:val="24"/>
              </w:rPr>
              <w:t xml:space="preserve"> you are submitting this form via email, please tick this box </w:t>
            </w:r>
            <w:r w:rsidRPr="00A82DE8">
              <w:rPr>
                <w:rFonts w:ascii="Arial" w:hAnsi="Arial" w:cs="Arial"/>
                <w:b/>
                <w:sz w:val="44"/>
                <w:szCs w:val="44"/>
              </w:rPr>
              <w:t>□</w:t>
            </w:r>
          </w:p>
          <w:p w14:paraId="608B5811" w14:textId="77777777" w:rsidR="00D37365" w:rsidRPr="00A82DE8" w:rsidRDefault="00D37365">
            <w:pPr>
              <w:pStyle w:val="NormalWeb"/>
              <w:spacing w:before="0" w:beforeAutospacing="0" w:after="0" w:afterAutospacing="0"/>
              <w:ind w:right="34"/>
              <w:rPr>
                <w:rFonts w:ascii="Arial" w:hAnsi="Arial" w:cs="Arial"/>
                <w:sz w:val="22"/>
                <w:szCs w:val="22"/>
              </w:rPr>
            </w:pPr>
            <w:r w:rsidRPr="00A82DE8">
              <w:rPr>
                <w:rFonts w:ascii="Arial" w:hAnsi="Arial" w:cs="Arial"/>
                <w:b/>
                <w:sz w:val="24"/>
                <w:szCs w:val="24"/>
              </w:rPr>
              <w:t>(as a substitute for your signature) to confirm that you agree to the above declaration.</w:t>
            </w:r>
          </w:p>
        </w:tc>
      </w:tr>
      <w:tr w:rsidR="00D37365" w:rsidRPr="00A82DE8" w14:paraId="6F8CA66B" w14:textId="77777777" w:rsidTr="00D37365">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0E12922A" w14:textId="77777777" w:rsidR="00D37365" w:rsidRPr="00A82DE8" w:rsidRDefault="00D37365">
            <w:pPr>
              <w:rPr>
                <w:rFonts w:ascii="Arial" w:hAnsi="Arial" w:cs="Arial"/>
                <w:b/>
                <w:sz w:val="24"/>
                <w:szCs w:val="24"/>
              </w:rPr>
            </w:pPr>
          </w:p>
          <w:p w14:paraId="797E02E3" w14:textId="77777777" w:rsidR="00D37365" w:rsidRPr="00A82DE8" w:rsidRDefault="00D37365">
            <w:pPr>
              <w:rPr>
                <w:rFonts w:ascii="Arial" w:hAnsi="Arial" w:cs="Arial"/>
              </w:rPr>
            </w:pPr>
            <w:r w:rsidRPr="00A82DE8">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37365" w:rsidRPr="00A82DE8" w14:paraId="163E5546" w14:textId="77777777">
              <w:tc>
                <w:tcPr>
                  <w:tcW w:w="6970" w:type="dxa"/>
                  <w:tcBorders>
                    <w:top w:val="single" w:sz="4" w:space="0" w:color="auto"/>
                    <w:left w:val="single" w:sz="4" w:space="0" w:color="auto"/>
                    <w:bottom w:val="single" w:sz="4" w:space="0" w:color="auto"/>
                    <w:right w:val="single" w:sz="4" w:space="0" w:color="auto"/>
                  </w:tcBorders>
                </w:tcPr>
                <w:p w14:paraId="7241B00E" w14:textId="77777777" w:rsidR="00D37365" w:rsidRPr="00A82DE8" w:rsidRDefault="00D37365">
                  <w:pPr>
                    <w:rPr>
                      <w:rFonts w:ascii="Arial" w:hAnsi="Arial" w:cs="Arial"/>
                      <w:sz w:val="20"/>
                      <w:szCs w:val="20"/>
                    </w:rPr>
                  </w:pPr>
                </w:p>
                <w:p w14:paraId="5D0BF103" w14:textId="77777777" w:rsidR="00D37365" w:rsidRPr="00A82DE8" w:rsidRDefault="00D37365">
                  <w:pPr>
                    <w:rPr>
                      <w:rFonts w:ascii="Arial" w:hAnsi="Arial" w:cs="Arial"/>
                      <w:sz w:val="20"/>
                      <w:szCs w:val="20"/>
                    </w:rPr>
                  </w:pPr>
                  <w:r w:rsidRPr="00A82DE8">
                    <w:rPr>
                      <w:rFonts w:ascii="Arial" w:hAnsi="Arial" w:cs="Arial"/>
                      <w:sz w:val="20"/>
                      <w:szCs w:val="20"/>
                    </w:rPr>
                    <w:t>1</w:t>
                  </w:r>
                  <w:r w:rsidRPr="00A82DE8">
                    <w:rPr>
                      <w:rFonts w:ascii="Arial" w:hAnsi="Arial" w:cs="Arial"/>
                      <w:sz w:val="20"/>
                      <w:szCs w:val="20"/>
                      <w:vertAlign w:val="superscript"/>
                    </w:rPr>
                    <w:t>st</w:t>
                  </w:r>
                  <w:r w:rsidRPr="00A82DE8">
                    <w:rPr>
                      <w:rFonts w:ascii="Arial" w:hAnsi="Arial" w:cs="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2E29D788" w14:textId="77777777" w:rsidR="00D37365" w:rsidRPr="00A82DE8" w:rsidRDefault="00D37365">
                  <w:pPr>
                    <w:rPr>
                      <w:rFonts w:ascii="Arial" w:hAnsi="Arial" w:cs="Arial"/>
                      <w:sz w:val="20"/>
                      <w:szCs w:val="20"/>
                    </w:rPr>
                  </w:pPr>
                </w:p>
              </w:tc>
            </w:tr>
            <w:tr w:rsidR="00D37365" w:rsidRPr="00A82DE8" w14:paraId="57212155" w14:textId="77777777">
              <w:tc>
                <w:tcPr>
                  <w:tcW w:w="6970" w:type="dxa"/>
                  <w:tcBorders>
                    <w:top w:val="single" w:sz="4" w:space="0" w:color="auto"/>
                    <w:left w:val="single" w:sz="4" w:space="0" w:color="auto"/>
                    <w:bottom w:val="single" w:sz="4" w:space="0" w:color="auto"/>
                    <w:right w:val="single" w:sz="4" w:space="0" w:color="auto"/>
                  </w:tcBorders>
                </w:tcPr>
                <w:p w14:paraId="705A223D" w14:textId="77777777" w:rsidR="00D37365" w:rsidRPr="00A82DE8" w:rsidRDefault="00D37365">
                  <w:pPr>
                    <w:rPr>
                      <w:rFonts w:ascii="Arial" w:hAnsi="Arial" w:cs="Arial"/>
                      <w:sz w:val="20"/>
                      <w:szCs w:val="20"/>
                    </w:rPr>
                  </w:pPr>
                </w:p>
                <w:p w14:paraId="4CE066C2" w14:textId="77777777" w:rsidR="00D37365" w:rsidRPr="00A82DE8" w:rsidRDefault="00D37365">
                  <w:pPr>
                    <w:rPr>
                      <w:rFonts w:ascii="Arial" w:hAnsi="Arial" w:cs="Arial"/>
                      <w:sz w:val="20"/>
                      <w:szCs w:val="20"/>
                    </w:rPr>
                  </w:pPr>
                  <w:r w:rsidRPr="00A82DE8">
                    <w:rPr>
                      <w:rFonts w:ascii="Arial" w:hAnsi="Arial" w:cs="Arial"/>
                      <w:sz w:val="20"/>
                      <w:szCs w:val="20"/>
                    </w:rPr>
                    <w:t>2</w:t>
                  </w:r>
                  <w:r w:rsidRPr="00A82DE8">
                    <w:rPr>
                      <w:rFonts w:ascii="Arial" w:hAnsi="Arial" w:cs="Arial"/>
                      <w:sz w:val="20"/>
                      <w:szCs w:val="20"/>
                      <w:vertAlign w:val="superscript"/>
                    </w:rPr>
                    <w:t>nd</w:t>
                  </w:r>
                  <w:r w:rsidRPr="00A82DE8">
                    <w:rPr>
                      <w:rFonts w:ascii="Arial" w:hAnsi="Arial" w:cs="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57D31032" w14:textId="77777777" w:rsidR="00D37365" w:rsidRPr="00A82DE8" w:rsidRDefault="00D37365">
                  <w:pPr>
                    <w:rPr>
                      <w:rFonts w:ascii="Arial" w:hAnsi="Arial" w:cs="Arial"/>
                      <w:sz w:val="20"/>
                      <w:szCs w:val="20"/>
                    </w:rPr>
                  </w:pPr>
                </w:p>
              </w:tc>
            </w:tr>
            <w:tr w:rsidR="00D37365" w:rsidRPr="00A82DE8" w14:paraId="64337EAC" w14:textId="77777777">
              <w:tc>
                <w:tcPr>
                  <w:tcW w:w="6970" w:type="dxa"/>
                  <w:tcBorders>
                    <w:top w:val="single" w:sz="4" w:space="0" w:color="auto"/>
                    <w:left w:val="single" w:sz="4" w:space="0" w:color="auto"/>
                    <w:bottom w:val="single" w:sz="4" w:space="0" w:color="auto"/>
                    <w:right w:val="single" w:sz="4" w:space="0" w:color="auto"/>
                  </w:tcBorders>
                </w:tcPr>
                <w:p w14:paraId="2D08AB8C" w14:textId="77777777" w:rsidR="00D37365" w:rsidRPr="00A82DE8" w:rsidRDefault="00D37365">
                  <w:pPr>
                    <w:rPr>
                      <w:rFonts w:ascii="Arial" w:hAnsi="Arial" w:cs="Arial"/>
                      <w:sz w:val="20"/>
                      <w:szCs w:val="20"/>
                    </w:rPr>
                  </w:pPr>
                </w:p>
                <w:p w14:paraId="40A9E264" w14:textId="77777777" w:rsidR="00D37365" w:rsidRPr="00A82DE8" w:rsidRDefault="00D37365">
                  <w:pPr>
                    <w:rPr>
                      <w:rFonts w:ascii="Arial" w:hAnsi="Arial" w:cs="Arial"/>
                      <w:sz w:val="20"/>
                      <w:szCs w:val="20"/>
                    </w:rPr>
                  </w:pPr>
                  <w:r w:rsidRPr="00A82DE8">
                    <w:rPr>
                      <w:rFonts w:ascii="Arial" w:hAnsi="Arial" w:cs="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505EE993" w14:textId="77777777" w:rsidR="00D37365" w:rsidRPr="00A82DE8" w:rsidRDefault="00D37365">
                  <w:pPr>
                    <w:rPr>
                      <w:rFonts w:ascii="Arial" w:hAnsi="Arial" w:cs="Arial"/>
                      <w:sz w:val="20"/>
                      <w:szCs w:val="20"/>
                    </w:rPr>
                  </w:pPr>
                </w:p>
              </w:tc>
            </w:tr>
            <w:tr w:rsidR="00D37365" w:rsidRPr="00A82DE8" w14:paraId="63705EDA" w14:textId="77777777">
              <w:tc>
                <w:tcPr>
                  <w:tcW w:w="6970" w:type="dxa"/>
                  <w:tcBorders>
                    <w:top w:val="single" w:sz="4" w:space="0" w:color="auto"/>
                    <w:left w:val="single" w:sz="4" w:space="0" w:color="auto"/>
                    <w:bottom w:val="single" w:sz="4" w:space="0" w:color="auto"/>
                    <w:right w:val="single" w:sz="4" w:space="0" w:color="auto"/>
                  </w:tcBorders>
                </w:tcPr>
                <w:p w14:paraId="268F7742" w14:textId="77777777" w:rsidR="00D37365" w:rsidRPr="00A82DE8" w:rsidRDefault="00D37365">
                  <w:pPr>
                    <w:rPr>
                      <w:rFonts w:ascii="Arial" w:hAnsi="Arial" w:cs="Arial"/>
                      <w:sz w:val="20"/>
                      <w:szCs w:val="20"/>
                    </w:rPr>
                  </w:pPr>
                </w:p>
                <w:p w14:paraId="68DEF298" w14:textId="77777777" w:rsidR="00D37365" w:rsidRPr="00A82DE8" w:rsidRDefault="00D37365">
                  <w:pPr>
                    <w:rPr>
                      <w:rFonts w:ascii="Arial" w:hAnsi="Arial" w:cs="Arial"/>
                      <w:b/>
                      <w:sz w:val="20"/>
                      <w:szCs w:val="20"/>
                    </w:rPr>
                  </w:pPr>
                  <w:r w:rsidRPr="00A82DE8">
                    <w:rPr>
                      <w:rFonts w:ascii="Arial" w:hAnsi="Arial" w:cs="Arial"/>
                      <w:b/>
                      <w:sz w:val="20"/>
                      <w:szCs w:val="20"/>
                    </w:rPr>
                    <w:t>Final Mark</w:t>
                  </w:r>
                </w:p>
                <w:p w14:paraId="4C0DA655" w14:textId="77777777" w:rsidR="00D37365" w:rsidRPr="00A82DE8" w:rsidRDefault="00D37365">
                  <w:pPr>
                    <w:rPr>
                      <w:rFonts w:ascii="Arial" w:hAnsi="Arial" w:cs="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42B2E10C" w14:textId="77777777" w:rsidR="00D37365" w:rsidRPr="00A82DE8" w:rsidRDefault="00D37365">
                  <w:pPr>
                    <w:rPr>
                      <w:rFonts w:ascii="Arial" w:hAnsi="Arial" w:cs="Arial"/>
                      <w:sz w:val="20"/>
                      <w:szCs w:val="20"/>
                    </w:rPr>
                  </w:pPr>
                </w:p>
              </w:tc>
            </w:tr>
          </w:tbl>
          <w:p w14:paraId="68F3B4B3" w14:textId="77777777" w:rsidR="00D37365" w:rsidRPr="00A82DE8" w:rsidRDefault="00D37365">
            <w:pPr>
              <w:pStyle w:val="NormalWeb"/>
              <w:spacing w:before="0" w:beforeAutospacing="0" w:after="0" w:afterAutospacing="0"/>
              <w:ind w:left="142" w:right="34"/>
              <w:rPr>
                <w:rFonts w:ascii="Arial" w:hAnsi="Arial" w:cs="Arial"/>
                <w:b/>
                <w:sz w:val="22"/>
                <w:szCs w:val="22"/>
              </w:rPr>
            </w:pPr>
          </w:p>
          <w:p w14:paraId="68681942" w14:textId="77777777" w:rsidR="00D37365" w:rsidRPr="00A82DE8" w:rsidRDefault="00D37365">
            <w:pPr>
              <w:pStyle w:val="NormalWeb"/>
              <w:spacing w:before="0" w:beforeAutospacing="0" w:after="0" w:afterAutospacing="0"/>
              <w:ind w:left="142" w:right="34"/>
              <w:rPr>
                <w:rFonts w:ascii="Arial" w:hAnsi="Arial" w:cs="Arial"/>
                <w:sz w:val="22"/>
                <w:szCs w:val="22"/>
              </w:rPr>
            </w:pPr>
            <w:r w:rsidRPr="00A82DE8">
              <w:rPr>
                <w:rFonts w:ascii="Arial" w:hAnsi="Arial" w:cs="Arial"/>
                <w:b/>
                <w:sz w:val="22"/>
                <w:szCs w:val="22"/>
              </w:rPr>
              <w:t>NB.</w:t>
            </w:r>
            <w:r w:rsidRPr="00A82DE8">
              <w:rPr>
                <w:rFonts w:ascii="Arial" w:hAnsi="Arial" w:cs="Arial"/>
                <w:sz w:val="22"/>
                <w:szCs w:val="22"/>
              </w:rPr>
              <w:t xml:space="preserve">  All marks are provisional until confirmed by the Final Examination Board.</w:t>
            </w:r>
          </w:p>
          <w:p w14:paraId="7C9DD7D5" w14:textId="77777777" w:rsidR="00D37365" w:rsidRPr="00A82DE8" w:rsidRDefault="00D37365">
            <w:pPr>
              <w:pStyle w:val="NormalWeb"/>
              <w:spacing w:before="0" w:beforeAutospacing="0" w:after="0" w:afterAutospacing="0"/>
              <w:rPr>
                <w:rFonts w:ascii="Arial" w:hAnsi="Arial" w:cs="Arial"/>
                <w:b/>
                <w:sz w:val="22"/>
                <w:szCs w:val="22"/>
              </w:rPr>
            </w:pPr>
          </w:p>
          <w:p w14:paraId="4E6E04EF" w14:textId="77777777" w:rsidR="00D37365" w:rsidRPr="00A82DE8" w:rsidRDefault="00D37365">
            <w:pPr>
              <w:pStyle w:val="NormalWeb"/>
              <w:spacing w:before="0" w:beforeAutospacing="0" w:after="0" w:afterAutospacing="0"/>
              <w:rPr>
                <w:rFonts w:ascii="Arial" w:hAnsi="Arial" w:cs="Arial"/>
                <w:b/>
                <w:sz w:val="22"/>
                <w:szCs w:val="22"/>
              </w:rPr>
            </w:pPr>
          </w:p>
          <w:p w14:paraId="6DC016B8" w14:textId="77777777" w:rsidR="00D37365" w:rsidRPr="00A82DE8" w:rsidRDefault="00D37365">
            <w:pPr>
              <w:pStyle w:val="NormalWeb"/>
              <w:spacing w:before="0" w:beforeAutospacing="0" w:after="0" w:afterAutospacing="0"/>
              <w:rPr>
                <w:rFonts w:ascii="Arial" w:hAnsi="Arial" w:cs="Arial"/>
                <w:b/>
                <w:sz w:val="22"/>
                <w:szCs w:val="22"/>
              </w:rPr>
            </w:pPr>
          </w:p>
          <w:p w14:paraId="7D347F23" w14:textId="77777777" w:rsidR="00D37365" w:rsidRPr="00A82DE8" w:rsidRDefault="00D37365">
            <w:pPr>
              <w:pStyle w:val="NormalWeb"/>
              <w:spacing w:before="0" w:beforeAutospacing="0" w:after="0" w:afterAutospacing="0"/>
              <w:rPr>
                <w:rFonts w:ascii="Arial" w:hAnsi="Arial" w:cs="Arial"/>
                <w:b/>
                <w:sz w:val="22"/>
                <w:szCs w:val="22"/>
              </w:rPr>
            </w:pPr>
          </w:p>
          <w:p w14:paraId="61FE49F0" w14:textId="77777777" w:rsidR="00D37365" w:rsidRPr="00A82DE8" w:rsidRDefault="00D37365">
            <w:pPr>
              <w:pStyle w:val="NormalWeb"/>
              <w:spacing w:before="0" w:beforeAutospacing="0" w:after="0" w:afterAutospacing="0"/>
              <w:rPr>
                <w:rFonts w:ascii="Arial" w:hAnsi="Arial" w:cs="Arial"/>
                <w:b/>
                <w:sz w:val="22"/>
                <w:szCs w:val="22"/>
              </w:rPr>
            </w:pPr>
          </w:p>
          <w:p w14:paraId="73676F80" w14:textId="77777777" w:rsidR="00D37365" w:rsidRPr="00A82DE8" w:rsidRDefault="00D37365">
            <w:pPr>
              <w:pStyle w:val="NormalWeb"/>
              <w:spacing w:before="0" w:beforeAutospacing="0" w:after="0" w:afterAutospacing="0"/>
              <w:rPr>
                <w:rFonts w:ascii="Arial" w:hAnsi="Arial" w:cs="Arial"/>
                <w:b/>
                <w:sz w:val="22"/>
                <w:szCs w:val="22"/>
              </w:rPr>
            </w:pPr>
            <w:r w:rsidRPr="00A82DE8">
              <w:rPr>
                <w:rFonts w:ascii="Arial" w:hAnsi="Arial" w:cs="Arial"/>
                <w:b/>
                <w:sz w:val="22"/>
                <w:szCs w:val="22"/>
              </w:rPr>
              <w:t xml:space="preserve">For completion by Marker </w:t>
            </w:r>
            <w:proofErr w:type="gramStart"/>
            <w:r w:rsidRPr="00A82DE8">
              <w:rPr>
                <w:rFonts w:ascii="Arial" w:hAnsi="Arial" w:cs="Arial"/>
                <w:b/>
                <w:sz w:val="22"/>
                <w:szCs w:val="22"/>
              </w:rPr>
              <w:t>1 :</w:t>
            </w:r>
            <w:proofErr w:type="gramEnd"/>
          </w:p>
          <w:p w14:paraId="622D703E" w14:textId="77777777" w:rsidR="00D37365" w:rsidRPr="00A82DE8" w:rsidRDefault="00D37365">
            <w:pPr>
              <w:pStyle w:val="NormalWeb"/>
              <w:rPr>
                <w:rFonts w:ascii="Arial" w:hAnsi="Arial" w:cs="Arial"/>
                <w:sz w:val="22"/>
                <w:szCs w:val="22"/>
              </w:rPr>
            </w:pPr>
            <w:r w:rsidRPr="00A82DE8">
              <w:rPr>
                <w:rFonts w:ascii="Arial" w:hAnsi="Arial" w:cs="Arial"/>
                <w:sz w:val="22"/>
                <w:szCs w:val="22"/>
              </w:rPr>
              <w:t>Comments:</w:t>
            </w:r>
          </w:p>
          <w:p w14:paraId="0437E659" w14:textId="77777777" w:rsidR="00D37365" w:rsidRPr="00A82DE8" w:rsidRDefault="00D37365">
            <w:pPr>
              <w:pStyle w:val="NormalWeb"/>
              <w:rPr>
                <w:rFonts w:ascii="Arial" w:hAnsi="Arial" w:cs="Arial"/>
                <w:sz w:val="22"/>
                <w:szCs w:val="22"/>
              </w:rPr>
            </w:pPr>
          </w:p>
        </w:tc>
      </w:tr>
      <w:tr w:rsidR="00D37365" w:rsidRPr="00A82DE8" w14:paraId="3146E20F" w14:textId="77777777" w:rsidTr="00D37365">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01D938A8" w14:textId="77777777" w:rsidR="00D37365" w:rsidRPr="00A82DE8" w:rsidRDefault="00D37365">
            <w:pPr>
              <w:pStyle w:val="NormalWeb"/>
              <w:spacing w:beforeAutospacing="0" w:afterAutospacing="0"/>
              <w:ind w:left="142" w:right="34"/>
              <w:rPr>
                <w:rFonts w:ascii="Arial" w:hAnsi="Arial" w:cs="Arial"/>
                <w:sz w:val="22"/>
                <w:szCs w:val="22"/>
              </w:rPr>
            </w:pPr>
            <w:r w:rsidRPr="00A82DE8">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055F3A29" w14:textId="77777777" w:rsidR="00D37365" w:rsidRPr="00A82DE8" w:rsidRDefault="00D37365">
            <w:pPr>
              <w:pStyle w:val="NormalWeb"/>
              <w:spacing w:beforeAutospacing="0" w:after="0" w:afterAutospacing="0"/>
              <w:ind w:left="142" w:right="34"/>
              <w:rPr>
                <w:rFonts w:ascii="Arial" w:hAnsi="Arial" w:cs="Arial"/>
                <w:sz w:val="22"/>
                <w:szCs w:val="22"/>
              </w:rPr>
            </w:pPr>
            <w:r w:rsidRPr="00A82DE8">
              <w:rPr>
                <w:rFonts w:ascii="Arial" w:hAnsi="Arial" w:cs="Arial"/>
                <w:sz w:val="22"/>
                <w:szCs w:val="22"/>
              </w:rPr>
              <w:t>Date:</w:t>
            </w:r>
          </w:p>
        </w:tc>
      </w:tr>
      <w:tr w:rsidR="00D37365" w:rsidRPr="00A82DE8" w14:paraId="15FE6358" w14:textId="77777777" w:rsidTr="00D37365">
        <w:tc>
          <w:tcPr>
            <w:tcW w:w="8856" w:type="dxa"/>
            <w:gridSpan w:val="5"/>
            <w:tcBorders>
              <w:top w:val="single" w:sz="4" w:space="0" w:color="000000"/>
              <w:left w:val="single" w:sz="4" w:space="0" w:color="000000"/>
              <w:bottom w:val="single" w:sz="4" w:space="0" w:color="000000"/>
              <w:right w:val="single" w:sz="4" w:space="0" w:color="000000"/>
            </w:tcBorders>
          </w:tcPr>
          <w:p w14:paraId="075B1589" w14:textId="77777777" w:rsidR="00D37365" w:rsidRPr="00A82DE8" w:rsidRDefault="00D37365">
            <w:pPr>
              <w:pStyle w:val="NormalWeb"/>
              <w:spacing w:before="0" w:beforeAutospacing="0" w:after="0" w:afterAutospacing="0"/>
              <w:ind w:right="-334"/>
              <w:rPr>
                <w:rFonts w:ascii="Arial" w:hAnsi="Arial" w:cs="Arial"/>
                <w:bCs/>
                <w:i/>
                <w:sz w:val="22"/>
                <w:szCs w:val="22"/>
              </w:rPr>
            </w:pPr>
          </w:p>
          <w:p w14:paraId="4C55E6EC" w14:textId="77777777" w:rsidR="00D37365" w:rsidRPr="00A82DE8" w:rsidRDefault="00D37365">
            <w:pPr>
              <w:pStyle w:val="NormalWeb"/>
              <w:spacing w:before="0" w:beforeAutospacing="0" w:after="0" w:afterAutospacing="0"/>
              <w:ind w:right="-334"/>
              <w:rPr>
                <w:rFonts w:ascii="Arial" w:hAnsi="Arial" w:cs="Arial"/>
                <w:b/>
                <w:bCs/>
                <w:sz w:val="22"/>
                <w:szCs w:val="22"/>
              </w:rPr>
            </w:pPr>
            <w:r w:rsidRPr="00A82DE8">
              <w:rPr>
                <w:rFonts w:ascii="Arial" w:hAnsi="Arial" w:cs="Arial"/>
                <w:b/>
                <w:bCs/>
                <w:sz w:val="22"/>
                <w:szCs w:val="22"/>
              </w:rPr>
              <w:t>For completion by Marker 2/Moderator:</w:t>
            </w:r>
          </w:p>
          <w:p w14:paraId="1688CC22" w14:textId="77777777" w:rsidR="00D37365" w:rsidRPr="00A82DE8" w:rsidRDefault="00D37365">
            <w:pPr>
              <w:pStyle w:val="NormalWeb"/>
              <w:spacing w:before="0" w:beforeAutospacing="0" w:after="0" w:afterAutospacing="0"/>
              <w:ind w:right="-334"/>
              <w:rPr>
                <w:rFonts w:ascii="Arial" w:hAnsi="Arial" w:cs="Arial"/>
                <w:b/>
                <w:bCs/>
                <w:sz w:val="22"/>
                <w:szCs w:val="22"/>
              </w:rPr>
            </w:pPr>
          </w:p>
          <w:p w14:paraId="190BEECC" w14:textId="77777777" w:rsidR="00D37365" w:rsidRPr="00A82DE8" w:rsidRDefault="00D37365">
            <w:pPr>
              <w:pStyle w:val="NormalWeb"/>
              <w:spacing w:before="0" w:beforeAutospacing="0" w:after="0" w:afterAutospacing="0"/>
              <w:ind w:right="-334"/>
              <w:rPr>
                <w:rFonts w:ascii="Arial" w:hAnsi="Arial" w:cs="Arial"/>
                <w:bCs/>
                <w:sz w:val="22"/>
                <w:szCs w:val="22"/>
              </w:rPr>
            </w:pPr>
            <w:r w:rsidRPr="00A82DE8">
              <w:rPr>
                <w:rFonts w:ascii="Arial" w:hAnsi="Arial" w:cs="Arial"/>
                <w:bCs/>
                <w:sz w:val="22"/>
                <w:szCs w:val="22"/>
              </w:rPr>
              <w:t>Comments:</w:t>
            </w:r>
          </w:p>
          <w:p w14:paraId="79D4D5A8"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75158E28"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56FB85BF"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0A46DBEA"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5B6F4638"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56E5C49C"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47B46E96"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70034921"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4919729F"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704F0C82"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239FD3C2"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458B8F1F" w14:textId="77777777" w:rsidR="00D37365" w:rsidRPr="00A82DE8" w:rsidRDefault="00D37365">
            <w:pPr>
              <w:pStyle w:val="NormalWeb"/>
              <w:spacing w:before="0" w:beforeAutospacing="0" w:after="0" w:afterAutospacing="0"/>
              <w:ind w:right="-334"/>
              <w:rPr>
                <w:rFonts w:ascii="Arial" w:hAnsi="Arial" w:cs="Arial"/>
                <w:bCs/>
                <w:sz w:val="22"/>
                <w:szCs w:val="22"/>
              </w:rPr>
            </w:pPr>
          </w:p>
        </w:tc>
      </w:tr>
      <w:tr w:rsidR="00D37365" w:rsidRPr="00A82DE8" w14:paraId="46FE0E2A" w14:textId="77777777" w:rsidTr="00D37365">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B35DA98" w14:textId="77777777" w:rsidR="00D37365" w:rsidRPr="00A82DE8" w:rsidRDefault="00D37365">
            <w:pPr>
              <w:pStyle w:val="NormalWeb"/>
              <w:spacing w:before="0" w:beforeAutospacing="0" w:after="0" w:afterAutospacing="0"/>
              <w:ind w:right="-334"/>
              <w:rPr>
                <w:rFonts w:ascii="Arial" w:hAnsi="Arial" w:cs="Arial"/>
                <w:bCs/>
                <w:sz w:val="22"/>
                <w:szCs w:val="22"/>
              </w:rPr>
            </w:pPr>
            <w:r w:rsidRPr="00A82DE8">
              <w:rPr>
                <w:rFonts w:ascii="Arial" w:hAnsi="Arial" w:cs="Arial"/>
                <w:bCs/>
                <w:sz w:val="22"/>
                <w:szCs w:val="22"/>
              </w:rPr>
              <w:lastRenderedPageBreak/>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C0FD8D4" w14:textId="77777777" w:rsidR="00D37365" w:rsidRPr="00A82DE8" w:rsidRDefault="00D37365">
            <w:pPr>
              <w:pStyle w:val="NormalWeb"/>
              <w:spacing w:before="0" w:beforeAutospacing="0" w:after="0" w:afterAutospacing="0"/>
              <w:ind w:right="-334"/>
              <w:rPr>
                <w:rFonts w:ascii="Arial" w:hAnsi="Arial" w:cs="Arial"/>
                <w:bCs/>
                <w:sz w:val="22"/>
                <w:szCs w:val="22"/>
              </w:rPr>
            </w:pPr>
            <w:r w:rsidRPr="00A82DE8">
              <w:rPr>
                <w:rFonts w:ascii="Arial" w:hAnsi="Arial" w:cs="Arial"/>
                <w:bCs/>
                <w:sz w:val="22"/>
                <w:szCs w:val="22"/>
              </w:rPr>
              <w:t>Date:</w:t>
            </w:r>
          </w:p>
        </w:tc>
      </w:tr>
      <w:tr w:rsidR="00D37365" w:rsidRPr="00A82DE8" w14:paraId="00350372" w14:textId="77777777" w:rsidTr="00D37365">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1B72303C" w14:textId="77777777" w:rsidR="00D37365" w:rsidRPr="00A82DE8" w:rsidRDefault="00D37365">
            <w:pPr>
              <w:rPr>
                <w:rFonts w:ascii="Arial" w:hAnsi="Arial" w:cs="Arial"/>
                <w:b/>
              </w:rPr>
            </w:pPr>
            <w:r w:rsidRPr="00A82DE8">
              <w:rPr>
                <w:rFonts w:ascii="Arial" w:hAnsi="Arial" w:cs="Arial"/>
                <w:b/>
              </w:rPr>
              <w:t>External Examiner’s comments (if relevant)</w:t>
            </w:r>
          </w:p>
          <w:p w14:paraId="06B13283"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56EB6E5B"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20F57DB1"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04E3A09C"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2B9521B8"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133B474B"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642ACB9B"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58D1DE76"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065036F4"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4E58D933" w14:textId="77777777" w:rsidR="00D37365" w:rsidRPr="00A82DE8" w:rsidRDefault="00D37365">
            <w:pPr>
              <w:pStyle w:val="NormalWeb"/>
              <w:spacing w:before="0" w:beforeAutospacing="0" w:after="0" w:afterAutospacing="0"/>
              <w:ind w:right="-334"/>
              <w:rPr>
                <w:rFonts w:ascii="Arial" w:hAnsi="Arial" w:cs="Arial"/>
                <w:bCs/>
                <w:sz w:val="22"/>
                <w:szCs w:val="22"/>
              </w:rPr>
            </w:pPr>
          </w:p>
          <w:p w14:paraId="419159F6" w14:textId="77777777" w:rsidR="00D37365" w:rsidRPr="00A82DE8" w:rsidRDefault="00D37365">
            <w:pPr>
              <w:pStyle w:val="NormalWeb"/>
              <w:spacing w:before="0" w:beforeAutospacing="0" w:after="0" w:afterAutospacing="0"/>
              <w:ind w:right="-334"/>
              <w:rPr>
                <w:rFonts w:ascii="Arial" w:hAnsi="Arial" w:cs="Arial"/>
                <w:bCs/>
                <w:sz w:val="22"/>
                <w:szCs w:val="22"/>
              </w:rPr>
            </w:pPr>
          </w:p>
        </w:tc>
      </w:tr>
      <w:tr w:rsidR="00D37365" w:rsidRPr="00A82DE8" w14:paraId="528E474A" w14:textId="77777777" w:rsidTr="00D37365">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0CD1CE0F" w14:textId="77777777" w:rsidR="00D37365" w:rsidRPr="00A82DE8" w:rsidRDefault="00D37365">
            <w:pPr>
              <w:rPr>
                <w:rFonts w:ascii="Arial" w:hAnsi="Arial" w:cs="Arial"/>
              </w:rPr>
            </w:pPr>
            <w:r w:rsidRPr="00A82DE8">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7DADE47" w14:textId="77777777" w:rsidR="00D37365" w:rsidRPr="00A82DE8" w:rsidRDefault="00D37365">
            <w:pPr>
              <w:rPr>
                <w:rFonts w:ascii="Arial" w:hAnsi="Arial" w:cs="Arial"/>
              </w:rPr>
            </w:pPr>
            <w:r w:rsidRPr="00A82DE8">
              <w:rPr>
                <w:rFonts w:ascii="Arial" w:hAnsi="Arial" w:cs="Arial"/>
              </w:rPr>
              <w:t>Date:</w:t>
            </w:r>
          </w:p>
        </w:tc>
      </w:tr>
    </w:tbl>
    <w:p w14:paraId="3751B5F4" w14:textId="77777777" w:rsidR="00D37365" w:rsidRPr="00A82DE8" w:rsidRDefault="00D37365" w:rsidP="00D37365">
      <w:pPr>
        <w:pStyle w:val="NormalWeb"/>
        <w:spacing w:before="0" w:beforeAutospacing="0" w:after="0" w:afterAutospacing="0"/>
        <w:ind w:right="-334"/>
        <w:rPr>
          <w:rFonts w:ascii="Arial" w:hAnsi="Arial" w:cs="Arial"/>
          <w:bCs/>
          <w:sz w:val="24"/>
          <w:szCs w:val="24"/>
        </w:rPr>
      </w:pPr>
    </w:p>
    <w:p w14:paraId="0F7CC83F" w14:textId="411ACF36" w:rsidR="00E41DD0" w:rsidRPr="00A82DE8" w:rsidRDefault="00E41DD0">
      <w:pPr>
        <w:rPr>
          <w:rFonts w:ascii="Arial" w:hAnsi="Arial" w:cs="Arial"/>
        </w:rPr>
      </w:pPr>
    </w:p>
    <w:p w14:paraId="3C8C188B" w14:textId="659662BD" w:rsidR="00E41DD0" w:rsidRPr="00A82DE8" w:rsidRDefault="00E41DD0">
      <w:pPr>
        <w:rPr>
          <w:rFonts w:ascii="Arial" w:hAnsi="Arial" w:cs="Arial"/>
        </w:rPr>
      </w:pPr>
    </w:p>
    <w:p w14:paraId="5556C91F" w14:textId="7D6E89A4" w:rsidR="00E41DD0" w:rsidRPr="00A82DE8" w:rsidRDefault="00E41DD0">
      <w:pPr>
        <w:rPr>
          <w:rFonts w:ascii="Arial" w:hAnsi="Arial" w:cs="Arial"/>
        </w:rPr>
      </w:pPr>
    </w:p>
    <w:p w14:paraId="14A3618D" w14:textId="5AE21332" w:rsidR="00E41DD0" w:rsidRPr="00A82DE8" w:rsidRDefault="00E41DD0">
      <w:pPr>
        <w:rPr>
          <w:rFonts w:ascii="Arial" w:hAnsi="Arial" w:cs="Arial"/>
        </w:rPr>
      </w:pPr>
    </w:p>
    <w:p w14:paraId="2E074F1D" w14:textId="6972DF3A" w:rsidR="00E41DD0" w:rsidRPr="00A82DE8" w:rsidRDefault="00E41DD0">
      <w:pPr>
        <w:rPr>
          <w:rFonts w:ascii="Arial" w:hAnsi="Arial" w:cs="Arial"/>
        </w:rPr>
      </w:pPr>
    </w:p>
    <w:p w14:paraId="76EAB026" w14:textId="24749A37" w:rsidR="00E41DD0" w:rsidRPr="00A82DE8" w:rsidRDefault="00E41DD0">
      <w:pPr>
        <w:rPr>
          <w:rFonts w:ascii="Arial" w:hAnsi="Arial" w:cs="Arial"/>
        </w:rPr>
      </w:pPr>
    </w:p>
    <w:p w14:paraId="284D05ED" w14:textId="2DE915B0" w:rsidR="00E41DD0" w:rsidRPr="00A82DE8" w:rsidRDefault="00E41DD0">
      <w:pPr>
        <w:rPr>
          <w:rFonts w:ascii="Arial" w:hAnsi="Arial" w:cs="Arial"/>
        </w:rPr>
      </w:pPr>
    </w:p>
    <w:p w14:paraId="61F1CA71" w14:textId="13F03229" w:rsidR="00E41DD0" w:rsidRPr="00A82DE8" w:rsidRDefault="00E41DD0">
      <w:pPr>
        <w:rPr>
          <w:rFonts w:ascii="Arial" w:hAnsi="Arial" w:cs="Arial"/>
        </w:rPr>
      </w:pPr>
    </w:p>
    <w:p w14:paraId="00C111F6" w14:textId="09DAAD4A" w:rsidR="00E41DD0" w:rsidRPr="00A82DE8" w:rsidRDefault="00E41DD0">
      <w:pPr>
        <w:rPr>
          <w:rFonts w:ascii="Arial" w:hAnsi="Arial" w:cs="Arial"/>
        </w:rPr>
      </w:pPr>
    </w:p>
    <w:p w14:paraId="253695BA" w14:textId="3A1AB522" w:rsidR="00E41DD0" w:rsidRPr="00A82DE8" w:rsidRDefault="00E41DD0">
      <w:pPr>
        <w:rPr>
          <w:rFonts w:ascii="Arial" w:hAnsi="Arial" w:cs="Arial"/>
        </w:rPr>
      </w:pPr>
    </w:p>
    <w:p w14:paraId="2DA3B028" w14:textId="7BA9C5BF" w:rsidR="00E41DD0" w:rsidRPr="00A82DE8" w:rsidRDefault="00E41DD0">
      <w:pPr>
        <w:rPr>
          <w:rFonts w:ascii="Arial" w:hAnsi="Arial" w:cs="Arial"/>
        </w:rPr>
      </w:pPr>
    </w:p>
    <w:p w14:paraId="3B141AB6" w14:textId="0D51885E" w:rsidR="00E41DD0" w:rsidRPr="00A82DE8" w:rsidRDefault="00E41DD0">
      <w:pPr>
        <w:rPr>
          <w:rFonts w:ascii="Arial" w:hAnsi="Arial" w:cs="Arial"/>
        </w:rPr>
      </w:pPr>
    </w:p>
    <w:p w14:paraId="0BE9463C" w14:textId="0F38153C" w:rsidR="00E41DD0" w:rsidRPr="00A82DE8" w:rsidRDefault="00E41DD0">
      <w:pPr>
        <w:rPr>
          <w:rFonts w:ascii="Arial" w:hAnsi="Arial" w:cs="Arial"/>
        </w:rPr>
      </w:pPr>
    </w:p>
    <w:p w14:paraId="7593636E" w14:textId="162198B6" w:rsidR="00E41DD0" w:rsidRPr="00A82DE8" w:rsidRDefault="00E41DD0">
      <w:pPr>
        <w:rPr>
          <w:rFonts w:ascii="Arial" w:hAnsi="Arial" w:cs="Arial"/>
        </w:rPr>
      </w:pPr>
    </w:p>
    <w:p w14:paraId="17B6993B" w14:textId="77777777" w:rsidR="00106E60" w:rsidRPr="00A82DE8" w:rsidRDefault="00106E60">
      <w:pPr>
        <w:rPr>
          <w:rFonts w:ascii="Arial" w:hAnsi="Arial" w:cs="Arial"/>
        </w:rPr>
      </w:pPr>
    </w:p>
    <w:p w14:paraId="390EE506" w14:textId="0535CD58" w:rsidR="00E41DD0" w:rsidRPr="00A82DE8" w:rsidRDefault="00E41DD0">
      <w:pPr>
        <w:rPr>
          <w:rFonts w:ascii="Arial" w:hAnsi="Arial" w:cs="Arial"/>
        </w:rPr>
      </w:pPr>
    </w:p>
    <w:p w14:paraId="7C135566" w14:textId="77777777" w:rsidR="00D37365" w:rsidRPr="00A82DE8" w:rsidRDefault="00D37365">
      <w:pPr>
        <w:rPr>
          <w:rFonts w:ascii="Arial" w:hAnsi="Arial" w:cs="Arial"/>
        </w:rPr>
      </w:pPr>
    </w:p>
    <w:p w14:paraId="2146535E" w14:textId="77777777" w:rsidR="00E41DD0" w:rsidRPr="00A82DE8" w:rsidRDefault="00E41DD0">
      <w:pPr>
        <w:rPr>
          <w:rFonts w:ascii="Arial" w:hAnsi="Arial" w:cs="Arial"/>
        </w:rPr>
      </w:pPr>
    </w:p>
    <w:p w14:paraId="53542115" w14:textId="717242C2" w:rsidR="00AD38BD" w:rsidRPr="00A82DE8" w:rsidRDefault="004A3BCB">
      <w:pPr>
        <w:rPr>
          <w:rFonts w:ascii="Arial" w:hAnsi="Arial" w:cs="Arial"/>
        </w:rPr>
      </w:pPr>
      <w:r w:rsidRPr="00A82DE8">
        <w:rPr>
          <w:rFonts w:ascii="Arial" w:hAnsi="Arial" w:cs="Arial"/>
          <w:b/>
          <w:bCs/>
          <w:u w:val="single"/>
        </w:rPr>
        <w:lastRenderedPageBreak/>
        <w:t>A Critical Comparison of Two Articles on The Red Book by C. G. Jung</w:t>
      </w:r>
      <w:r w:rsidRPr="00A82DE8">
        <w:rPr>
          <w:rFonts w:ascii="Arial" w:hAnsi="Arial" w:cs="Arial"/>
        </w:rPr>
        <w:t xml:space="preserve"> </w:t>
      </w:r>
    </w:p>
    <w:p w14:paraId="50C1DB4B" w14:textId="09807192" w:rsidR="00F80EC8" w:rsidRPr="00A82DE8" w:rsidRDefault="008C5E17">
      <w:pPr>
        <w:rPr>
          <w:rFonts w:ascii="Arial" w:hAnsi="Arial" w:cs="Arial"/>
          <w:b/>
          <w:bCs/>
          <w:u w:val="single"/>
        </w:rPr>
      </w:pPr>
      <w:r w:rsidRPr="00A82DE8">
        <w:rPr>
          <w:rFonts w:ascii="Arial" w:hAnsi="Arial" w:cs="Arial"/>
          <w:b/>
          <w:bCs/>
          <w:u w:val="single"/>
        </w:rPr>
        <w:t xml:space="preserve">Introduction </w:t>
      </w:r>
    </w:p>
    <w:p w14:paraId="100B7D8D" w14:textId="3B2898AF" w:rsidR="00F80EC8" w:rsidRPr="00A82DE8" w:rsidRDefault="00983ACB" w:rsidP="00F80EC8">
      <w:pPr>
        <w:jc w:val="both"/>
        <w:rPr>
          <w:rFonts w:ascii="Arial" w:hAnsi="Arial" w:cs="Arial"/>
        </w:rPr>
      </w:pPr>
      <w:r w:rsidRPr="00A82DE8">
        <w:rPr>
          <w:rFonts w:ascii="Arial" w:hAnsi="Arial" w:cs="Arial"/>
        </w:rPr>
        <w:t xml:space="preserve">This essay critically </w:t>
      </w:r>
      <w:proofErr w:type="gramStart"/>
      <w:r w:rsidRPr="00A82DE8">
        <w:rPr>
          <w:rFonts w:ascii="Arial" w:hAnsi="Arial" w:cs="Arial"/>
        </w:rPr>
        <w:t>compares and contrasts</w:t>
      </w:r>
      <w:proofErr w:type="gramEnd"/>
      <w:r w:rsidRPr="00A82DE8">
        <w:rPr>
          <w:rFonts w:ascii="Arial" w:hAnsi="Arial" w:cs="Arial"/>
        </w:rPr>
        <w:t xml:space="preserve"> two JSTOR papers</w:t>
      </w:r>
      <w:r w:rsidR="00513707" w:rsidRPr="00A82DE8">
        <w:rPr>
          <w:rFonts w:ascii="Arial" w:hAnsi="Arial" w:cs="Arial"/>
        </w:rPr>
        <w:t xml:space="preserve"> on </w:t>
      </w:r>
      <w:r w:rsidR="007536EE" w:rsidRPr="00A82DE8">
        <w:rPr>
          <w:rFonts w:ascii="Arial" w:hAnsi="Arial" w:cs="Arial"/>
        </w:rPr>
        <w:t>“The Red Book” by C.G. Jung.</w:t>
      </w:r>
      <w:r w:rsidRPr="00A82DE8">
        <w:rPr>
          <w:rFonts w:ascii="Arial" w:hAnsi="Arial" w:cs="Arial"/>
        </w:rPr>
        <w:t xml:space="preserve"> </w:t>
      </w:r>
      <w:r w:rsidR="006A3293" w:rsidRPr="00A82DE8">
        <w:rPr>
          <w:rFonts w:ascii="Arial" w:hAnsi="Arial" w:cs="Arial"/>
        </w:rPr>
        <w:t>The two papers chosen are</w:t>
      </w:r>
      <w:r w:rsidR="00366867" w:rsidRPr="00A82DE8">
        <w:rPr>
          <w:rFonts w:ascii="Arial" w:hAnsi="Arial" w:cs="Arial"/>
        </w:rPr>
        <w:t xml:space="preserve"> ‘The Son of Earth in C.G. Jung’s The Red Book’, Jung Journal: Culture &amp; Psyche, vol.5, no.3 (2011), pp.78-93, and of D.B Hart, ‘Jung’s Therapeutic Gnosticism’, (2013). </w:t>
      </w:r>
      <w:r w:rsidR="007A648B" w:rsidRPr="00A82DE8">
        <w:rPr>
          <w:rFonts w:ascii="Arial" w:hAnsi="Arial" w:cs="Arial"/>
        </w:rPr>
        <w:t xml:space="preserve">The two papers deal with investigating the ideas of Jung and the meanings behind them </w:t>
      </w:r>
      <w:r w:rsidR="0005336E" w:rsidRPr="00A82DE8">
        <w:rPr>
          <w:rFonts w:ascii="Arial" w:hAnsi="Arial" w:cs="Arial"/>
        </w:rPr>
        <w:t xml:space="preserve">that are mainly present in Jung’s </w:t>
      </w:r>
      <w:r w:rsidR="009C7E7D" w:rsidRPr="00A82DE8">
        <w:rPr>
          <w:rFonts w:ascii="Arial" w:hAnsi="Arial" w:cs="Arial"/>
        </w:rPr>
        <w:t>“The</w:t>
      </w:r>
      <w:r w:rsidR="0005336E" w:rsidRPr="00A82DE8">
        <w:rPr>
          <w:rFonts w:ascii="Arial" w:hAnsi="Arial" w:cs="Arial"/>
        </w:rPr>
        <w:t xml:space="preserve"> Red Book”</w:t>
      </w:r>
      <w:r w:rsidR="001535E6" w:rsidRPr="00A82DE8">
        <w:rPr>
          <w:rFonts w:ascii="Arial" w:hAnsi="Arial" w:cs="Arial"/>
        </w:rPr>
        <w:t>.</w:t>
      </w:r>
      <w:r w:rsidR="0005336E" w:rsidRPr="00A82DE8">
        <w:rPr>
          <w:rFonts w:ascii="Arial" w:hAnsi="Arial" w:cs="Arial"/>
        </w:rPr>
        <w:t xml:space="preserve"> However, unlike Hart, Schweizer’s paper investigates several sources that of Jung other than just “The Red Book” like</w:t>
      </w:r>
      <w:r w:rsidR="001535E6" w:rsidRPr="00A82DE8">
        <w:rPr>
          <w:rFonts w:ascii="Arial" w:hAnsi="Arial" w:cs="Arial"/>
        </w:rPr>
        <w:t>,</w:t>
      </w:r>
      <w:r w:rsidR="0005336E" w:rsidRPr="00A82DE8">
        <w:rPr>
          <w:rFonts w:ascii="Arial" w:hAnsi="Arial" w:cs="Arial"/>
        </w:rPr>
        <w:t xml:space="preserve"> “Memories, Dreams, Reflections”, and “ The Black books”,</w:t>
      </w:r>
      <w:r w:rsidR="002D315C" w:rsidRPr="00A82DE8">
        <w:rPr>
          <w:rFonts w:ascii="Arial" w:hAnsi="Arial" w:cs="Arial"/>
        </w:rPr>
        <w:t xml:space="preserve"> and that</w:t>
      </w:r>
      <w:r w:rsidR="0005336E" w:rsidRPr="00A82DE8">
        <w:rPr>
          <w:rFonts w:ascii="Arial" w:hAnsi="Arial" w:cs="Arial"/>
        </w:rPr>
        <w:t xml:space="preserve"> makes his analytical remarks much more deeper</w:t>
      </w:r>
      <w:r w:rsidR="002D315C" w:rsidRPr="00A82DE8">
        <w:rPr>
          <w:rFonts w:ascii="Arial" w:hAnsi="Arial" w:cs="Arial"/>
        </w:rPr>
        <w:t xml:space="preserve"> than that of Hart.</w:t>
      </w:r>
      <w:r w:rsidR="00513707" w:rsidRPr="00A82DE8">
        <w:rPr>
          <w:rFonts w:ascii="Arial" w:hAnsi="Arial" w:cs="Arial"/>
        </w:rPr>
        <w:t xml:space="preserve"> In addition, something that plays an important role in analyzing Jung’s ideas in both papers is the background of the authors. Both authors have a background </w:t>
      </w:r>
      <w:r w:rsidR="001535E6" w:rsidRPr="00A82DE8">
        <w:rPr>
          <w:rFonts w:ascii="Arial" w:hAnsi="Arial" w:cs="Arial"/>
        </w:rPr>
        <w:t>of</w:t>
      </w:r>
      <w:r w:rsidR="00513707" w:rsidRPr="00A82DE8">
        <w:rPr>
          <w:rFonts w:ascii="Arial" w:hAnsi="Arial" w:cs="Arial"/>
        </w:rPr>
        <w:t xml:space="preserve"> philosophy, for Hart is a philosopher/theologian and a writer,</w:t>
      </w:r>
      <w:r w:rsidR="00513707" w:rsidRPr="00A82DE8">
        <w:rPr>
          <w:rStyle w:val="FootnoteReference"/>
          <w:rFonts w:ascii="Arial" w:hAnsi="Arial" w:cs="Arial"/>
        </w:rPr>
        <w:footnoteReference w:id="1"/>
      </w:r>
      <w:r w:rsidR="00513707" w:rsidRPr="00A82DE8">
        <w:rPr>
          <w:rFonts w:ascii="Arial" w:hAnsi="Arial" w:cs="Arial"/>
        </w:rPr>
        <w:t xml:space="preserve"> whereas Schweizer is also a philosopher/ theologian, but he is also a practicing Jungian analyst.</w:t>
      </w:r>
      <w:r w:rsidR="00513707" w:rsidRPr="00A82DE8">
        <w:rPr>
          <w:rStyle w:val="FootnoteReference"/>
          <w:rFonts w:ascii="Arial" w:hAnsi="Arial" w:cs="Arial"/>
        </w:rPr>
        <w:footnoteReference w:id="2"/>
      </w:r>
      <w:r w:rsidR="00513707" w:rsidRPr="00A82DE8">
        <w:rPr>
          <w:rFonts w:ascii="Arial" w:hAnsi="Arial" w:cs="Arial"/>
        </w:rPr>
        <w:t xml:space="preserve"> </w:t>
      </w:r>
      <w:r w:rsidR="00F31BAD" w:rsidRPr="00A82DE8">
        <w:rPr>
          <w:rFonts w:ascii="Arial" w:hAnsi="Arial" w:cs="Arial"/>
        </w:rPr>
        <w:t>Nevertheless, “The Red Book” is basically about Jung’s own self-experiment which was later on known as “confrontation with the unconscious”. This method as Jung named it is called “Active Imagination”, it played a role into</w:t>
      </w:r>
      <w:r w:rsidR="00FA1845" w:rsidRPr="00A82DE8">
        <w:rPr>
          <w:rFonts w:ascii="Arial" w:hAnsi="Arial" w:cs="Arial"/>
        </w:rPr>
        <w:t xml:space="preserve"> getting to the bottom of his inner processes,</w:t>
      </w:r>
      <w:r w:rsidR="00F31BAD" w:rsidRPr="00A82DE8">
        <w:rPr>
          <w:rFonts w:ascii="Arial" w:hAnsi="Arial" w:cs="Arial"/>
        </w:rPr>
        <w:t xml:space="preserve"> </w:t>
      </w:r>
      <w:r w:rsidR="00FA1845" w:rsidRPr="00A82DE8">
        <w:rPr>
          <w:rFonts w:ascii="Arial" w:hAnsi="Arial" w:cs="Arial"/>
        </w:rPr>
        <w:t>translating his emotions into images, and grasping the fantasies which were stirring underground.</w:t>
      </w:r>
      <w:r w:rsidR="00FA1845" w:rsidRPr="00A82DE8">
        <w:rPr>
          <w:rStyle w:val="FootnoteReference"/>
          <w:rFonts w:ascii="Arial" w:hAnsi="Arial" w:cs="Arial"/>
        </w:rPr>
        <w:footnoteReference w:id="3"/>
      </w:r>
      <w:r w:rsidR="00FA1845" w:rsidRPr="00A82DE8">
        <w:rPr>
          <w:rFonts w:ascii="Arial" w:hAnsi="Arial" w:cs="Arial"/>
        </w:rPr>
        <w:t xml:space="preserve"> </w:t>
      </w:r>
      <w:r w:rsidR="003B4109" w:rsidRPr="00A82DE8">
        <w:rPr>
          <w:rFonts w:ascii="Arial" w:hAnsi="Arial" w:cs="Arial"/>
        </w:rPr>
        <w:t>However, his fantasies were first written in “The Black Books”, hence “ The Red book”, is merely and updated revised version of his fantasies in addition to reflections presented in a</w:t>
      </w:r>
      <w:r w:rsidR="00B21E5F" w:rsidRPr="00A82DE8">
        <w:rPr>
          <w:rFonts w:ascii="Arial" w:hAnsi="Arial" w:cs="Arial"/>
        </w:rPr>
        <w:t xml:space="preserve">n artistic </w:t>
      </w:r>
      <w:r w:rsidR="003B4109" w:rsidRPr="00A82DE8">
        <w:rPr>
          <w:rFonts w:ascii="Arial" w:hAnsi="Arial" w:cs="Arial"/>
        </w:rPr>
        <w:t>calligraphic script.</w:t>
      </w:r>
      <w:r w:rsidR="00B21E5F" w:rsidRPr="00A82DE8">
        <w:rPr>
          <w:rStyle w:val="FootnoteReference"/>
          <w:rFonts w:ascii="Arial" w:hAnsi="Arial" w:cs="Arial"/>
        </w:rPr>
        <w:footnoteReference w:id="4"/>
      </w:r>
      <w:r w:rsidR="001535E6" w:rsidRPr="00A82DE8">
        <w:rPr>
          <w:rFonts w:ascii="Arial" w:hAnsi="Arial" w:cs="Arial"/>
        </w:rPr>
        <w:t xml:space="preserve"> Moreover, the audience of both papers are people who are interested in religion, the only difference is that Schweizer’s paper address people who are familiar with Jung’s theories.</w:t>
      </w:r>
      <w:r w:rsidR="003B4109" w:rsidRPr="00A82DE8">
        <w:rPr>
          <w:rFonts w:ascii="Arial" w:hAnsi="Arial" w:cs="Arial"/>
        </w:rPr>
        <w:t xml:space="preserve"> </w:t>
      </w:r>
      <w:r w:rsidR="0001342C" w:rsidRPr="00A82DE8">
        <w:rPr>
          <w:rFonts w:ascii="Arial" w:hAnsi="Arial" w:cs="Arial"/>
        </w:rPr>
        <w:t xml:space="preserve">Furthermore, this essay will include </w:t>
      </w:r>
      <w:r w:rsidR="00BE6A5E" w:rsidRPr="00A82DE8">
        <w:rPr>
          <w:rFonts w:ascii="Arial" w:hAnsi="Arial" w:cs="Arial"/>
        </w:rPr>
        <w:t xml:space="preserve">four </w:t>
      </w:r>
      <w:r w:rsidR="0001342C" w:rsidRPr="00A82DE8">
        <w:rPr>
          <w:rFonts w:ascii="Arial" w:hAnsi="Arial" w:cs="Arial"/>
        </w:rPr>
        <w:t xml:space="preserve">themes that deal with the two papers listed above, the </w:t>
      </w:r>
      <w:r w:rsidR="00F80EC8" w:rsidRPr="00A82DE8">
        <w:rPr>
          <w:rFonts w:ascii="Arial" w:hAnsi="Arial" w:cs="Arial"/>
        </w:rPr>
        <w:t>four</w:t>
      </w:r>
      <w:r w:rsidR="0001342C" w:rsidRPr="00A82DE8">
        <w:rPr>
          <w:rFonts w:ascii="Arial" w:hAnsi="Arial" w:cs="Arial"/>
        </w:rPr>
        <w:t xml:space="preserve"> themes </w:t>
      </w:r>
      <w:r w:rsidR="00A82DE8" w:rsidRPr="00A82DE8">
        <w:rPr>
          <w:rFonts w:ascii="Arial" w:hAnsi="Arial" w:cs="Arial"/>
        </w:rPr>
        <w:t>are: “Structure</w:t>
      </w:r>
      <w:r w:rsidR="00B01B54" w:rsidRPr="00A82DE8">
        <w:rPr>
          <w:rFonts w:ascii="Arial" w:hAnsi="Arial" w:cs="Arial"/>
        </w:rPr>
        <w:t xml:space="preserve"> and Credibility”, “The Author’s views and opinions about the red book”, “Description of the red book”</w:t>
      </w:r>
      <w:r w:rsidR="00BE6A5E" w:rsidRPr="00A82DE8">
        <w:rPr>
          <w:rFonts w:ascii="Arial" w:hAnsi="Arial" w:cs="Arial"/>
        </w:rPr>
        <w:t>, and last but not lea</w:t>
      </w:r>
      <w:r w:rsidR="00B01B54" w:rsidRPr="00A82DE8">
        <w:rPr>
          <w:rFonts w:ascii="Arial" w:hAnsi="Arial" w:cs="Arial"/>
        </w:rPr>
        <w:t xml:space="preserve">st “ The Archetypes”. </w:t>
      </w:r>
    </w:p>
    <w:p w14:paraId="56E0E38A" w14:textId="78A3F159" w:rsidR="00F80EC8" w:rsidRPr="00A82DE8" w:rsidRDefault="00F80EC8" w:rsidP="00F80EC8">
      <w:pPr>
        <w:jc w:val="both"/>
        <w:rPr>
          <w:rFonts w:ascii="Arial" w:hAnsi="Arial" w:cs="Arial"/>
          <w:b/>
          <w:bCs/>
          <w:u w:val="single"/>
        </w:rPr>
      </w:pPr>
      <w:r w:rsidRPr="00A82DE8">
        <w:rPr>
          <w:rFonts w:ascii="Arial" w:hAnsi="Arial" w:cs="Arial"/>
          <w:b/>
          <w:bCs/>
          <w:u w:val="single"/>
        </w:rPr>
        <w:t>Structure</w:t>
      </w:r>
      <w:r w:rsidR="00E4291B" w:rsidRPr="00A82DE8">
        <w:rPr>
          <w:rFonts w:ascii="Arial" w:hAnsi="Arial" w:cs="Arial"/>
          <w:b/>
          <w:bCs/>
          <w:u w:val="single"/>
        </w:rPr>
        <w:t xml:space="preserve"> </w:t>
      </w:r>
      <w:r w:rsidR="004F44A6" w:rsidRPr="00A82DE8">
        <w:rPr>
          <w:rFonts w:ascii="Arial" w:hAnsi="Arial" w:cs="Arial"/>
          <w:b/>
          <w:bCs/>
          <w:u w:val="single"/>
        </w:rPr>
        <w:t xml:space="preserve">and Credibility </w:t>
      </w:r>
    </w:p>
    <w:p w14:paraId="70C57B2E" w14:textId="020976C9" w:rsidR="00F80EC8" w:rsidRPr="00A82DE8" w:rsidRDefault="00F80EC8" w:rsidP="00F80EC8">
      <w:pPr>
        <w:jc w:val="both"/>
        <w:rPr>
          <w:rFonts w:ascii="Arial" w:hAnsi="Arial" w:cs="Arial"/>
        </w:rPr>
      </w:pPr>
      <w:r w:rsidRPr="00A82DE8">
        <w:rPr>
          <w:rFonts w:ascii="Arial" w:hAnsi="Arial" w:cs="Arial"/>
        </w:rPr>
        <w:t xml:space="preserve">To start with, both papers are presented in a totally different way, especially in their structure. For unlike hart, Schweizer has introduced his different ideas in themes that make it </w:t>
      </w:r>
      <w:r w:rsidR="00C76A63" w:rsidRPr="00A82DE8">
        <w:rPr>
          <w:rFonts w:ascii="Arial" w:hAnsi="Arial" w:cs="Arial"/>
        </w:rPr>
        <w:t xml:space="preserve">easier </w:t>
      </w:r>
      <w:r w:rsidRPr="00A82DE8">
        <w:rPr>
          <w:rFonts w:ascii="Arial" w:hAnsi="Arial" w:cs="Arial"/>
        </w:rPr>
        <w:t xml:space="preserve">to follow the ideas he is presenting, he </w:t>
      </w:r>
      <w:r w:rsidR="00C76A63" w:rsidRPr="00A82DE8">
        <w:rPr>
          <w:rFonts w:ascii="Arial" w:hAnsi="Arial" w:cs="Arial"/>
        </w:rPr>
        <w:t xml:space="preserve">has also </w:t>
      </w:r>
      <w:r w:rsidRPr="00A82DE8">
        <w:rPr>
          <w:rFonts w:ascii="Arial" w:hAnsi="Arial" w:cs="Arial"/>
        </w:rPr>
        <w:t>add</w:t>
      </w:r>
      <w:r w:rsidR="00C76A63" w:rsidRPr="00A82DE8">
        <w:rPr>
          <w:rFonts w:ascii="Arial" w:hAnsi="Arial" w:cs="Arial"/>
        </w:rPr>
        <w:t>ed</w:t>
      </w:r>
      <w:r w:rsidRPr="00A82DE8">
        <w:rPr>
          <w:rFonts w:ascii="Arial" w:hAnsi="Arial" w:cs="Arial"/>
        </w:rPr>
        <w:t xml:space="preserve"> an abstract</w:t>
      </w:r>
      <w:r w:rsidR="00C76A63" w:rsidRPr="00A82DE8">
        <w:rPr>
          <w:rFonts w:ascii="Arial" w:hAnsi="Arial" w:cs="Arial"/>
        </w:rPr>
        <w:t xml:space="preserve"> and keywords</w:t>
      </w:r>
      <w:r w:rsidR="001535E6" w:rsidRPr="00A82DE8">
        <w:rPr>
          <w:rFonts w:ascii="Arial" w:hAnsi="Arial" w:cs="Arial"/>
        </w:rPr>
        <w:t xml:space="preserve"> and his pages were numbered.</w:t>
      </w:r>
      <w:r w:rsidR="006A46FB" w:rsidRPr="00A82DE8">
        <w:rPr>
          <w:rFonts w:ascii="Arial" w:hAnsi="Arial" w:cs="Arial"/>
        </w:rPr>
        <w:t xml:space="preserve"> W</w:t>
      </w:r>
      <w:r w:rsidR="00C76A63" w:rsidRPr="00A82DE8">
        <w:rPr>
          <w:rFonts w:ascii="Arial" w:hAnsi="Arial" w:cs="Arial"/>
        </w:rPr>
        <w:t xml:space="preserve">hereas Hart had none of that, he </w:t>
      </w:r>
      <w:r w:rsidR="0035101F" w:rsidRPr="00A82DE8">
        <w:rPr>
          <w:rFonts w:ascii="Arial" w:hAnsi="Arial" w:cs="Arial"/>
        </w:rPr>
        <w:t xml:space="preserve">basically just </w:t>
      </w:r>
      <w:r w:rsidR="00C76A63" w:rsidRPr="00A82DE8">
        <w:rPr>
          <w:rFonts w:ascii="Arial" w:hAnsi="Arial" w:cs="Arial"/>
        </w:rPr>
        <w:t xml:space="preserve">used capital letters </w:t>
      </w:r>
      <w:r w:rsidR="0035101F" w:rsidRPr="00A82DE8">
        <w:rPr>
          <w:rFonts w:ascii="Arial" w:hAnsi="Arial" w:cs="Arial"/>
        </w:rPr>
        <w:t xml:space="preserve">in </w:t>
      </w:r>
      <w:r w:rsidR="006A46FB" w:rsidRPr="00A82DE8">
        <w:rPr>
          <w:rFonts w:ascii="Arial" w:hAnsi="Arial" w:cs="Arial"/>
        </w:rPr>
        <w:t>the beginning of some of his new ideas which is ironic because he seems to be imitating the style of “ The Red book” of capitalizing the first letter as an emphasize</w:t>
      </w:r>
      <w:r w:rsidR="006837DB" w:rsidRPr="00A82DE8">
        <w:rPr>
          <w:rFonts w:ascii="Arial" w:hAnsi="Arial" w:cs="Arial"/>
        </w:rPr>
        <w:t>s</w:t>
      </w:r>
      <w:r w:rsidR="006A46FB" w:rsidRPr="00A82DE8">
        <w:rPr>
          <w:rFonts w:ascii="Arial" w:hAnsi="Arial" w:cs="Arial"/>
        </w:rPr>
        <w:t xml:space="preserve"> of special significance</w:t>
      </w:r>
      <w:r w:rsidR="006A46FB" w:rsidRPr="00A82DE8">
        <w:rPr>
          <w:rStyle w:val="FootnoteReference"/>
          <w:rFonts w:ascii="Arial" w:hAnsi="Arial" w:cs="Arial"/>
        </w:rPr>
        <w:footnoteReference w:id="5"/>
      </w:r>
      <w:r w:rsidR="006A46FB" w:rsidRPr="00A82DE8">
        <w:rPr>
          <w:rFonts w:ascii="Arial" w:hAnsi="Arial" w:cs="Arial"/>
        </w:rPr>
        <w:t xml:space="preserve"> which he called Vulgar.</w:t>
      </w:r>
      <w:r w:rsidR="006A46FB" w:rsidRPr="00A82DE8">
        <w:rPr>
          <w:rStyle w:val="FootnoteReference"/>
          <w:rFonts w:ascii="Arial" w:hAnsi="Arial" w:cs="Arial"/>
        </w:rPr>
        <w:footnoteReference w:id="6"/>
      </w:r>
      <w:r w:rsidR="006A46FB" w:rsidRPr="00A82DE8">
        <w:rPr>
          <w:rFonts w:ascii="Arial" w:hAnsi="Arial" w:cs="Arial"/>
        </w:rPr>
        <w:t xml:space="preserve"> Moreover, unlike Schweizer</w:t>
      </w:r>
      <w:r w:rsidR="001677A1" w:rsidRPr="00A82DE8">
        <w:rPr>
          <w:rFonts w:ascii="Arial" w:hAnsi="Arial" w:cs="Arial"/>
        </w:rPr>
        <w:t xml:space="preserve">, Hart did not present his paper in a credible way, all of his ideas lacked evidence and not a single secondary source was mentioned. He was most certainly speaking according to his own opinion only, taking the form of a plain-spoken, sarcastic, careless tone. For example, he mentions </w:t>
      </w:r>
      <w:r w:rsidR="00577767" w:rsidRPr="00A82DE8">
        <w:rPr>
          <w:rFonts w:ascii="Arial" w:hAnsi="Arial" w:cs="Arial"/>
        </w:rPr>
        <w:t xml:space="preserve">that Jung had a vision of devouring the liver of a little girl followed by the comment ‘I do not recall why, exactly’, which shows carelessness or lack of analytical interpretations of the ideas he is presenting. Hence, instead of analyzing the deep meanings </w:t>
      </w:r>
      <w:r w:rsidR="00577767" w:rsidRPr="00A82DE8">
        <w:rPr>
          <w:rFonts w:ascii="Arial" w:hAnsi="Arial" w:cs="Arial"/>
        </w:rPr>
        <w:lastRenderedPageBreak/>
        <w:t>behind Jung’s vision he just describe</w:t>
      </w:r>
      <w:r w:rsidR="0081055A" w:rsidRPr="00A82DE8">
        <w:rPr>
          <w:rFonts w:ascii="Arial" w:hAnsi="Arial" w:cs="Arial"/>
        </w:rPr>
        <w:t>d</w:t>
      </w:r>
      <w:r w:rsidR="00577767" w:rsidRPr="00A82DE8">
        <w:rPr>
          <w:rFonts w:ascii="Arial" w:hAnsi="Arial" w:cs="Arial"/>
        </w:rPr>
        <w:t xml:space="preserve"> it as a vision of a person confined in a madhouse.</w:t>
      </w:r>
      <w:r w:rsidR="0081055A" w:rsidRPr="00A82DE8">
        <w:rPr>
          <w:rStyle w:val="FootnoteReference"/>
          <w:rFonts w:ascii="Arial" w:hAnsi="Arial" w:cs="Arial"/>
        </w:rPr>
        <w:footnoteReference w:id="7"/>
      </w:r>
      <w:r w:rsidR="0081055A" w:rsidRPr="00A82DE8">
        <w:rPr>
          <w:rFonts w:ascii="Arial" w:hAnsi="Arial" w:cs="Arial"/>
        </w:rPr>
        <w:t xml:space="preserve"> As for Schweizer, </w:t>
      </w:r>
      <w:r w:rsidR="006B2E97" w:rsidRPr="00A82DE8">
        <w:rPr>
          <w:rFonts w:ascii="Arial" w:hAnsi="Arial" w:cs="Arial"/>
        </w:rPr>
        <w:t>he includes several secondary sources that show another perspective of interpretation and analyzation of Jung’s ideas with clear parenthetical citations and a bibliography of all the sources he has used. However, another example of Hart’s careless tone is when he mentioned that he is omitting many details admittedly because he doubts that it matters, in contrast to S</w:t>
      </w:r>
      <w:r w:rsidR="00A65A04" w:rsidRPr="00A82DE8">
        <w:rPr>
          <w:rFonts w:ascii="Arial" w:hAnsi="Arial" w:cs="Arial"/>
        </w:rPr>
        <w:t>chweizer’s way of presentation that show</w:t>
      </w:r>
      <w:r w:rsidR="00FC1696" w:rsidRPr="00A82DE8">
        <w:rPr>
          <w:rFonts w:ascii="Arial" w:hAnsi="Arial" w:cs="Arial"/>
        </w:rPr>
        <w:t>s</w:t>
      </w:r>
      <w:r w:rsidR="00A65A04" w:rsidRPr="00A82DE8">
        <w:rPr>
          <w:rFonts w:ascii="Arial" w:hAnsi="Arial" w:cs="Arial"/>
        </w:rPr>
        <w:t xml:space="preserve"> a lot </w:t>
      </w:r>
      <w:r w:rsidR="00FC1696" w:rsidRPr="00A82DE8">
        <w:rPr>
          <w:rFonts w:ascii="Arial" w:hAnsi="Arial" w:cs="Arial"/>
        </w:rPr>
        <w:t>more</w:t>
      </w:r>
      <w:r w:rsidR="00A65A04" w:rsidRPr="00A82DE8">
        <w:rPr>
          <w:rFonts w:ascii="Arial" w:hAnsi="Arial" w:cs="Arial"/>
        </w:rPr>
        <w:t xml:space="preserve"> </w:t>
      </w:r>
      <w:r w:rsidR="005A19BD" w:rsidRPr="00A82DE8">
        <w:rPr>
          <w:rFonts w:ascii="Arial" w:hAnsi="Arial" w:cs="Arial"/>
        </w:rPr>
        <w:t xml:space="preserve">consideration </w:t>
      </w:r>
      <w:r w:rsidR="00FC1696" w:rsidRPr="00A82DE8">
        <w:rPr>
          <w:rFonts w:ascii="Arial" w:hAnsi="Arial" w:cs="Arial"/>
        </w:rPr>
        <w:t>to Jung’s ideas and visions. For example, he mentions that he is elaborating on Jung’s visions so explicitly because he thinks they are of importance and value.</w:t>
      </w:r>
      <w:r w:rsidR="00FC1696" w:rsidRPr="00A82DE8">
        <w:rPr>
          <w:rStyle w:val="FootnoteReference"/>
          <w:rFonts w:ascii="Arial" w:hAnsi="Arial" w:cs="Arial"/>
        </w:rPr>
        <w:footnoteReference w:id="8"/>
      </w:r>
      <w:r w:rsidR="004F44A6" w:rsidRPr="00A82DE8">
        <w:rPr>
          <w:rFonts w:ascii="Arial" w:hAnsi="Arial" w:cs="Arial"/>
        </w:rPr>
        <w:t xml:space="preserve"> Hence, the overall structure and presentation of Schweizer is much more credible and clearer than that of Hart. </w:t>
      </w:r>
    </w:p>
    <w:p w14:paraId="1B870E75" w14:textId="27427247" w:rsidR="004F44A6" w:rsidRPr="00A82DE8" w:rsidRDefault="004F44A6" w:rsidP="00F80EC8">
      <w:pPr>
        <w:jc w:val="both"/>
        <w:rPr>
          <w:rFonts w:ascii="Arial" w:hAnsi="Arial" w:cs="Arial"/>
        </w:rPr>
      </w:pPr>
    </w:p>
    <w:p w14:paraId="403E5934" w14:textId="0F5198BE" w:rsidR="00556401" w:rsidRPr="00A82DE8" w:rsidRDefault="00B01B54" w:rsidP="00F80EC8">
      <w:pPr>
        <w:jc w:val="both"/>
        <w:rPr>
          <w:rFonts w:ascii="Arial" w:hAnsi="Arial" w:cs="Arial"/>
          <w:b/>
          <w:bCs/>
          <w:u w:val="single"/>
        </w:rPr>
      </w:pPr>
      <w:r w:rsidRPr="00A82DE8">
        <w:rPr>
          <w:rFonts w:ascii="Arial" w:hAnsi="Arial" w:cs="Arial"/>
          <w:b/>
          <w:bCs/>
          <w:u w:val="single"/>
        </w:rPr>
        <w:t xml:space="preserve">The </w:t>
      </w:r>
      <w:r w:rsidR="00556401" w:rsidRPr="00A82DE8">
        <w:rPr>
          <w:rFonts w:ascii="Arial" w:hAnsi="Arial" w:cs="Arial"/>
          <w:b/>
          <w:bCs/>
          <w:u w:val="single"/>
        </w:rPr>
        <w:t>Authors</w:t>
      </w:r>
      <w:r w:rsidR="00E4291B" w:rsidRPr="00A82DE8">
        <w:rPr>
          <w:rFonts w:ascii="Arial" w:hAnsi="Arial" w:cs="Arial"/>
          <w:b/>
          <w:bCs/>
          <w:u w:val="single"/>
        </w:rPr>
        <w:t>’</w:t>
      </w:r>
      <w:r w:rsidR="00556401" w:rsidRPr="00A82DE8">
        <w:rPr>
          <w:rFonts w:ascii="Arial" w:hAnsi="Arial" w:cs="Arial"/>
          <w:b/>
          <w:bCs/>
          <w:u w:val="single"/>
        </w:rPr>
        <w:t xml:space="preserve"> </w:t>
      </w:r>
      <w:r w:rsidRPr="00A82DE8">
        <w:rPr>
          <w:rFonts w:ascii="Arial" w:hAnsi="Arial" w:cs="Arial"/>
          <w:b/>
          <w:bCs/>
          <w:u w:val="single"/>
        </w:rPr>
        <w:t>views</w:t>
      </w:r>
      <w:r w:rsidR="00E4291B" w:rsidRPr="00A82DE8">
        <w:rPr>
          <w:rFonts w:ascii="Arial" w:hAnsi="Arial" w:cs="Arial"/>
          <w:b/>
          <w:bCs/>
          <w:u w:val="single"/>
        </w:rPr>
        <w:t xml:space="preserve"> and opinion</w:t>
      </w:r>
      <w:r w:rsidR="007430EA" w:rsidRPr="00A82DE8">
        <w:rPr>
          <w:rFonts w:ascii="Arial" w:hAnsi="Arial" w:cs="Arial"/>
          <w:b/>
          <w:bCs/>
          <w:u w:val="single"/>
        </w:rPr>
        <w:t>s</w:t>
      </w:r>
      <w:r w:rsidR="00E4291B" w:rsidRPr="00A82DE8">
        <w:rPr>
          <w:rFonts w:ascii="Arial" w:hAnsi="Arial" w:cs="Arial"/>
          <w:b/>
          <w:bCs/>
          <w:u w:val="single"/>
        </w:rPr>
        <w:t xml:space="preserve"> </w:t>
      </w:r>
      <w:r w:rsidRPr="00A82DE8">
        <w:rPr>
          <w:rFonts w:ascii="Arial" w:hAnsi="Arial" w:cs="Arial"/>
          <w:b/>
          <w:bCs/>
          <w:u w:val="single"/>
        </w:rPr>
        <w:t>about</w:t>
      </w:r>
      <w:r w:rsidR="00E4291B" w:rsidRPr="00A82DE8">
        <w:rPr>
          <w:rFonts w:ascii="Arial" w:hAnsi="Arial" w:cs="Arial"/>
          <w:b/>
          <w:bCs/>
          <w:u w:val="single"/>
        </w:rPr>
        <w:t xml:space="preserve"> </w:t>
      </w:r>
      <w:r w:rsidR="00556401" w:rsidRPr="00A82DE8">
        <w:rPr>
          <w:rFonts w:ascii="Arial" w:hAnsi="Arial" w:cs="Arial"/>
          <w:b/>
          <w:bCs/>
          <w:u w:val="single"/>
        </w:rPr>
        <w:t>“The Red Book”</w:t>
      </w:r>
      <w:r w:rsidR="001941C8" w:rsidRPr="00A82DE8">
        <w:rPr>
          <w:rFonts w:ascii="Arial" w:hAnsi="Arial" w:cs="Arial"/>
          <w:b/>
          <w:bCs/>
          <w:u w:val="single"/>
        </w:rPr>
        <w:t xml:space="preserve"> </w:t>
      </w:r>
    </w:p>
    <w:p w14:paraId="133915E5" w14:textId="1BD4AE46" w:rsidR="000B345C" w:rsidRPr="00A82DE8" w:rsidRDefault="001D532F" w:rsidP="000B345C">
      <w:pPr>
        <w:jc w:val="both"/>
        <w:rPr>
          <w:rFonts w:ascii="Arial" w:hAnsi="Arial" w:cs="Arial"/>
        </w:rPr>
      </w:pPr>
      <w:r w:rsidRPr="00A82DE8">
        <w:rPr>
          <w:rFonts w:ascii="Arial" w:hAnsi="Arial" w:cs="Arial"/>
        </w:rPr>
        <w:t>To Start with, b</w:t>
      </w:r>
      <w:r w:rsidR="000B1340" w:rsidRPr="00A82DE8">
        <w:rPr>
          <w:rFonts w:ascii="Arial" w:hAnsi="Arial" w:cs="Arial"/>
        </w:rPr>
        <w:t xml:space="preserve">oth authors </w:t>
      </w:r>
      <w:r w:rsidR="00D729FF" w:rsidRPr="00A82DE8">
        <w:rPr>
          <w:rFonts w:ascii="Arial" w:hAnsi="Arial" w:cs="Arial"/>
        </w:rPr>
        <w:t xml:space="preserve">used different approaches to introduce the red book in their papers. Unlike Schweizer, Hart </w:t>
      </w:r>
      <w:r w:rsidRPr="00A82DE8">
        <w:rPr>
          <w:rFonts w:ascii="Arial" w:hAnsi="Arial" w:cs="Arial"/>
        </w:rPr>
        <w:t xml:space="preserve">chose to speak about how “The Red book” was available to the public after being locked in a swiss safe for so long, implying by that </w:t>
      </w:r>
      <w:r w:rsidR="003B0A48" w:rsidRPr="00A82DE8">
        <w:rPr>
          <w:rFonts w:ascii="Arial" w:hAnsi="Arial" w:cs="Arial"/>
        </w:rPr>
        <w:t>‘</w:t>
      </w:r>
      <w:r w:rsidRPr="00A82DE8">
        <w:rPr>
          <w:rFonts w:ascii="Arial" w:hAnsi="Arial" w:cs="Arial"/>
        </w:rPr>
        <w:t xml:space="preserve">The result, inevitably, was that it became something of a legend among Jungians: secret visionary tome, </w:t>
      </w:r>
      <w:r w:rsidR="009B77AF" w:rsidRPr="00A82DE8">
        <w:rPr>
          <w:rFonts w:ascii="Arial" w:hAnsi="Arial" w:cs="Arial"/>
        </w:rPr>
        <w:t>written</w:t>
      </w:r>
      <w:r w:rsidRPr="00A82DE8">
        <w:rPr>
          <w:rFonts w:ascii="Arial" w:hAnsi="Arial" w:cs="Arial"/>
        </w:rPr>
        <w:t xml:space="preserve"> in the  master’s own hand, containing the mystic key to all his thought’.</w:t>
      </w:r>
      <w:r w:rsidRPr="00A82DE8">
        <w:rPr>
          <w:rStyle w:val="FootnoteReference"/>
          <w:rFonts w:ascii="Arial" w:hAnsi="Arial" w:cs="Arial"/>
        </w:rPr>
        <w:footnoteReference w:id="9"/>
      </w:r>
      <w:r w:rsidR="00D729FF" w:rsidRPr="00A82DE8">
        <w:rPr>
          <w:rFonts w:ascii="Arial" w:hAnsi="Arial" w:cs="Arial"/>
        </w:rPr>
        <w:t xml:space="preserve"> </w:t>
      </w:r>
      <w:r w:rsidR="009B77AF" w:rsidRPr="00A82DE8">
        <w:rPr>
          <w:rFonts w:ascii="Arial" w:hAnsi="Arial" w:cs="Arial"/>
        </w:rPr>
        <w:t xml:space="preserve">He later on chose to </w:t>
      </w:r>
      <w:r w:rsidR="003B0A48" w:rsidRPr="00A82DE8">
        <w:rPr>
          <w:rFonts w:ascii="Arial" w:hAnsi="Arial" w:cs="Arial"/>
        </w:rPr>
        <w:t>introduce “The</w:t>
      </w:r>
      <w:r w:rsidR="009B77AF" w:rsidRPr="00A82DE8">
        <w:rPr>
          <w:rFonts w:ascii="Arial" w:hAnsi="Arial" w:cs="Arial"/>
        </w:rPr>
        <w:t xml:space="preserve"> Red Book” by describing its physical appearance, though he implied that to be its most prominent feature, ‘It is, if nothing else, an impressive physical object’.</w:t>
      </w:r>
      <w:r w:rsidR="009B77AF" w:rsidRPr="00A82DE8">
        <w:rPr>
          <w:rStyle w:val="FootnoteReference"/>
          <w:rFonts w:ascii="Arial" w:hAnsi="Arial" w:cs="Arial"/>
        </w:rPr>
        <w:footnoteReference w:id="10"/>
      </w:r>
      <w:r w:rsidR="009B77AF" w:rsidRPr="00A82DE8">
        <w:rPr>
          <w:rFonts w:ascii="Arial" w:hAnsi="Arial" w:cs="Arial"/>
        </w:rPr>
        <w:t xml:space="preserve"> In contrast, Schweizer gave a brief description about the physical appearance of the book. He chose to introduce the book by giving some brief information of how it came to be and what it is based on</w:t>
      </w:r>
      <w:r w:rsidR="00446290" w:rsidRPr="00A82DE8">
        <w:rPr>
          <w:rFonts w:ascii="Arial" w:hAnsi="Arial" w:cs="Arial"/>
        </w:rPr>
        <w:t xml:space="preserve"> </w:t>
      </w:r>
      <w:r w:rsidR="00B719DD" w:rsidRPr="00A82DE8">
        <w:rPr>
          <w:rFonts w:ascii="Arial" w:hAnsi="Arial" w:cs="Arial"/>
        </w:rPr>
        <w:t xml:space="preserve">by </w:t>
      </w:r>
      <w:r w:rsidR="000B7798" w:rsidRPr="00A82DE8">
        <w:rPr>
          <w:rFonts w:ascii="Arial" w:hAnsi="Arial" w:cs="Arial"/>
        </w:rPr>
        <w:t>mentioning</w:t>
      </w:r>
      <w:r w:rsidR="00B719DD" w:rsidRPr="00A82DE8">
        <w:rPr>
          <w:rFonts w:ascii="Arial" w:hAnsi="Arial" w:cs="Arial"/>
        </w:rPr>
        <w:t xml:space="preserve"> “The Black Books” of which Jung initially wrote his imaginations which later became part of the third part of “The Red Book”.</w:t>
      </w:r>
      <w:r w:rsidR="00B719DD" w:rsidRPr="00A82DE8">
        <w:rPr>
          <w:rStyle w:val="FootnoteReference"/>
          <w:rFonts w:ascii="Arial" w:hAnsi="Arial" w:cs="Arial"/>
        </w:rPr>
        <w:footnoteReference w:id="11"/>
      </w:r>
      <w:r w:rsidR="00B719DD" w:rsidRPr="00A82DE8">
        <w:rPr>
          <w:rFonts w:ascii="Arial" w:hAnsi="Arial" w:cs="Arial"/>
        </w:rPr>
        <w:t xml:space="preserve"> This shows a deeper approach of describing </w:t>
      </w:r>
      <w:r w:rsidR="000B345C" w:rsidRPr="00A82DE8">
        <w:rPr>
          <w:rFonts w:ascii="Arial" w:hAnsi="Arial" w:cs="Arial"/>
        </w:rPr>
        <w:t xml:space="preserve">what </w:t>
      </w:r>
      <w:r w:rsidR="00B719DD" w:rsidRPr="00A82DE8">
        <w:rPr>
          <w:rFonts w:ascii="Arial" w:hAnsi="Arial" w:cs="Arial"/>
        </w:rPr>
        <w:t xml:space="preserve">the red book </w:t>
      </w:r>
      <w:r w:rsidR="000B345C" w:rsidRPr="00A82DE8">
        <w:rPr>
          <w:rFonts w:ascii="Arial" w:hAnsi="Arial" w:cs="Arial"/>
        </w:rPr>
        <w:t xml:space="preserve">is about </w:t>
      </w:r>
      <w:r w:rsidR="00B719DD" w:rsidRPr="00A82DE8">
        <w:rPr>
          <w:rFonts w:ascii="Arial" w:hAnsi="Arial" w:cs="Arial"/>
        </w:rPr>
        <w:t>than that of Hart’s.</w:t>
      </w:r>
      <w:r w:rsidR="007B385F" w:rsidRPr="00A82DE8">
        <w:rPr>
          <w:rFonts w:ascii="Arial" w:hAnsi="Arial" w:cs="Arial"/>
        </w:rPr>
        <w:t xml:space="preserve"> Something that both authors have missed is to mention Jung’s hand drawn paintings in “The Red Book” which serves as a confrontation with his unconscious.</w:t>
      </w:r>
      <w:r w:rsidR="007B385F" w:rsidRPr="00A82DE8">
        <w:rPr>
          <w:rStyle w:val="FootnoteReference"/>
          <w:rFonts w:ascii="Arial" w:hAnsi="Arial" w:cs="Arial"/>
        </w:rPr>
        <w:footnoteReference w:id="12"/>
      </w:r>
      <w:r w:rsidR="00B719DD" w:rsidRPr="00A82DE8">
        <w:rPr>
          <w:rFonts w:ascii="Arial" w:hAnsi="Arial" w:cs="Arial"/>
        </w:rPr>
        <w:t>Nevertheless, the approach of describing the book as a physical appearance was important especially in Hart’s paper because this is how Hart connected the idea of the book by being something religious or holy</w:t>
      </w:r>
      <w:r w:rsidR="00446290" w:rsidRPr="00A82DE8">
        <w:rPr>
          <w:rFonts w:ascii="Arial" w:hAnsi="Arial" w:cs="Arial"/>
        </w:rPr>
        <w:t xml:space="preserve"> ‘ It is meant to have the appearance of a holy book’.</w:t>
      </w:r>
      <w:r w:rsidR="00446290" w:rsidRPr="00A82DE8">
        <w:rPr>
          <w:rStyle w:val="FootnoteReference"/>
          <w:rFonts w:ascii="Arial" w:hAnsi="Arial" w:cs="Arial"/>
        </w:rPr>
        <w:footnoteReference w:id="13"/>
      </w:r>
      <w:r w:rsidR="00446290" w:rsidRPr="00A82DE8">
        <w:rPr>
          <w:rFonts w:ascii="Arial" w:hAnsi="Arial" w:cs="Arial"/>
        </w:rPr>
        <w:t xml:space="preserve"> Schweizer, on the other hand connects religious thoughts and examples of why this book could be holy or sacred, he states that the message of “The Red Book” sounds like a prophecy according to Jung and he goes on by adding that it does actually have prophetic material.</w:t>
      </w:r>
      <w:r w:rsidR="00446290" w:rsidRPr="00A82DE8">
        <w:rPr>
          <w:rStyle w:val="FootnoteReference"/>
          <w:rFonts w:ascii="Arial" w:hAnsi="Arial" w:cs="Arial"/>
        </w:rPr>
        <w:footnoteReference w:id="14"/>
      </w:r>
      <w:r w:rsidR="00446290" w:rsidRPr="00A82DE8">
        <w:rPr>
          <w:rFonts w:ascii="Arial" w:hAnsi="Arial" w:cs="Arial"/>
        </w:rPr>
        <w:t xml:space="preserve"> He furthermore gives an example of the issue by mentioning a passage from “The Red Book” that talks about meeting a God figure called Izdubar.</w:t>
      </w:r>
      <w:r w:rsidR="00446290" w:rsidRPr="00A82DE8">
        <w:rPr>
          <w:rStyle w:val="FootnoteReference"/>
          <w:rFonts w:ascii="Arial" w:hAnsi="Arial" w:cs="Arial"/>
        </w:rPr>
        <w:footnoteReference w:id="15"/>
      </w:r>
      <w:r w:rsidR="000B345C" w:rsidRPr="00A82DE8">
        <w:rPr>
          <w:rFonts w:ascii="Arial" w:hAnsi="Arial" w:cs="Arial"/>
        </w:rPr>
        <w:t xml:space="preserve">To say the least, </w:t>
      </w:r>
      <w:r w:rsidR="009C7E7D" w:rsidRPr="00A82DE8">
        <w:rPr>
          <w:rFonts w:ascii="Arial" w:hAnsi="Arial" w:cs="Arial"/>
        </w:rPr>
        <w:t>Schweizer</w:t>
      </w:r>
      <w:r w:rsidR="000B345C" w:rsidRPr="00A82DE8">
        <w:rPr>
          <w:rFonts w:ascii="Arial" w:hAnsi="Arial" w:cs="Arial"/>
        </w:rPr>
        <w:t xml:space="preserve"> has shown much more appreciation, clarity and analyzation when describing “The Red Book” than Hart did. This was visible when he included material from other sources that can unravel the intention of “The Red Book”, for example ‘I believe that some passages of “The Protokolle” can help us to clarify the real intention of “The Red Book”’.</w:t>
      </w:r>
      <w:r w:rsidR="000B345C" w:rsidRPr="00A82DE8">
        <w:rPr>
          <w:rStyle w:val="FootnoteReference"/>
          <w:rFonts w:ascii="Arial" w:hAnsi="Arial" w:cs="Arial"/>
        </w:rPr>
        <w:footnoteReference w:id="16"/>
      </w:r>
      <w:r w:rsidR="000B345C" w:rsidRPr="00A82DE8">
        <w:rPr>
          <w:rFonts w:ascii="Arial" w:hAnsi="Arial" w:cs="Arial"/>
        </w:rPr>
        <w:t xml:space="preserve"> As for Hart, he didn’t show any valuable effort in elaborating the purpose of the book, as he has stated </w:t>
      </w:r>
      <w:r w:rsidR="000B345C" w:rsidRPr="00A82DE8">
        <w:rPr>
          <w:rFonts w:ascii="Arial" w:hAnsi="Arial" w:cs="Arial"/>
        </w:rPr>
        <w:lastRenderedPageBreak/>
        <w:t xml:space="preserve">‘ The Red Book might be no more than a mediocre artist’s abortive attempt at a great work of art, draped in a veil of apocalyptic mystique to hide its deficiencies. Or the truth may lie somewhere in between. It does not matter, really.’ </w:t>
      </w:r>
      <w:r w:rsidR="000B345C" w:rsidRPr="00A82DE8">
        <w:rPr>
          <w:rStyle w:val="FootnoteReference"/>
          <w:rFonts w:ascii="Arial" w:hAnsi="Arial" w:cs="Arial"/>
        </w:rPr>
        <w:footnoteReference w:id="17"/>
      </w:r>
      <w:r w:rsidR="000B345C" w:rsidRPr="00A82DE8">
        <w:rPr>
          <w:rFonts w:ascii="Arial" w:hAnsi="Arial" w:cs="Arial"/>
        </w:rPr>
        <w:t xml:space="preserve"> </w:t>
      </w:r>
    </w:p>
    <w:p w14:paraId="4A3C7E04" w14:textId="121C3463" w:rsidR="004F44A6" w:rsidRPr="00A82DE8" w:rsidRDefault="007430EA" w:rsidP="00F80EC8">
      <w:pPr>
        <w:jc w:val="both"/>
        <w:rPr>
          <w:rFonts w:ascii="Arial" w:hAnsi="Arial" w:cs="Arial"/>
          <w:b/>
          <w:bCs/>
          <w:u w:val="single"/>
        </w:rPr>
      </w:pPr>
      <w:r w:rsidRPr="00A82DE8">
        <w:rPr>
          <w:rFonts w:ascii="Arial" w:hAnsi="Arial" w:cs="Arial"/>
          <w:b/>
          <w:bCs/>
          <w:u w:val="single"/>
        </w:rPr>
        <w:t xml:space="preserve"> </w:t>
      </w:r>
      <w:r w:rsidR="0075682F" w:rsidRPr="00A82DE8">
        <w:rPr>
          <w:rFonts w:ascii="Arial" w:hAnsi="Arial" w:cs="Arial"/>
          <w:b/>
          <w:bCs/>
          <w:u w:val="single"/>
        </w:rPr>
        <w:t xml:space="preserve">Description </w:t>
      </w:r>
      <w:r w:rsidRPr="00A82DE8">
        <w:rPr>
          <w:rFonts w:ascii="Arial" w:hAnsi="Arial" w:cs="Arial"/>
          <w:b/>
          <w:bCs/>
          <w:u w:val="single"/>
        </w:rPr>
        <w:t>of “The Red Book”</w:t>
      </w:r>
    </w:p>
    <w:p w14:paraId="192C901C" w14:textId="343F1D98" w:rsidR="00E4291B" w:rsidRPr="00A82DE8" w:rsidRDefault="007430EA" w:rsidP="00F80EC8">
      <w:pPr>
        <w:jc w:val="both"/>
        <w:rPr>
          <w:rFonts w:ascii="Arial" w:hAnsi="Arial" w:cs="Arial"/>
        </w:rPr>
      </w:pPr>
      <w:r w:rsidRPr="00A82DE8">
        <w:rPr>
          <w:rFonts w:ascii="Arial" w:hAnsi="Arial" w:cs="Arial"/>
        </w:rPr>
        <w:t xml:space="preserve">Both authors describe the contents of “The Red Book” to be mysterious, however each elaborated in different ways. Hart started by describing Jung’s revelations as the main source of the book’s genesis which </w:t>
      </w:r>
      <w:proofErr w:type="gramStart"/>
      <w:r w:rsidRPr="00A82DE8">
        <w:rPr>
          <w:rFonts w:ascii="Arial" w:hAnsi="Arial" w:cs="Arial"/>
        </w:rPr>
        <w:t>later on</w:t>
      </w:r>
      <w:proofErr w:type="gramEnd"/>
      <w:r w:rsidRPr="00A82DE8">
        <w:rPr>
          <w:rFonts w:ascii="Arial" w:hAnsi="Arial" w:cs="Arial"/>
        </w:rPr>
        <w:t xml:space="preserve"> </w:t>
      </w:r>
      <w:r w:rsidR="003F7BF3" w:rsidRPr="00A82DE8">
        <w:rPr>
          <w:rFonts w:ascii="Arial" w:hAnsi="Arial" w:cs="Arial"/>
        </w:rPr>
        <w:t>was defined as “active imaginings” by Jung</w:t>
      </w:r>
      <w:r w:rsidR="00994DB3" w:rsidRPr="00A82DE8">
        <w:rPr>
          <w:rFonts w:ascii="Arial" w:hAnsi="Arial" w:cs="Arial"/>
        </w:rPr>
        <w:t>.</w:t>
      </w:r>
      <w:r w:rsidR="003F7BF3" w:rsidRPr="00A82DE8">
        <w:rPr>
          <w:rFonts w:ascii="Arial" w:hAnsi="Arial" w:cs="Arial"/>
        </w:rPr>
        <w:t xml:space="preserve"> </w:t>
      </w:r>
      <w:r w:rsidR="00994DB3" w:rsidRPr="00A82DE8">
        <w:rPr>
          <w:rFonts w:ascii="Arial" w:hAnsi="Arial" w:cs="Arial"/>
        </w:rPr>
        <w:t>H</w:t>
      </w:r>
      <w:r w:rsidR="003F7BF3" w:rsidRPr="00A82DE8">
        <w:rPr>
          <w:rFonts w:ascii="Arial" w:hAnsi="Arial" w:cs="Arial"/>
        </w:rPr>
        <w:t>owever</w:t>
      </w:r>
      <w:r w:rsidR="00994DB3" w:rsidRPr="00A82DE8">
        <w:rPr>
          <w:rFonts w:ascii="Arial" w:hAnsi="Arial" w:cs="Arial"/>
        </w:rPr>
        <w:t>,</w:t>
      </w:r>
      <w:r w:rsidR="003F7BF3" w:rsidRPr="00A82DE8">
        <w:rPr>
          <w:rFonts w:ascii="Arial" w:hAnsi="Arial" w:cs="Arial"/>
        </w:rPr>
        <w:t xml:space="preserve"> hart called </w:t>
      </w:r>
      <w:r w:rsidR="00994DB3" w:rsidRPr="00A82DE8">
        <w:rPr>
          <w:rFonts w:ascii="Arial" w:hAnsi="Arial" w:cs="Arial"/>
        </w:rPr>
        <w:t>those “active imaginings” as</w:t>
      </w:r>
      <w:r w:rsidR="003F7BF3" w:rsidRPr="00A82DE8">
        <w:rPr>
          <w:rFonts w:ascii="Arial" w:hAnsi="Arial" w:cs="Arial"/>
        </w:rPr>
        <w:t xml:space="preserve"> an odd paranormal event, which shows his confusion and uncertainty </w:t>
      </w:r>
      <w:r w:rsidR="0046745C" w:rsidRPr="00A82DE8">
        <w:rPr>
          <w:rFonts w:ascii="Arial" w:hAnsi="Arial" w:cs="Arial"/>
        </w:rPr>
        <w:t xml:space="preserve">of </w:t>
      </w:r>
      <w:r w:rsidR="003F7BF3" w:rsidRPr="00A82DE8">
        <w:rPr>
          <w:rFonts w:ascii="Arial" w:hAnsi="Arial" w:cs="Arial"/>
        </w:rPr>
        <w:t>the book</w:t>
      </w:r>
      <w:r w:rsidR="0046745C" w:rsidRPr="00A82DE8">
        <w:rPr>
          <w:rFonts w:ascii="Arial" w:hAnsi="Arial" w:cs="Arial"/>
        </w:rPr>
        <w:t>’s</w:t>
      </w:r>
      <w:r w:rsidR="003F7BF3" w:rsidRPr="00A82DE8">
        <w:rPr>
          <w:rFonts w:ascii="Arial" w:hAnsi="Arial" w:cs="Arial"/>
        </w:rPr>
        <w:t xml:space="preserve"> content.</w:t>
      </w:r>
      <w:r w:rsidR="000B7798" w:rsidRPr="00A82DE8">
        <w:rPr>
          <w:rStyle w:val="FootnoteReference"/>
          <w:rFonts w:ascii="Arial" w:hAnsi="Arial" w:cs="Arial"/>
        </w:rPr>
        <w:footnoteReference w:id="18"/>
      </w:r>
      <w:r w:rsidR="003F7BF3" w:rsidRPr="00A82DE8">
        <w:rPr>
          <w:rFonts w:ascii="Arial" w:hAnsi="Arial" w:cs="Arial"/>
        </w:rPr>
        <w:t xml:space="preserve"> </w:t>
      </w:r>
      <w:r w:rsidR="0046745C" w:rsidRPr="00A82DE8">
        <w:rPr>
          <w:rFonts w:ascii="Arial" w:hAnsi="Arial" w:cs="Arial"/>
        </w:rPr>
        <w:t>Similarly, Schweizer has also expressed the language of mystery regarding Jung’s book where he quotes him in his paper ‘on the third night, deep longing to continue experiencing the mysteries seized me’</w:t>
      </w:r>
      <w:r w:rsidR="00936A61" w:rsidRPr="00A82DE8">
        <w:rPr>
          <w:rFonts w:ascii="Arial" w:hAnsi="Arial" w:cs="Arial"/>
        </w:rPr>
        <w:t>.</w:t>
      </w:r>
      <w:r w:rsidR="00936A61" w:rsidRPr="00A82DE8">
        <w:rPr>
          <w:rStyle w:val="FootnoteReference"/>
          <w:rFonts w:ascii="Arial" w:hAnsi="Arial" w:cs="Arial"/>
        </w:rPr>
        <w:footnoteReference w:id="19"/>
      </w:r>
      <w:r w:rsidR="0075682F" w:rsidRPr="00A82DE8">
        <w:rPr>
          <w:rFonts w:ascii="Arial" w:hAnsi="Arial" w:cs="Arial"/>
        </w:rPr>
        <w:t xml:space="preserve"> However, the sense of mystery according Schweizer wasn’t like what Hart has described, for he saw it as a confrontation with the unconscious that plays the role of  a “scientific experiment”.</w:t>
      </w:r>
      <w:r w:rsidR="0075682F" w:rsidRPr="00A82DE8">
        <w:rPr>
          <w:rStyle w:val="FootnoteReference"/>
          <w:rFonts w:ascii="Arial" w:hAnsi="Arial" w:cs="Arial"/>
        </w:rPr>
        <w:footnoteReference w:id="20"/>
      </w:r>
      <w:r w:rsidR="0075682F" w:rsidRPr="00A82DE8">
        <w:rPr>
          <w:rFonts w:ascii="Arial" w:hAnsi="Arial" w:cs="Arial"/>
        </w:rPr>
        <w:t xml:space="preserve"> </w:t>
      </w:r>
      <w:r w:rsidR="00936A61" w:rsidRPr="00A82DE8">
        <w:rPr>
          <w:rFonts w:ascii="Arial" w:hAnsi="Arial" w:cs="Arial"/>
        </w:rPr>
        <w:t xml:space="preserve"> He goes on by relating to Jung by saying ‘This is clearly the language of mysteries.’</w:t>
      </w:r>
      <w:r w:rsidR="00936A61" w:rsidRPr="00A82DE8">
        <w:rPr>
          <w:rStyle w:val="FootnoteReference"/>
          <w:rFonts w:ascii="Arial" w:hAnsi="Arial" w:cs="Arial"/>
        </w:rPr>
        <w:footnoteReference w:id="21"/>
      </w:r>
      <w:r w:rsidR="00994DB3" w:rsidRPr="00A82DE8">
        <w:rPr>
          <w:rFonts w:ascii="Arial" w:hAnsi="Arial" w:cs="Arial"/>
        </w:rPr>
        <w:t xml:space="preserve"> Moreover, Schweizer’s interpretation of the book’s language was upon focusing on Jung’s imaginaries, from that he suggests that </w:t>
      </w:r>
      <w:r w:rsidR="00E2552E" w:rsidRPr="00A82DE8">
        <w:rPr>
          <w:rFonts w:ascii="Arial" w:hAnsi="Arial" w:cs="Arial"/>
        </w:rPr>
        <w:t>“The</w:t>
      </w:r>
      <w:r w:rsidR="00994DB3" w:rsidRPr="00A82DE8">
        <w:rPr>
          <w:rFonts w:ascii="Arial" w:hAnsi="Arial" w:cs="Arial"/>
        </w:rPr>
        <w:t xml:space="preserve"> Red Book” had a somewhat Christian context.</w:t>
      </w:r>
      <w:r w:rsidR="00994DB3" w:rsidRPr="00A82DE8">
        <w:rPr>
          <w:rStyle w:val="FootnoteReference"/>
          <w:rFonts w:ascii="Arial" w:hAnsi="Arial" w:cs="Arial"/>
        </w:rPr>
        <w:footnoteReference w:id="22"/>
      </w:r>
      <w:r w:rsidR="002B0D50" w:rsidRPr="00A82DE8">
        <w:rPr>
          <w:rFonts w:ascii="Arial" w:hAnsi="Arial" w:cs="Arial"/>
        </w:rPr>
        <w:t xml:space="preserve"> However, as he goes deeper into analyzing Jung’s imaginations he mentions the confused version of Jung of when he was in the dessert with Ammonius trying to say a prayer. He </w:t>
      </w:r>
      <w:r w:rsidR="00E2552E" w:rsidRPr="00A82DE8">
        <w:rPr>
          <w:rFonts w:ascii="Arial" w:hAnsi="Arial" w:cs="Arial"/>
        </w:rPr>
        <w:t>explains</w:t>
      </w:r>
      <w:r w:rsidR="002B0D50" w:rsidRPr="00A82DE8">
        <w:rPr>
          <w:rFonts w:ascii="Arial" w:hAnsi="Arial" w:cs="Arial"/>
        </w:rPr>
        <w:t xml:space="preserve"> that while Jung was </w:t>
      </w:r>
      <w:r w:rsidR="00E2552E" w:rsidRPr="00A82DE8">
        <w:rPr>
          <w:rFonts w:ascii="Arial" w:hAnsi="Arial" w:cs="Arial"/>
        </w:rPr>
        <w:t>trying to figure out how to do a prayer, a sun a beetle is seen next to him which triggers his thought of another prayer that lies from within after finding one’s own myth.</w:t>
      </w:r>
      <w:r w:rsidR="00E2552E" w:rsidRPr="00A82DE8">
        <w:rPr>
          <w:rStyle w:val="FootnoteReference"/>
          <w:rFonts w:ascii="Arial" w:hAnsi="Arial" w:cs="Arial"/>
        </w:rPr>
        <w:footnoteReference w:id="23"/>
      </w:r>
      <w:r w:rsidR="00E2552E" w:rsidRPr="00A82DE8">
        <w:rPr>
          <w:rFonts w:ascii="Arial" w:hAnsi="Arial" w:cs="Arial"/>
        </w:rPr>
        <w:t xml:space="preserve"> This was a trigger for him because the beetle represented the symbol of the renewal of the sunlight in the Egyptian sun myth.</w:t>
      </w:r>
      <w:r w:rsidR="00E2552E" w:rsidRPr="00A82DE8">
        <w:rPr>
          <w:rStyle w:val="FootnoteReference"/>
          <w:rFonts w:ascii="Arial" w:hAnsi="Arial" w:cs="Arial"/>
        </w:rPr>
        <w:footnoteReference w:id="24"/>
      </w:r>
      <w:r w:rsidR="00E2552E" w:rsidRPr="00A82DE8">
        <w:rPr>
          <w:rFonts w:ascii="Arial" w:hAnsi="Arial" w:cs="Arial"/>
        </w:rPr>
        <w:t xml:space="preserve"> This shows that there was not one language that Jung has adopted for it was a combination of each type of religion or belief that would make sense to his inner self.</w:t>
      </w:r>
      <w:r w:rsidR="008003FE" w:rsidRPr="00A82DE8">
        <w:rPr>
          <w:rFonts w:ascii="Arial" w:hAnsi="Arial" w:cs="Arial"/>
        </w:rPr>
        <w:t xml:space="preserve"> ‘ The knowledge of the heart is in no book and is not to be found in the mouth of any teacher; it grows from the depth of the unconscious.’</w:t>
      </w:r>
      <w:r w:rsidR="008003FE" w:rsidRPr="00A82DE8">
        <w:rPr>
          <w:rStyle w:val="FootnoteReference"/>
          <w:rFonts w:ascii="Arial" w:hAnsi="Arial" w:cs="Arial"/>
        </w:rPr>
        <w:footnoteReference w:id="25"/>
      </w:r>
      <w:r w:rsidR="00E2552E" w:rsidRPr="00A82DE8">
        <w:rPr>
          <w:rFonts w:ascii="Arial" w:hAnsi="Arial" w:cs="Arial"/>
        </w:rPr>
        <w:t xml:space="preserve"> His confusion is clear after performing a prayer to the beetle, he states ‘what nonsense am I talking? I’m worshipping an animal-that must be because of the desert. It seems to demand prayers</w:t>
      </w:r>
      <w:r w:rsidR="00222913">
        <w:rPr>
          <w:rFonts w:ascii="Arial" w:hAnsi="Arial" w:cs="Arial"/>
        </w:rPr>
        <w:t>.</w:t>
      </w:r>
      <w:r w:rsidR="00E2552E" w:rsidRPr="00A82DE8">
        <w:rPr>
          <w:rFonts w:ascii="Arial" w:hAnsi="Arial" w:cs="Arial"/>
        </w:rPr>
        <w:t>’</w:t>
      </w:r>
      <w:r w:rsidR="00E2552E" w:rsidRPr="00A82DE8">
        <w:rPr>
          <w:rStyle w:val="FootnoteReference"/>
          <w:rFonts w:ascii="Arial" w:hAnsi="Arial" w:cs="Arial"/>
        </w:rPr>
        <w:footnoteReference w:id="26"/>
      </w:r>
      <w:r w:rsidR="00E2552E" w:rsidRPr="00A82DE8">
        <w:rPr>
          <w:rFonts w:ascii="Arial" w:hAnsi="Arial" w:cs="Arial"/>
        </w:rPr>
        <w:t xml:space="preserve"> </w:t>
      </w:r>
      <w:r w:rsidR="008003FE" w:rsidRPr="00A82DE8">
        <w:rPr>
          <w:rFonts w:ascii="Arial" w:hAnsi="Arial" w:cs="Arial"/>
        </w:rPr>
        <w:t xml:space="preserve">After this incident Schweizer explains that Jung has performed another prayer that holds some Gnostic characteristics, and that shows the diversity of languages “The Red Book” adopts. Similarly, Hart also mentions different religious and belief diversities about Jung in his paper but unlike Schweizer, he seems to be sure that Jung’s main path belongs to </w:t>
      </w:r>
      <w:r w:rsidR="00334965" w:rsidRPr="00A82DE8">
        <w:rPr>
          <w:rFonts w:ascii="Arial" w:hAnsi="Arial" w:cs="Arial"/>
        </w:rPr>
        <w:t>Gnosticism, ‘The</w:t>
      </w:r>
      <w:r w:rsidR="00706C11" w:rsidRPr="00A82DE8">
        <w:rPr>
          <w:rFonts w:ascii="Arial" w:hAnsi="Arial" w:cs="Arial"/>
        </w:rPr>
        <w:t xml:space="preserve"> book’s religious sensibility is thoroughly Gnostic, in a number of ways, it is , for one thing, simply saturated in imagery and concepts drawn from the Gnostic systems of late antiquity, and its narrative form-its incontinent mythopoeia, its rococo excesses, its figural syzygies and archons and aeons has all the occult grotesquerie of authentic Gnostic myth.</w:t>
      </w:r>
      <w:r w:rsidR="00706C11" w:rsidRPr="00A82DE8">
        <w:rPr>
          <w:rStyle w:val="FootnoteReference"/>
          <w:rFonts w:ascii="Arial" w:hAnsi="Arial" w:cs="Arial"/>
        </w:rPr>
        <w:footnoteReference w:id="27"/>
      </w:r>
      <w:r w:rsidR="00706C11" w:rsidRPr="00A82DE8">
        <w:rPr>
          <w:rFonts w:ascii="Arial" w:hAnsi="Arial" w:cs="Arial"/>
        </w:rPr>
        <w:t xml:space="preserve"> </w:t>
      </w:r>
      <w:r w:rsidR="00334965" w:rsidRPr="00A82DE8">
        <w:rPr>
          <w:rFonts w:ascii="Arial" w:hAnsi="Arial" w:cs="Arial"/>
        </w:rPr>
        <w:t xml:space="preserve">Hence, both author’s </w:t>
      </w:r>
      <w:r w:rsidR="00334965" w:rsidRPr="00A82DE8">
        <w:rPr>
          <w:rFonts w:ascii="Arial" w:hAnsi="Arial" w:cs="Arial"/>
        </w:rPr>
        <w:lastRenderedPageBreak/>
        <w:t xml:space="preserve">recognized different belief systems in Jung’s stories, however Schweizer was more open minded to analyze all different aspects rather than focusing on just one as Hart did. </w:t>
      </w:r>
    </w:p>
    <w:p w14:paraId="25ED9906" w14:textId="5112E1D9" w:rsidR="00BE6A5E" w:rsidRPr="00A82DE8" w:rsidRDefault="006837DB">
      <w:pPr>
        <w:rPr>
          <w:rFonts w:ascii="Arial" w:hAnsi="Arial" w:cs="Arial"/>
          <w:b/>
          <w:bCs/>
          <w:u w:val="single"/>
        </w:rPr>
      </w:pPr>
      <w:r w:rsidRPr="00A82DE8">
        <w:rPr>
          <w:rFonts w:ascii="Arial" w:hAnsi="Arial" w:cs="Arial"/>
          <w:b/>
          <w:bCs/>
          <w:u w:val="single"/>
        </w:rPr>
        <w:t xml:space="preserve">Archetypes </w:t>
      </w:r>
    </w:p>
    <w:p w14:paraId="0D4B9FAE" w14:textId="0C2180F5" w:rsidR="00802F2B" w:rsidRPr="00A82DE8" w:rsidRDefault="00802F2B">
      <w:pPr>
        <w:rPr>
          <w:rFonts w:ascii="Arial" w:hAnsi="Arial" w:cs="Arial"/>
        </w:rPr>
      </w:pPr>
      <w:r w:rsidRPr="00A82DE8">
        <w:rPr>
          <w:rFonts w:ascii="Arial" w:hAnsi="Arial" w:cs="Arial"/>
        </w:rPr>
        <w:t>Both Hart and Schweizer have analyzed Jung’s work according to his active imaginaries which include several archetypes. However,</w:t>
      </w:r>
      <w:r w:rsidR="00384FDA" w:rsidRPr="00A82DE8">
        <w:rPr>
          <w:rFonts w:ascii="Arial" w:hAnsi="Arial" w:cs="Arial"/>
        </w:rPr>
        <w:t xml:space="preserve"> Hart describes the emergence of the archetypes as follows, ‘ On the quest to find his soul, he encounters a succession of allegorical figures who, we are informed, are not merely fictions of his own devising, but real and autonomous powers dwelling in the depths of his psyche’.</w:t>
      </w:r>
      <w:r w:rsidR="00384FDA" w:rsidRPr="00A82DE8">
        <w:rPr>
          <w:rStyle w:val="FootnoteReference"/>
          <w:rFonts w:ascii="Arial" w:hAnsi="Arial" w:cs="Arial"/>
        </w:rPr>
        <w:footnoteReference w:id="28"/>
      </w:r>
      <w:r w:rsidR="00384FDA" w:rsidRPr="00A82DE8">
        <w:rPr>
          <w:rFonts w:ascii="Arial" w:hAnsi="Arial" w:cs="Arial"/>
        </w:rPr>
        <w:t xml:space="preserve"> He then lists several versions as examples but describes them in a sarcastic tone in which he </w:t>
      </w:r>
      <w:r w:rsidR="004D7CEE" w:rsidRPr="00A82DE8">
        <w:rPr>
          <w:rFonts w:ascii="Arial" w:hAnsi="Arial" w:cs="Arial"/>
        </w:rPr>
        <w:t>compares “The Red Book”, with Lewis Carroll’s Alice books and recommen</w:t>
      </w:r>
      <w:r w:rsidR="00FE3FE8" w:rsidRPr="00A82DE8">
        <w:rPr>
          <w:rFonts w:ascii="Arial" w:hAnsi="Arial" w:cs="Arial"/>
        </w:rPr>
        <w:t>ds</w:t>
      </w:r>
      <w:r w:rsidR="004D7CEE" w:rsidRPr="00A82DE8">
        <w:rPr>
          <w:rFonts w:ascii="Arial" w:hAnsi="Arial" w:cs="Arial"/>
        </w:rPr>
        <w:t xml:space="preserve"> them more than “The Red Book”,</w:t>
      </w:r>
      <w:r w:rsidR="004D7CEE" w:rsidRPr="00A82DE8">
        <w:rPr>
          <w:rStyle w:val="FootnoteReference"/>
          <w:rFonts w:ascii="Arial" w:hAnsi="Arial" w:cs="Arial"/>
        </w:rPr>
        <w:footnoteReference w:id="29"/>
      </w:r>
      <w:r w:rsidR="004D7CEE" w:rsidRPr="00A82DE8">
        <w:rPr>
          <w:rFonts w:ascii="Arial" w:hAnsi="Arial" w:cs="Arial"/>
        </w:rPr>
        <w:t xml:space="preserve"> </w:t>
      </w:r>
      <w:r w:rsidR="00FE3FE8" w:rsidRPr="00A82DE8">
        <w:rPr>
          <w:rFonts w:ascii="Arial" w:hAnsi="Arial" w:cs="Arial"/>
        </w:rPr>
        <w:t>i</w:t>
      </w:r>
      <w:r w:rsidR="004D7CEE" w:rsidRPr="00A82DE8">
        <w:rPr>
          <w:rFonts w:ascii="Arial" w:hAnsi="Arial" w:cs="Arial"/>
        </w:rPr>
        <w:t>mplying that the archetypes of Jung aren’t of any importance</w:t>
      </w:r>
      <w:r w:rsidR="00FE3FE8" w:rsidRPr="00A82DE8">
        <w:rPr>
          <w:rFonts w:ascii="Arial" w:hAnsi="Arial" w:cs="Arial"/>
        </w:rPr>
        <w:t xml:space="preserve"> and</w:t>
      </w:r>
      <w:r w:rsidR="004D7CEE" w:rsidRPr="00A82DE8">
        <w:rPr>
          <w:rFonts w:ascii="Arial" w:hAnsi="Arial" w:cs="Arial"/>
        </w:rPr>
        <w:t xml:space="preserve"> are just a ‘curious adventure in his inner world’</w:t>
      </w:r>
      <w:r w:rsidR="00F04550" w:rsidRPr="00A82DE8">
        <w:rPr>
          <w:rFonts w:ascii="Arial" w:hAnsi="Arial" w:cs="Arial"/>
        </w:rPr>
        <w:t>.</w:t>
      </w:r>
      <w:r w:rsidR="00F04550" w:rsidRPr="00A82DE8">
        <w:rPr>
          <w:rStyle w:val="FootnoteReference"/>
          <w:rFonts w:ascii="Arial" w:hAnsi="Arial" w:cs="Arial"/>
        </w:rPr>
        <w:footnoteReference w:id="30"/>
      </w:r>
      <w:r w:rsidR="00605560" w:rsidRPr="00A82DE8">
        <w:rPr>
          <w:rFonts w:ascii="Arial" w:hAnsi="Arial" w:cs="Arial"/>
        </w:rPr>
        <w:t xml:space="preserve"> Hart’s opinion shows how little he knows about the nature of archetypes for they</w:t>
      </w:r>
      <w:r w:rsidR="00605560" w:rsidRPr="00A82DE8">
        <w:rPr>
          <w:rFonts w:ascii="Arial" w:hAnsi="Arial" w:cs="Arial"/>
        </w:rPr>
        <w:t xml:space="preserve"> may be defined as the sources of typical patterns of initiated action, reaction and experience that characterize the human species</w:t>
      </w:r>
      <w:r w:rsidR="00605560" w:rsidRPr="00A82DE8">
        <w:rPr>
          <w:rFonts w:ascii="Arial" w:hAnsi="Arial" w:cs="Arial"/>
        </w:rPr>
        <w:t xml:space="preserve"> rather than</w:t>
      </w:r>
      <w:r w:rsidR="008F2863" w:rsidRPr="00A82DE8">
        <w:rPr>
          <w:rFonts w:ascii="Arial" w:hAnsi="Arial" w:cs="Arial"/>
        </w:rPr>
        <w:t xml:space="preserve"> just</w:t>
      </w:r>
      <w:r w:rsidR="00605560" w:rsidRPr="00A82DE8">
        <w:rPr>
          <w:rFonts w:ascii="Arial" w:hAnsi="Arial" w:cs="Arial"/>
        </w:rPr>
        <w:t xml:space="preserve"> a mere inner adventure. </w:t>
      </w:r>
      <w:r w:rsidR="00605560" w:rsidRPr="00A82DE8">
        <w:rPr>
          <w:rStyle w:val="FootnoteReference"/>
          <w:rFonts w:ascii="Arial" w:hAnsi="Arial" w:cs="Arial"/>
        </w:rPr>
        <w:footnoteReference w:id="31"/>
      </w:r>
      <w:r w:rsidR="004D7CEE" w:rsidRPr="00A82DE8">
        <w:rPr>
          <w:rFonts w:ascii="Arial" w:hAnsi="Arial" w:cs="Arial"/>
        </w:rPr>
        <w:t>Unlike</w:t>
      </w:r>
      <w:r w:rsidR="008F2863" w:rsidRPr="00A82DE8">
        <w:rPr>
          <w:rFonts w:ascii="Arial" w:hAnsi="Arial" w:cs="Arial"/>
        </w:rPr>
        <w:t xml:space="preserve"> Hart,</w:t>
      </w:r>
      <w:r w:rsidR="004D7CEE" w:rsidRPr="00A82DE8">
        <w:rPr>
          <w:rFonts w:ascii="Arial" w:hAnsi="Arial" w:cs="Arial"/>
        </w:rPr>
        <w:t xml:space="preserve"> Schweizer has commented with appreciation about Jung’s creative process ‘it is a sign of a highly developed eros that Jung spared no effort to translate the imagery of the unconscious into an understandable language.</w:t>
      </w:r>
      <w:r w:rsidR="004D7CEE" w:rsidRPr="00A82DE8">
        <w:rPr>
          <w:rStyle w:val="FootnoteReference"/>
          <w:rFonts w:ascii="Arial" w:hAnsi="Arial" w:cs="Arial"/>
        </w:rPr>
        <w:footnoteReference w:id="32"/>
      </w:r>
      <w:r w:rsidR="00FE3FE8" w:rsidRPr="00A82DE8">
        <w:rPr>
          <w:rFonts w:ascii="Arial" w:hAnsi="Arial" w:cs="Arial"/>
        </w:rPr>
        <w:t xml:space="preserve"> </w:t>
      </w:r>
      <w:r w:rsidR="0021232E" w:rsidRPr="00A82DE8">
        <w:rPr>
          <w:rFonts w:ascii="Arial" w:hAnsi="Arial" w:cs="Arial"/>
        </w:rPr>
        <w:t xml:space="preserve">Moreover, </w:t>
      </w:r>
      <w:r w:rsidR="00FE3FE8" w:rsidRPr="00A82DE8">
        <w:rPr>
          <w:rFonts w:ascii="Arial" w:hAnsi="Arial" w:cs="Arial"/>
        </w:rPr>
        <w:t xml:space="preserve">his </w:t>
      </w:r>
      <w:r w:rsidR="0021232E" w:rsidRPr="00A82DE8">
        <w:rPr>
          <w:rFonts w:ascii="Arial" w:hAnsi="Arial" w:cs="Arial"/>
        </w:rPr>
        <w:t>approach of analyzing Jung</w:t>
      </w:r>
      <w:r w:rsidR="008F2863" w:rsidRPr="00A82DE8">
        <w:rPr>
          <w:rFonts w:ascii="Arial" w:hAnsi="Arial" w:cs="Arial"/>
        </w:rPr>
        <w:t>’s archetypes</w:t>
      </w:r>
      <w:r w:rsidR="0021232E" w:rsidRPr="00A82DE8">
        <w:rPr>
          <w:rFonts w:ascii="Arial" w:hAnsi="Arial" w:cs="Arial"/>
        </w:rPr>
        <w:t xml:space="preserve"> was to go deep in the story of “The son of the Earth”, rather than mentioning tiny bits of stories from several imaginaries which could lead to confusion as Hart did. </w:t>
      </w:r>
      <w:r w:rsidR="008F2863" w:rsidRPr="00A82DE8">
        <w:rPr>
          <w:rFonts w:ascii="Arial" w:hAnsi="Arial" w:cs="Arial"/>
        </w:rPr>
        <w:t xml:space="preserve">Nevertheless, </w:t>
      </w:r>
      <w:r w:rsidR="00FE3FE8" w:rsidRPr="00A82DE8">
        <w:rPr>
          <w:rFonts w:ascii="Arial" w:hAnsi="Arial" w:cs="Arial"/>
        </w:rPr>
        <w:t xml:space="preserve">Schweizer </w:t>
      </w:r>
      <w:r w:rsidR="008F2863" w:rsidRPr="00A82DE8">
        <w:rPr>
          <w:rFonts w:ascii="Arial" w:hAnsi="Arial" w:cs="Arial"/>
        </w:rPr>
        <w:t xml:space="preserve">could tell from analyzing </w:t>
      </w:r>
      <w:r w:rsidR="001D6AFE" w:rsidRPr="00A82DE8">
        <w:rPr>
          <w:rFonts w:ascii="Arial" w:hAnsi="Arial" w:cs="Arial"/>
        </w:rPr>
        <w:t>the story of “The son of the Earth”</w:t>
      </w:r>
      <w:r w:rsidR="00FE3FE8" w:rsidRPr="00A82DE8">
        <w:rPr>
          <w:rFonts w:ascii="Arial" w:hAnsi="Arial" w:cs="Arial"/>
        </w:rPr>
        <w:t xml:space="preserve"> </w:t>
      </w:r>
      <w:r w:rsidR="001D6AFE" w:rsidRPr="00A82DE8">
        <w:rPr>
          <w:rFonts w:ascii="Arial" w:hAnsi="Arial" w:cs="Arial"/>
        </w:rPr>
        <w:t>that Jung does not follow any specific religion, for as mentioned previously his story adopts some Christian, gnostic, and Hellenistic version according to Schweizer, ‘ The way Jung describes the sun god resembles the Hellenistic version’.</w:t>
      </w:r>
      <w:r w:rsidR="001D6AFE" w:rsidRPr="00A82DE8">
        <w:rPr>
          <w:rStyle w:val="FootnoteReference"/>
          <w:rFonts w:ascii="Arial" w:hAnsi="Arial" w:cs="Arial"/>
        </w:rPr>
        <w:footnoteReference w:id="33"/>
      </w:r>
      <w:r w:rsidR="00FE3FE8" w:rsidRPr="00A82DE8">
        <w:rPr>
          <w:rFonts w:ascii="Arial" w:hAnsi="Arial" w:cs="Arial"/>
        </w:rPr>
        <w:t xml:space="preserve"> Furthermore, </w:t>
      </w:r>
      <w:r w:rsidR="00F11A19" w:rsidRPr="00A82DE8">
        <w:rPr>
          <w:rFonts w:ascii="Arial" w:hAnsi="Arial" w:cs="Arial"/>
        </w:rPr>
        <w:t>another story that Hart mentions about Jung’s active imaginations is the story of meeting with Izdubar- a godly figure, who Jung was able to shrink down to the size of an egg, and then give him a new birth as a god whom no modern magic can harm.</w:t>
      </w:r>
      <w:r w:rsidR="00F11A19" w:rsidRPr="00A82DE8">
        <w:rPr>
          <w:rStyle w:val="FootnoteReference"/>
          <w:rFonts w:ascii="Arial" w:hAnsi="Arial" w:cs="Arial"/>
        </w:rPr>
        <w:footnoteReference w:id="34"/>
      </w:r>
      <w:r w:rsidR="00FE3FE8" w:rsidRPr="00A82DE8">
        <w:rPr>
          <w:rFonts w:ascii="Arial" w:hAnsi="Arial" w:cs="Arial"/>
        </w:rPr>
        <w:t xml:space="preserve">when hart mentioned other </w:t>
      </w:r>
      <w:r w:rsidR="00F11A19" w:rsidRPr="00A82DE8">
        <w:rPr>
          <w:rFonts w:ascii="Arial" w:hAnsi="Arial" w:cs="Arial"/>
        </w:rPr>
        <w:t xml:space="preserve">stories of Jung’s active imaginations, he commented by ‘ This is, I think, a rather monstrous story’, but at least this time he had a reason, he interpreted his comment by stating, ‘ A kinder and less narcissistic man would have allowed Izdubar the dignity </w:t>
      </w:r>
      <w:r w:rsidR="00D45086" w:rsidRPr="00A82DE8">
        <w:rPr>
          <w:rFonts w:ascii="Arial" w:hAnsi="Arial" w:cs="Arial"/>
        </w:rPr>
        <w:t xml:space="preserve">of a </w:t>
      </w:r>
      <w:r w:rsidR="00F11A19" w:rsidRPr="00A82DE8">
        <w:rPr>
          <w:rFonts w:ascii="Arial" w:hAnsi="Arial" w:cs="Arial"/>
        </w:rPr>
        <w:t>god’s death rather than reduce him to a toy to be kept in a cupboard in the unconscious’.</w:t>
      </w:r>
      <w:r w:rsidR="00F11A19" w:rsidRPr="00A82DE8">
        <w:rPr>
          <w:rStyle w:val="FootnoteReference"/>
          <w:rFonts w:ascii="Arial" w:hAnsi="Arial" w:cs="Arial"/>
        </w:rPr>
        <w:footnoteReference w:id="35"/>
      </w:r>
      <w:r w:rsidR="00D45086" w:rsidRPr="00A82DE8">
        <w:rPr>
          <w:rFonts w:ascii="Arial" w:hAnsi="Arial" w:cs="Arial"/>
        </w:rPr>
        <w:t xml:space="preserve"> Unlike hart, Schweizer has given a language and interpretation of Jung’s active imaginations, for he thinks that Jung has adopted alchemy which has helped him to connect his imaginations and his whole later work with the great cultural traditions of human kind.</w:t>
      </w:r>
      <w:r w:rsidR="00D45086" w:rsidRPr="00A82DE8">
        <w:rPr>
          <w:rStyle w:val="FootnoteReference"/>
          <w:rFonts w:ascii="Arial" w:hAnsi="Arial" w:cs="Arial"/>
        </w:rPr>
        <w:footnoteReference w:id="36"/>
      </w:r>
      <w:r w:rsidR="00D45086" w:rsidRPr="00A82DE8">
        <w:rPr>
          <w:rFonts w:ascii="Arial" w:hAnsi="Arial" w:cs="Arial"/>
        </w:rPr>
        <w:t xml:space="preserve"> As for Hart, insisted that </w:t>
      </w:r>
      <w:r w:rsidR="00090392" w:rsidRPr="00A82DE8">
        <w:rPr>
          <w:rFonts w:ascii="Arial" w:hAnsi="Arial" w:cs="Arial"/>
        </w:rPr>
        <w:t>Jung</w:t>
      </w:r>
      <w:r w:rsidR="00D45086" w:rsidRPr="00A82DE8">
        <w:rPr>
          <w:rFonts w:ascii="Arial" w:hAnsi="Arial" w:cs="Arial"/>
        </w:rPr>
        <w:t xml:space="preserve"> imagined he was working towards some sort of spiritual renewal for “modern man”</w:t>
      </w:r>
      <w:r w:rsidR="00090392" w:rsidRPr="00A82DE8">
        <w:rPr>
          <w:rFonts w:ascii="Arial" w:hAnsi="Arial" w:cs="Arial"/>
        </w:rPr>
        <w:t xml:space="preserve"> which is of gnostic spiritual tendencies.</w:t>
      </w:r>
      <w:r w:rsidR="00090392" w:rsidRPr="00A82DE8">
        <w:rPr>
          <w:rStyle w:val="FootnoteReference"/>
          <w:rFonts w:ascii="Arial" w:hAnsi="Arial" w:cs="Arial"/>
        </w:rPr>
        <w:footnoteReference w:id="37"/>
      </w:r>
      <w:r w:rsidR="00090392" w:rsidRPr="00A82DE8">
        <w:rPr>
          <w:rFonts w:ascii="Arial" w:hAnsi="Arial" w:cs="Arial"/>
        </w:rPr>
        <w:t xml:space="preserve"> </w:t>
      </w:r>
    </w:p>
    <w:p w14:paraId="20B1679C" w14:textId="05E9B505" w:rsidR="00802F2B" w:rsidRPr="00A82DE8" w:rsidRDefault="00802F2B">
      <w:pPr>
        <w:rPr>
          <w:rFonts w:ascii="Arial" w:hAnsi="Arial" w:cs="Arial"/>
        </w:rPr>
      </w:pPr>
    </w:p>
    <w:p w14:paraId="71D2315E" w14:textId="77777777" w:rsidR="007123AB" w:rsidRPr="00A82DE8" w:rsidRDefault="007123AB">
      <w:pPr>
        <w:rPr>
          <w:rFonts w:ascii="Arial" w:hAnsi="Arial" w:cs="Arial"/>
        </w:rPr>
      </w:pPr>
    </w:p>
    <w:p w14:paraId="45987C69" w14:textId="31E4B7FA" w:rsidR="007123AB" w:rsidRPr="00A82DE8" w:rsidRDefault="00B01B54">
      <w:pPr>
        <w:rPr>
          <w:rFonts w:ascii="Arial" w:hAnsi="Arial" w:cs="Arial"/>
          <w:b/>
          <w:bCs/>
          <w:u w:val="single"/>
        </w:rPr>
      </w:pPr>
      <w:r w:rsidRPr="00A82DE8">
        <w:rPr>
          <w:rFonts w:ascii="Arial" w:hAnsi="Arial" w:cs="Arial"/>
          <w:b/>
          <w:bCs/>
          <w:u w:val="single"/>
        </w:rPr>
        <w:t>Conclusion:</w:t>
      </w:r>
      <w:r w:rsidR="00802F2B" w:rsidRPr="00A82DE8">
        <w:rPr>
          <w:rFonts w:ascii="Arial" w:hAnsi="Arial" w:cs="Arial"/>
          <w:b/>
          <w:bCs/>
          <w:u w:val="single"/>
        </w:rPr>
        <w:t xml:space="preserve"> </w:t>
      </w:r>
    </w:p>
    <w:p w14:paraId="12B5D91A" w14:textId="1E487847" w:rsidR="007123AB" w:rsidRPr="00A82DE8" w:rsidRDefault="007123AB">
      <w:pPr>
        <w:rPr>
          <w:rFonts w:ascii="Arial" w:hAnsi="Arial" w:cs="Arial"/>
        </w:rPr>
      </w:pPr>
      <w:r w:rsidRPr="00A82DE8">
        <w:rPr>
          <w:rFonts w:ascii="Arial" w:hAnsi="Arial" w:cs="Arial"/>
        </w:rPr>
        <w:t xml:space="preserve">All in all, the essay </w:t>
      </w:r>
      <w:proofErr w:type="gramStart"/>
      <w:r w:rsidRPr="00A82DE8">
        <w:rPr>
          <w:rFonts w:ascii="Arial" w:hAnsi="Arial" w:cs="Arial"/>
        </w:rPr>
        <w:t>compared and contrasted</w:t>
      </w:r>
      <w:proofErr w:type="gramEnd"/>
      <w:r w:rsidRPr="00A82DE8">
        <w:rPr>
          <w:rFonts w:ascii="Arial" w:hAnsi="Arial" w:cs="Arial"/>
        </w:rPr>
        <w:t xml:space="preserve"> two papers that each shared the subject matter of Jung’s red book</w:t>
      </w:r>
      <w:r w:rsidR="00037EDD" w:rsidRPr="00A82DE8">
        <w:rPr>
          <w:rFonts w:ascii="Arial" w:hAnsi="Arial" w:cs="Arial"/>
        </w:rPr>
        <w:t xml:space="preserve"> in four themes. However, the papers compared ha</w:t>
      </w:r>
      <w:r w:rsidR="0008599F" w:rsidRPr="00A82DE8">
        <w:rPr>
          <w:rFonts w:ascii="Arial" w:hAnsi="Arial" w:cs="Arial"/>
        </w:rPr>
        <w:t>d</w:t>
      </w:r>
      <w:r w:rsidR="00037EDD" w:rsidRPr="00A82DE8">
        <w:rPr>
          <w:rFonts w:ascii="Arial" w:hAnsi="Arial" w:cs="Arial"/>
        </w:rPr>
        <w:t xml:space="preserve"> </w:t>
      </w:r>
      <w:r w:rsidR="0008599F" w:rsidRPr="00A82DE8">
        <w:rPr>
          <w:rFonts w:ascii="Arial" w:hAnsi="Arial" w:cs="Arial"/>
        </w:rPr>
        <w:t>a few similarities, for</w:t>
      </w:r>
      <w:r w:rsidR="00037EDD" w:rsidRPr="00A82DE8">
        <w:rPr>
          <w:rFonts w:ascii="Arial" w:hAnsi="Arial" w:cs="Arial"/>
        </w:rPr>
        <w:t xml:space="preserve"> the overall product of both papers is totally different</w:t>
      </w:r>
      <w:r w:rsidR="0008599F" w:rsidRPr="00A82DE8">
        <w:rPr>
          <w:rFonts w:ascii="Arial" w:hAnsi="Arial" w:cs="Arial"/>
        </w:rPr>
        <w:t xml:space="preserve">. To elaborate, Harts paper was mostly dealing with the issue of Gnosticism and in some areas the author was talking about Gnosticism as a concept rather than always connecting it with the main issue which is the red book. As for Schweizer’s paper it mentioned all the different phases that Jung had went through with himself and when connecting with certain beliefs and religions. However, here is were the point of connection collides between the two papers since Hart’s paper focuses on Jung’s connection with Gnosticism mostly rather than different phases and beliefs as Schweizer did. </w:t>
      </w:r>
      <w:r w:rsidR="00AB193C" w:rsidRPr="00A82DE8">
        <w:rPr>
          <w:rFonts w:ascii="Arial" w:hAnsi="Arial" w:cs="Arial"/>
        </w:rPr>
        <w:t>However, it was clear in Schweizer’s paper how he made sense of Jung’s imaginaries, for he has described them in a way that summarize Jung’s journey until the last days of his life. As for hart, he did not deal with the most prominent feature of Jung’s red book which is his active imaginations, he did mention them, but with no analytical interpretations.</w:t>
      </w:r>
      <w:r w:rsidR="00B01B54" w:rsidRPr="00A82DE8">
        <w:rPr>
          <w:rFonts w:ascii="Arial" w:hAnsi="Arial" w:cs="Arial"/>
        </w:rPr>
        <w:t xml:space="preserve"> Last but not least, everything Hart mentioned about Jung can me dismissed or taken just as an opinion for he had absolutely no evidence, quotations, sources, or even an interest of backing up his material, unlike Schweizer who dealt with Jung’s material in an analytical credible way. </w:t>
      </w:r>
    </w:p>
    <w:p w14:paraId="42A0C76E" w14:textId="2D0F914B" w:rsidR="007123AB" w:rsidRPr="00A82DE8" w:rsidRDefault="007123AB">
      <w:pPr>
        <w:rPr>
          <w:rFonts w:ascii="Arial" w:hAnsi="Arial" w:cs="Arial"/>
          <w:b/>
          <w:bCs/>
          <w:u w:val="single"/>
        </w:rPr>
      </w:pPr>
    </w:p>
    <w:p w14:paraId="4945A4EA" w14:textId="0FD48778" w:rsidR="007123AB" w:rsidRPr="00A82DE8" w:rsidRDefault="007123AB">
      <w:pPr>
        <w:rPr>
          <w:rFonts w:ascii="Arial" w:hAnsi="Arial" w:cs="Arial"/>
          <w:b/>
          <w:bCs/>
          <w:u w:val="single"/>
        </w:rPr>
      </w:pPr>
    </w:p>
    <w:p w14:paraId="675DADA1" w14:textId="0FDAEBAF" w:rsidR="007123AB" w:rsidRPr="00A82DE8" w:rsidRDefault="007123AB">
      <w:pPr>
        <w:rPr>
          <w:rFonts w:ascii="Arial" w:hAnsi="Arial" w:cs="Arial"/>
          <w:b/>
          <w:bCs/>
          <w:u w:val="single"/>
        </w:rPr>
      </w:pPr>
    </w:p>
    <w:p w14:paraId="5C904528" w14:textId="25B9EC4B" w:rsidR="007123AB" w:rsidRPr="00A82DE8" w:rsidRDefault="007123AB">
      <w:pPr>
        <w:rPr>
          <w:rFonts w:ascii="Arial" w:hAnsi="Arial" w:cs="Arial"/>
          <w:b/>
          <w:bCs/>
          <w:u w:val="single"/>
        </w:rPr>
      </w:pPr>
    </w:p>
    <w:p w14:paraId="68AACE23" w14:textId="7BB30D32" w:rsidR="007123AB" w:rsidRPr="00A82DE8" w:rsidRDefault="007123AB">
      <w:pPr>
        <w:rPr>
          <w:rFonts w:ascii="Arial" w:hAnsi="Arial" w:cs="Arial"/>
          <w:b/>
          <w:bCs/>
          <w:u w:val="single"/>
        </w:rPr>
      </w:pPr>
    </w:p>
    <w:p w14:paraId="1F0E3A5E" w14:textId="7FE1DDB8" w:rsidR="007123AB" w:rsidRPr="00A82DE8" w:rsidRDefault="007123AB">
      <w:pPr>
        <w:rPr>
          <w:rFonts w:ascii="Arial" w:hAnsi="Arial" w:cs="Arial"/>
          <w:b/>
          <w:bCs/>
          <w:u w:val="single"/>
        </w:rPr>
      </w:pPr>
    </w:p>
    <w:p w14:paraId="1703D72E" w14:textId="0962B297" w:rsidR="007123AB" w:rsidRPr="00A82DE8" w:rsidRDefault="007123AB">
      <w:pPr>
        <w:rPr>
          <w:rFonts w:ascii="Arial" w:hAnsi="Arial" w:cs="Arial"/>
          <w:b/>
          <w:bCs/>
          <w:u w:val="single"/>
        </w:rPr>
      </w:pPr>
    </w:p>
    <w:p w14:paraId="2A6A0B25" w14:textId="413A5E70" w:rsidR="007123AB" w:rsidRPr="00A82DE8" w:rsidRDefault="007123AB">
      <w:pPr>
        <w:rPr>
          <w:rFonts w:ascii="Arial" w:hAnsi="Arial" w:cs="Arial"/>
          <w:b/>
          <w:bCs/>
          <w:u w:val="single"/>
        </w:rPr>
      </w:pPr>
    </w:p>
    <w:p w14:paraId="7745B9EA" w14:textId="48FA2DEF" w:rsidR="007123AB" w:rsidRPr="00A82DE8" w:rsidRDefault="007123AB">
      <w:pPr>
        <w:rPr>
          <w:rFonts w:ascii="Arial" w:hAnsi="Arial" w:cs="Arial"/>
          <w:b/>
          <w:bCs/>
          <w:u w:val="single"/>
        </w:rPr>
      </w:pPr>
    </w:p>
    <w:p w14:paraId="40C10144" w14:textId="475A6691" w:rsidR="007123AB" w:rsidRPr="00A82DE8" w:rsidRDefault="007123AB">
      <w:pPr>
        <w:rPr>
          <w:rFonts w:ascii="Arial" w:hAnsi="Arial" w:cs="Arial"/>
          <w:b/>
          <w:bCs/>
          <w:u w:val="single"/>
        </w:rPr>
      </w:pPr>
    </w:p>
    <w:p w14:paraId="721DB2D9" w14:textId="7863176E" w:rsidR="007123AB" w:rsidRPr="00A82DE8" w:rsidRDefault="007123AB">
      <w:pPr>
        <w:rPr>
          <w:rFonts w:ascii="Arial" w:hAnsi="Arial" w:cs="Arial"/>
          <w:b/>
          <w:bCs/>
          <w:u w:val="single"/>
        </w:rPr>
      </w:pPr>
    </w:p>
    <w:p w14:paraId="0C86C6AF" w14:textId="2980D475" w:rsidR="007123AB" w:rsidRPr="00A82DE8" w:rsidRDefault="007123AB">
      <w:pPr>
        <w:rPr>
          <w:rFonts w:ascii="Arial" w:hAnsi="Arial" w:cs="Arial"/>
          <w:b/>
          <w:bCs/>
          <w:u w:val="single"/>
        </w:rPr>
      </w:pPr>
    </w:p>
    <w:p w14:paraId="4E635EC6" w14:textId="5537BCB4" w:rsidR="007123AB" w:rsidRPr="00A82DE8" w:rsidRDefault="007123AB">
      <w:pPr>
        <w:rPr>
          <w:rFonts w:ascii="Arial" w:hAnsi="Arial" w:cs="Arial"/>
          <w:b/>
          <w:bCs/>
          <w:u w:val="single"/>
        </w:rPr>
      </w:pPr>
    </w:p>
    <w:p w14:paraId="564F1902" w14:textId="337F56D7" w:rsidR="007123AB" w:rsidRPr="00A82DE8" w:rsidRDefault="007123AB">
      <w:pPr>
        <w:rPr>
          <w:rFonts w:ascii="Arial" w:hAnsi="Arial" w:cs="Arial"/>
          <w:b/>
          <w:bCs/>
          <w:u w:val="single"/>
        </w:rPr>
      </w:pPr>
    </w:p>
    <w:p w14:paraId="37334C46" w14:textId="4601EEEC" w:rsidR="007123AB" w:rsidRPr="00A82DE8" w:rsidRDefault="007123AB">
      <w:pPr>
        <w:rPr>
          <w:rFonts w:ascii="Arial" w:hAnsi="Arial" w:cs="Arial"/>
          <w:b/>
          <w:bCs/>
          <w:u w:val="single"/>
        </w:rPr>
      </w:pPr>
    </w:p>
    <w:p w14:paraId="5337B73D" w14:textId="1B7D8165" w:rsidR="007123AB" w:rsidRPr="00A82DE8" w:rsidRDefault="007123AB">
      <w:pPr>
        <w:rPr>
          <w:rFonts w:ascii="Arial" w:hAnsi="Arial" w:cs="Arial"/>
          <w:b/>
          <w:bCs/>
          <w:u w:val="single"/>
        </w:rPr>
      </w:pPr>
    </w:p>
    <w:p w14:paraId="3CCE428B" w14:textId="4FDB94B4" w:rsidR="007123AB" w:rsidRPr="00A82DE8" w:rsidRDefault="007123AB">
      <w:pPr>
        <w:rPr>
          <w:rFonts w:ascii="Arial" w:hAnsi="Arial" w:cs="Arial"/>
          <w:b/>
          <w:bCs/>
          <w:u w:val="single"/>
        </w:rPr>
      </w:pPr>
    </w:p>
    <w:p w14:paraId="35E49ECC" w14:textId="77777777" w:rsidR="007123AB" w:rsidRPr="00A82DE8" w:rsidRDefault="007123AB">
      <w:pPr>
        <w:rPr>
          <w:rFonts w:ascii="Arial" w:hAnsi="Arial" w:cs="Arial"/>
          <w:b/>
          <w:bCs/>
          <w:u w:val="single"/>
        </w:rPr>
      </w:pPr>
    </w:p>
    <w:p w14:paraId="53F3A9CB" w14:textId="6567520D" w:rsidR="00090392" w:rsidRPr="00A82DE8" w:rsidRDefault="008F2863">
      <w:pPr>
        <w:rPr>
          <w:rFonts w:ascii="Arial" w:hAnsi="Arial" w:cs="Arial"/>
        </w:rPr>
      </w:pPr>
      <w:r w:rsidRPr="00A82DE8">
        <w:rPr>
          <w:rFonts w:ascii="Arial" w:hAnsi="Arial" w:cs="Arial"/>
        </w:rPr>
        <w:t>Bibliography:</w:t>
      </w:r>
    </w:p>
    <w:p w14:paraId="5A81C5EA" w14:textId="79E0B7F1" w:rsidR="00090392" w:rsidRPr="00A82DE8" w:rsidRDefault="00090392">
      <w:pPr>
        <w:rPr>
          <w:rFonts w:ascii="Arial" w:hAnsi="Arial" w:cs="Arial"/>
          <w:sz w:val="20"/>
          <w:szCs w:val="20"/>
        </w:rPr>
      </w:pPr>
      <w:r w:rsidRPr="00A82DE8">
        <w:rPr>
          <w:rFonts w:ascii="Arial" w:hAnsi="Arial" w:cs="Arial"/>
          <w:sz w:val="20"/>
          <w:szCs w:val="20"/>
        </w:rPr>
        <w:t xml:space="preserve">Primary </w:t>
      </w:r>
      <w:r w:rsidR="008F2863" w:rsidRPr="00A82DE8">
        <w:rPr>
          <w:rFonts w:ascii="Arial" w:hAnsi="Arial" w:cs="Arial"/>
          <w:sz w:val="20"/>
          <w:szCs w:val="20"/>
        </w:rPr>
        <w:t>sources:</w:t>
      </w:r>
      <w:r w:rsidRPr="00A82DE8">
        <w:rPr>
          <w:rFonts w:ascii="Arial" w:hAnsi="Arial" w:cs="Arial"/>
          <w:sz w:val="20"/>
          <w:szCs w:val="20"/>
        </w:rPr>
        <w:t xml:space="preserve"> </w:t>
      </w:r>
    </w:p>
    <w:p w14:paraId="729CEE9C" w14:textId="77777777" w:rsidR="007F5C7E" w:rsidRPr="00A82DE8" w:rsidRDefault="00090392" w:rsidP="007F5C7E">
      <w:pPr>
        <w:pStyle w:val="reflistitem"/>
        <w:shd w:val="clear" w:color="auto" w:fill="FFFFFF"/>
        <w:spacing w:before="150" w:beforeAutospacing="0"/>
        <w:rPr>
          <w:rFonts w:ascii="Arial" w:hAnsi="Arial" w:cs="Arial"/>
          <w:sz w:val="20"/>
          <w:szCs w:val="20"/>
        </w:rPr>
      </w:pPr>
      <w:bookmarkStart w:id="13" w:name="_Hlk57998795"/>
      <w:r w:rsidRPr="00A82DE8">
        <w:rPr>
          <w:rFonts w:ascii="Arial" w:hAnsi="Arial" w:cs="Arial"/>
          <w:sz w:val="20"/>
          <w:szCs w:val="20"/>
        </w:rPr>
        <w:t>Schweizer,</w:t>
      </w:r>
      <w:r w:rsidR="007F5C7E" w:rsidRPr="00A82DE8">
        <w:rPr>
          <w:rFonts w:ascii="Arial" w:hAnsi="Arial" w:cs="Arial"/>
          <w:sz w:val="20"/>
          <w:szCs w:val="20"/>
        </w:rPr>
        <w:t xml:space="preserve"> Andreas</w:t>
      </w:r>
      <w:r w:rsidRPr="00A82DE8">
        <w:rPr>
          <w:rFonts w:ascii="Arial" w:hAnsi="Arial" w:cs="Arial"/>
          <w:sz w:val="20"/>
          <w:szCs w:val="20"/>
        </w:rPr>
        <w:t xml:space="preserve"> </w:t>
      </w:r>
      <w:r w:rsidRPr="000E0928">
        <w:rPr>
          <w:rFonts w:ascii="Arial" w:hAnsi="Arial" w:cs="Arial"/>
          <w:i/>
          <w:iCs/>
          <w:sz w:val="20"/>
          <w:szCs w:val="20"/>
        </w:rPr>
        <w:t>'The Son of the Earth in C.G. Jung's The Red Book'</w:t>
      </w:r>
      <w:r w:rsidRPr="00A82DE8">
        <w:rPr>
          <w:rFonts w:ascii="Arial" w:hAnsi="Arial" w:cs="Arial"/>
          <w:sz w:val="20"/>
          <w:szCs w:val="20"/>
        </w:rPr>
        <w:t>,</w:t>
      </w:r>
      <w:r w:rsidR="007F5C7E" w:rsidRPr="00A82DE8">
        <w:rPr>
          <w:rFonts w:ascii="Arial" w:hAnsi="Arial" w:cs="Arial"/>
          <w:sz w:val="20"/>
          <w:szCs w:val="20"/>
        </w:rPr>
        <w:t xml:space="preserve"> </w:t>
      </w:r>
      <w:r w:rsidR="007F5C7E" w:rsidRPr="00A82DE8">
        <w:rPr>
          <w:rFonts w:ascii="Arial" w:hAnsi="Arial" w:cs="Arial"/>
          <w:sz w:val="20"/>
          <w:szCs w:val="20"/>
        </w:rPr>
        <w:t>Jung Journal: Culture &amp; Psyche</w:t>
      </w:r>
      <w:r w:rsidR="007F5C7E" w:rsidRPr="00A82DE8">
        <w:rPr>
          <w:rFonts w:ascii="Arial" w:hAnsi="Arial" w:cs="Arial"/>
          <w:sz w:val="20"/>
          <w:szCs w:val="20"/>
        </w:rPr>
        <w:t>,</w:t>
      </w:r>
      <w:r w:rsidRPr="00A82DE8">
        <w:rPr>
          <w:rFonts w:ascii="Arial" w:hAnsi="Arial" w:cs="Arial"/>
          <w:sz w:val="20"/>
          <w:szCs w:val="20"/>
        </w:rPr>
        <w:t xml:space="preserve"> 5.3, (2011), 78-93.</w:t>
      </w:r>
      <w:bookmarkStart w:id="14" w:name="_Hlk57998975"/>
      <w:bookmarkEnd w:id="13"/>
    </w:p>
    <w:p w14:paraId="57291E13" w14:textId="508C4AEB" w:rsidR="007F5C7E" w:rsidRPr="00A82DE8" w:rsidRDefault="00090392" w:rsidP="007F5C7E">
      <w:pPr>
        <w:pStyle w:val="reflistitem"/>
        <w:shd w:val="clear" w:color="auto" w:fill="FFFFFF"/>
        <w:spacing w:before="150" w:beforeAutospacing="0"/>
        <w:rPr>
          <w:rFonts w:ascii="Arial" w:hAnsi="Arial" w:cs="Arial"/>
          <w:sz w:val="20"/>
          <w:szCs w:val="20"/>
        </w:rPr>
      </w:pPr>
      <w:r w:rsidRPr="00A82DE8">
        <w:rPr>
          <w:rFonts w:ascii="Arial" w:hAnsi="Arial" w:cs="Arial"/>
          <w:sz w:val="20"/>
          <w:szCs w:val="20"/>
        </w:rPr>
        <w:t>Hart</w:t>
      </w:r>
      <w:r w:rsidR="00744921" w:rsidRPr="00A82DE8">
        <w:rPr>
          <w:rFonts w:ascii="Arial" w:hAnsi="Arial" w:cs="Arial"/>
          <w:sz w:val="20"/>
          <w:szCs w:val="20"/>
        </w:rPr>
        <w:t>,</w:t>
      </w:r>
      <w:r w:rsidR="007F5C7E" w:rsidRPr="00A82DE8">
        <w:rPr>
          <w:rFonts w:ascii="Arial" w:hAnsi="Arial" w:cs="Arial"/>
          <w:sz w:val="20"/>
          <w:szCs w:val="20"/>
        </w:rPr>
        <w:t xml:space="preserve"> </w:t>
      </w:r>
      <w:r w:rsidR="000E0928" w:rsidRPr="00A82DE8">
        <w:rPr>
          <w:rFonts w:ascii="Arial" w:hAnsi="Arial" w:cs="Arial"/>
          <w:sz w:val="20"/>
          <w:szCs w:val="20"/>
        </w:rPr>
        <w:t>David ‘</w:t>
      </w:r>
      <w:r w:rsidR="00744921" w:rsidRPr="000E0928">
        <w:rPr>
          <w:rFonts w:ascii="Arial" w:hAnsi="Arial" w:cs="Arial"/>
          <w:i/>
          <w:iCs/>
          <w:sz w:val="20"/>
          <w:szCs w:val="20"/>
        </w:rPr>
        <w:t>Jung’s Therapeutic Gnosticism</w:t>
      </w:r>
      <w:r w:rsidRPr="00A82DE8">
        <w:rPr>
          <w:rFonts w:ascii="Arial" w:hAnsi="Arial" w:cs="Arial"/>
          <w:sz w:val="20"/>
          <w:szCs w:val="20"/>
        </w:rPr>
        <w:t xml:space="preserve"> ',</w:t>
      </w:r>
      <w:r w:rsidRPr="00A82DE8">
        <w:rPr>
          <w:rFonts w:ascii="Arial" w:hAnsi="Arial" w:cs="Arial"/>
          <w:sz w:val="20"/>
          <w:szCs w:val="20"/>
        </w:rPr>
        <w:t xml:space="preserve"> </w:t>
      </w:r>
      <w:r w:rsidRPr="00A82DE8">
        <w:rPr>
          <w:rFonts w:ascii="Arial" w:hAnsi="Arial" w:cs="Arial"/>
          <w:sz w:val="20"/>
          <w:szCs w:val="20"/>
        </w:rPr>
        <w:t>(2013).</w:t>
      </w:r>
      <w:bookmarkEnd w:id="14"/>
    </w:p>
    <w:p w14:paraId="2329FE09" w14:textId="1EC9236A" w:rsidR="00090392" w:rsidRPr="00A82DE8" w:rsidRDefault="00090392">
      <w:pPr>
        <w:rPr>
          <w:rFonts w:ascii="Arial" w:hAnsi="Arial" w:cs="Arial"/>
          <w:sz w:val="20"/>
          <w:szCs w:val="20"/>
        </w:rPr>
      </w:pPr>
      <w:r w:rsidRPr="00A82DE8">
        <w:rPr>
          <w:rFonts w:ascii="Arial" w:hAnsi="Arial" w:cs="Arial"/>
          <w:sz w:val="20"/>
          <w:szCs w:val="20"/>
        </w:rPr>
        <w:t xml:space="preserve">Secondary </w:t>
      </w:r>
      <w:r w:rsidR="008F2863" w:rsidRPr="00A82DE8">
        <w:rPr>
          <w:rFonts w:ascii="Arial" w:hAnsi="Arial" w:cs="Arial"/>
          <w:sz w:val="20"/>
          <w:szCs w:val="20"/>
        </w:rPr>
        <w:t>Sources:</w:t>
      </w:r>
      <w:r w:rsidRPr="00A82DE8">
        <w:rPr>
          <w:rFonts w:ascii="Arial" w:hAnsi="Arial" w:cs="Arial"/>
          <w:sz w:val="20"/>
          <w:szCs w:val="20"/>
        </w:rPr>
        <w:t xml:space="preserve"> </w:t>
      </w:r>
    </w:p>
    <w:p w14:paraId="111307A9" w14:textId="77777777" w:rsidR="007B385F" w:rsidRPr="00A82DE8" w:rsidRDefault="007B385F" w:rsidP="007B385F">
      <w:pPr>
        <w:pStyle w:val="reflistitem"/>
        <w:shd w:val="clear" w:color="auto" w:fill="FFFFFF"/>
        <w:spacing w:before="150" w:beforeAutospacing="0" w:line="336" w:lineRule="atLeast"/>
        <w:rPr>
          <w:rFonts w:ascii="Arial" w:hAnsi="Arial" w:cs="Arial"/>
          <w:sz w:val="20"/>
          <w:szCs w:val="20"/>
        </w:rPr>
      </w:pPr>
      <w:bookmarkStart w:id="15" w:name="_Hlk58004114"/>
      <w:r w:rsidRPr="00A82DE8">
        <w:rPr>
          <w:rFonts w:ascii="Arial" w:hAnsi="Arial" w:cs="Arial"/>
          <w:sz w:val="20"/>
          <w:szCs w:val="20"/>
        </w:rPr>
        <w:t xml:space="preserve">Paul Brutsche, </w:t>
      </w:r>
      <w:r w:rsidRPr="00A82DE8">
        <w:rPr>
          <w:rFonts w:ascii="Arial" w:hAnsi="Arial" w:cs="Arial"/>
          <w:i/>
          <w:iCs/>
          <w:sz w:val="20"/>
          <w:szCs w:val="20"/>
        </w:rPr>
        <w:t>'The Red Book in the Context of Jung's Paintings'</w:t>
      </w:r>
      <w:r w:rsidRPr="00A82DE8">
        <w:rPr>
          <w:rFonts w:ascii="Arial" w:hAnsi="Arial" w:cs="Arial"/>
          <w:sz w:val="20"/>
          <w:szCs w:val="20"/>
        </w:rPr>
        <w:t>, Jung Journal: Culture &amp; Psyche, 5.3, (2011), 8-24.</w:t>
      </w:r>
    </w:p>
    <w:bookmarkEnd w:id="15"/>
    <w:p w14:paraId="750D436B" w14:textId="5849070B" w:rsidR="00CB5511" w:rsidRPr="00A82DE8" w:rsidRDefault="00CB5511" w:rsidP="00CB5511">
      <w:pPr>
        <w:pStyle w:val="reflistitem"/>
        <w:shd w:val="clear" w:color="auto" w:fill="FFFFFF"/>
        <w:spacing w:before="150" w:beforeAutospacing="0" w:line="336" w:lineRule="atLeast"/>
        <w:rPr>
          <w:rFonts w:ascii="Arial" w:hAnsi="Arial" w:cs="Arial"/>
          <w:sz w:val="20"/>
          <w:szCs w:val="20"/>
        </w:rPr>
      </w:pPr>
      <w:r w:rsidRPr="00A82DE8">
        <w:rPr>
          <w:rFonts w:ascii="Arial" w:hAnsi="Arial" w:cs="Arial"/>
          <w:sz w:val="20"/>
          <w:szCs w:val="20"/>
        </w:rPr>
        <w:t>Brooke,</w:t>
      </w:r>
      <w:r w:rsidRPr="00A82DE8">
        <w:rPr>
          <w:rFonts w:ascii="Arial" w:hAnsi="Arial" w:cs="Arial"/>
          <w:sz w:val="20"/>
          <w:szCs w:val="20"/>
        </w:rPr>
        <w:t xml:space="preserve"> </w:t>
      </w:r>
      <w:r w:rsidR="000E0928" w:rsidRPr="00A82DE8">
        <w:rPr>
          <w:rFonts w:ascii="Arial" w:hAnsi="Arial" w:cs="Arial"/>
          <w:sz w:val="20"/>
          <w:szCs w:val="20"/>
        </w:rPr>
        <w:t>Roger, </w:t>
      </w:r>
      <w:r w:rsidR="000E0928">
        <w:rPr>
          <w:rFonts w:ascii="Arial" w:hAnsi="Arial" w:cs="Arial"/>
          <w:sz w:val="20"/>
          <w:szCs w:val="20"/>
        </w:rPr>
        <w:t>‘</w:t>
      </w:r>
      <w:r w:rsidR="000E0928" w:rsidRPr="00A82DE8">
        <w:rPr>
          <w:rFonts w:ascii="Arial" w:hAnsi="Arial" w:cs="Arial"/>
          <w:sz w:val="20"/>
          <w:szCs w:val="20"/>
        </w:rPr>
        <w:t>Jung</w:t>
      </w:r>
      <w:r w:rsidRPr="00A82DE8">
        <w:rPr>
          <w:rFonts w:ascii="Arial" w:hAnsi="Arial" w:cs="Arial"/>
          <w:i/>
          <w:iCs/>
          <w:sz w:val="20"/>
          <w:szCs w:val="20"/>
        </w:rPr>
        <w:t xml:space="preserve"> and Phenomenology</w:t>
      </w:r>
      <w:r w:rsidR="000E0928">
        <w:rPr>
          <w:rFonts w:ascii="Arial" w:hAnsi="Arial" w:cs="Arial"/>
          <w:i/>
          <w:iCs/>
          <w:sz w:val="20"/>
          <w:szCs w:val="20"/>
        </w:rPr>
        <w:t>’</w:t>
      </w:r>
      <w:r w:rsidRPr="00A82DE8">
        <w:rPr>
          <w:rFonts w:ascii="Arial" w:hAnsi="Arial" w:cs="Arial"/>
          <w:i/>
          <w:iCs/>
          <w:sz w:val="20"/>
          <w:szCs w:val="20"/>
        </w:rPr>
        <w:t> </w:t>
      </w:r>
      <w:r w:rsidRPr="00A82DE8">
        <w:rPr>
          <w:rFonts w:ascii="Arial" w:hAnsi="Arial" w:cs="Arial"/>
          <w:sz w:val="20"/>
          <w:szCs w:val="20"/>
        </w:rPr>
        <w:t xml:space="preserve">(New York: </w:t>
      </w:r>
      <w:r w:rsidR="000E0928" w:rsidRPr="00A82DE8">
        <w:rPr>
          <w:rFonts w:ascii="Arial" w:hAnsi="Arial" w:cs="Arial"/>
          <w:sz w:val="20"/>
          <w:szCs w:val="20"/>
        </w:rPr>
        <w:t>Routledge,</w:t>
      </w:r>
      <w:r w:rsidRPr="00A82DE8">
        <w:rPr>
          <w:rFonts w:ascii="Arial" w:hAnsi="Arial" w:cs="Arial"/>
          <w:sz w:val="20"/>
          <w:szCs w:val="20"/>
        </w:rPr>
        <w:t xml:space="preserve"> 2015).</w:t>
      </w:r>
    </w:p>
    <w:p w14:paraId="1CABC300" w14:textId="09D31660" w:rsidR="007123AB" w:rsidRPr="00A82DE8" w:rsidRDefault="007123AB" w:rsidP="00CB5511">
      <w:pPr>
        <w:pStyle w:val="reflistitem"/>
        <w:shd w:val="clear" w:color="auto" w:fill="FFFFFF"/>
        <w:spacing w:before="150" w:beforeAutospacing="0" w:line="336" w:lineRule="atLeast"/>
        <w:rPr>
          <w:rFonts w:ascii="Arial" w:hAnsi="Arial" w:cs="Arial"/>
          <w:sz w:val="20"/>
          <w:szCs w:val="20"/>
        </w:rPr>
      </w:pPr>
      <w:r w:rsidRPr="00A82DE8">
        <w:rPr>
          <w:rFonts w:ascii="Arial" w:hAnsi="Arial" w:cs="Arial"/>
          <w:sz w:val="20"/>
          <w:szCs w:val="20"/>
        </w:rPr>
        <w:t xml:space="preserve">Jung, Carl, </w:t>
      </w:r>
      <w:r w:rsidR="000E0928">
        <w:rPr>
          <w:rFonts w:ascii="Arial" w:hAnsi="Arial" w:cs="Arial"/>
          <w:sz w:val="20"/>
          <w:szCs w:val="20"/>
        </w:rPr>
        <w:t>‘</w:t>
      </w:r>
      <w:r w:rsidRPr="000E0928">
        <w:rPr>
          <w:rFonts w:ascii="Arial" w:hAnsi="Arial" w:cs="Arial"/>
          <w:i/>
          <w:iCs/>
          <w:sz w:val="20"/>
          <w:szCs w:val="20"/>
        </w:rPr>
        <w:t>The Red Book</w:t>
      </w:r>
      <w:r w:rsidR="000E0928" w:rsidRPr="000E0928">
        <w:rPr>
          <w:rFonts w:ascii="Arial" w:hAnsi="Arial" w:cs="Arial"/>
          <w:i/>
          <w:iCs/>
          <w:sz w:val="20"/>
          <w:szCs w:val="20"/>
        </w:rPr>
        <w:t>’</w:t>
      </w:r>
      <w:r w:rsidRPr="00A82DE8">
        <w:rPr>
          <w:rFonts w:ascii="Arial" w:hAnsi="Arial" w:cs="Arial"/>
          <w:sz w:val="20"/>
          <w:szCs w:val="20"/>
        </w:rPr>
        <w:t xml:space="preserve">, ed. by Sonu Shamdasani, trans. by Mark </w:t>
      </w:r>
      <w:r w:rsidR="000E0928" w:rsidRPr="00A82DE8">
        <w:rPr>
          <w:rFonts w:ascii="Arial" w:hAnsi="Arial" w:cs="Arial"/>
          <w:sz w:val="20"/>
          <w:szCs w:val="20"/>
        </w:rPr>
        <w:t>Kyburz,</w:t>
      </w:r>
      <w:r w:rsidRPr="00A82DE8">
        <w:rPr>
          <w:rFonts w:ascii="Arial" w:hAnsi="Arial" w:cs="Arial"/>
          <w:sz w:val="20"/>
          <w:szCs w:val="20"/>
        </w:rPr>
        <w:t xml:space="preserve"> 1st edn (</w:t>
      </w:r>
      <w:proofErr w:type="gramStart"/>
      <w:r w:rsidRPr="00A82DE8">
        <w:rPr>
          <w:rFonts w:ascii="Arial" w:hAnsi="Arial" w:cs="Arial"/>
          <w:sz w:val="20"/>
          <w:szCs w:val="20"/>
        </w:rPr>
        <w:t>Italy :</w:t>
      </w:r>
      <w:proofErr w:type="gramEnd"/>
      <w:r w:rsidRPr="00A82DE8">
        <w:rPr>
          <w:rFonts w:ascii="Arial" w:hAnsi="Arial" w:cs="Arial"/>
          <w:sz w:val="20"/>
          <w:szCs w:val="20"/>
        </w:rPr>
        <w:t xml:space="preserve"> The foundation of the works of C.G. Jung , 2009).</w:t>
      </w:r>
    </w:p>
    <w:p w14:paraId="3D76CFA6" w14:textId="64A0015E" w:rsidR="001E7374" w:rsidRPr="00A82DE8" w:rsidRDefault="00A82DE8">
      <w:pPr>
        <w:rPr>
          <w:rFonts w:ascii="Arial" w:hAnsi="Arial" w:cs="Arial"/>
          <w:sz w:val="20"/>
          <w:szCs w:val="20"/>
        </w:rPr>
      </w:pPr>
      <w:r w:rsidRPr="00A82DE8">
        <w:rPr>
          <w:rFonts w:ascii="Arial" w:hAnsi="Arial" w:cs="Arial"/>
          <w:sz w:val="20"/>
          <w:szCs w:val="20"/>
        </w:rPr>
        <w:t xml:space="preserve">George Town </w:t>
      </w:r>
      <w:r w:rsidRPr="00A82DE8">
        <w:rPr>
          <w:rFonts w:ascii="Arial" w:hAnsi="Arial" w:cs="Arial"/>
          <w:sz w:val="20"/>
          <w:szCs w:val="20"/>
        </w:rPr>
        <w:t>University,</w:t>
      </w:r>
      <w:r w:rsidRPr="00A82DE8">
        <w:rPr>
          <w:rFonts w:ascii="Arial" w:hAnsi="Arial" w:cs="Arial"/>
          <w:sz w:val="20"/>
          <w:szCs w:val="20"/>
        </w:rPr>
        <w:t xml:space="preserve"> </w:t>
      </w:r>
      <w:r w:rsidRPr="00A82DE8">
        <w:rPr>
          <w:rFonts w:ascii="Arial" w:hAnsi="Arial" w:cs="Arial"/>
          <w:i/>
          <w:iCs/>
          <w:sz w:val="20"/>
          <w:szCs w:val="20"/>
        </w:rPr>
        <w:t>David Hart</w:t>
      </w:r>
      <w:r w:rsidRPr="00A82DE8">
        <w:rPr>
          <w:rFonts w:ascii="Arial" w:hAnsi="Arial" w:cs="Arial"/>
          <w:sz w:val="20"/>
          <w:szCs w:val="20"/>
        </w:rPr>
        <w:t xml:space="preserve"> (2020) &lt;www.berkleycenter.georgetown.edu&gt; [accessed 3 December 2020].</w:t>
      </w:r>
      <w:bookmarkStart w:id="16" w:name="_GoBack"/>
      <w:bookmarkEnd w:id="16"/>
    </w:p>
    <w:sectPr w:rsidR="001E7374" w:rsidRPr="00A82DE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FDAD0" w14:textId="77777777" w:rsidR="0068781E" w:rsidRDefault="0068781E" w:rsidP="00513707">
      <w:pPr>
        <w:spacing w:after="0" w:line="240" w:lineRule="auto"/>
      </w:pPr>
      <w:r>
        <w:separator/>
      </w:r>
    </w:p>
  </w:endnote>
  <w:endnote w:type="continuationSeparator" w:id="0">
    <w:p w14:paraId="4A1B83A6" w14:textId="77777777" w:rsidR="0068781E" w:rsidRDefault="0068781E" w:rsidP="00513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2523386"/>
      <w:docPartObj>
        <w:docPartGallery w:val="Page Numbers (Bottom of Page)"/>
        <w:docPartUnique/>
      </w:docPartObj>
    </w:sdtPr>
    <w:sdtEndPr>
      <w:rPr>
        <w:noProof/>
      </w:rPr>
    </w:sdtEndPr>
    <w:sdtContent>
      <w:p w14:paraId="64A69DE4" w14:textId="26755248" w:rsidR="00D45086" w:rsidRDefault="00D450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470528" w14:textId="77777777" w:rsidR="00D45086" w:rsidRDefault="00D45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579EC" w14:textId="77777777" w:rsidR="0068781E" w:rsidRDefault="0068781E" w:rsidP="00513707">
      <w:pPr>
        <w:spacing w:after="0" w:line="240" w:lineRule="auto"/>
      </w:pPr>
      <w:r>
        <w:separator/>
      </w:r>
    </w:p>
  </w:footnote>
  <w:footnote w:type="continuationSeparator" w:id="0">
    <w:p w14:paraId="44C72D51" w14:textId="77777777" w:rsidR="0068781E" w:rsidRDefault="0068781E" w:rsidP="00513707">
      <w:pPr>
        <w:spacing w:after="0" w:line="240" w:lineRule="auto"/>
      </w:pPr>
      <w:r>
        <w:continuationSeparator/>
      </w:r>
    </w:p>
  </w:footnote>
  <w:footnote w:id="1">
    <w:p w14:paraId="42F94F3D" w14:textId="05418FB3" w:rsidR="00D45086" w:rsidRPr="00A82DE8" w:rsidRDefault="00D45086">
      <w:pPr>
        <w:pStyle w:val="FootnoteText"/>
        <w:rPr>
          <w:sz w:val="18"/>
          <w:szCs w:val="18"/>
        </w:rPr>
      </w:pPr>
      <w:r w:rsidRPr="00A82DE8">
        <w:rPr>
          <w:rStyle w:val="FootnoteReference"/>
          <w:sz w:val="18"/>
          <w:szCs w:val="18"/>
        </w:rPr>
        <w:footnoteRef/>
      </w:r>
      <w:r w:rsidR="00A82DE8" w:rsidRPr="00A82DE8">
        <w:rPr>
          <w:sz w:val="18"/>
          <w:szCs w:val="18"/>
        </w:rPr>
        <w:t xml:space="preserve"> </w:t>
      </w:r>
      <w:r w:rsidR="00A82DE8" w:rsidRPr="00A82DE8">
        <w:rPr>
          <w:sz w:val="18"/>
          <w:szCs w:val="18"/>
        </w:rPr>
        <w:t xml:space="preserve">George Town </w:t>
      </w:r>
      <w:proofErr w:type="gramStart"/>
      <w:r w:rsidR="00A82DE8" w:rsidRPr="00A82DE8">
        <w:rPr>
          <w:sz w:val="18"/>
          <w:szCs w:val="18"/>
        </w:rPr>
        <w:t>University ,</w:t>
      </w:r>
      <w:proofErr w:type="gramEnd"/>
      <w:r w:rsidR="00A82DE8" w:rsidRPr="00A82DE8">
        <w:rPr>
          <w:sz w:val="18"/>
          <w:szCs w:val="18"/>
        </w:rPr>
        <w:t xml:space="preserve"> David Hart (2020) &lt;www.berkleycenter.georgetown.edu&gt; [accessed 3 December 2020].</w:t>
      </w:r>
    </w:p>
  </w:footnote>
  <w:footnote w:id="2">
    <w:p w14:paraId="5457C6F7" w14:textId="6E56DDC6" w:rsidR="00D45086" w:rsidRPr="00A82DE8" w:rsidRDefault="00D45086">
      <w:pPr>
        <w:pStyle w:val="FootnoteText"/>
        <w:rPr>
          <w:sz w:val="18"/>
          <w:szCs w:val="18"/>
        </w:rPr>
      </w:pPr>
      <w:r w:rsidRPr="00A82DE8">
        <w:rPr>
          <w:rStyle w:val="FootnoteReference"/>
          <w:sz w:val="18"/>
          <w:szCs w:val="18"/>
        </w:rPr>
        <w:footnoteRef/>
      </w:r>
      <w:r w:rsidRPr="00A82DE8">
        <w:rPr>
          <w:sz w:val="18"/>
          <w:szCs w:val="18"/>
        </w:rPr>
        <w:t xml:space="preserve"> </w:t>
      </w:r>
      <w:r w:rsidR="00744921" w:rsidRPr="00A82DE8">
        <w:rPr>
          <w:sz w:val="18"/>
          <w:szCs w:val="18"/>
        </w:rPr>
        <w:t xml:space="preserve">Andreas Schweizer, </w:t>
      </w:r>
      <w:r w:rsidR="00744921" w:rsidRPr="00A82DE8">
        <w:rPr>
          <w:i/>
          <w:iCs/>
          <w:sz w:val="18"/>
          <w:szCs w:val="18"/>
        </w:rPr>
        <w:t>'The Son of the Earth in C.G. Jung's The Red Book'</w:t>
      </w:r>
      <w:r w:rsidR="00744921" w:rsidRPr="00A82DE8">
        <w:rPr>
          <w:sz w:val="18"/>
          <w:szCs w:val="18"/>
        </w:rPr>
        <w:t>, 5.3, (2011), p.</w:t>
      </w:r>
      <w:r w:rsidR="00744921" w:rsidRPr="00A82DE8">
        <w:rPr>
          <w:sz w:val="18"/>
          <w:szCs w:val="18"/>
        </w:rPr>
        <w:t xml:space="preserve"> 93</w:t>
      </w:r>
    </w:p>
  </w:footnote>
  <w:footnote w:id="3">
    <w:p w14:paraId="1F7C8180" w14:textId="5342CE56" w:rsidR="00D45086" w:rsidRPr="00A82DE8" w:rsidRDefault="00D45086">
      <w:pPr>
        <w:pStyle w:val="FootnoteText"/>
        <w:rPr>
          <w:sz w:val="18"/>
          <w:szCs w:val="18"/>
        </w:rPr>
      </w:pPr>
      <w:r w:rsidRPr="00A82DE8">
        <w:rPr>
          <w:rStyle w:val="FootnoteReference"/>
          <w:sz w:val="18"/>
          <w:szCs w:val="18"/>
        </w:rPr>
        <w:footnoteRef/>
      </w:r>
      <w:r w:rsidRPr="00A82DE8">
        <w:rPr>
          <w:sz w:val="18"/>
          <w:szCs w:val="18"/>
        </w:rPr>
        <w:t xml:space="preserve"> </w:t>
      </w:r>
      <w:r w:rsidR="00744921" w:rsidRPr="00A82DE8">
        <w:rPr>
          <w:sz w:val="18"/>
          <w:szCs w:val="18"/>
        </w:rPr>
        <w:t xml:space="preserve">Carl Jung, </w:t>
      </w:r>
      <w:r w:rsidR="00744921" w:rsidRPr="00A82DE8">
        <w:rPr>
          <w:i/>
          <w:iCs/>
          <w:sz w:val="18"/>
          <w:szCs w:val="18"/>
        </w:rPr>
        <w:t>The Red Book</w:t>
      </w:r>
      <w:r w:rsidR="00744921" w:rsidRPr="00A82DE8">
        <w:rPr>
          <w:sz w:val="18"/>
          <w:szCs w:val="18"/>
        </w:rPr>
        <w:t xml:space="preserve">, ed. by Sonu Shamdasani, trans. by Mark </w:t>
      </w:r>
      <w:proofErr w:type="gramStart"/>
      <w:r w:rsidR="00744921" w:rsidRPr="00A82DE8">
        <w:rPr>
          <w:sz w:val="18"/>
          <w:szCs w:val="18"/>
        </w:rPr>
        <w:t>Kyburz ,</w:t>
      </w:r>
      <w:proofErr w:type="gramEnd"/>
      <w:r w:rsidR="00744921" w:rsidRPr="00A82DE8">
        <w:rPr>
          <w:sz w:val="18"/>
          <w:szCs w:val="18"/>
        </w:rPr>
        <w:t xml:space="preserve"> 1st edn (Italy : The foundation of the works of C.G. Jung , 2009).</w:t>
      </w:r>
      <w:r w:rsidR="00744921" w:rsidRPr="00A82DE8">
        <w:rPr>
          <w:sz w:val="18"/>
          <w:szCs w:val="18"/>
        </w:rPr>
        <w:t xml:space="preserve"> Preface. </w:t>
      </w:r>
    </w:p>
  </w:footnote>
  <w:footnote w:id="4">
    <w:p w14:paraId="5248F409" w14:textId="078025B4" w:rsidR="00D45086" w:rsidRPr="00A82DE8" w:rsidRDefault="00D45086">
      <w:pPr>
        <w:pStyle w:val="FootnoteText"/>
        <w:rPr>
          <w:sz w:val="18"/>
          <w:szCs w:val="18"/>
        </w:rPr>
      </w:pPr>
      <w:r w:rsidRPr="00A82DE8">
        <w:rPr>
          <w:rStyle w:val="FootnoteReference"/>
          <w:sz w:val="18"/>
          <w:szCs w:val="18"/>
        </w:rPr>
        <w:footnoteRef/>
      </w:r>
      <w:r w:rsidRPr="00A82DE8">
        <w:rPr>
          <w:sz w:val="18"/>
          <w:szCs w:val="18"/>
        </w:rPr>
        <w:t xml:space="preserve"> </w:t>
      </w:r>
      <w:r w:rsidR="00744921" w:rsidRPr="00A82DE8">
        <w:rPr>
          <w:sz w:val="18"/>
          <w:szCs w:val="18"/>
        </w:rPr>
        <w:t xml:space="preserve">Carl Jung, </w:t>
      </w:r>
      <w:r w:rsidR="00744921" w:rsidRPr="00A82DE8">
        <w:rPr>
          <w:i/>
          <w:iCs/>
          <w:sz w:val="18"/>
          <w:szCs w:val="18"/>
        </w:rPr>
        <w:t>The Red Book</w:t>
      </w:r>
      <w:r w:rsidR="00744921" w:rsidRPr="00A82DE8">
        <w:rPr>
          <w:sz w:val="18"/>
          <w:szCs w:val="18"/>
        </w:rPr>
        <w:t xml:space="preserve">, preface. </w:t>
      </w:r>
    </w:p>
  </w:footnote>
  <w:footnote w:id="5">
    <w:p w14:paraId="686525C6" w14:textId="3205BACA" w:rsidR="00D45086" w:rsidRPr="00A82DE8" w:rsidRDefault="00D45086">
      <w:pPr>
        <w:pStyle w:val="FootnoteText"/>
        <w:rPr>
          <w:sz w:val="18"/>
          <w:szCs w:val="18"/>
        </w:rPr>
      </w:pPr>
      <w:r w:rsidRPr="00A82DE8">
        <w:rPr>
          <w:rStyle w:val="FootnoteReference"/>
          <w:sz w:val="18"/>
          <w:szCs w:val="18"/>
        </w:rPr>
        <w:footnoteRef/>
      </w:r>
      <w:r w:rsidRPr="00A82DE8">
        <w:rPr>
          <w:sz w:val="18"/>
          <w:szCs w:val="18"/>
        </w:rPr>
        <w:t xml:space="preserve"> </w:t>
      </w:r>
      <w:bookmarkStart w:id="6" w:name="_Hlk57998851"/>
      <w:r w:rsidR="00744921" w:rsidRPr="00A82DE8">
        <w:rPr>
          <w:sz w:val="18"/>
          <w:szCs w:val="18"/>
        </w:rPr>
        <w:t xml:space="preserve">Andreas Schweizer, 'The Son of the Earth in C.G. Jung's The Red Book', 5.3, (2011), </w:t>
      </w:r>
      <w:r w:rsidR="00744921" w:rsidRPr="00A82DE8">
        <w:rPr>
          <w:sz w:val="18"/>
          <w:szCs w:val="18"/>
        </w:rPr>
        <w:t>p.83</w:t>
      </w:r>
      <w:bookmarkEnd w:id="6"/>
    </w:p>
  </w:footnote>
  <w:footnote w:id="6">
    <w:p w14:paraId="6C8829CC" w14:textId="2A828CF9" w:rsidR="00D45086" w:rsidRDefault="00D45086">
      <w:pPr>
        <w:pStyle w:val="FootnoteText"/>
      </w:pPr>
      <w:r w:rsidRPr="00A82DE8">
        <w:rPr>
          <w:rStyle w:val="FootnoteReference"/>
          <w:sz w:val="18"/>
          <w:szCs w:val="18"/>
        </w:rPr>
        <w:footnoteRef/>
      </w:r>
      <w:r w:rsidR="00744921" w:rsidRPr="00A82DE8">
        <w:rPr>
          <w:sz w:val="18"/>
          <w:szCs w:val="18"/>
        </w:rPr>
        <w:t xml:space="preserve"> </w:t>
      </w:r>
      <w:bookmarkStart w:id="7" w:name="_Hlk57999201"/>
      <w:r w:rsidR="00744921" w:rsidRPr="00A82DE8">
        <w:rPr>
          <w:sz w:val="18"/>
          <w:szCs w:val="18"/>
        </w:rPr>
        <w:t>David Bentley Hart, 'Jung’s Therapeutic Gnosticism ', (2013)</w:t>
      </w:r>
      <w:r w:rsidR="00744921" w:rsidRPr="00A82DE8">
        <w:rPr>
          <w:sz w:val="18"/>
          <w:szCs w:val="18"/>
        </w:rPr>
        <w:t xml:space="preserve"> p. 1</w:t>
      </w:r>
      <w:bookmarkEnd w:id="7"/>
    </w:p>
  </w:footnote>
  <w:footnote w:id="7">
    <w:p w14:paraId="54531C25" w14:textId="4BB0E046" w:rsidR="00D45086" w:rsidRPr="007B385F" w:rsidRDefault="00D45086">
      <w:pPr>
        <w:pStyle w:val="FootnoteText"/>
        <w:rPr>
          <w:sz w:val="18"/>
          <w:szCs w:val="18"/>
        </w:rPr>
      </w:pPr>
      <w:r w:rsidRPr="007B385F">
        <w:rPr>
          <w:rStyle w:val="FootnoteReference"/>
          <w:sz w:val="18"/>
          <w:szCs w:val="18"/>
        </w:rPr>
        <w:footnoteRef/>
      </w:r>
      <w:r w:rsidRPr="007B385F">
        <w:rPr>
          <w:sz w:val="18"/>
          <w:szCs w:val="18"/>
        </w:rPr>
        <w:t xml:space="preserve"> </w:t>
      </w:r>
      <w:r w:rsidR="00744921" w:rsidRPr="007B385F">
        <w:rPr>
          <w:sz w:val="18"/>
          <w:szCs w:val="18"/>
        </w:rPr>
        <w:t xml:space="preserve">David Bentley Hart, </w:t>
      </w:r>
      <w:r w:rsidR="00744921" w:rsidRPr="007B385F">
        <w:rPr>
          <w:i/>
          <w:iCs/>
          <w:sz w:val="18"/>
          <w:szCs w:val="18"/>
        </w:rPr>
        <w:t>Jung’s Therapeutic Gnosticism</w:t>
      </w:r>
      <w:r w:rsidR="00744921" w:rsidRPr="007B385F">
        <w:rPr>
          <w:sz w:val="18"/>
          <w:szCs w:val="18"/>
        </w:rPr>
        <w:t xml:space="preserve">, (2013) p. </w:t>
      </w:r>
      <w:r w:rsidR="00744921" w:rsidRPr="007B385F">
        <w:rPr>
          <w:sz w:val="18"/>
          <w:szCs w:val="18"/>
        </w:rPr>
        <w:t>3</w:t>
      </w:r>
    </w:p>
  </w:footnote>
  <w:footnote w:id="8">
    <w:p w14:paraId="157A45D8" w14:textId="2B507E95" w:rsidR="00D45086" w:rsidRPr="007B385F" w:rsidRDefault="00D45086">
      <w:pPr>
        <w:pStyle w:val="FootnoteText"/>
        <w:rPr>
          <w:sz w:val="18"/>
          <w:szCs w:val="18"/>
        </w:rPr>
      </w:pPr>
      <w:r w:rsidRPr="007B385F">
        <w:rPr>
          <w:rStyle w:val="FootnoteReference"/>
          <w:sz w:val="18"/>
          <w:szCs w:val="18"/>
        </w:rPr>
        <w:footnoteRef/>
      </w:r>
      <w:r w:rsidRPr="007B385F">
        <w:rPr>
          <w:sz w:val="18"/>
          <w:szCs w:val="18"/>
        </w:rPr>
        <w:t xml:space="preserve"> </w:t>
      </w:r>
      <w:bookmarkStart w:id="8" w:name="_Hlk58000795"/>
      <w:r w:rsidR="00744921" w:rsidRPr="007B385F">
        <w:rPr>
          <w:sz w:val="18"/>
          <w:szCs w:val="18"/>
        </w:rPr>
        <w:t xml:space="preserve">Andreas </w:t>
      </w:r>
      <w:r w:rsidR="007B385F" w:rsidRPr="007B385F">
        <w:rPr>
          <w:sz w:val="18"/>
          <w:szCs w:val="18"/>
        </w:rPr>
        <w:t>Schweizer,</w:t>
      </w:r>
      <w:r w:rsidR="007B385F" w:rsidRPr="007B385F">
        <w:rPr>
          <w:i/>
          <w:iCs/>
          <w:sz w:val="18"/>
          <w:szCs w:val="18"/>
        </w:rPr>
        <w:t xml:space="preserve"> The</w:t>
      </w:r>
      <w:r w:rsidR="00744921" w:rsidRPr="007B385F">
        <w:rPr>
          <w:i/>
          <w:iCs/>
          <w:sz w:val="18"/>
          <w:szCs w:val="18"/>
        </w:rPr>
        <w:t xml:space="preserve"> Son of the Earth in C.G. Jung's The Red Book</w:t>
      </w:r>
      <w:r w:rsidR="00744921" w:rsidRPr="007B385F">
        <w:rPr>
          <w:sz w:val="18"/>
          <w:szCs w:val="18"/>
        </w:rPr>
        <w:t>,</w:t>
      </w:r>
      <w:r w:rsidR="007B385F" w:rsidRPr="007B385F">
        <w:rPr>
          <w:sz w:val="18"/>
          <w:szCs w:val="18"/>
        </w:rPr>
        <w:t xml:space="preserve"> </w:t>
      </w:r>
      <w:r w:rsidR="007B385F" w:rsidRPr="007B385F">
        <w:rPr>
          <w:sz w:val="18"/>
          <w:szCs w:val="18"/>
        </w:rPr>
        <w:t>Jung Journal: Culture &amp; Psyche</w:t>
      </w:r>
      <w:r w:rsidR="00744921" w:rsidRPr="007B385F">
        <w:rPr>
          <w:sz w:val="18"/>
          <w:szCs w:val="18"/>
        </w:rPr>
        <w:t xml:space="preserve"> 5.3, (2011), p.8</w:t>
      </w:r>
      <w:r w:rsidR="00744921" w:rsidRPr="007B385F">
        <w:rPr>
          <w:sz w:val="18"/>
          <w:szCs w:val="18"/>
        </w:rPr>
        <w:t>6</w:t>
      </w:r>
      <w:bookmarkEnd w:id="8"/>
    </w:p>
  </w:footnote>
  <w:footnote w:id="9">
    <w:p w14:paraId="2A5F3504" w14:textId="4CAFD5E7" w:rsidR="00D45086" w:rsidRPr="007B385F" w:rsidRDefault="00D45086">
      <w:pPr>
        <w:pStyle w:val="FootnoteText"/>
        <w:rPr>
          <w:sz w:val="18"/>
          <w:szCs w:val="18"/>
        </w:rPr>
      </w:pPr>
      <w:r w:rsidRPr="007B385F">
        <w:rPr>
          <w:rStyle w:val="FootnoteReference"/>
          <w:sz w:val="18"/>
          <w:szCs w:val="18"/>
        </w:rPr>
        <w:footnoteRef/>
      </w:r>
      <w:r w:rsidRPr="007B385F">
        <w:rPr>
          <w:sz w:val="18"/>
          <w:szCs w:val="18"/>
        </w:rPr>
        <w:t xml:space="preserve"> </w:t>
      </w:r>
      <w:r w:rsidR="00744921" w:rsidRPr="007B385F">
        <w:rPr>
          <w:sz w:val="18"/>
          <w:szCs w:val="18"/>
        </w:rPr>
        <w:t xml:space="preserve">David Hart, </w:t>
      </w:r>
      <w:r w:rsidR="00744921" w:rsidRPr="007B385F">
        <w:rPr>
          <w:i/>
          <w:iCs/>
          <w:sz w:val="18"/>
          <w:szCs w:val="18"/>
        </w:rPr>
        <w:t xml:space="preserve">Jung’s Therapeutic Gnosticism, </w:t>
      </w:r>
      <w:r w:rsidR="00744921" w:rsidRPr="007B385F">
        <w:rPr>
          <w:sz w:val="18"/>
          <w:szCs w:val="18"/>
        </w:rPr>
        <w:t>p.</w:t>
      </w:r>
      <w:r w:rsidR="00E736F1" w:rsidRPr="007B385F">
        <w:rPr>
          <w:sz w:val="18"/>
          <w:szCs w:val="18"/>
        </w:rPr>
        <w:t>1</w:t>
      </w:r>
    </w:p>
  </w:footnote>
  <w:footnote w:id="10">
    <w:p w14:paraId="30BA8F04" w14:textId="76F16CB3" w:rsidR="00D45086" w:rsidRPr="007B385F" w:rsidRDefault="00D45086">
      <w:pPr>
        <w:pStyle w:val="FootnoteText"/>
        <w:rPr>
          <w:sz w:val="18"/>
          <w:szCs w:val="18"/>
        </w:rPr>
      </w:pPr>
      <w:r w:rsidRPr="007B385F">
        <w:rPr>
          <w:rStyle w:val="FootnoteReference"/>
          <w:sz w:val="18"/>
          <w:szCs w:val="18"/>
        </w:rPr>
        <w:footnoteRef/>
      </w:r>
      <w:r w:rsidRPr="007B385F">
        <w:rPr>
          <w:sz w:val="18"/>
          <w:szCs w:val="18"/>
        </w:rPr>
        <w:t xml:space="preserve"> </w:t>
      </w:r>
      <w:r w:rsidR="00744921" w:rsidRPr="007B385F">
        <w:rPr>
          <w:sz w:val="18"/>
          <w:szCs w:val="18"/>
        </w:rPr>
        <w:t xml:space="preserve">David Hart, </w:t>
      </w:r>
      <w:r w:rsidR="00744921" w:rsidRPr="007B385F">
        <w:rPr>
          <w:i/>
          <w:iCs/>
          <w:sz w:val="18"/>
          <w:szCs w:val="18"/>
        </w:rPr>
        <w:t>Jung’s Therapeutic Gnosticism,</w:t>
      </w:r>
      <w:r w:rsidR="00744921" w:rsidRPr="007B385F">
        <w:rPr>
          <w:sz w:val="18"/>
          <w:szCs w:val="18"/>
        </w:rPr>
        <w:t xml:space="preserve"> p.</w:t>
      </w:r>
      <w:r w:rsidR="00E736F1" w:rsidRPr="007B385F">
        <w:rPr>
          <w:sz w:val="18"/>
          <w:szCs w:val="18"/>
        </w:rPr>
        <w:t xml:space="preserve">1 </w:t>
      </w:r>
    </w:p>
  </w:footnote>
  <w:footnote w:id="11">
    <w:p w14:paraId="5338D511" w14:textId="5EBFB26D" w:rsidR="00D45086" w:rsidRPr="007B385F" w:rsidRDefault="00D45086">
      <w:pPr>
        <w:pStyle w:val="FootnoteText"/>
        <w:rPr>
          <w:sz w:val="18"/>
          <w:szCs w:val="18"/>
        </w:rPr>
      </w:pPr>
      <w:r w:rsidRPr="007B385F">
        <w:rPr>
          <w:rStyle w:val="FootnoteReference"/>
          <w:sz w:val="18"/>
          <w:szCs w:val="18"/>
        </w:rPr>
        <w:footnoteRef/>
      </w:r>
      <w:r w:rsidR="00744921" w:rsidRPr="007B385F">
        <w:rPr>
          <w:sz w:val="18"/>
          <w:szCs w:val="18"/>
        </w:rPr>
        <w:t xml:space="preserve">Andreas Schweizer, </w:t>
      </w:r>
      <w:r w:rsidR="00744921" w:rsidRPr="007B385F">
        <w:rPr>
          <w:i/>
          <w:iCs/>
          <w:sz w:val="18"/>
          <w:szCs w:val="18"/>
        </w:rPr>
        <w:t>The Son of the Earth in C.G. Jung's The Red Book</w:t>
      </w:r>
      <w:r w:rsidR="00744921" w:rsidRPr="007B385F">
        <w:rPr>
          <w:sz w:val="18"/>
          <w:szCs w:val="18"/>
        </w:rPr>
        <w:t>,</w:t>
      </w:r>
      <w:r w:rsidR="007B385F" w:rsidRPr="007B385F">
        <w:t xml:space="preserve"> </w:t>
      </w:r>
      <w:r w:rsidR="007B385F" w:rsidRPr="007B385F">
        <w:rPr>
          <w:sz w:val="18"/>
          <w:szCs w:val="18"/>
        </w:rPr>
        <w:t>Jung Journal: Culture &amp; Psyche</w:t>
      </w:r>
      <w:r w:rsidR="00744921" w:rsidRPr="007B385F">
        <w:rPr>
          <w:sz w:val="18"/>
          <w:szCs w:val="18"/>
        </w:rPr>
        <w:t xml:space="preserve"> 5.3, (2011),</w:t>
      </w:r>
      <w:r w:rsidRPr="007B385F">
        <w:rPr>
          <w:sz w:val="18"/>
          <w:szCs w:val="18"/>
        </w:rPr>
        <w:t xml:space="preserve"> </w:t>
      </w:r>
      <w:r w:rsidR="00744921" w:rsidRPr="007B385F">
        <w:rPr>
          <w:sz w:val="18"/>
          <w:szCs w:val="18"/>
        </w:rPr>
        <w:t>p</w:t>
      </w:r>
      <w:r w:rsidRPr="007B385F">
        <w:rPr>
          <w:sz w:val="18"/>
          <w:szCs w:val="18"/>
        </w:rPr>
        <w:t>.78</w:t>
      </w:r>
    </w:p>
  </w:footnote>
  <w:footnote w:id="12">
    <w:p w14:paraId="33E302EF" w14:textId="035C16E6" w:rsidR="007B385F" w:rsidRPr="007B385F" w:rsidRDefault="007B385F">
      <w:pPr>
        <w:pStyle w:val="FootnoteText"/>
        <w:rPr>
          <w:sz w:val="18"/>
          <w:szCs w:val="18"/>
        </w:rPr>
      </w:pPr>
      <w:r w:rsidRPr="007B385F">
        <w:rPr>
          <w:rStyle w:val="FootnoteReference"/>
          <w:sz w:val="18"/>
          <w:szCs w:val="18"/>
        </w:rPr>
        <w:footnoteRef/>
      </w:r>
      <w:r w:rsidRPr="007B385F">
        <w:rPr>
          <w:sz w:val="18"/>
          <w:szCs w:val="18"/>
        </w:rPr>
        <w:t xml:space="preserve"> </w:t>
      </w:r>
      <w:r w:rsidRPr="007B385F">
        <w:rPr>
          <w:sz w:val="18"/>
          <w:szCs w:val="18"/>
        </w:rPr>
        <w:t xml:space="preserve">Paul Brutsche, </w:t>
      </w:r>
      <w:r w:rsidRPr="007B385F">
        <w:rPr>
          <w:i/>
          <w:iCs/>
          <w:sz w:val="18"/>
          <w:szCs w:val="18"/>
        </w:rPr>
        <w:t>The Red Book in the Context of Jung's Paintings</w:t>
      </w:r>
      <w:r w:rsidRPr="007B385F">
        <w:rPr>
          <w:i/>
          <w:iCs/>
          <w:sz w:val="18"/>
          <w:szCs w:val="18"/>
        </w:rPr>
        <w:t>,</w:t>
      </w:r>
      <w:r w:rsidRPr="007B385F">
        <w:rPr>
          <w:sz w:val="18"/>
          <w:szCs w:val="18"/>
        </w:rPr>
        <w:t xml:space="preserve"> Jung Journal: Culture &amp; Psyche, 5.3, (2011</w:t>
      </w:r>
      <w:proofErr w:type="gramStart"/>
      <w:r w:rsidRPr="007B385F">
        <w:rPr>
          <w:sz w:val="18"/>
          <w:szCs w:val="18"/>
        </w:rPr>
        <w:t>),</w:t>
      </w:r>
      <w:r w:rsidRPr="007B385F">
        <w:rPr>
          <w:sz w:val="18"/>
          <w:szCs w:val="18"/>
        </w:rPr>
        <w:t>p.</w:t>
      </w:r>
      <w:proofErr w:type="gramEnd"/>
      <w:r w:rsidRPr="007B385F">
        <w:rPr>
          <w:sz w:val="18"/>
          <w:szCs w:val="18"/>
        </w:rPr>
        <w:t>7</w:t>
      </w:r>
      <w:r w:rsidRPr="007B385F">
        <w:rPr>
          <w:sz w:val="18"/>
          <w:szCs w:val="18"/>
        </w:rPr>
        <w:t xml:space="preserve"> </w:t>
      </w:r>
    </w:p>
  </w:footnote>
  <w:footnote w:id="13">
    <w:p w14:paraId="792C945C" w14:textId="3677AFDD" w:rsidR="00D45086" w:rsidRPr="007B385F" w:rsidRDefault="00D45086">
      <w:pPr>
        <w:pStyle w:val="FootnoteText"/>
        <w:rPr>
          <w:sz w:val="18"/>
          <w:szCs w:val="18"/>
        </w:rPr>
      </w:pPr>
      <w:r w:rsidRPr="007B385F">
        <w:rPr>
          <w:rStyle w:val="FootnoteReference"/>
          <w:sz w:val="18"/>
          <w:szCs w:val="18"/>
        </w:rPr>
        <w:footnoteRef/>
      </w:r>
      <w:r w:rsidRPr="007B385F">
        <w:rPr>
          <w:sz w:val="18"/>
          <w:szCs w:val="18"/>
        </w:rPr>
        <w:t xml:space="preserve"> </w:t>
      </w:r>
      <w:r w:rsidR="00744921" w:rsidRPr="007B385F">
        <w:rPr>
          <w:sz w:val="18"/>
          <w:szCs w:val="18"/>
        </w:rPr>
        <w:t>David Hart, Jung’s Therapeutic Gnosticism, p.</w:t>
      </w:r>
      <w:r w:rsidR="00744921" w:rsidRPr="007B385F">
        <w:rPr>
          <w:sz w:val="18"/>
          <w:szCs w:val="18"/>
        </w:rPr>
        <w:t>1</w:t>
      </w:r>
    </w:p>
  </w:footnote>
  <w:footnote w:id="14">
    <w:p w14:paraId="230E0A01" w14:textId="16EAF51A" w:rsidR="00D45086" w:rsidRPr="007B385F" w:rsidRDefault="00D45086">
      <w:pPr>
        <w:pStyle w:val="FootnoteText"/>
        <w:rPr>
          <w:sz w:val="18"/>
          <w:szCs w:val="18"/>
        </w:rPr>
      </w:pPr>
      <w:r w:rsidRPr="007B385F">
        <w:rPr>
          <w:rStyle w:val="FootnoteReference"/>
          <w:sz w:val="18"/>
          <w:szCs w:val="18"/>
        </w:rPr>
        <w:footnoteRef/>
      </w:r>
      <w:r w:rsidRPr="007B385F">
        <w:rPr>
          <w:sz w:val="18"/>
          <w:szCs w:val="18"/>
        </w:rPr>
        <w:t xml:space="preserve"> </w:t>
      </w:r>
      <w:bookmarkStart w:id="9" w:name="_Hlk57999399"/>
      <w:r w:rsidR="00744921" w:rsidRPr="007B385F">
        <w:rPr>
          <w:sz w:val="18"/>
          <w:szCs w:val="18"/>
        </w:rPr>
        <w:t>Andreas Schweizer</w:t>
      </w:r>
      <w:r w:rsidR="00744921" w:rsidRPr="007B385F">
        <w:rPr>
          <w:i/>
          <w:iCs/>
          <w:sz w:val="18"/>
          <w:szCs w:val="18"/>
        </w:rPr>
        <w:t>, The Son of the Earth in C.G. Jung's The Red Book</w:t>
      </w:r>
      <w:bookmarkEnd w:id="9"/>
      <w:r w:rsidR="00744921" w:rsidRPr="007B385F">
        <w:rPr>
          <w:sz w:val="18"/>
          <w:szCs w:val="18"/>
        </w:rPr>
        <w:t>,</w:t>
      </w:r>
      <w:r w:rsidR="007B385F" w:rsidRPr="007B385F">
        <w:t xml:space="preserve"> </w:t>
      </w:r>
      <w:r w:rsidR="007B385F" w:rsidRPr="007B385F">
        <w:rPr>
          <w:sz w:val="18"/>
          <w:szCs w:val="18"/>
        </w:rPr>
        <w:t>Jung Journal: Culture &amp; Psyche</w:t>
      </w:r>
      <w:r w:rsidR="00744921" w:rsidRPr="007B385F">
        <w:rPr>
          <w:sz w:val="18"/>
          <w:szCs w:val="18"/>
        </w:rPr>
        <w:t xml:space="preserve"> 5.3, (2011), p.83</w:t>
      </w:r>
    </w:p>
  </w:footnote>
  <w:footnote w:id="15">
    <w:p w14:paraId="5212DBAC" w14:textId="15A2C976" w:rsidR="00D45086" w:rsidRDefault="00D45086" w:rsidP="00446290">
      <w:pPr>
        <w:pStyle w:val="FootnoteText"/>
      </w:pPr>
      <w:r w:rsidRPr="007B385F">
        <w:rPr>
          <w:rStyle w:val="FootnoteReference"/>
          <w:sz w:val="18"/>
          <w:szCs w:val="18"/>
        </w:rPr>
        <w:footnoteRef/>
      </w:r>
      <w:r w:rsidRPr="007B385F">
        <w:rPr>
          <w:sz w:val="18"/>
          <w:szCs w:val="18"/>
        </w:rPr>
        <w:t xml:space="preserve">  </w:t>
      </w:r>
      <w:r w:rsidR="00744921" w:rsidRPr="007B385F">
        <w:rPr>
          <w:sz w:val="18"/>
          <w:szCs w:val="18"/>
        </w:rPr>
        <w:t xml:space="preserve">Andreas Schweizer, </w:t>
      </w:r>
      <w:r w:rsidR="00744921" w:rsidRPr="007B385F">
        <w:rPr>
          <w:i/>
          <w:iCs/>
          <w:sz w:val="18"/>
          <w:szCs w:val="18"/>
        </w:rPr>
        <w:t xml:space="preserve">The Son of the Earth in C.G. Jung's The Red </w:t>
      </w:r>
      <w:r w:rsidR="0099529B" w:rsidRPr="007B385F">
        <w:rPr>
          <w:i/>
          <w:iCs/>
          <w:sz w:val="18"/>
          <w:szCs w:val="18"/>
        </w:rPr>
        <w:t>Book</w:t>
      </w:r>
      <w:r w:rsidR="0099529B" w:rsidRPr="007B385F">
        <w:rPr>
          <w:sz w:val="18"/>
          <w:szCs w:val="18"/>
        </w:rPr>
        <w:t>, p. 82</w:t>
      </w:r>
    </w:p>
  </w:footnote>
  <w:footnote w:id="16">
    <w:p w14:paraId="5C116F35" w14:textId="6AC99F56" w:rsidR="00D45086" w:rsidRPr="007B385F" w:rsidRDefault="00D45086" w:rsidP="000B345C">
      <w:pPr>
        <w:pStyle w:val="FootnoteText"/>
        <w:rPr>
          <w:sz w:val="18"/>
          <w:szCs w:val="18"/>
        </w:rPr>
      </w:pPr>
      <w:r w:rsidRPr="007B385F">
        <w:rPr>
          <w:rStyle w:val="FootnoteReference"/>
          <w:sz w:val="18"/>
          <w:szCs w:val="18"/>
        </w:rPr>
        <w:footnoteRef/>
      </w:r>
      <w:r w:rsidRPr="007B385F">
        <w:rPr>
          <w:sz w:val="18"/>
          <w:szCs w:val="18"/>
        </w:rPr>
        <w:t xml:space="preserve"> </w:t>
      </w:r>
      <w:bookmarkStart w:id="10" w:name="_Hlk58001236"/>
      <w:r w:rsidR="00E736F1" w:rsidRPr="007B385F">
        <w:rPr>
          <w:sz w:val="18"/>
          <w:szCs w:val="18"/>
        </w:rPr>
        <w:t xml:space="preserve">Andreas Schweizer, </w:t>
      </w:r>
      <w:r w:rsidR="00E736F1" w:rsidRPr="007B385F">
        <w:rPr>
          <w:i/>
          <w:iCs/>
          <w:sz w:val="18"/>
          <w:szCs w:val="18"/>
        </w:rPr>
        <w:t>The Son of the Earth in C.G. Jung's The Red Book</w:t>
      </w:r>
      <w:r w:rsidR="00E736F1" w:rsidRPr="007B385F">
        <w:rPr>
          <w:sz w:val="18"/>
          <w:szCs w:val="18"/>
        </w:rPr>
        <w:t>,</w:t>
      </w:r>
      <w:r w:rsidR="007B385F" w:rsidRPr="007B385F">
        <w:rPr>
          <w:sz w:val="18"/>
          <w:szCs w:val="18"/>
        </w:rPr>
        <w:t xml:space="preserve"> </w:t>
      </w:r>
      <w:r w:rsidR="007B385F" w:rsidRPr="007B385F">
        <w:rPr>
          <w:sz w:val="18"/>
          <w:szCs w:val="18"/>
        </w:rPr>
        <w:t>Jung Journal: Culture &amp; Psyche</w:t>
      </w:r>
      <w:r w:rsidR="00043541">
        <w:rPr>
          <w:sz w:val="18"/>
          <w:szCs w:val="18"/>
        </w:rPr>
        <w:t>,</w:t>
      </w:r>
      <w:r w:rsidR="00E736F1" w:rsidRPr="007B385F">
        <w:rPr>
          <w:sz w:val="18"/>
          <w:szCs w:val="18"/>
        </w:rPr>
        <w:t xml:space="preserve"> 5.3, (2011), p.</w:t>
      </w:r>
      <w:r w:rsidR="00E736F1" w:rsidRPr="007B385F">
        <w:rPr>
          <w:sz w:val="18"/>
          <w:szCs w:val="18"/>
        </w:rPr>
        <w:t>79</w:t>
      </w:r>
      <w:bookmarkEnd w:id="10"/>
    </w:p>
  </w:footnote>
  <w:footnote w:id="17">
    <w:p w14:paraId="23E429A2" w14:textId="5B21FD57" w:rsidR="00D45086" w:rsidRPr="007B385F" w:rsidRDefault="00D45086" w:rsidP="000B345C">
      <w:pPr>
        <w:pStyle w:val="FootnoteText"/>
        <w:rPr>
          <w:sz w:val="18"/>
          <w:szCs w:val="18"/>
        </w:rPr>
      </w:pPr>
      <w:r w:rsidRPr="007B385F">
        <w:rPr>
          <w:rStyle w:val="FootnoteReference"/>
          <w:sz w:val="18"/>
          <w:szCs w:val="18"/>
        </w:rPr>
        <w:footnoteRef/>
      </w:r>
      <w:r w:rsidRPr="007B385F">
        <w:rPr>
          <w:sz w:val="18"/>
          <w:szCs w:val="18"/>
        </w:rPr>
        <w:t xml:space="preserve"> </w:t>
      </w:r>
      <w:r w:rsidR="00B02F87" w:rsidRPr="007B385F">
        <w:rPr>
          <w:sz w:val="18"/>
          <w:szCs w:val="18"/>
        </w:rPr>
        <w:t xml:space="preserve">David Bentley Hart, Jung’s Therapeutic Gnosticism, (2013) p. </w:t>
      </w:r>
      <w:r w:rsidR="00B02F87" w:rsidRPr="007B385F">
        <w:rPr>
          <w:sz w:val="18"/>
          <w:szCs w:val="18"/>
        </w:rPr>
        <w:t>2</w:t>
      </w:r>
    </w:p>
  </w:footnote>
  <w:footnote w:id="18">
    <w:p w14:paraId="3C7D5EEF" w14:textId="1D18AB1F" w:rsidR="000B7798" w:rsidRPr="007B385F" w:rsidRDefault="000B7798">
      <w:pPr>
        <w:pStyle w:val="FootnoteText"/>
        <w:rPr>
          <w:sz w:val="18"/>
          <w:szCs w:val="18"/>
        </w:rPr>
      </w:pPr>
      <w:r w:rsidRPr="007B385F">
        <w:rPr>
          <w:rStyle w:val="FootnoteReference"/>
          <w:sz w:val="18"/>
          <w:szCs w:val="18"/>
        </w:rPr>
        <w:footnoteRef/>
      </w:r>
      <w:r w:rsidRPr="007B385F">
        <w:rPr>
          <w:sz w:val="18"/>
          <w:szCs w:val="18"/>
        </w:rPr>
        <w:t xml:space="preserve"> </w:t>
      </w:r>
      <w:bookmarkStart w:id="11" w:name="_Hlk58001209"/>
      <w:r w:rsidR="00B02F87" w:rsidRPr="007B385F">
        <w:rPr>
          <w:sz w:val="18"/>
          <w:szCs w:val="18"/>
        </w:rPr>
        <w:t xml:space="preserve">David Hart, </w:t>
      </w:r>
      <w:r w:rsidR="00B02F87" w:rsidRPr="007B385F">
        <w:rPr>
          <w:i/>
          <w:iCs/>
          <w:sz w:val="18"/>
          <w:szCs w:val="18"/>
        </w:rPr>
        <w:t>Jung’s Therapeutic Gnosticism</w:t>
      </w:r>
      <w:r w:rsidR="00B02F87" w:rsidRPr="007B385F">
        <w:rPr>
          <w:sz w:val="18"/>
          <w:szCs w:val="18"/>
        </w:rPr>
        <w:t>, p.</w:t>
      </w:r>
      <w:r w:rsidR="00B02F87" w:rsidRPr="007B385F">
        <w:rPr>
          <w:sz w:val="18"/>
          <w:szCs w:val="18"/>
        </w:rPr>
        <w:t>2</w:t>
      </w:r>
      <w:bookmarkEnd w:id="11"/>
    </w:p>
  </w:footnote>
  <w:footnote w:id="19">
    <w:p w14:paraId="4C44B4B7" w14:textId="3C8C256D" w:rsidR="00D45086" w:rsidRPr="007B385F" w:rsidRDefault="00D45086">
      <w:pPr>
        <w:pStyle w:val="FootnoteText"/>
        <w:rPr>
          <w:sz w:val="18"/>
          <w:szCs w:val="18"/>
        </w:rPr>
      </w:pPr>
      <w:r w:rsidRPr="007B385F">
        <w:rPr>
          <w:rStyle w:val="FootnoteReference"/>
          <w:sz w:val="18"/>
          <w:szCs w:val="18"/>
        </w:rPr>
        <w:footnoteRef/>
      </w:r>
      <w:r w:rsidRPr="007B385F">
        <w:rPr>
          <w:sz w:val="18"/>
          <w:szCs w:val="18"/>
        </w:rPr>
        <w:t xml:space="preserve"> </w:t>
      </w:r>
      <w:r w:rsidR="00B02F87" w:rsidRPr="007B385F">
        <w:rPr>
          <w:sz w:val="18"/>
          <w:szCs w:val="18"/>
        </w:rPr>
        <w:t xml:space="preserve"> </w:t>
      </w:r>
      <w:r w:rsidR="007B385F" w:rsidRPr="007B385F">
        <w:rPr>
          <w:sz w:val="18"/>
          <w:szCs w:val="18"/>
        </w:rPr>
        <w:t>Andreas Schweizer, The Son of the Earth in C.G. Jung's The Red Book, Jung Journal: Culture &amp; Psyche 5.3, (2011), p.</w:t>
      </w:r>
      <w:r w:rsidR="007B385F">
        <w:rPr>
          <w:sz w:val="18"/>
          <w:szCs w:val="18"/>
        </w:rPr>
        <w:t>85</w:t>
      </w:r>
    </w:p>
  </w:footnote>
  <w:footnote w:id="20">
    <w:p w14:paraId="32454FE4" w14:textId="6669E61D" w:rsidR="0075682F" w:rsidRPr="0075682F" w:rsidRDefault="0075682F">
      <w:pPr>
        <w:pStyle w:val="FootnoteText"/>
        <w:rPr>
          <w:sz w:val="18"/>
          <w:szCs w:val="18"/>
        </w:rPr>
      </w:pPr>
      <w:r w:rsidRPr="0075682F">
        <w:rPr>
          <w:rStyle w:val="FootnoteReference"/>
          <w:sz w:val="18"/>
          <w:szCs w:val="18"/>
        </w:rPr>
        <w:footnoteRef/>
      </w:r>
      <w:r w:rsidRPr="0075682F">
        <w:rPr>
          <w:sz w:val="18"/>
          <w:szCs w:val="18"/>
        </w:rPr>
        <w:t xml:space="preserve"> </w:t>
      </w:r>
      <w:r w:rsidRPr="0075682F">
        <w:rPr>
          <w:sz w:val="18"/>
          <w:szCs w:val="18"/>
        </w:rPr>
        <w:t>Andreas Schweizer, The Son of the Earth in C.G. Jung's The Red Book, p. 85</w:t>
      </w:r>
    </w:p>
  </w:footnote>
  <w:footnote w:id="21">
    <w:p w14:paraId="0A987ABE" w14:textId="43983664" w:rsidR="00D45086" w:rsidRPr="0075682F" w:rsidRDefault="00D45086">
      <w:pPr>
        <w:pStyle w:val="FootnoteText"/>
        <w:rPr>
          <w:sz w:val="18"/>
          <w:szCs w:val="18"/>
        </w:rPr>
      </w:pPr>
      <w:r w:rsidRPr="0075682F">
        <w:rPr>
          <w:rStyle w:val="FootnoteReference"/>
          <w:sz w:val="18"/>
          <w:szCs w:val="18"/>
        </w:rPr>
        <w:footnoteRef/>
      </w:r>
      <w:r w:rsidRPr="0075682F">
        <w:rPr>
          <w:sz w:val="18"/>
          <w:szCs w:val="18"/>
        </w:rPr>
        <w:t xml:space="preserve"> </w:t>
      </w:r>
      <w:r w:rsidR="00B02F87" w:rsidRPr="0075682F">
        <w:rPr>
          <w:sz w:val="18"/>
          <w:szCs w:val="18"/>
        </w:rPr>
        <w:t xml:space="preserve"> </w:t>
      </w:r>
      <w:bookmarkStart w:id="12" w:name="_Hlk58005457"/>
      <w:r w:rsidR="00B02F87" w:rsidRPr="0075682F">
        <w:rPr>
          <w:sz w:val="18"/>
          <w:szCs w:val="18"/>
        </w:rPr>
        <w:t xml:space="preserve">Andreas Schweizer, </w:t>
      </w:r>
      <w:r w:rsidR="00B02F87" w:rsidRPr="0075682F">
        <w:rPr>
          <w:i/>
          <w:iCs/>
          <w:sz w:val="18"/>
          <w:szCs w:val="18"/>
        </w:rPr>
        <w:t>The Son of the Earth in C.G. Jung's The Red Book</w:t>
      </w:r>
      <w:r w:rsidR="00B02F87" w:rsidRPr="0075682F">
        <w:rPr>
          <w:sz w:val="18"/>
          <w:szCs w:val="18"/>
        </w:rPr>
        <w:t>, p. 85</w:t>
      </w:r>
      <w:bookmarkEnd w:id="12"/>
    </w:p>
  </w:footnote>
  <w:footnote w:id="22">
    <w:p w14:paraId="7545611E" w14:textId="6D2F1DD4" w:rsidR="00D45086" w:rsidRPr="0075682F" w:rsidRDefault="00D45086">
      <w:pPr>
        <w:pStyle w:val="FootnoteText"/>
        <w:rPr>
          <w:sz w:val="18"/>
          <w:szCs w:val="18"/>
        </w:rPr>
      </w:pPr>
      <w:r w:rsidRPr="0075682F">
        <w:rPr>
          <w:rStyle w:val="FootnoteReference"/>
          <w:sz w:val="18"/>
          <w:szCs w:val="18"/>
        </w:rPr>
        <w:footnoteRef/>
      </w:r>
      <w:r w:rsidRPr="0075682F">
        <w:rPr>
          <w:sz w:val="18"/>
          <w:szCs w:val="18"/>
        </w:rPr>
        <w:t xml:space="preserve">  </w:t>
      </w:r>
      <w:r w:rsidR="00B02F87" w:rsidRPr="0075682F">
        <w:rPr>
          <w:sz w:val="18"/>
          <w:szCs w:val="18"/>
        </w:rPr>
        <w:t xml:space="preserve">Andreas Schweizer, </w:t>
      </w:r>
      <w:r w:rsidR="00B02F87" w:rsidRPr="0075682F">
        <w:rPr>
          <w:i/>
          <w:iCs/>
          <w:sz w:val="18"/>
          <w:szCs w:val="18"/>
        </w:rPr>
        <w:t>The Son of the Earth in C.G. Jung's The Red Book</w:t>
      </w:r>
      <w:r w:rsidR="00B02F87" w:rsidRPr="0075682F">
        <w:rPr>
          <w:sz w:val="18"/>
          <w:szCs w:val="18"/>
        </w:rPr>
        <w:t>,</w:t>
      </w:r>
      <w:r w:rsidR="00B02F87" w:rsidRPr="0075682F">
        <w:rPr>
          <w:sz w:val="18"/>
          <w:szCs w:val="18"/>
        </w:rPr>
        <w:t xml:space="preserve"> </w:t>
      </w:r>
      <w:r w:rsidRPr="0075682F">
        <w:rPr>
          <w:sz w:val="18"/>
          <w:szCs w:val="18"/>
        </w:rPr>
        <w:t xml:space="preserve">p.89 </w:t>
      </w:r>
    </w:p>
  </w:footnote>
  <w:footnote w:id="23">
    <w:p w14:paraId="20960DA3" w14:textId="0C49B381" w:rsidR="00D45086" w:rsidRPr="0075682F" w:rsidRDefault="00D45086">
      <w:pPr>
        <w:pStyle w:val="FootnoteText"/>
        <w:rPr>
          <w:sz w:val="18"/>
          <w:szCs w:val="18"/>
        </w:rPr>
      </w:pPr>
      <w:r w:rsidRPr="0075682F">
        <w:rPr>
          <w:rStyle w:val="FootnoteReference"/>
          <w:sz w:val="18"/>
          <w:szCs w:val="18"/>
        </w:rPr>
        <w:footnoteRef/>
      </w:r>
      <w:r w:rsidRPr="0075682F">
        <w:rPr>
          <w:sz w:val="18"/>
          <w:szCs w:val="18"/>
        </w:rPr>
        <w:t xml:space="preserve"> </w:t>
      </w:r>
      <w:r w:rsidR="00B02F87" w:rsidRPr="0075682F">
        <w:rPr>
          <w:sz w:val="18"/>
          <w:szCs w:val="18"/>
        </w:rPr>
        <w:t xml:space="preserve">Andreas Schweizer, </w:t>
      </w:r>
      <w:r w:rsidR="00B02F87" w:rsidRPr="0075682F">
        <w:rPr>
          <w:i/>
          <w:iCs/>
          <w:sz w:val="18"/>
          <w:szCs w:val="18"/>
        </w:rPr>
        <w:t>The Son of the Earth in C.G. Jung's The Red Book</w:t>
      </w:r>
      <w:r w:rsidR="00B02F87" w:rsidRPr="0075682F">
        <w:rPr>
          <w:sz w:val="18"/>
          <w:szCs w:val="18"/>
        </w:rPr>
        <w:t>, p. 85</w:t>
      </w:r>
    </w:p>
  </w:footnote>
  <w:footnote w:id="24">
    <w:p w14:paraId="4D75DE9A" w14:textId="654BEC66" w:rsidR="00D45086" w:rsidRPr="0075682F" w:rsidRDefault="00D45086">
      <w:pPr>
        <w:pStyle w:val="FootnoteText"/>
        <w:rPr>
          <w:sz w:val="18"/>
          <w:szCs w:val="18"/>
        </w:rPr>
      </w:pPr>
      <w:r w:rsidRPr="0075682F">
        <w:rPr>
          <w:rStyle w:val="FootnoteReference"/>
          <w:sz w:val="18"/>
          <w:szCs w:val="18"/>
        </w:rPr>
        <w:footnoteRef/>
      </w:r>
      <w:r w:rsidRPr="0075682F">
        <w:rPr>
          <w:sz w:val="18"/>
          <w:szCs w:val="18"/>
        </w:rPr>
        <w:t xml:space="preserve"> </w:t>
      </w:r>
      <w:r w:rsidR="00B02F87" w:rsidRPr="0075682F">
        <w:rPr>
          <w:sz w:val="18"/>
          <w:szCs w:val="18"/>
        </w:rPr>
        <w:t xml:space="preserve">Andreas Schweizer, </w:t>
      </w:r>
      <w:r w:rsidR="00B02F87" w:rsidRPr="0075682F">
        <w:rPr>
          <w:i/>
          <w:iCs/>
          <w:sz w:val="18"/>
          <w:szCs w:val="18"/>
        </w:rPr>
        <w:t>The Son of the Earth in C.G. Jung's The Red Book</w:t>
      </w:r>
      <w:r w:rsidR="00B02F87" w:rsidRPr="0075682F">
        <w:rPr>
          <w:sz w:val="18"/>
          <w:szCs w:val="18"/>
        </w:rPr>
        <w:t>, p. 85</w:t>
      </w:r>
    </w:p>
  </w:footnote>
  <w:footnote w:id="25">
    <w:p w14:paraId="56D7ADC2" w14:textId="0C3BBD9C" w:rsidR="00D45086" w:rsidRPr="0075682F" w:rsidRDefault="00D45086">
      <w:pPr>
        <w:pStyle w:val="FootnoteText"/>
        <w:rPr>
          <w:sz w:val="18"/>
          <w:szCs w:val="18"/>
        </w:rPr>
      </w:pPr>
      <w:r w:rsidRPr="0075682F">
        <w:rPr>
          <w:rStyle w:val="FootnoteReference"/>
          <w:sz w:val="18"/>
          <w:szCs w:val="18"/>
        </w:rPr>
        <w:footnoteRef/>
      </w:r>
      <w:r w:rsidRPr="0075682F">
        <w:rPr>
          <w:sz w:val="18"/>
          <w:szCs w:val="18"/>
        </w:rPr>
        <w:t xml:space="preserve"> </w:t>
      </w:r>
      <w:r w:rsidR="00B02F87" w:rsidRPr="0075682F">
        <w:rPr>
          <w:sz w:val="18"/>
          <w:szCs w:val="18"/>
        </w:rPr>
        <w:t xml:space="preserve">Andreas Schweizer, </w:t>
      </w:r>
      <w:r w:rsidR="00B02F87" w:rsidRPr="0075682F">
        <w:rPr>
          <w:i/>
          <w:iCs/>
          <w:sz w:val="18"/>
          <w:szCs w:val="18"/>
        </w:rPr>
        <w:t>The Son of the Earth in C.G. Jung's The Red Book</w:t>
      </w:r>
      <w:r w:rsidR="00B02F87" w:rsidRPr="0075682F">
        <w:rPr>
          <w:sz w:val="18"/>
          <w:szCs w:val="18"/>
        </w:rPr>
        <w:t>, p. 8</w:t>
      </w:r>
      <w:r w:rsidR="00B02F87" w:rsidRPr="0075682F">
        <w:rPr>
          <w:sz w:val="18"/>
          <w:szCs w:val="18"/>
        </w:rPr>
        <w:t>6</w:t>
      </w:r>
    </w:p>
  </w:footnote>
  <w:footnote w:id="26">
    <w:p w14:paraId="3D2D8D09" w14:textId="2C5D944E" w:rsidR="00D45086" w:rsidRDefault="00D45086">
      <w:pPr>
        <w:pStyle w:val="FootnoteText"/>
      </w:pPr>
      <w:r w:rsidRPr="0075682F">
        <w:rPr>
          <w:rStyle w:val="FootnoteReference"/>
          <w:sz w:val="18"/>
          <w:szCs w:val="18"/>
        </w:rPr>
        <w:footnoteRef/>
      </w:r>
      <w:r w:rsidRPr="0075682F">
        <w:rPr>
          <w:sz w:val="18"/>
          <w:szCs w:val="18"/>
        </w:rPr>
        <w:t xml:space="preserve"> </w:t>
      </w:r>
      <w:r w:rsidR="00B02F87" w:rsidRPr="0075682F">
        <w:rPr>
          <w:sz w:val="18"/>
          <w:szCs w:val="18"/>
        </w:rPr>
        <w:t xml:space="preserve">Andreas Schweizer, </w:t>
      </w:r>
      <w:r w:rsidR="00B02F87" w:rsidRPr="0075682F">
        <w:rPr>
          <w:i/>
          <w:iCs/>
          <w:sz w:val="18"/>
          <w:szCs w:val="18"/>
        </w:rPr>
        <w:t>The Son of the Earth in C.G. Jung's The Red Book</w:t>
      </w:r>
      <w:r w:rsidR="00B02F87" w:rsidRPr="0075682F">
        <w:rPr>
          <w:sz w:val="18"/>
          <w:szCs w:val="18"/>
        </w:rPr>
        <w:t>, p. 85</w:t>
      </w:r>
    </w:p>
  </w:footnote>
  <w:footnote w:id="27">
    <w:p w14:paraId="13E52658" w14:textId="4175E678" w:rsidR="00D45086" w:rsidRPr="00043541" w:rsidRDefault="00D45086">
      <w:pPr>
        <w:pStyle w:val="FootnoteText"/>
        <w:rPr>
          <w:sz w:val="18"/>
          <w:szCs w:val="18"/>
        </w:rPr>
      </w:pPr>
      <w:r w:rsidRPr="00043541">
        <w:rPr>
          <w:rStyle w:val="FootnoteReference"/>
          <w:sz w:val="18"/>
          <w:szCs w:val="18"/>
        </w:rPr>
        <w:footnoteRef/>
      </w:r>
      <w:r w:rsidRPr="00043541">
        <w:rPr>
          <w:sz w:val="18"/>
          <w:szCs w:val="18"/>
        </w:rPr>
        <w:t xml:space="preserve"> </w:t>
      </w:r>
      <w:r w:rsidR="00B02F87" w:rsidRPr="00043541">
        <w:rPr>
          <w:sz w:val="18"/>
          <w:szCs w:val="18"/>
        </w:rPr>
        <w:t xml:space="preserve">David Bentley Hart, </w:t>
      </w:r>
      <w:r w:rsidR="00B02F87" w:rsidRPr="00043541">
        <w:rPr>
          <w:i/>
          <w:iCs/>
          <w:sz w:val="18"/>
          <w:szCs w:val="18"/>
        </w:rPr>
        <w:t>Jung’s Therapeutic Gnosticism</w:t>
      </w:r>
      <w:r w:rsidR="00B02F87" w:rsidRPr="00043541">
        <w:rPr>
          <w:sz w:val="18"/>
          <w:szCs w:val="18"/>
        </w:rPr>
        <w:t xml:space="preserve">, (2013) p. </w:t>
      </w:r>
      <w:r w:rsidR="00B02F87" w:rsidRPr="00043541">
        <w:rPr>
          <w:sz w:val="18"/>
          <w:szCs w:val="18"/>
        </w:rPr>
        <w:t>3</w:t>
      </w:r>
    </w:p>
  </w:footnote>
  <w:footnote w:id="28">
    <w:p w14:paraId="3D2477E5" w14:textId="0FF48FA4" w:rsidR="00D45086" w:rsidRPr="00043541" w:rsidRDefault="00D45086">
      <w:pPr>
        <w:pStyle w:val="FootnoteText"/>
        <w:rPr>
          <w:sz w:val="18"/>
          <w:szCs w:val="18"/>
        </w:rPr>
      </w:pPr>
      <w:r w:rsidRPr="00043541">
        <w:rPr>
          <w:rStyle w:val="FootnoteReference"/>
          <w:sz w:val="18"/>
          <w:szCs w:val="18"/>
        </w:rPr>
        <w:footnoteRef/>
      </w:r>
      <w:r w:rsidRPr="00043541">
        <w:rPr>
          <w:sz w:val="18"/>
          <w:szCs w:val="18"/>
        </w:rPr>
        <w:t xml:space="preserve"> </w:t>
      </w:r>
      <w:r w:rsidR="00B02F87" w:rsidRPr="00043541">
        <w:rPr>
          <w:sz w:val="18"/>
          <w:szCs w:val="18"/>
        </w:rPr>
        <w:t xml:space="preserve">David Hart, </w:t>
      </w:r>
      <w:r w:rsidR="00B02F87" w:rsidRPr="00043541">
        <w:rPr>
          <w:i/>
          <w:iCs/>
          <w:sz w:val="18"/>
          <w:szCs w:val="18"/>
        </w:rPr>
        <w:t>Jung’s Therapeutic Gnosticism</w:t>
      </w:r>
      <w:r w:rsidR="00B02F87" w:rsidRPr="00043541">
        <w:rPr>
          <w:sz w:val="18"/>
          <w:szCs w:val="18"/>
        </w:rPr>
        <w:t>, p.2</w:t>
      </w:r>
    </w:p>
  </w:footnote>
  <w:footnote w:id="29">
    <w:p w14:paraId="48EAF705" w14:textId="56C677A9" w:rsidR="00D45086" w:rsidRPr="00043541" w:rsidRDefault="00D45086">
      <w:pPr>
        <w:pStyle w:val="FootnoteText"/>
        <w:rPr>
          <w:sz w:val="18"/>
          <w:szCs w:val="18"/>
        </w:rPr>
      </w:pPr>
      <w:r w:rsidRPr="00043541">
        <w:rPr>
          <w:rStyle w:val="FootnoteReference"/>
          <w:sz w:val="18"/>
          <w:szCs w:val="18"/>
        </w:rPr>
        <w:footnoteRef/>
      </w:r>
      <w:r w:rsidRPr="00043541">
        <w:rPr>
          <w:sz w:val="18"/>
          <w:szCs w:val="18"/>
        </w:rPr>
        <w:t xml:space="preserve"> </w:t>
      </w:r>
      <w:r w:rsidR="00B02F87" w:rsidRPr="00043541">
        <w:rPr>
          <w:sz w:val="18"/>
          <w:szCs w:val="18"/>
        </w:rPr>
        <w:t xml:space="preserve">David Hart, </w:t>
      </w:r>
      <w:r w:rsidR="00B02F87" w:rsidRPr="00043541">
        <w:rPr>
          <w:i/>
          <w:iCs/>
          <w:sz w:val="18"/>
          <w:szCs w:val="18"/>
        </w:rPr>
        <w:t>Jung’s Therapeutic Gnosticism</w:t>
      </w:r>
      <w:r w:rsidR="00B02F87" w:rsidRPr="00043541">
        <w:rPr>
          <w:sz w:val="18"/>
          <w:szCs w:val="18"/>
        </w:rPr>
        <w:t>, p.</w:t>
      </w:r>
      <w:r w:rsidR="00B02F87" w:rsidRPr="00043541">
        <w:rPr>
          <w:sz w:val="18"/>
          <w:szCs w:val="18"/>
        </w:rPr>
        <w:t>3</w:t>
      </w:r>
    </w:p>
  </w:footnote>
  <w:footnote w:id="30">
    <w:p w14:paraId="427575CE" w14:textId="0A2E35C0" w:rsidR="00D45086" w:rsidRPr="00043541" w:rsidRDefault="00D45086">
      <w:pPr>
        <w:pStyle w:val="FootnoteText"/>
        <w:rPr>
          <w:sz w:val="18"/>
          <w:szCs w:val="18"/>
        </w:rPr>
      </w:pPr>
      <w:r w:rsidRPr="00043541">
        <w:rPr>
          <w:rStyle w:val="FootnoteReference"/>
          <w:sz w:val="18"/>
          <w:szCs w:val="18"/>
        </w:rPr>
        <w:footnoteRef/>
      </w:r>
      <w:r w:rsidRPr="00043541">
        <w:rPr>
          <w:sz w:val="18"/>
          <w:szCs w:val="18"/>
        </w:rPr>
        <w:t xml:space="preserve"> </w:t>
      </w:r>
      <w:r w:rsidR="00B02F87" w:rsidRPr="00043541">
        <w:rPr>
          <w:sz w:val="18"/>
          <w:szCs w:val="18"/>
        </w:rPr>
        <w:t xml:space="preserve">David Hart, </w:t>
      </w:r>
      <w:r w:rsidR="00B02F87" w:rsidRPr="00043541">
        <w:rPr>
          <w:i/>
          <w:iCs/>
          <w:sz w:val="18"/>
          <w:szCs w:val="18"/>
        </w:rPr>
        <w:t xml:space="preserve">Jung’s Therapeutic Gnosticism, </w:t>
      </w:r>
      <w:r w:rsidR="00B02F87" w:rsidRPr="00043541">
        <w:rPr>
          <w:sz w:val="18"/>
          <w:szCs w:val="18"/>
        </w:rPr>
        <w:t>p.</w:t>
      </w:r>
      <w:r w:rsidR="00B02F87" w:rsidRPr="00043541">
        <w:rPr>
          <w:sz w:val="18"/>
          <w:szCs w:val="18"/>
        </w:rPr>
        <w:t>3</w:t>
      </w:r>
    </w:p>
  </w:footnote>
  <w:footnote w:id="31">
    <w:p w14:paraId="1967BFA4" w14:textId="76F14DF8" w:rsidR="00605560" w:rsidRPr="00CB5511" w:rsidRDefault="00605560">
      <w:pPr>
        <w:pStyle w:val="FootnoteText"/>
        <w:rPr>
          <w:sz w:val="18"/>
          <w:szCs w:val="18"/>
        </w:rPr>
      </w:pPr>
      <w:r>
        <w:rPr>
          <w:rStyle w:val="FootnoteReference"/>
        </w:rPr>
        <w:footnoteRef/>
      </w:r>
      <w:r>
        <w:t xml:space="preserve"> </w:t>
      </w:r>
      <w:r w:rsidR="00CB5511" w:rsidRPr="00CB5511">
        <w:rPr>
          <w:sz w:val="18"/>
          <w:szCs w:val="18"/>
        </w:rPr>
        <w:t xml:space="preserve">Roger Brooke, </w:t>
      </w:r>
      <w:r w:rsidR="00CB5511" w:rsidRPr="00CB5511">
        <w:rPr>
          <w:i/>
          <w:iCs/>
          <w:sz w:val="18"/>
          <w:szCs w:val="18"/>
        </w:rPr>
        <w:t>Jung and Phenomenology</w:t>
      </w:r>
      <w:r w:rsidR="00CB5511" w:rsidRPr="00CB5511">
        <w:rPr>
          <w:sz w:val="18"/>
          <w:szCs w:val="18"/>
        </w:rPr>
        <w:t xml:space="preserve"> (New York: Routledge , 2015)</w:t>
      </w:r>
      <w:r w:rsidR="00CB5511" w:rsidRPr="00CB5511">
        <w:rPr>
          <w:sz w:val="18"/>
          <w:szCs w:val="18"/>
        </w:rPr>
        <w:t xml:space="preserve"> p. 143</w:t>
      </w:r>
    </w:p>
  </w:footnote>
  <w:footnote w:id="32">
    <w:p w14:paraId="79104D8A" w14:textId="419C6C90" w:rsidR="00D45086" w:rsidRPr="00CB5511" w:rsidRDefault="00D45086">
      <w:pPr>
        <w:pStyle w:val="FootnoteText"/>
        <w:rPr>
          <w:sz w:val="18"/>
          <w:szCs w:val="18"/>
        </w:rPr>
      </w:pPr>
      <w:r w:rsidRPr="00CB5511">
        <w:rPr>
          <w:rStyle w:val="FootnoteReference"/>
          <w:sz w:val="18"/>
          <w:szCs w:val="18"/>
        </w:rPr>
        <w:footnoteRef/>
      </w:r>
      <w:r w:rsidRPr="00CB5511">
        <w:rPr>
          <w:sz w:val="18"/>
          <w:szCs w:val="18"/>
        </w:rPr>
        <w:t xml:space="preserve"> </w:t>
      </w:r>
      <w:r w:rsidR="00B02F87" w:rsidRPr="00CB5511">
        <w:rPr>
          <w:sz w:val="18"/>
          <w:szCs w:val="18"/>
        </w:rPr>
        <w:t xml:space="preserve">Andreas Schweizer, </w:t>
      </w:r>
      <w:r w:rsidR="00B02F87" w:rsidRPr="00CB5511">
        <w:rPr>
          <w:i/>
          <w:iCs/>
          <w:sz w:val="18"/>
          <w:szCs w:val="18"/>
        </w:rPr>
        <w:t>The Son of the Earth in C.G. Jung's The Red Book</w:t>
      </w:r>
      <w:r w:rsidR="00B02F87" w:rsidRPr="00CB5511">
        <w:rPr>
          <w:sz w:val="18"/>
          <w:szCs w:val="18"/>
        </w:rPr>
        <w:t>,</w:t>
      </w:r>
      <w:r w:rsidR="00043541" w:rsidRPr="00CB5511">
        <w:rPr>
          <w:sz w:val="18"/>
          <w:szCs w:val="18"/>
        </w:rPr>
        <w:t xml:space="preserve"> </w:t>
      </w:r>
      <w:r w:rsidR="00043541" w:rsidRPr="00CB5511">
        <w:rPr>
          <w:sz w:val="18"/>
          <w:szCs w:val="18"/>
        </w:rPr>
        <w:t>Jung Journal: Culture &amp; Psyche</w:t>
      </w:r>
      <w:r w:rsidR="00043541" w:rsidRPr="00CB5511">
        <w:rPr>
          <w:sz w:val="18"/>
          <w:szCs w:val="18"/>
        </w:rPr>
        <w:t>,</w:t>
      </w:r>
      <w:r w:rsidR="00B02F87" w:rsidRPr="00CB5511">
        <w:rPr>
          <w:sz w:val="18"/>
          <w:szCs w:val="18"/>
        </w:rPr>
        <w:t xml:space="preserve"> 5.3, (2011), p.</w:t>
      </w:r>
      <w:r w:rsidR="00B02F87" w:rsidRPr="00CB5511">
        <w:rPr>
          <w:sz w:val="18"/>
          <w:szCs w:val="18"/>
        </w:rPr>
        <w:t>81</w:t>
      </w:r>
    </w:p>
  </w:footnote>
  <w:footnote w:id="33">
    <w:p w14:paraId="5FC0AE3B" w14:textId="2E7C72FC" w:rsidR="00D45086" w:rsidRPr="00043541" w:rsidRDefault="00D45086">
      <w:pPr>
        <w:pStyle w:val="FootnoteText"/>
        <w:rPr>
          <w:sz w:val="18"/>
          <w:szCs w:val="18"/>
        </w:rPr>
      </w:pPr>
      <w:r w:rsidRPr="00043541">
        <w:rPr>
          <w:rStyle w:val="FootnoteReference"/>
          <w:sz w:val="18"/>
          <w:szCs w:val="18"/>
        </w:rPr>
        <w:footnoteRef/>
      </w:r>
      <w:r w:rsidRPr="00043541">
        <w:rPr>
          <w:sz w:val="18"/>
          <w:szCs w:val="18"/>
        </w:rPr>
        <w:t xml:space="preserve"> </w:t>
      </w:r>
      <w:r w:rsidR="00B02F87" w:rsidRPr="00043541">
        <w:rPr>
          <w:sz w:val="18"/>
          <w:szCs w:val="18"/>
        </w:rPr>
        <w:t>Andreas Schweizer, The Son of the Earth in C.G. Jung's The Red Book, p. 8</w:t>
      </w:r>
      <w:r w:rsidR="00B02F87" w:rsidRPr="00043541">
        <w:rPr>
          <w:sz w:val="18"/>
          <w:szCs w:val="18"/>
        </w:rPr>
        <w:t>4</w:t>
      </w:r>
    </w:p>
  </w:footnote>
  <w:footnote w:id="34">
    <w:p w14:paraId="26EA4A4B" w14:textId="5731FEB1" w:rsidR="00D45086" w:rsidRPr="00043541" w:rsidRDefault="00D45086">
      <w:pPr>
        <w:pStyle w:val="FootnoteText"/>
        <w:rPr>
          <w:sz w:val="18"/>
          <w:szCs w:val="18"/>
        </w:rPr>
      </w:pPr>
      <w:r w:rsidRPr="00043541">
        <w:rPr>
          <w:rStyle w:val="FootnoteReference"/>
          <w:sz w:val="18"/>
          <w:szCs w:val="18"/>
        </w:rPr>
        <w:footnoteRef/>
      </w:r>
      <w:r w:rsidRPr="00043541">
        <w:rPr>
          <w:sz w:val="18"/>
          <w:szCs w:val="18"/>
        </w:rPr>
        <w:t xml:space="preserve"> </w:t>
      </w:r>
      <w:r w:rsidR="00B02F87" w:rsidRPr="00043541">
        <w:rPr>
          <w:sz w:val="18"/>
          <w:szCs w:val="18"/>
        </w:rPr>
        <w:t xml:space="preserve">David Bentley Hart, Jung’s Therapeutic Gnosticism, (2013) p. </w:t>
      </w:r>
      <w:r w:rsidR="00B02F87" w:rsidRPr="00043541">
        <w:rPr>
          <w:sz w:val="18"/>
          <w:szCs w:val="18"/>
        </w:rPr>
        <w:t>9</w:t>
      </w:r>
    </w:p>
  </w:footnote>
  <w:footnote w:id="35">
    <w:p w14:paraId="04109EEC" w14:textId="79C1E49B" w:rsidR="00D45086" w:rsidRPr="00043541" w:rsidRDefault="00D45086">
      <w:pPr>
        <w:pStyle w:val="FootnoteText"/>
        <w:rPr>
          <w:sz w:val="18"/>
          <w:szCs w:val="18"/>
        </w:rPr>
      </w:pPr>
      <w:r w:rsidRPr="00043541">
        <w:rPr>
          <w:rStyle w:val="FootnoteReference"/>
          <w:sz w:val="18"/>
          <w:szCs w:val="18"/>
        </w:rPr>
        <w:footnoteRef/>
      </w:r>
      <w:r w:rsidRPr="00043541">
        <w:rPr>
          <w:sz w:val="18"/>
          <w:szCs w:val="18"/>
        </w:rPr>
        <w:t xml:space="preserve"> </w:t>
      </w:r>
      <w:r w:rsidR="00B02F87" w:rsidRPr="00043541">
        <w:rPr>
          <w:sz w:val="18"/>
          <w:szCs w:val="18"/>
        </w:rPr>
        <w:t>David Hart, Jung’s Therapeutic Gnosticism, p.</w:t>
      </w:r>
      <w:r w:rsidR="00B02F87" w:rsidRPr="00043541">
        <w:rPr>
          <w:sz w:val="18"/>
          <w:szCs w:val="18"/>
        </w:rPr>
        <w:t>9</w:t>
      </w:r>
    </w:p>
  </w:footnote>
  <w:footnote w:id="36">
    <w:p w14:paraId="14F0037C" w14:textId="14287AA0" w:rsidR="00D45086" w:rsidRPr="00043541" w:rsidRDefault="00D45086">
      <w:pPr>
        <w:pStyle w:val="FootnoteText"/>
        <w:rPr>
          <w:sz w:val="18"/>
          <w:szCs w:val="18"/>
        </w:rPr>
      </w:pPr>
      <w:r w:rsidRPr="00043541">
        <w:rPr>
          <w:rStyle w:val="FootnoteReference"/>
          <w:sz w:val="18"/>
          <w:szCs w:val="18"/>
        </w:rPr>
        <w:footnoteRef/>
      </w:r>
      <w:r w:rsidRPr="00043541">
        <w:rPr>
          <w:sz w:val="18"/>
          <w:szCs w:val="18"/>
        </w:rPr>
        <w:t xml:space="preserve"> </w:t>
      </w:r>
      <w:r w:rsidR="00447E9D" w:rsidRPr="00043541">
        <w:rPr>
          <w:sz w:val="18"/>
          <w:szCs w:val="18"/>
        </w:rPr>
        <w:t>Andreas Schweizer, The Son of the Earth in C.G. Jung's The Red Book,</w:t>
      </w:r>
      <w:r w:rsidR="00043541" w:rsidRPr="00043541">
        <w:t xml:space="preserve"> </w:t>
      </w:r>
      <w:r w:rsidR="00043541" w:rsidRPr="00043541">
        <w:rPr>
          <w:sz w:val="18"/>
          <w:szCs w:val="18"/>
        </w:rPr>
        <w:t>Jung Journal: Culture &amp; Psyche</w:t>
      </w:r>
      <w:r w:rsidR="00043541">
        <w:rPr>
          <w:sz w:val="18"/>
          <w:szCs w:val="18"/>
        </w:rPr>
        <w:t>,</w:t>
      </w:r>
      <w:r w:rsidR="00447E9D" w:rsidRPr="00043541">
        <w:rPr>
          <w:sz w:val="18"/>
          <w:szCs w:val="18"/>
        </w:rPr>
        <w:t xml:space="preserve"> 5.3, (2011), p.8</w:t>
      </w:r>
      <w:r w:rsidR="00447E9D" w:rsidRPr="00043541">
        <w:rPr>
          <w:sz w:val="18"/>
          <w:szCs w:val="18"/>
        </w:rPr>
        <w:t>2</w:t>
      </w:r>
    </w:p>
  </w:footnote>
  <w:footnote w:id="37">
    <w:p w14:paraId="5CB02A9A" w14:textId="1FAF1E67" w:rsidR="00090392" w:rsidRDefault="00090392">
      <w:pPr>
        <w:pStyle w:val="FootnoteText"/>
      </w:pPr>
      <w:r w:rsidRPr="00043541">
        <w:rPr>
          <w:rStyle w:val="FootnoteReference"/>
          <w:sz w:val="18"/>
          <w:szCs w:val="18"/>
        </w:rPr>
        <w:footnoteRef/>
      </w:r>
      <w:r w:rsidRPr="00043541">
        <w:rPr>
          <w:sz w:val="18"/>
          <w:szCs w:val="18"/>
        </w:rPr>
        <w:t xml:space="preserve"> </w:t>
      </w:r>
      <w:r w:rsidR="00447E9D" w:rsidRPr="00043541">
        <w:rPr>
          <w:sz w:val="18"/>
          <w:szCs w:val="18"/>
        </w:rPr>
        <w:t xml:space="preserve">David Bentley Hart, Jung’s Therapeutic Gnosticism, (2013) p. </w:t>
      </w:r>
      <w:r w:rsidR="00447E9D" w:rsidRPr="00043541">
        <w:rPr>
          <w:sz w:val="18"/>
          <w:szCs w:val="18"/>
        </w:rPr>
        <w:t>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370A7"/>
    <w:multiLevelType w:val="multilevel"/>
    <w:tmpl w:val="250C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F75204"/>
    <w:multiLevelType w:val="multilevel"/>
    <w:tmpl w:val="4386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6D3781"/>
    <w:multiLevelType w:val="multilevel"/>
    <w:tmpl w:val="18AC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093704"/>
    <w:multiLevelType w:val="multilevel"/>
    <w:tmpl w:val="824A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21E5D"/>
    <w:multiLevelType w:val="multilevel"/>
    <w:tmpl w:val="0CBA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66"/>
    <w:rsid w:val="0001342C"/>
    <w:rsid w:val="00037EDD"/>
    <w:rsid w:val="000424C9"/>
    <w:rsid w:val="00043541"/>
    <w:rsid w:val="00052A41"/>
    <w:rsid w:val="0005336E"/>
    <w:rsid w:val="00075344"/>
    <w:rsid w:val="0008599F"/>
    <w:rsid w:val="00090392"/>
    <w:rsid w:val="000A6556"/>
    <w:rsid w:val="000B1340"/>
    <w:rsid w:val="000B345C"/>
    <w:rsid w:val="000B7798"/>
    <w:rsid w:val="000E0928"/>
    <w:rsid w:val="00106E60"/>
    <w:rsid w:val="001535E6"/>
    <w:rsid w:val="001677A1"/>
    <w:rsid w:val="001941C8"/>
    <w:rsid w:val="001D532F"/>
    <w:rsid w:val="001D6AFE"/>
    <w:rsid w:val="001E7374"/>
    <w:rsid w:val="0021232E"/>
    <w:rsid w:val="00215F8D"/>
    <w:rsid w:val="00222913"/>
    <w:rsid w:val="00245666"/>
    <w:rsid w:val="00284D10"/>
    <w:rsid w:val="002B0D50"/>
    <w:rsid w:val="002D315C"/>
    <w:rsid w:val="00334965"/>
    <w:rsid w:val="0035101F"/>
    <w:rsid w:val="00365C51"/>
    <w:rsid w:val="00366867"/>
    <w:rsid w:val="00384FDA"/>
    <w:rsid w:val="003B0A48"/>
    <w:rsid w:val="003B4109"/>
    <w:rsid w:val="003F7BF3"/>
    <w:rsid w:val="00446290"/>
    <w:rsid w:val="00447E9D"/>
    <w:rsid w:val="0046745C"/>
    <w:rsid w:val="004A3BCB"/>
    <w:rsid w:val="004D7CEE"/>
    <w:rsid w:val="004F44A6"/>
    <w:rsid w:val="00513707"/>
    <w:rsid w:val="00556401"/>
    <w:rsid w:val="00577767"/>
    <w:rsid w:val="005818DB"/>
    <w:rsid w:val="005A19BD"/>
    <w:rsid w:val="00605560"/>
    <w:rsid w:val="00680A14"/>
    <w:rsid w:val="006837DB"/>
    <w:rsid w:val="0068781E"/>
    <w:rsid w:val="006A3293"/>
    <w:rsid w:val="006A46FB"/>
    <w:rsid w:val="006B2E97"/>
    <w:rsid w:val="00706C11"/>
    <w:rsid w:val="007123AB"/>
    <w:rsid w:val="007430EA"/>
    <w:rsid w:val="00744921"/>
    <w:rsid w:val="007536EE"/>
    <w:rsid w:val="0075682F"/>
    <w:rsid w:val="00791601"/>
    <w:rsid w:val="007A648B"/>
    <w:rsid w:val="007B385F"/>
    <w:rsid w:val="007F5C7E"/>
    <w:rsid w:val="008003FE"/>
    <w:rsid w:val="00802F2B"/>
    <w:rsid w:val="0081055A"/>
    <w:rsid w:val="008C5E17"/>
    <w:rsid w:val="008F2863"/>
    <w:rsid w:val="00930CB2"/>
    <w:rsid w:val="00936A61"/>
    <w:rsid w:val="00983ACB"/>
    <w:rsid w:val="00994DB3"/>
    <w:rsid w:val="0099529B"/>
    <w:rsid w:val="009A66C5"/>
    <w:rsid w:val="009B77AF"/>
    <w:rsid w:val="009C7E7D"/>
    <w:rsid w:val="009F222F"/>
    <w:rsid w:val="00A65A04"/>
    <w:rsid w:val="00A77C3D"/>
    <w:rsid w:val="00A82DE8"/>
    <w:rsid w:val="00AB193C"/>
    <w:rsid w:val="00AD38BD"/>
    <w:rsid w:val="00B01B54"/>
    <w:rsid w:val="00B02F87"/>
    <w:rsid w:val="00B04C72"/>
    <w:rsid w:val="00B21E5F"/>
    <w:rsid w:val="00B719DD"/>
    <w:rsid w:val="00B92666"/>
    <w:rsid w:val="00BA2EBD"/>
    <w:rsid w:val="00BE0789"/>
    <w:rsid w:val="00BE6A5E"/>
    <w:rsid w:val="00C26614"/>
    <w:rsid w:val="00C76A63"/>
    <w:rsid w:val="00CB5511"/>
    <w:rsid w:val="00CC1F0B"/>
    <w:rsid w:val="00D37365"/>
    <w:rsid w:val="00D45086"/>
    <w:rsid w:val="00D729FF"/>
    <w:rsid w:val="00E2552E"/>
    <w:rsid w:val="00E41DD0"/>
    <w:rsid w:val="00E4291B"/>
    <w:rsid w:val="00E736F1"/>
    <w:rsid w:val="00ED4441"/>
    <w:rsid w:val="00F04550"/>
    <w:rsid w:val="00F11A19"/>
    <w:rsid w:val="00F31BAD"/>
    <w:rsid w:val="00F80EC8"/>
    <w:rsid w:val="00FA1845"/>
    <w:rsid w:val="00FC1696"/>
    <w:rsid w:val="00FE3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04DE2"/>
  <w15:chartTrackingRefBased/>
  <w15:docId w15:val="{30B07FBF-ECEB-484A-B2D9-8642D291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semiHidden/>
    <w:unhideWhenUsed/>
    <w:qFormat/>
    <w:rsid w:val="00D37365"/>
    <w:pPr>
      <w:keepNext/>
      <w:spacing w:after="0" w:line="240" w:lineRule="auto"/>
      <w:ind w:left="720"/>
      <w:jc w:val="both"/>
      <w:outlineLvl w:val="2"/>
    </w:pPr>
    <w:rPr>
      <w:rFonts w:ascii="Tahoma" w:eastAsia="Times New Roma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137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3707"/>
    <w:rPr>
      <w:sz w:val="20"/>
      <w:szCs w:val="20"/>
    </w:rPr>
  </w:style>
  <w:style w:type="character" w:styleId="FootnoteReference">
    <w:name w:val="footnote reference"/>
    <w:basedOn w:val="DefaultParagraphFont"/>
    <w:uiPriority w:val="99"/>
    <w:semiHidden/>
    <w:unhideWhenUsed/>
    <w:rsid w:val="00513707"/>
    <w:rPr>
      <w:vertAlign w:val="superscript"/>
    </w:rPr>
  </w:style>
  <w:style w:type="character" w:styleId="Hyperlink">
    <w:name w:val="Hyperlink"/>
    <w:basedOn w:val="DefaultParagraphFont"/>
    <w:uiPriority w:val="99"/>
    <w:unhideWhenUsed/>
    <w:rsid w:val="00513707"/>
    <w:rPr>
      <w:color w:val="0563C1" w:themeColor="hyperlink"/>
      <w:u w:val="single"/>
    </w:rPr>
  </w:style>
  <w:style w:type="character" w:styleId="UnresolvedMention">
    <w:name w:val="Unresolved Mention"/>
    <w:basedOn w:val="DefaultParagraphFont"/>
    <w:uiPriority w:val="99"/>
    <w:semiHidden/>
    <w:unhideWhenUsed/>
    <w:rsid w:val="00513707"/>
    <w:rPr>
      <w:color w:val="605E5C"/>
      <w:shd w:val="clear" w:color="auto" w:fill="E1DFDD"/>
    </w:rPr>
  </w:style>
  <w:style w:type="paragraph" w:styleId="Header">
    <w:name w:val="header"/>
    <w:basedOn w:val="Normal"/>
    <w:link w:val="HeaderChar"/>
    <w:uiPriority w:val="99"/>
    <w:unhideWhenUsed/>
    <w:rsid w:val="004F44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4A6"/>
  </w:style>
  <w:style w:type="paragraph" w:styleId="Footer">
    <w:name w:val="footer"/>
    <w:basedOn w:val="Normal"/>
    <w:link w:val="FooterChar"/>
    <w:uiPriority w:val="99"/>
    <w:unhideWhenUsed/>
    <w:rsid w:val="004F44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4A6"/>
  </w:style>
  <w:style w:type="paragraph" w:customStyle="1" w:styleId="reflistitem">
    <w:name w:val="reflistitem"/>
    <w:basedOn w:val="Normal"/>
    <w:rsid w:val="000903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button-text">
    <w:name w:val="ui-button-text"/>
    <w:basedOn w:val="DefaultParagraphFont"/>
    <w:rsid w:val="00090392"/>
  </w:style>
  <w:style w:type="character" w:customStyle="1" w:styleId="Heading3Char">
    <w:name w:val="Heading 3 Char"/>
    <w:basedOn w:val="DefaultParagraphFont"/>
    <w:link w:val="Heading3"/>
    <w:semiHidden/>
    <w:rsid w:val="00D37365"/>
    <w:rPr>
      <w:rFonts w:ascii="Tahoma" w:eastAsia="Times New Roman" w:hAnsi="Tahoma" w:cs="Tahoma"/>
      <w:b/>
      <w:bCs/>
      <w:sz w:val="20"/>
      <w:szCs w:val="20"/>
      <w:lang w:val="en-GB" w:eastAsia="zh-CN"/>
    </w:rPr>
  </w:style>
  <w:style w:type="paragraph" w:styleId="NormalWeb">
    <w:name w:val="Normal (Web)"/>
    <w:basedOn w:val="Normal"/>
    <w:semiHidden/>
    <w:unhideWhenUsed/>
    <w:rsid w:val="00D37365"/>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654358">
      <w:bodyDiv w:val="1"/>
      <w:marLeft w:val="0"/>
      <w:marRight w:val="0"/>
      <w:marTop w:val="0"/>
      <w:marBottom w:val="0"/>
      <w:divBdr>
        <w:top w:val="none" w:sz="0" w:space="0" w:color="auto"/>
        <w:left w:val="none" w:sz="0" w:space="0" w:color="auto"/>
        <w:bottom w:val="none" w:sz="0" w:space="0" w:color="auto"/>
        <w:right w:val="none" w:sz="0" w:space="0" w:color="auto"/>
      </w:divBdr>
      <w:divsChild>
        <w:div w:id="276254076">
          <w:marLeft w:val="0"/>
          <w:marRight w:val="0"/>
          <w:marTop w:val="0"/>
          <w:marBottom w:val="0"/>
          <w:divBdr>
            <w:top w:val="none" w:sz="0" w:space="0" w:color="auto"/>
            <w:left w:val="none" w:sz="0" w:space="0" w:color="auto"/>
            <w:bottom w:val="none" w:sz="0" w:space="0" w:color="auto"/>
            <w:right w:val="none" w:sz="0" w:space="0" w:color="auto"/>
          </w:divBdr>
          <w:divsChild>
            <w:div w:id="1176847039">
              <w:marLeft w:val="0"/>
              <w:marRight w:val="0"/>
              <w:marTop w:val="0"/>
              <w:marBottom w:val="0"/>
              <w:divBdr>
                <w:top w:val="none" w:sz="0" w:space="0" w:color="auto"/>
                <w:left w:val="none" w:sz="0" w:space="0" w:color="auto"/>
                <w:bottom w:val="none" w:sz="0" w:space="0" w:color="auto"/>
                <w:right w:val="none" w:sz="0" w:space="0" w:color="auto"/>
              </w:divBdr>
            </w:div>
            <w:div w:id="113699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01586">
      <w:bodyDiv w:val="1"/>
      <w:marLeft w:val="0"/>
      <w:marRight w:val="0"/>
      <w:marTop w:val="0"/>
      <w:marBottom w:val="0"/>
      <w:divBdr>
        <w:top w:val="none" w:sz="0" w:space="0" w:color="auto"/>
        <w:left w:val="none" w:sz="0" w:space="0" w:color="auto"/>
        <w:bottom w:val="none" w:sz="0" w:space="0" w:color="auto"/>
        <w:right w:val="none" w:sz="0" w:space="0" w:color="auto"/>
      </w:divBdr>
      <w:divsChild>
        <w:div w:id="1852328500">
          <w:marLeft w:val="0"/>
          <w:marRight w:val="0"/>
          <w:marTop w:val="0"/>
          <w:marBottom w:val="0"/>
          <w:divBdr>
            <w:top w:val="none" w:sz="0" w:space="0" w:color="auto"/>
            <w:left w:val="none" w:sz="0" w:space="0" w:color="auto"/>
            <w:bottom w:val="none" w:sz="0" w:space="0" w:color="auto"/>
            <w:right w:val="none" w:sz="0" w:space="0" w:color="auto"/>
          </w:divBdr>
          <w:divsChild>
            <w:div w:id="334066870">
              <w:marLeft w:val="0"/>
              <w:marRight w:val="0"/>
              <w:marTop w:val="0"/>
              <w:marBottom w:val="0"/>
              <w:divBdr>
                <w:top w:val="none" w:sz="0" w:space="0" w:color="auto"/>
                <w:left w:val="none" w:sz="0" w:space="0" w:color="auto"/>
                <w:bottom w:val="none" w:sz="0" w:space="0" w:color="auto"/>
                <w:right w:val="none" w:sz="0" w:space="0" w:color="auto"/>
              </w:divBdr>
            </w:div>
            <w:div w:id="5721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35245">
      <w:bodyDiv w:val="1"/>
      <w:marLeft w:val="0"/>
      <w:marRight w:val="0"/>
      <w:marTop w:val="0"/>
      <w:marBottom w:val="0"/>
      <w:divBdr>
        <w:top w:val="none" w:sz="0" w:space="0" w:color="auto"/>
        <w:left w:val="none" w:sz="0" w:space="0" w:color="auto"/>
        <w:bottom w:val="none" w:sz="0" w:space="0" w:color="auto"/>
        <w:right w:val="none" w:sz="0" w:space="0" w:color="auto"/>
      </w:divBdr>
      <w:divsChild>
        <w:div w:id="901675056">
          <w:marLeft w:val="0"/>
          <w:marRight w:val="0"/>
          <w:marTop w:val="0"/>
          <w:marBottom w:val="0"/>
          <w:divBdr>
            <w:top w:val="none" w:sz="0" w:space="0" w:color="auto"/>
            <w:left w:val="none" w:sz="0" w:space="0" w:color="auto"/>
            <w:bottom w:val="none" w:sz="0" w:space="0" w:color="auto"/>
            <w:right w:val="none" w:sz="0" w:space="0" w:color="auto"/>
          </w:divBdr>
          <w:divsChild>
            <w:div w:id="1801611755">
              <w:marLeft w:val="0"/>
              <w:marRight w:val="0"/>
              <w:marTop w:val="0"/>
              <w:marBottom w:val="0"/>
              <w:divBdr>
                <w:top w:val="none" w:sz="0" w:space="0" w:color="auto"/>
                <w:left w:val="none" w:sz="0" w:space="0" w:color="auto"/>
                <w:bottom w:val="none" w:sz="0" w:space="0" w:color="auto"/>
                <w:right w:val="none" w:sz="0" w:space="0" w:color="auto"/>
              </w:divBdr>
            </w:div>
            <w:div w:id="32659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118794">
      <w:bodyDiv w:val="1"/>
      <w:marLeft w:val="0"/>
      <w:marRight w:val="0"/>
      <w:marTop w:val="0"/>
      <w:marBottom w:val="0"/>
      <w:divBdr>
        <w:top w:val="none" w:sz="0" w:space="0" w:color="auto"/>
        <w:left w:val="none" w:sz="0" w:space="0" w:color="auto"/>
        <w:bottom w:val="none" w:sz="0" w:space="0" w:color="auto"/>
        <w:right w:val="none" w:sz="0" w:space="0" w:color="auto"/>
      </w:divBdr>
      <w:divsChild>
        <w:div w:id="2103604753">
          <w:marLeft w:val="0"/>
          <w:marRight w:val="0"/>
          <w:marTop w:val="0"/>
          <w:marBottom w:val="0"/>
          <w:divBdr>
            <w:top w:val="none" w:sz="0" w:space="0" w:color="auto"/>
            <w:left w:val="none" w:sz="0" w:space="0" w:color="auto"/>
            <w:bottom w:val="none" w:sz="0" w:space="0" w:color="auto"/>
            <w:right w:val="none" w:sz="0" w:space="0" w:color="auto"/>
          </w:divBdr>
          <w:divsChild>
            <w:div w:id="1291980634">
              <w:marLeft w:val="0"/>
              <w:marRight w:val="0"/>
              <w:marTop w:val="0"/>
              <w:marBottom w:val="0"/>
              <w:divBdr>
                <w:top w:val="none" w:sz="0" w:space="0" w:color="auto"/>
                <w:left w:val="none" w:sz="0" w:space="0" w:color="auto"/>
                <w:bottom w:val="none" w:sz="0" w:space="0" w:color="auto"/>
                <w:right w:val="none" w:sz="0" w:space="0" w:color="auto"/>
              </w:divBdr>
            </w:div>
            <w:div w:id="195671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207291">
      <w:bodyDiv w:val="1"/>
      <w:marLeft w:val="0"/>
      <w:marRight w:val="0"/>
      <w:marTop w:val="0"/>
      <w:marBottom w:val="0"/>
      <w:divBdr>
        <w:top w:val="none" w:sz="0" w:space="0" w:color="auto"/>
        <w:left w:val="none" w:sz="0" w:space="0" w:color="auto"/>
        <w:bottom w:val="none" w:sz="0" w:space="0" w:color="auto"/>
        <w:right w:val="none" w:sz="0" w:space="0" w:color="auto"/>
      </w:divBdr>
    </w:div>
    <w:div w:id="2088765754">
      <w:bodyDiv w:val="1"/>
      <w:marLeft w:val="0"/>
      <w:marRight w:val="0"/>
      <w:marTop w:val="0"/>
      <w:marBottom w:val="0"/>
      <w:divBdr>
        <w:top w:val="none" w:sz="0" w:space="0" w:color="auto"/>
        <w:left w:val="none" w:sz="0" w:space="0" w:color="auto"/>
        <w:bottom w:val="none" w:sz="0" w:space="0" w:color="auto"/>
        <w:right w:val="none" w:sz="0" w:space="0" w:color="auto"/>
      </w:divBdr>
      <w:divsChild>
        <w:div w:id="299117692">
          <w:marLeft w:val="0"/>
          <w:marRight w:val="0"/>
          <w:marTop w:val="0"/>
          <w:marBottom w:val="0"/>
          <w:divBdr>
            <w:top w:val="none" w:sz="0" w:space="0" w:color="auto"/>
            <w:left w:val="none" w:sz="0" w:space="0" w:color="auto"/>
            <w:bottom w:val="none" w:sz="0" w:space="0" w:color="auto"/>
            <w:right w:val="none" w:sz="0" w:space="0" w:color="auto"/>
          </w:divBdr>
          <w:divsChild>
            <w:div w:id="696858608">
              <w:marLeft w:val="0"/>
              <w:marRight w:val="0"/>
              <w:marTop w:val="0"/>
              <w:marBottom w:val="0"/>
              <w:divBdr>
                <w:top w:val="none" w:sz="0" w:space="0" w:color="auto"/>
                <w:left w:val="none" w:sz="0" w:space="0" w:color="auto"/>
                <w:bottom w:val="none" w:sz="0" w:space="0" w:color="auto"/>
                <w:right w:val="none" w:sz="0" w:space="0" w:color="auto"/>
              </w:divBdr>
            </w:div>
            <w:div w:id="30601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BEF4F7-D423-433C-8E44-80837C091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El Bizri</dc:creator>
  <cp:keywords/>
  <dc:description/>
  <cp:lastModifiedBy>Sara El Bizri</cp:lastModifiedBy>
  <cp:revision>6</cp:revision>
  <dcterms:created xsi:type="dcterms:W3CDTF">2020-12-04T21:07:00Z</dcterms:created>
  <dcterms:modified xsi:type="dcterms:W3CDTF">2020-12-04T22:06:00Z</dcterms:modified>
</cp:coreProperties>
</file>