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C63E3" w14:textId="08BB05CA" w:rsidR="00F51B2F" w:rsidRDefault="003E6540">
      <w:r>
        <w:t>ESSAY 5</w:t>
      </w:r>
    </w:p>
    <w:p w14:paraId="6410EAA8" w14:textId="51587BD8" w:rsidR="00F51B2F" w:rsidRDefault="00F51B2F">
      <w:r>
        <w:t>The methodologies and practices of law enforcement agencies when attempting to reduce crime has been prevalent not only in the zeitgeist but has been a topic of contention in the court of public opinion since the first police forces were created (1800 with the City of Glasgow Police and 1829 when Sir Robert Peel established the Metropolitan Police in London</w:t>
      </w:r>
      <w:r w:rsidR="0006002A">
        <w:t>)</w:t>
      </w:r>
      <w:r>
        <w:t>.</w:t>
      </w:r>
    </w:p>
    <w:p w14:paraId="78071E26" w14:textId="33D794A5" w:rsidR="006045F5" w:rsidRDefault="006045F5">
      <w:r>
        <w:t>The definition of Anti-social Behaviour (ASB) can be found in the Anti-So</w:t>
      </w:r>
      <w:r w:rsidR="00945F87">
        <w:t>c</w:t>
      </w:r>
      <w:r>
        <w:t>ia</w:t>
      </w:r>
      <w:r w:rsidR="00945F87">
        <w:t>l</w:t>
      </w:r>
      <w:r>
        <w:t xml:space="preserve"> Behaviour, Crime and Policing Act (2014) and defines it as:</w:t>
      </w:r>
    </w:p>
    <w:p w14:paraId="441C7FF5" w14:textId="54E57AED" w:rsidR="006045F5" w:rsidRDefault="006045F5" w:rsidP="006045F5">
      <w:pPr>
        <w:ind w:left="720"/>
      </w:pPr>
      <w:r>
        <w:t xml:space="preserve">Conduct that has caused, or is likely to cause, harassment, </w:t>
      </w:r>
      <w:proofErr w:type="gramStart"/>
      <w:r>
        <w:t>alarm</w:t>
      </w:r>
      <w:proofErr w:type="gramEnd"/>
      <w:r>
        <w:t xml:space="preserve"> or distress to any person,</w:t>
      </w:r>
      <w:r>
        <w:br/>
        <w:t>Conduct capable of causing nuisance or annoyance to a person in relation to that person’s occupation of residential premises or</w:t>
      </w:r>
      <w:r>
        <w:br/>
        <w:t xml:space="preserve">Conduct capable of causing housing-related nuisance or annoyance to any </w:t>
      </w:r>
      <w:r w:rsidR="006F391D">
        <w:t>person.</w:t>
      </w:r>
    </w:p>
    <w:p w14:paraId="1465A011" w14:textId="485FC9FC" w:rsidR="006045F5" w:rsidRDefault="006045F5" w:rsidP="006045F5">
      <w:r>
        <w:t>Although providing a statutory definition for ASB, there then becomes an issue in applying this definition to the behaviour of individuals in an environment</w:t>
      </w:r>
      <w:r w:rsidR="00A070B3">
        <w:t xml:space="preserve"> (Adams &amp; Millie, 2021)</w:t>
      </w:r>
      <w:r w:rsidR="00386501">
        <w:t>.</w:t>
      </w:r>
      <w:r w:rsidR="003E51AA">
        <w:t xml:space="preserve"> According to the College of Policing (2023) ASB can be broken down into 3 categories – with those being further broken down into specific behaviours:</w:t>
      </w:r>
    </w:p>
    <w:p w14:paraId="19BA5949" w14:textId="77777777" w:rsidR="003E51AA" w:rsidRDefault="003E51AA" w:rsidP="003E51AA">
      <w:pPr>
        <w:pStyle w:val="ListParagraph"/>
        <w:numPr>
          <w:ilvl w:val="0"/>
          <w:numId w:val="3"/>
        </w:numPr>
      </w:pPr>
      <w:r>
        <w:t>Personal ASB</w:t>
      </w:r>
    </w:p>
    <w:p w14:paraId="1D000656" w14:textId="77777777" w:rsidR="003E51AA" w:rsidRDefault="003E51AA" w:rsidP="003E51AA">
      <w:pPr>
        <w:pStyle w:val="ListParagraph"/>
        <w:numPr>
          <w:ilvl w:val="1"/>
          <w:numId w:val="3"/>
        </w:numPr>
      </w:pPr>
      <w:r>
        <w:t>Intimidation</w:t>
      </w:r>
    </w:p>
    <w:p w14:paraId="24FFC94A" w14:textId="77777777" w:rsidR="003E51AA" w:rsidRDefault="003E51AA" w:rsidP="003E51AA">
      <w:pPr>
        <w:pStyle w:val="ListParagraph"/>
        <w:numPr>
          <w:ilvl w:val="1"/>
          <w:numId w:val="3"/>
        </w:numPr>
      </w:pPr>
      <w:r>
        <w:t>Harassment</w:t>
      </w:r>
    </w:p>
    <w:p w14:paraId="03D9F0A1" w14:textId="77777777" w:rsidR="003E51AA" w:rsidRDefault="003E51AA" w:rsidP="003E51AA">
      <w:pPr>
        <w:pStyle w:val="ListParagraph"/>
        <w:numPr>
          <w:ilvl w:val="0"/>
          <w:numId w:val="3"/>
        </w:numPr>
      </w:pPr>
      <w:r>
        <w:t>Nuisance ASB</w:t>
      </w:r>
    </w:p>
    <w:p w14:paraId="5AF114AC" w14:textId="77777777" w:rsidR="003E51AA" w:rsidRDefault="003E51AA" w:rsidP="003E51AA">
      <w:pPr>
        <w:pStyle w:val="ListParagraph"/>
        <w:numPr>
          <w:ilvl w:val="1"/>
          <w:numId w:val="3"/>
        </w:numPr>
      </w:pPr>
      <w:r>
        <w:t>Drug or substance misuse</w:t>
      </w:r>
    </w:p>
    <w:p w14:paraId="6DB2EF8F" w14:textId="77777777" w:rsidR="003E51AA" w:rsidRDefault="003E51AA" w:rsidP="003E51AA">
      <w:pPr>
        <w:pStyle w:val="ListParagraph"/>
        <w:numPr>
          <w:ilvl w:val="1"/>
          <w:numId w:val="3"/>
        </w:numPr>
      </w:pPr>
      <w:r>
        <w:t xml:space="preserve">Vehicle related </w:t>
      </w:r>
      <w:proofErr w:type="gramStart"/>
      <w:r>
        <w:t>nuisance</w:t>
      </w:r>
      <w:proofErr w:type="gramEnd"/>
    </w:p>
    <w:p w14:paraId="049D426E" w14:textId="77777777" w:rsidR="003E51AA" w:rsidRDefault="003E51AA" w:rsidP="003E51AA">
      <w:pPr>
        <w:pStyle w:val="ListParagraph"/>
        <w:numPr>
          <w:ilvl w:val="1"/>
          <w:numId w:val="3"/>
        </w:numPr>
      </w:pPr>
      <w:r>
        <w:t>Animal related nuisance</w:t>
      </w:r>
    </w:p>
    <w:p w14:paraId="200A24A5" w14:textId="77777777" w:rsidR="003E51AA" w:rsidRDefault="003E51AA" w:rsidP="003E51AA">
      <w:pPr>
        <w:pStyle w:val="ListParagraph"/>
        <w:numPr>
          <w:ilvl w:val="0"/>
          <w:numId w:val="3"/>
        </w:numPr>
      </w:pPr>
      <w:r>
        <w:t>Environmental ASB</w:t>
      </w:r>
    </w:p>
    <w:p w14:paraId="402C87A3" w14:textId="77777777" w:rsidR="003E51AA" w:rsidRDefault="003E51AA" w:rsidP="003E51AA">
      <w:pPr>
        <w:pStyle w:val="ListParagraph"/>
        <w:numPr>
          <w:ilvl w:val="1"/>
          <w:numId w:val="3"/>
        </w:numPr>
      </w:pPr>
      <w:r>
        <w:t>Criminal damage or vandalism</w:t>
      </w:r>
    </w:p>
    <w:p w14:paraId="075C4CD0" w14:textId="77777777" w:rsidR="003E51AA" w:rsidRDefault="00A855C0" w:rsidP="003E51AA">
      <w:pPr>
        <w:pStyle w:val="ListParagraph"/>
        <w:numPr>
          <w:ilvl w:val="1"/>
          <w:numId w:val="3"/>
        </w:numPr>
      </w:pPr>
      <w:r>
        <w:t>L</w:t>
      </w:r>
      <w:r w:rsidR="003E51AA">
        <w:t>ittering</w:t>
      </w:r>
    </w:p>
    <w:p w14:paraId="7AFB7DCF" w14:textId="5323D959" w:rsidR="00A855C0" w:rsidRDefault="00A855C0" w:rsidP="00A855C0">
      <w:r>
        <w:t xml:space="preserve">Police have </w:t>
      </w:r>
      <w:r w:rsidR="004D39FD">
        <w:t>several</w:t>
      </w:r>
      <w:r>
        <w:t xml:space="preserve"> different powers when approaching these behaviours; some of which are </w:t>
      </w:r>
      <w:r w:rsidR="00A070B3">
        <w:t>criminal acts,</w:t>
      </w:r>
      <w:r>
        <w:t xml:space="preserve"> such as the Misuse of Drugs Act (1971) when dealing with drug usage as possession of certain substances is an offence in of itself. However often it is not simply the acts themselves that are the sole issue but is also the subsequent consequences. To follow on the example </w:t>
      </w:r>
      <w:r w:rsidR="00B62C62">
        <w:t>of drug usage, the littering of drug paraphernalia once drug consumption is complete is an example of ASB.</w:t>
      </w:r>
    </w:p>
    <w:p w14:paraId="1D165B86" w14:textId="77777777" w:rsidR="003E51AA" w:rsidRDefault="003E51AA" w:rsidP="003E51AA"/>
    <w:p w14:paraId="7DC1D7C0" w14:textId="3399D2E4" w:rsidR="00F51B2F" w:rsidRDefault="00042941">
      <w:r>
        <w:t xml:space="preserve">There are a number </w:t>
      </w:r>
      <w:r w:rsidR="009A6484">
        <w:t xml:space="preserve">of different crime prevention theories that have been suggested in the literature however over the course of this essay I will be examining </w:t>
      </w:r>
      <w:proofErr w:type="gramStart"/>
      <w:r w:rsidR="004D39FD">
        <w:t>4</w:t>
      </w:r>
      <w:proofErr w:type="gramEnd"/>
    </w:p>
    <w:p w14:paraId="107EEA2C" w14:textId="77777777" w:rsidR="009A6484" w:rsidRDefault="009A6484" w:rsidP="009A6484">
      <w:pPr>
        <w:pStyle w:val="ListParagraph"/>
        <w:numPr>
          <w:ilvl w:val="0"/>
          <w:numId w:val="1"/>
        </w:numPr>
      </w:pPr>
      <w:r>
        <w:t>Crime Prevention Theory through Environmental Design</w:t>
      </w:r>
    </w:p>
    <w:p w14:paraId="6FEA528D" w14:textId="77777777" w:rsidR="009A6484" w:rsidRDefault="009A6484" w:rsidP="009A6484">
      <w:pPr>
        <w:pStyle w:val="ListParagraph"/>
        <w:numPr>
          <w:ilvl w:val="0"/>
          <w:numId w:val="1"/>
        </w:numPr>
      </w:pPr>
      <w:r>
        <w:t>Situational Crime Prevention</w:t>
      </w:r>
    </w:p>
    <w:p w14:paraId="0B6DF0C0" w14:textId="77777777" w:rsidR="009A6484" w:rsidRDefault="009A6484" w:rsidP="009A6484">
      <w:pPr>
        <w:pStyle w:val="ListParagraph"/>
        <w:numPr>
          <w:ilvl w:val="0"/>
          <w:numId w:val="1"/>
        </w:numPr>
      </w:pPr>
      <w:r>
        <w:t>Defensible Space</w:t>
      </w:r>
    </w:p>
    <w:p w14:paraId="5CCE0EE8" w14:textId="695BD39D" w:rsidR="009A6484" w:rsidRDefault="005337B8" w:rsidP="00D032AA">
      <w:pPr>
        <w:pStyle w:val="ListParagraph"/>
        <w:numPr>
          <w:ilvl w:val="0"/>
          <w:numId w:val="1"/>
        </w:numPr>
      </w:pPr>
      <w:r>
        <w:t>Watching eyes theory</w:t>
      </w:r>
    </w:p>
    <w:p w14:paraId="681EB94A" w14:textId="77777777" w:rsidR="00D032AA" w:rsidRDefault="00D032AA" w:rsidP="00D032AA">
      <w:r>
        <w:t xml:space="preserve">Crime prevention through environmental design (CPTED) is a theory first coined by C. Ray Jeffrey in 1971 and </w:t>
      </w:r>
      <w:r w:rsidR="00705D70">
        <w:t xml:space="preserve">focuses on not only the physical space and architecture being used as a preventative measure but also psychological and genetic approaches (Behl and Steverson, 2021). Fundamentally what the theory proposes is that crime can be facilitated or inhibited by the structure of the physical </w:t>
      </w:r>
      <w:r w:rsidR="00705D70">
        <w:lastRenderedPageBreak/>
        <w:t xml:space="preserve">environment an agent finds themselves in. This theory is very different from most policy introduced in contemporary policing as it is a pre-emptive measure, as opposed to re-active. </w:t>
      </w:r>
    </w:p>
    <w:p w14:paraId="7DB73202" w14:textId="11F03557" w:rsidR="00CE55FA" w:rsidRDefault="00CE55FA" w:rsidP="00D032AA">
      <w:r>
        <w:t xml:space="preserve">Situational Crime prevention </w:t>
      </w:r>
      <w:r w:rsidR="001C66FE">
        <w:t xml:space="preserve">suggests that </w:t>
      </w:r>
      <w:proofErr w:type="gramStart"/>
      <w:r w:rsidR="001C66FE">
        <w:t>in order to</w:t>
      </w:r>
      <w:proofErr w:type="gramEnd"/>
      <w:r w:rsidR="001C66FE">
        <w:t xml:space="preserve"> prevent crime we must remove the opportunity for individuals to commit crime (Clarke, 1980). It follows on from the classical model of rational choice theory, which assumes that all humans are rational “actors” who conduct end/means evaluations </w:t>
      </w:r>
      <w:proofErr w:type="gramStart"/>
      <w:r w:rsidR="001C66FE">
        <w:t>in order to</w:t>
      </w:r>
      <w:proofErr w:type="gramEnd"/>
      <w:r w:rsidR="001C66FE">
        <w:t xml:space="preserve"> choose the action that will get them the most amount of individual pleasure</w:t>
      </w:r>
      <w:r w:rsidR="00C25F95">
        <w:t xml:space="preserve"> (Gul, 2009). These choices can be controlled by the perception or understanding of the potential risks and consequences of the actor’s actions.</w:t>
      </w:r>
    </w:p>
    <w:p w14:paraId="289D9659" w14:textId="03D4BDAD" w:rsidR="00B62C62" w:rsidRDefault="00C25F95" w:rsidP="00D032AA">
      <w:r>
        <w:t xml:space="preserve">Rational choice theory becomes difficult to apply towards ASB </w:t>
      </w:r>
      <w:proofErr w:type="gramStart"/>
      <w:r>
        <w:t>due to the fact that</w:t>
      </w:r>
      <w:proofErr w:type="gramEnd"/>
      <w:r>
        <w:t xml:space="preserve"> it is difficult to apply a cost/benefit analysis to the behaviours. The majority of ASB does not provide any financial gain to the individual involved – however this can vary depending on the nature of the activity and level of criminality. An example of this may be</w:t>
      </w:r>
      <w:r w:rsidR="00B62C62">
        <w:t xml:space="preserve"> vandalism and criminal damage such as graffiti, which in of itself does not provide any financial benefit to the individual.</w:t>
      </w:r>
    </w:p>
    <w:p w14:paraId="409DA149" w14:textId="4686C3CE" w:rsidR="000F467C" w:rsidRDefault="000F467C" w:rsidP="000F467C">
      <w:r>
        <w:t>Defensible Space is a theory which suggests that specific features of physical settings can reduce crime (Newman, 1972).</w:t>
      </w:r>
      <w:r w:rsidR="00DF2AB4">
        <w:t xml:space="preserve"> In nature it is very similar to CPTED (</w:t>
      </w:r>
      <w:proofErr w:type="spellStart"/>
      <w:r w:rsidR="00DF2AB4">
        <w:t>Piroozfar</w:t>
      </w:r>
      <w:proofErr w:type="spellEnd"/>
      <w:r w:rsidR="00DF2AB4">
        <w:t xml:space="preserve"> et al, 2019).</w:t>
      </w:r>
      <w:r>
        <w:t xml:space="preserve"> Newman (1972) was an </w:t>
      </w:r>
      <w:proofErr w:type="gramStart"/>
      <w:r>
        <w:t>architect</w:t>
      </w:r>
      <w:proofErr w:type="gramEnd"/>
      <w:r>
        <w:t xml:space="preserve"> and his goal was to create safer public housing, not necessarily approach this issue from a criminological/law enforcement perspective.  As opposed to law enforcement agencies intervening, defensible space theory encouraged the occupants of a space to man</w:t>
      </w:r>
      <w:r w:rsidR="00DF2AB4">
        <w:t>a</w:t>
      </w:r>
      <w:r>
        <w:t xml:space="preserve">ge their environment and the people in it (Newman, 1972). One of the benefits of it was the approach not only attempted to reduce crime itself, but also the fear of crime in an environment in two ways: </w:t>
      </w:r>
      <w:proofErr w:type="gramStart"/>
      <w:r>
        <w:t>firstly</w:t>
      </w:r>
      <w:proofErr w:type="gramEnd"/>
      <w:r>
        <w:t xml:space="preserve"> by reducing opportunity for crime similar to the two theories posited before and also by encouraging positive social engagements between occupants of a space.</w:t>
      </w:r>
    </w:p>
    <w:p w14:paraId="7A4135E6" w14:textId="1FBF86E6" w:rsidR="000F467C" w:rsidRDefault="0095520F" w:rsidP="000F467C">
      <w:r>
        <w:t>An interesting theory that looks at changes in actors</w:t>
      </w:r>
      <w:r w:rsidR="00EF6D0B">
        <w:t>’</w:t>
      </w:r>
      <w:r>
        <w:t xml:space="preserve"> behaviour is the ‘watching eyes’ effect which suggests that the presence of eyes (whether pictures or stylised images) cause people to adjust their behaviour (Bateson, Nettle &amp; Roberts, 2006; Dear et al, 2019).</w:t>
      </w:r>
      <w:r w:rsidR="00B161B4">
        <w:t xml:space="preserve"> This approach has been rolled out in </w:t>
      </w:r>
      <w:proofErr w:type="gramStart"/>
      <w:r w:rsidR="00B161B4">
        <w:t>a number of</w:t>
      </w:r>
      <w:proofErr w:type="gramEnd"/>
      <w:r w:rsidR="00B161B4">
        <w:t xml:space="preserve"> different programmes; a prime example was in the Litter Strategy for England, where posters with glow in the dark eyes and messages encouraging individuals to clean up after their dog were placed in 120 target sites where that behaviour was prevalent (HM Government, 2017). All posters were found to be effective and on average reduced fouling in the area they were put up by 46% (HM Government</w:t>
      </w:r>
      <w:r w:rsidR="004D39FD">
        <w:t>, 2017</w:t>
      </w:r>
      <w:r w:rsidR="00B161B4">
        <w:t xml:space="preserve">). This approach was further implemented in tackling littering from drivers whilst in their car. </w:t>
      </w:r>
      <w:r w:rsidR="00BF3486">
        <w:t xml:space="preserve">One of the limitations of ‘watching eyes’ is that it has more consistent effects on reducing anti-social behaviour as opposed to encouraging pro-social behaviour (Dear et al, 2019). It is further limited as the mere presence of eyes does not address the root cause of ASB, rather acts as a deterrence from committing it. </w:t>
      </w:r>
      <w:r w:rsidR="00EF6D0B">
        <w:t>It is further limited as the effectiveness is based on those who have potentially high self-awareness and concern for the opinion of others and when using it as a crime prevention method this must be considered. Are the people committing ASB aware of the perception and more significantly do they care?</w:t>
      </w:r>
    </w:p>
    <w:p w14:paraId="32BDA43A" w14:textId="320246F0" w:rsidR="00C25F95" w:rsidRDefault="005337B8" w:rsidP="00D032AA">
      <w:r>
        <w:t xml:space="preserve">One of the common issues that is shared amongst these theories is that they do not look at tackling the root causes of crime themselves. With CPTED, Defensible Space Theory and Situational Crime Prevention the crime is not necessarily prevented from happening at all, it just causes the crime to be displaced to areas where these theories and measures are not implemented </w:t>
      </w:r>
      <w:r w:rsidR="004D39FD">
        <w:t>(Sutton et al, 2021</w:t>
      </w:r>
      <w:r>
        <w:t>).</w:t>
      </w:r>
      <w:r w:rsidR="00945F87">
        <w:t xml:space="preserve"> A further limitation of crime prevention theories is that </w:t>
      </w:r>
      <w:proofErr w:type="gramStart"/>
      <w:r w:rsidR="00945F87">
        <w:t>in order for</w:t>
      </w:r>
      <w:proofErr w:type="gramEnd"/>
      <w:r w:rsidR="00945F87">
        <w:t xml:space="preserve"> them to be successful they must be very specific to the type of issue they are tackling (Visher &amp; Weisburd, 1997).</w:t>
      </w:r>
    </w:p>
    <w:p w14:paraId="59956106" w14:textId="1BB53801" w:rsidR="006D238F" w:rsidRDefault="005337B8" w:rsidP="00D032AA">
      <w:r>
        <w:lastRenderedPageBreak/>
        <w:t xml:space="preserve">Crime Prevention theories are important when it comes to the practical implementation of policy however it is important to consider the benefits and limitations of each theory. Consideration of a holistic approach with different policies following a variety of different theories should be considered to address the issue of </w:t>
      </w:r>
      <w:proofErr w:type="gramStart"/>
      <w:r>
        <w:t>ASB as a whole</w:t>
      </w:r>
      <w:proofErr w:type="gramEnd"/>
      <w:r>
        <w:t>.</w:t>
      </w:r>
    </w:p>
    <w:p w14:paraId="08E91BD4" w14:textId="7198D7C3" w:rsidR="00DF2AB4" w:rsidRDefault="00DF2AB4">
      <w:r>
        <w:br w:type="page"/>
      </w:r>
    </w:p>
    <w:p w14:paraId="0F9A467C" w14:textId="77777777" w:rsidR="00DF2AB4" w:rsidRDefault="00DF2AB4" w:rsidP="00D032AA"/>
    <w:p w14:paraId="09B7B39D" w14:textId="1B2B11FE" w:rsidR="006D238F" w:rsidRDefault="003E6540" w:rsidP="00D032AA">
      <w:r>
        <w:t>ESSAY 3</w:t>
      </w:r>
    </w:p>
    <w:p w14:paraId="67724BD9" w14:textId="7FEAA3C4" w:rsidR="006D238F" w:rsidRDefault="006D238F" w:rsidP="00D032AA">
      <w:r>
        <w:t>When investigating serious and organised crime</w:t>
      </w:r>
      <w:r w:rsidR="00C00567">
        <w:t xml:space="preserve">, intelligence gathering is an integral part of the process (Innes &amp; </w:t>
      </w:r>
      <w:proofErr w:type="spellStart"/>
      <w:r w:rsidR="00C00567">
        <w:t>Sheptick</w:t>
      </w:r>
      <w:proofErr w:type="spellEnd"/>
      <w:r w:rsidR="00C00567">
        <w:t xml:space="preserve">, 2004; James, 2013). There are </w:t>
      </w:r>
      <w:proofErr w:type="gramStart"/>
      <w:r w:rsidR="00C00567">
        <w:t>a number of</w:t>
      </w:r>
      <w:proofErr w:type="gramEnd"/>
      <w:r w:rsidR="00C00567">
        <w:t xml:space="preserve"> different ways to gather that intelligence can be gathered for the purposes of tackling these investigations. These include both overt and covert methods (</w:t>
      </w:r>
      <w:r w:rsidR="00D1284C">
        <w:t>Nunan et al., 2020</w:t>
      </w:r>
      <w:r w:rsidR="00C00567">
        <w:t>). One of the key branches of intelligence gathering is through human intelligence which is gathered through engagement with human sources (Nunan et al</w:t>
      </w:r>
      <w:r w:rsidR="004626BB">
        <w:t>.</w:t>
      </w:r>
      <w:r w:rsidR="00C00567">
        <w:t>, 2020). One of these covert methods is through the engagement of Covert Human Intelligence Sources (CHIS).</w:t>
      </w:r>
    </w:p>
    <w:p w14:paraId="26D4BE6B" w14:textId="77777777" w:rsidR="00C00567" w:rsidRDefault="00C00567" w:rsidP="00D032AA">
      <w:r>
        <w:t>CHIS are defined by the Regulation of Investigatory Powers Act (RIPA) (2000) which defines a person as a CHIS in Section 26(8). A person is defined as a CHIS when:</w:t>
      </w:r>
    </w:p>
    <w:p w14:paraId="4A99C8A4" w14:textId="77777777" w:rsidR="00C00567" w:rsidRDefault="00C00567" w:rsidP="00C00567">
      <w:pPr>
        <w:pStyle w:val="ListParagraph"/>
        <w:numPr>
          <w:ilvl w:val="0"/>
          <w:numId w:val="5"/>
        </w:numPr>
      </w:pPr>
      <w:r>
        <w:t>They establish or</w:t>
      </w:r>
      <w:r w:rsidR="00862587">
        <w:t xml:space="preserve"> maintain a personal or other relationship with a person for the covert purpose of facilitating the doing of anything falling within paragraph (b) or (c</w:t>
      </w:r>
      <w:proofErr w:type="gramStart"/>
      <w:r w:rsidR="00862587">
        <w:t>);</w:t>
      </w:r>
      <w:proofErr w:type="gramEnd"/>
    </w:p>
    <w:p w14:paraId="08B31725" w14:textId="77777777" w:rsidR="00862587" w:rsidRDefault="00862587" w:rsidP="00C00567">
      <w:pPr>
        <w:pStyle w:val="ListParagraph"/>
        <w:numPr>
          <w:ilvl w:val="0"/>
          <w:numId w:val="5"/>
        </w:numPr>
      </w:pPr>
      <w:r>
        <w:t>They covertly use such relationships to obtain information or to provide access to any information to another person; or</w:t>
      </w:r>
    </w:p>
    <w:p w14:paraId="598B9891" w14:textId="77777777" w:rsidR="00862587" w:rsidRDefault="00862587" w:rsidP="00C00567">
      <w:pPr>
        <w:pStyle w:val="ListParagraph"/>
        <w:numPr>
          <w:ilvl w:val="0"/>
          <w:numId w:val="5"/>
        </w:numPr>
      </w:pPr>
      <w:r>
        <w:t xml:space="preserve">He covertly discloses information obtained </w:t>
      </w:r>
      <w:proofErr w:type="gramStart"/>
      <w:r>
        <w:t>by the use of</w:t>
      </w:r>
      <w:proofErr w:type="gramEnd"/>
      <w:r>
        <w:t xml:space="preserve"> such a relationship, or as a consequence of the existence of such a relationship.</w:t>
      </w:r>
    </w:p>
    <w:p w14:paraId="5B68E05F" w14:textId="77777777" w:rsidR="00862587" w:rsidRDefault="0082005A" w:rsidP="00862587">
      <w:r>
        <w:t xml:space="preserve">One of the benefits of the use of CHIS is that it bolsters the proactive model of policing, where crimes are prevented from happening; as opposed to the reactive model, where crimes are investigated after the fact and prosecuted (Dixon, 2009; Moffett et al, 2022). This approach has been implemented across the UK and led to the creation of the National Intelligence Model and is further demonstrated in the National </w:t>
      </w:r>
      <w:proofErr w:type="gramStart"/>
      <w:r>
        <w:t>Decision Making</w:t>
      </w:r>
      <w:proofErr w:type="gramEnd"/>
      <w:r>
        <w:t xml:space="preserve"> Model, where by one of the primary stages is the gathering of information and intelligence before it is applied to the decision that is to be made (College of Policing, 2014).</w:t>
      </w:r>
    </w:p>
    <w:p w14:paraId="57FE0870" w14:textId="55D01E1A" w:rsidR="00894A00" w:rsidRDefault="00546450" w:rsidP="00862587">
      <w:r>
        <w:t xml:space="preserve">This proactive use of CHIS has been demonstrated by different agencies across the UK, with the National Crime Agency managing to disrupt serious and organised crime through the seizure of over 3000 kg of class A drugs and remove 60 firearms and 4000 rounds of ammunition in 2018 (HM Government, 2021). The Metropolitan Police in London attribute CHIS operations to the arrest of 3500 people, the seizure of 100 firearms and 400 other types of </w:t>
      </w:r>
      <w:proofErr w:type="gramStart"/>
      <w:r>
        <w:t>weapon</w:t>
      </w:r>
      <w:proofErr w:type="gramEnd"/>
      <w:r>
        <w:t xml:space="preserve"> as well as 400 kg of class A drugs</w:t>
      </w:r>
      <w:r w:rsidR="00DE4E5A">
        <w:t xml:space="preserve"> (HM Government, 2021)</w:t>
      </w:r>
      <w:r>
        <w:t xml:space="preserve">. What these statistics show is that in the investigation of serious and organised crime CHIS are invaluable and </w:t>
      </w:r>
      <w:r w:rsidR="00B35D05">
        <w:t>the intelligence they gather plays a drastic role on the successful actions of police.</w:t>
      </w:r>
    </w:p>
    <w:p w14:paraId="6BA537C5" w14:textId="39ED4A51" w:rsidR="00894A00" w:rsidRDefault="00AC0AF5" w:rsidP="00862587">
      <w:r>
        <w:t xml:space="preserve">There are </w:t>
      </w:r>
      <w:proofErr w:type="gramStart"/>
      <w:r>
        <w:t>a number of</w:t>
      </w:r>
      <w:proofErr w:type="gramEnd"/>
      <w:r>
        <w:t xml:space="preserve"> different definitions of organised crime and organised crime groups (OCGs). The United Nations Office on Drugs and Crime (2018) defines organised crime as</w:t>
      </w:r>
    </w:p>
    <w:p w14:paraId="58A8E562" w14:textId="64E2173F" w:rsidR="00AC0AF5" w:rsidRDefault="00AC0AF5" w:rsidP="00AC0AF5">
      <w:pPr>
        <w:ind w:left="720"/>
      </w:pPr>
      <w:r>
        <w:t xml:space="preserve">A continuing criminal enterprise that rationally works to profit from illicit activities that are often in great public demand. Its continuing existence is maintained through corruption of public officials and the use of intimidation, threats or force to protect its </w:t>
      </w:r>
      <w:proofErr w:type="gramStart"/>
      <w:r>
        <w:t>operations</w:t>
      </w:r>
      <w:proofErr w:type="gramEnd"/>
    </w:p>
    <w:p w14:paraId="3F05BE93" w14:textId="52A7B98C" w:rsidR="00AC0AF5" w:rsidRDefault="00AC0AF5" w:rsidP="00AC0AF5">
      <w:proofErr w:type="gramStart"/>
      <w:r>
        <w:t>However</w:t>
      </w:r>
      <w:proofErr w:type="gramEnd"/>
      <w:r>
        <w:t xml:space="preserve"> for the purpose of this essay we will be adopting the definition provided by the Serious Crime Act (2015) which creates the offence of participating in activities of an organised crime group in section 45 and defines an OCG as a group that</w:t>
      </w:r>
    </w:p>
    <w:p w14:paraId="3BDE6D52" w14:textId="6F4424A0" w:rsidR="00AC0AF5" w:rsidRDefault="00AC0AF5" w:rsidP="00AC0AF5">
      <w:pPr>
        <w:pStyle w:val="ListParagraph"/>
        <w:numPr>
          <w:ilvl w:val="0"/>
          <w:numId w:val="6"/>
        </w:numPr>
      </w:pPr>
      <w:r>
        <w:t>Has as its purpose, or as one of its purposes, the carrying out of criminal activities, and</w:t>
      </w:r>
    </w:p>
    <w:p w14:paraId="771553BF" w14:textId="20723B9C" w:rsidR="00AC0AF5" w:rsidRDefault="00AC0AF5" w:rsidP="00AC0AF5">
      <w:pPr>
        <w:pStyle w:val="ListParagraph"/>
        <w:numPr>
          <w:ilvl w:val="0"/>
          <w:numId w:val="6"/>
        </w:numPr>
      </w:pPr>
      <w:r>
        <w:t>Consists of three or more persons who act, or agree to act, together to further that purpose.</w:t>
      </w:r>
    </w:p>
    <w:p w14:paraId="26D8154E" w14:textId="382CE48D" w:rsidR="00AC0AF5" w:rsidRDefault="00DE4E5A" w:rsidP="00AC0AF5">
      <w:r>
        <w:lastRenderedPageBreak/>
        <w:t>An example of serious organised crime that is not only being highlighted by law enforcement agencies but also across public opinion is the development of “County Lines”</w:t>
      </w:r>
      <w:r w:rsidR="00490726">
        <w:t>. The Serious Violence Strategy (2018) defines county lines as</w:t>
      </w:r>
    </w:p>
    <w:p w14:paraId="5B3FA160" w14:textId="3B55EC06" w:rsidR="00490726" w:rsidRDefault="00490726" w:rsidP="00490726">
      <w:pPr>
        <w:ind w:left="720"/>
      </w:pPr>
      <w:r>
        <w:t xml:space="preserve">A term used to describe gangs and organised criminal networks involved in exporting illegal drugs into one or more importing areas (within the UK), using dedicated mobile phone lines or other form of ‘deal </w:t>
      </w:r>
      <w:r w:rsidR="000174EA">
        <w:t>line’.</w:t>
      </w:r>
    </w:p>
    <w:p w14:paraId="0AC7522B" w14:textId="38491082" w:rsidR="00490726" w:rsidRDefault="00490726" w:rsidP="00AC0AF5">
      <w:r>
        <w:t xml:space="preserve">County lines has been in the zeitgeist for </w:t>
      </w:r>
      <w:r w:rsidR="000174EA">
        <w:t>several</w:t>
      </w:r>
      <w:r>
        <w:t xml:space="preserve"> years now and the discussion tends to focus on the exploitation and involvement of vulnerable adults and children in their criminal enterprises and the facilitation of the movement of money and drugs.</w:t>
      </w:r>
      <w:r w:rsidR="00E560F6">
        <w:t xml:space="preserve"> OCGs are sending children from major supply hubs to satellite areas to sell drugs and establish markets in these areas (Coomber and Moyle, 201</w:t>
      </w:r>
      <w:r w:rsidR="00D1284C">
        <w:t>8</w:t>
      </w:r>
      <w:r w:rsidR="00E560F6">
        <w:t>; Spicer, 20</w:t>
      </w:r>
      <w:r w:rsidR="00D1284C">
        <w:t>21</w:t>
      </w:r>
      <w:r w:rsidR="00E560F6">
        <w:t xml:space="preserve">). </w:t>
      </w:r>
    </w:p>
    <w:p w14:paraId="68FEDAC8" w14:textId="7C9E29AA" w:rsidR="00940426" w:rsidRDefault="00940426" w:rsidP="00862587">
      <w:r>
        <w:t>An interesting dilemma that has been seen arise since the introduction of the Covert Human Intelligence Sources (Criminal Conduct) Act (2021) is the use of children as CHIS</w:t>
      </w:r>
      <w:r w:rsidR="00EE4B1A">
        <w:t xml:space="preserve"> (Juvenile Covert Human Intelligence Sources (JCHIS))</w:t>
      </w:r>
      <w:r>
        <w:t xml:space="preserve"> and the criminal impunity they can receive in exchange for information. </w:t>
      </w:r>
      <w:r w:rsidR="000773D7">
        <w:t>Section 2 grants “juvenile criminal conduct authorisation</w:t>
      </w:r>
      <w:r w:rsidR="00894A00">
        <w:t xml:space="preserve">” and sets out the conditions for when that can be applied. These conditions include the completion of an appropriate risk assessment and that it is not “reasonably foreseeable” that any harm will happen to the juvenile CHIS </w:t>
      </w:r>
      <w:proofErr w:type="gramStart"/>
      <w:r w:rsidR="00894A00">
        <w:t>as a result of</w:t>
      </w:r>
      <w:proofErr w:type="gramEnd"/>
      <w:r w:rsidR="00894A00">
        <w:t xml:space="preserve"> the authorisation and that appropriate meetings are in place (Covert Human Intelligence Sources (Criminal Conduct) Act, 2021). These meetings include appropriate adults being present for any juvenile under the age of 16</w:t>
      </w:r>
      <w:r w:rsidR="00E560F6">
        <w:t>.</w:t>
      </w:r>
      <w:r w:rsidR="000174EA">
        <w:t xml:space="preserve"> Whereby county lines are operating </w:t>
      </w:r>
      <w:proofErr w:type="gramStart"/>
      <w:r w:rsidR="000174EA">
        <w:t>through the use of</w:t>
      </w:r>
      <w:proofErr w:type="gramEnd"/>
      <w:r w:rsidR="000174EA">
        <w:t xml:space="preserve"> predominantly children, JCHIS provide a unique opportunity to gather information that would not be readily available to adult CHIS.</w:t>
      </w:r>
    </w:p>
    <w:p w14:paraId="5356F2C0" w14:textId="09311B8E" w:rsidR="00EE4B1A" w:rsidRDefault="00EE4B1A" w:rsidP="00862587">
      <w:r>
        <w:t xml:space="preserve">There has been considerable push back against the use of JCHIS due to the detrimental effect that engaging in criminal activity can have on a </w:t>
      </w:r>
      <w:r w:rsidR="000174EA">
        <w:t>child’s</w:t>
      </w:r>
      <w:r>
        <w:t xml:space="preserve"> current state and </w:t>
      </w:r>
      <w:r w:rsidR="000174EA">
        <w:t>prospects</w:t>
      </w:r>
      <w:r>
        <w:t xml:space="preserve"> (Arthur and Kirk, 2023).</w:t>
      </w:r>
      <w:r w:rsidR="000174EA">
        <w:t xml:space="preserve"> There is further evidence that suggests that it is irrelevant whether the child comes in to contact with the criminal justice system via prosecution; the negative impact stems from their mere involvement in crime (Hinton et al., 2021). This is before the dangers of associating in violent organisations is considered as a factor.</w:t>
      </w:r>
      <w:r w:rsidR="00110D90">
        <w:t xml:space="preserve"> The use of JCHIS remains scarce however with the Investigatory Powers Commissioner’s Officer (2017) releasing that </w:t>
      </w:r>
      <w:r w:rsidR="00DE61B3">
        <w:t xml:space="preserve">between 2015 and 2019 only 17 children, one aged 15, had been recruited across 11 authorities in England. </w:t>
      </w:r>
      <w:r w:rsidR="004626BB">
        <w:t>This number was reduced to 4 authorisations in the 2020/2021 year however is believed to have been impacted on by the COVID-19 pandemic (IPCO, 2021).</w:t>
      </w:r>
    </w:p>
    <w:p w14:paraId="4A64BA9F" w14:textId="4FFF3A72" w:rsidR="004626BB" w:rsidRDefault="00EE4B1A" w:rsidP="00862587">
      <w:r>
        <w:t xml:space="preserve">The use of CHIS </w:t>
      </w:r>
      <w:proofErr w:type="gramStart"/>
      <w:r>
        <w:t>have</w:t>
      </w:r>
      <w:proofErr w:type="gramEnd"/>
      <w:r>
        <w:t xml:space="preserve"> been demo</w:t>
      </w:r>
      <w:r w:rsidR="000174EA">
        <w:t>nstrated to be efficient and cost effective a method of gathering evidence for the disruption of organised crime however as we see OCGs evolve their methods of conducting crime through the use of young people there would appear to be an opportunity for law enforcement agencies to develop the controversial use of JCHIS to assist in disrupting these methods</w:t>
      </w:r>
      <w:r w:rsidR="004626BB">
        <w:t xml:space="preserve"> (Stainer)</w:t>
      </w:r>
      <w:r w:rsidR="000174EA">
        <w:t xml:space="preserve">. </w:t>
      </w:r>
      <w:proofErr w:type="gramStart"/>
      <w:r w:rsidR="00DE61B3">
        <w:t>In spite of</w:t>
      </w:r>
      <w:proofErr w:type="gramEnd"/>
      <w:r w:rsidR="00DE61B3">
        <w:t xml:space="preserve"> this there has been a reduction in the number of authorisations in the use of CHIS both adult and juvenile with a reduction from 2651 authorisations in 2017 to 1569 in 2021 (IPCO, 2021).</w:t>
      </w:r>
    </w:p>
    <w:p w14:paraId="48F126A2" w14:textId="77777777" w:rsidR="004626BB" w:rsidRDefault="004626BB">
      <w:r>
        <w:br w:type="page"/>
      </w:r>
    </w:p>
    <w:p w14:paraId="1FA233ED" w14:textId="1155D10F" w:rsidR="00EE4B1A" w:rsidRDefault="00895D30" w:rsidP="00862587">
      <w:r>
        <w:lastRenderedPageBreak/>
        <w:t>E</w:t>
      </w:r>
      <w:r w:rsidR="003E6540">
        <w:t>SSAY 2</w:t>
      </w:r>
    </w:p>
    <w:p w14:paraId="2575C826" w14:textId="5F1E0836" w:rsidR="00895D30" w:rsidRDefault="000356F4" w:rsidP="00862587">
      <w:r>
        <w:t xml:space="preserve">The response department in any police force is integral to the way that crime and disorder is managed up and down the country. They are often the first kind of police officer that members of the public will interact with on a personal level (College of Policing, 2022a). Due to having such a broad nature of a role it is hard to pin down an exact definition of what “response officers” are and do however to summarise the provide a frontline initial response to </w:t>
      </w:r>
      <w:proofErr w:type="gramStart"/>
      <w:r>
        <w:t>an</w:t>
      </w:r>
      <w:proofErr w:type="gramEnd"/>
      <w:r>
        <w:t xml:space="preserve"> </w:t>
      </w:r>
      <w:r w:rsidR="004A6481">
        <w:t xml:space="preserve">diverse assortment of incidents that can be challenging and may involve conflict (College of Policing, 2022b). In responding to these </w:t>
      </w:r>
      <w:r w:rsidR="00F37837">
        <w:t>incidents,</w:t>
      </w:r>
      <w:r w:rsidR="004A6481">
        <w:t xml:space="preserve"> they will also engage in </w:t>
      </w:r>
      <w:proofErr w:type="gramStart"/>
      <w:r w:rsidR="004A6481">
        <w:t>a number of</w:t>
      </w:r>
      <w:proofErr w:type="gramEnd"/>
      <w:r w:rsidR="004A6481">
        <w:t xml:space="preserve"> different activities such as</w:t>
      </w:r>
    </w:p>
    <w:p w14:paraId="6D3E8638" w14:textId="3A66ECC0" w:rsidR="004A6481" w:rsidRDefault="004A6481" w:rsidP="004A6481">
      <w:pPr>
        <w:pStyle w:val="ListParagraph"/>
        <w:numPr>
          <w:ilvl w:val="0"/>
          <w:numId w:val="7"/>
        </w:numPr>
      </w:pPr>
      <w:r>
        <w:t>Protecting the public</w:t>
      </w:r>
    </w:p>
    <w:p w14:paraId="10B3EF5E" w14:textId="61D19A54" w:rsidR="004A6481" w:rsidRDefault="004A6481" w:rsidP="004A6481">
      <w:pPr>
        <w:pStyle w:val="ListParagraph"/>
        <w:numPr>
          <w:ilvl w:val="0"/>
          <w:numId w:val="7"/>
        </w:numPr>
      </w:pPr>
      <w:r>
        <w:t>Attending and Managing Critical and Major Incidents</w:t>
      </w:r>
    </w:p>
    <w:p w14:paraId="403AC793" w14:textId="2DCA8EC5" w:rsidR="004A6481" w:rsidRDefault="004A6481" w:rsidP="004A6481">
      <w:pPr>
        <w:pStyle w:val="ListParagraph"/>
        <w:numPr>
          <w:ilvl w:val="0"/>
          <w:numId w:val="7"/>
        </w:numPr>
      </w:pPr>
      <w:r>
        <w:t xml:space="preserve">Identify and safeguard vulnerable members of their </w:t>
      </w:r>
      <w:r w:rsidR="00F37837">
        <w:t>community.</w:t>
      </w:r>
    </w:p>
    <w:p w14:paraId="69CE1A31" w14:textId="198CC51C" w:rsidR="004A6481" w:rsidRDefault="004A6481" w:rsidP="004A6481">
      <w:pPr>
        <w:pStyle w:val="ListParagraph"/>
        <w:numPr>
          <w:ilvl w:val="0"/>
          <w:numId w:val="7"/>
        </w:numPr>
      </w:pPr>
      <w:r>
        <w:t xml:space="preserve">Resolve serious conflict </w:t>
      </w:r>
      <w:r w:rsidR="00F37837">
        <w:t>appropriately.</w:t>
      </w:r>
    </w:p>
    <w:p w14:paraId="242C2050" w14:textId="6A5B5DEA" w:rsidR="004A6481" w:rsidRDefault="004A6481" w:rsidP="004A6481">
      <w:pPr>
        <w:pStyle w:val="ListParagraph"/>
        <w:numPr>
          <w:ilvl w:val="0"/>
          <w:numId w:val="7"/>
        </w:numPr>
      </w:pPr>
      <w:r>
        <w:t>Provide emergency First aid</w:t>
      </w:r>
      <w:r>
        <w:tab/>
      </w:r>
      <w:r>
        <w:tab/>
      </w:r>
      <w:r>
        <w:tab/>
      </w:r>
      <w:r>
        <w:tab/>
      </w:r>
      <w:r>
        <w:tab/>
        <w:t>(College of Policing, 2022a)</w:t>
      </w:r>
    </w:p>
    <w:p w14:paraId="6AF26130" w14:textId="2ED38635" w:rsidR="00E560F6" w:rsidRDefault="004A6481" w:rsidP="00862587">
      <w:r>
        <w:t>One of the key roles mentioned above for response officers is responding to critical and major incidents. Although sounding similar in nature; organisationally there is a significant difference in the meaning of a “critical incident” and a “major incident”.</w:t>
      </w:r>
    </w:p>
    <w:p w14:paraId="6C8C4460" w14:textId="63892BE2" w:rsidR="004A6481" w:rsidRDefault="004A6481" w:rsidP="00862587">
      <w:r>
        <w:t>A “major incident” is defined by the College of Policing (20</w:t>
      </w:r>
      <w:r w:rsidR="00CB1EC4">
        <w:t>18</w:t>
      </w:r>
      <w:r>
        <w:t>) as</w:t>
      </w:r>
    </w:p>
    <w:p w14:paraId="06FCD7C7" w14:textId="492A2FD8" w:rsidR="004A6481" w:rsidRDefault="004A6481" w:rsidP="004A6481">
      <w:pPr>
        <w:ind w:left="720"/>
      </w:pPr>
      <w:r>
        <w:t>An event or situation requiring a response under one or more of the emergency services</w:t>
      </w:r>
      <w:r w:rsidR="00CB1EC4">
        <w:t xml:space="preserve"> major incident plans. This will usually include involving large numbers of people, either directly or indirectly.</w:t>
      </w:r>
    </w:p>
    <w:p w14:paraId="6D2C518B" w14:textId="6425EA4B" w:rsidR="00CB1EC4" w:rsidRDefault="00CB1EC4" w:rsidP="00CB1EC4">
      <w:r>
        <w:t>This differs from the definition of a “critical incident” provided by the College of Policing (2018) whereby a “critical incident</w:t>
      </w:r>
      <w:r w:rsidR="006905D3">
        <w:t>”</w:t>
      </w:r>
      <w:r>
        <w:t xml:space="preserve"> </w:t>
      </w:r>
      <w:proofErr w:type="gramStart"/>
      <w:r>
        <w:t>is</w:t>
      </w:r>
      <w:proofErr w:type="gramEnd"/>
    </w:p>
    <w:p w14:paraId="3D6FE277" w14:textId="4D6B7D24" w:rsidR="00CB1EC4" w:rsidRDefault="00CB1EC4" w:rsidP="00CB1EC4">
      <w:pPr>
        <w:ind w:left="720"/>
      </w:pPr>
      <w:r>
        <w:t xml:space="preserve">Any incident where the </w:t>
      </w:r>
      <w:r w:rsidR="006905D3">
        <w:t xml:space="preserve">effectiveness of the police response is likely to have a significant impact on the confidence of the victim, their family and/or the </w:t>
      </w:r>
      <w:r w:rsidR="00F37837">
        <w:t>community.</w:t>
      </w:r>
    </w:p>
    <w:p w14:paraId="4CC116BB" w14:textId="47488254" w:rsidR="006905D3" w:rsidRDefault="00F37837" w:rsidP="006905D3">
      <w:r>
        <w:t>Although not exclusively the role of response officers, by being the frontline response to most incidents, response officers will be one of the first on scene both to major and critical incidents. How they behave and the actions they take are pivotal when dealing with whatever issues there may be. It is important to note that these incidents do not necessarily have to be instances of crime and disorder but could also be emergencies such as house fires or natural disasters such as flooding.</w:t>
      </w:r>
    </w:p>
    <w:p w14:paraId="47CF5AB3" w14:textId="69B17926" w:rsidR="008119FD" w:rsidRDefault="008119FD" w:rsidP="006905D3">
      <w:r>
        <w:t>When dealing with major incidents it is important for response officers to understand the multi-agency approach that is often required to deal with the types of incidents that fall under this classification.</w:t>
      </w:r>
      <w:r w:rsidR="00962459">
        <w:t xml:space="preserve"> Following several reviews into emergency service responses to major emergencies, it was highlighted that individual services were completing their own specific roles effectively however there were issues when engaging with the roles and responsibilities of other emergency services. Subsequently, the Joint Emergency Services Interoperability Principles (JESIP) were established, with the goal of improve the multi-agency approach that is often required when dealing with major incidents.</w:t>
      </w:r>
    </w:p>
    <w:p w14:paraId="36BB03EC" w14:textId="092720D1" w:rsidR="00F37837" w:rsidRDefault="00F37837" w:rsidP="006905D3">
      <w:r>
        <w:t xml:space="preserve">When breaking down the definition of a critical incident there are </w:t>
      </w:r>
      <w:proofErr w:type="gramStart"/>
      <w:r>
        <w:t>a number of</w:t>
      </w:r>
      <w:proofErr w:type="gramEnd"/>
      <w:r>
        <w:t xml:space="preserve"> key factors to consider those being</w:t>
      </w:r>
    </w:p>
    <w:p w14:paraId="74C5D6DF" w14:textId="53622B65" w:rsidR="00F37837" w:rsidRDefault="00F37837" w:rsidP="00F37837">
      <w:pPr>
        <w:pStyle w:val="ListParagraph"/>
        <w:numPr>
          <w:ilvl w:val="0"/>
          <w:numId w:val="8"/>
        </w:numPr>
      </w:pPr>
      <w:r>
        <w:t xml:space="preserve">Effectiveness – how well does the action deal with the </w:t>
      </w:r>
      <w:proofErr w:type="gramStart"/>
      <w:r>
        <w:t>incide</w:t>
      </w:r>
      <w:r w:rsidR="003E6540">
        <w:t>n</w:t>
      </w:r>
      <w:r>
        <w:t>t</w:t>
      </w:r>
      <w:proofErr w:type="gramEnd"/>
    </w:p>
    <w:p w14:paraId="2257B2BC" w14:textId="59516579" w:rsidR="00F37837" w:rsidRDefault="00F37837" w:rsidP="00F37837">
      <w:pPr>
        <w:pStyle w:val="ListParagraph"/>
        <w:numPr>
          <w:ilvl w:val="0"/>
          <w:numId w:val="8"/>
        </w:numPr>
      </w:pPr>
      <w:r>
        <w:lastRenderedPageBreak/>
        <w:t xml:space="preserve">Likely – what is the likelihood that the action or lack of action is going to impact on </w:t>
      </w:r>
      <w:proofErr w:type="gramStart"/>
      <w:r>
        <w:t>perception</w:t>
      </w:r>
      <w:proofErr w:type="gramEnd"/>
    </w:p>
    <w:p w14:paraId="224A5E3B" w14:textId="4B03C5A0" w:rsidR="00F37837" w:rsidRDefault="00F37837" w:rsidP="00F37837">
      <w:pPr>
        <w:pStyle w:val="ListParagraph"/>
        <w:numPr>
          <w:ilvl w:val="0"/>
          <w:numId w:val="8"/>
        </w:numPr>
      </w:pPr>
      <w:r>
        <w:t xml:space="preserve">Significant impact – should be specific to the incident but also the </w:t>
      </w:r>
      <w:r w:rsidR="005631CD">
        <w:t xml:space="preserve">parties </w:t>
      </w:r>
      <w:proofErr w:type="gramStart"/>
      <w:r w:rsidR="005631CD">
        <w:t>involved</w:t>
      </w:r>
      <w:proofErr w:type="gramEnd"/>
    </w:p>
    <w:p w14:paraId="19E0772C" w14:textId="05EA74B5" w:rsidR="005631CD" w:rsidRDefault="005631CD" w:rsidP="00F37837">
      <w:pPr>
        <w:pStyle w:val="ListParagraph"/>
        <w:numPr>
          <w:ilvl w:val="0"/>
          <w:numId w:val="8"/>
        </w:numPr>
      </w:pPr>
      <w:r>
        <w:t xml:space="preserve">Confidence – In this circumstance it is relating to the </w:t>
      </w:r>
      <w:proofErr w:type="gramStart"/>
      <w:r>
        <w:t>long term</w:t>
      </w:r>
      <w:proofErr w:type="gramEnd"/>
      <w:r>
        <w:t xml:space="preserve"> belief and engagement of parties involved with the police</w:t>
      </w:r>
    </w:p>
    <w:p w14:paraId="04807ED2" w14:textId="4CF3F70B" w:rsidR="003E6540" w:rsidRDefault="00DA3310" w:rsidP="003E6540">
      <w:r>
        <w:t xml:space="preserve">When discussing the effectiveness of the police there are a lot of questions that can be asked as to how it is accurately measures. Dau et al. (2023) </w:t>
      </w:r>
      <w:proofErr w:type="gramStart"/>
      <w:r>
        <w:t>break</w:t>
      </w:r>
      <w:proofErr w:type="gramEnd"/>
      <w:r>
        <w:t xml:space="preserve"> it down into two key categories qualitative effects and quantitative effects. The qualitative effects that are examined are the fear of crime and feeling of safety, and police presence or </w:t>
      </w:r>
      <w:proofErr w:type="gramStart"/>
      <w:r>
        <w:t>appearance;</w:t>
      </w:r>
      <w:proofErr w:type="gramEnd"/>
      <w:r>
        <w:t xml:space="preserve"> whereas the quantitative effects focus on crime deterrence, length vs frequency of police presence, the displacement of crime and patrol route choices (Dau et al., 2023).</w:t>
      </w:r>
    </w:p>
    <w:p w14:paraId="41DA3125" w14:textId="41A8D0AB" w:rsidR="00DA3310" w:rsidRDefault="00DA3310" w:rsidP="003E6540">
      <w:r>
        <w:t xml:space="preserve">An interesting </w:t>
      </w:r>
      <w:r w:rsidR="00634BD6">
        <w:t xml:space="preserve">concept that has been developed in the literature is the idea as to whether face to face interactions with police, as is primarily the role of a response office, can </w:t>
      </w:r>
      <w:proofErr w:type="gramStart"/>
      <w:r w:rsidR="00634BD6">
        <w:t>actually benefit</w:t>
      </w:r>
      <w:proofErr w:type="gramEnd"/>
      <w:r w:rsidR="00634BD6">
        <w:t xml:space="preserve"> public confidence in the police (Myhill and Bradford, 2012). </w:t>
      </w:r>
      <w:proofErr w:type="spellStart"/>
      <w:r w:rsidR="00634BD6">
        <w:t>Skogan</w:t>
      </w:r>
      <w:proofErr w:type="spellEnd"/>
      <w:r w:rsidR="00634BD6">
        <w:t xml:space="preserve"> (2006) highlights that there are fewer opportunities for </w:t>
      </w:r>
      <w:r w:rsidR="0075129C">
        <w:t>officers to bolster public confidence in their services whereby there are a plethora of opportunities for police interactions to damage the reputation of and confidence in the police. This idea has been further developed in that there may be few opportunities to improve confidence and relations with the police through direct interactions however the impact of negative experiences greatly outweighs the impact of positive ones (Bradford et al., 2009). These are all important things for response officers to consider when attending critical and major incidents as it demonstrates the asymmetrical balance of power within interactions with the police. For many members of the public this may be one of the first times that they have come in to contact with a police officer and as victims or relatives of victims of crimes that have a significant impact on them, the way with which response officers engage with them will be the very first impression that they have.</w:t>
      </w:r>
    </w:p>
    <w:p w14:paraId="053037F3" w14:textId="279D4DDF" w:rsidR="0075129C" w:rsidRDefault="0075129C" w:rsidP="003E6540">
      <w:r>
        <w:t xml:space="preserve">McKee et al., (2023) argue that whilst an exact solution or mirror of confidence, victim satisfaction is an important metric to consider when evaluating the effectiveness of the police. </w:t>
      </w:r>
      <w:r w:rsidR="008119FD">
        <w:t>When dealing with victims of crime subsequent contact following the initial report of an incident has been evidenced to bolster satisfaction ratings of those service users (McKee et al., 2023). This contact could be to simply provide reassurance following police attending a critical incident or it could be taking the time to explain why they have had the specific outcome that has arisen. McKee et al.’s (2023) research showed that even those who had had negative procedural justice reported positive feedback following police contact. This idea is rooted in “expectancy disconfirmation” which explains that because someone has had their expectation exceeded (even if it was low) they are more likely to hold a positive opinion of the person they have interacted with (Oliver, 1981).</w:t>
      </w:r>
    </w:p>
    <w:p w14:paraId="048C129E" w14:textId="1323C5C6" w:rsidR="004A3D57" w:rsidRDefault="00962459" w:rsidP="003E6540">
      <w:r>
        <w:t xml:space="preserve">When attending major and critical incidents there are a great deal of considerations that response officers must have prior to their arrival at scene, whilst at scene and following on from the incident. The way officers engage with members of the public, not just victims of crime will be scrutinised and often be the way that they are remembered by them, which can have an impact on the </w:t>
      </w:r>
      <w:proofErr w:type="gramStart"/>
      <w:r>
        <w:t>organisation as a whole</w:t>
      </w:r>
      <w:proofErr w:type="gramEnd"/>
      <w:r>
        <w:t xml:space="preserve">. </w:t>
      </w:r>
      <w:proofErr w:type="gramStart"/>
      <w:r>
        <w:t>Moreover</w:t>
      </w:r>
      <w:proofErr w:type="gramEnd"/>
      <w:r>
        <w:t xml:space="preserve"> there are considerations from any other emergency services that may also be on scene and establishing good working relationships with them and understanding everyone’s roles and responsibilities and the intersectionality of them is pivotal when response officers are attending.</w:t>
      </w:r>
    </w:p>
    <w:p w14:paraId="5E66FCEB" w14:textId="77777777" w:rsidR="004A3D57" w:rsidRDefault="004A3D57">
      <w:r>
        <w:br w:type="page"/>
      </w:r>
    </w:p>
    <w:p w14:paraId="2702026D" w14:textId="59FF5AB3" w:rsidR="008119FD" w:rsidRDefault="00CF1B5F" w:rsidP="003E6540">
      <w:r>
        <w:lastRenderedPageBreak/>
        <w:t>ESSAY 4</w:t>
      </w:r>
    </w:p>
    <w:p w14:paraId="32C70889" w14:textId="42EAC8DB" w:rsidR="00CF1B5F" w:rsidRDefault="00231830" w:rsidP="003E6540">
      <w:r>
        <w:t xml:space="preserve">Serious and Organised Crime is an issue that is rife in society these days, often impacting the world in ways that the public may not initially notice. </w:t>
      </w:r>
      <w:r w:rsidR="00075204">
        <w:t>In the year 2015-2016 2.9 billion pounds was spent by front-line services</w:t>
      </w:r>
      <w:r w:rsidR="006C4FC2">
        <w:t xml:space="preserve"> on tackling serious and organised crime (House of Commons, 2019). There are a number of different types of criminal activity that organised crime groups (OCGs) engage </w:t>
      </w:r>
      <w:proofErr w:type="gramStart"/>
      <w:r w:rsidR="006C4FC2">
        <w:t>in</w:t>
      </w:r>
      <w:proofErr w:type="gramEnd"/>
      <w:r w:rsidR="006C4FC2">
        <w:t xml:space="preserve"> and it is not just the direct cost investigating these offences that must be considered. Mills et al. (2013) estimate that the social and economic cost of the drugs supply is approximately 10.7 billion pounds, organised fraud is 8.9 billion pounds and organised immigration crime is 1.0 billion pounds. These social and economic costs include consider values such as the cost to the National Health Service (NHS), social system and other factors</w:t>
      </w:r>
      <w:r w:rsidR="004A4185">
        <w:t xml:space="preserve"> (Crocket et al., 2019)</w:t>
      </w:r>
      <w:r w:rsidR="006C4FC2">
        <w:t>.</w:t>
      </w:r>
    </w:p>
    <w:p w14:paraId="34CCCE35" w14:textId="53DA6A66" w:rsidR="003C3628" w:rsidRDefault="003C3628" w:rsidP="003E6540">
      <w:r>
        <w:t xml:space="preserve">For the purpose of this </w:t>
      </w:r>
      <w:proofErr w:type="gramStart"/>
      <w:r>
        <w:t>discourse</w:t>
      </w:r>
      <w:proofErr w:type="gramEnd"/>
      <w:r>
        <w:t xml:space="preserve"> I will be applying the statutory definition provided by Section 45 of the Serious Crime Act (2015). This piece of legislation creates a specific offence for anyone who participates in the criminal activities of an OCG. The Serious Crime Act (2015) defines an OCG as a group </w:t>
      </w:r>
      <w:proofErr w:type="gramStart"/>
      <w:r>
        <w:t>that</w:t>
      </w:r>
      <w:proofErr w:type="gramEnd"/>
    </w:p>
    <w:p w14:paraId="4260A81B" w14:textId="7B2E3FF5" w:rsidR="003C3628" w:rsidRDefault="003C3628" w:rsidP="003C3628">
      <w:pPr>
        <w:pStyle w:val="ListParagraph"/>
        <w:numPr>
          <w:ilvl w:val="0"/>
          <w:numId w:val="9"/>
        </w:numPr>
      </w:pPr>
      <w:r>
        <w:t>Has as its purpose, or as one of its purposes, the carrying on of criminal activities, and</w:t>
      </w:r>
    </w:p>
    <w:p w14:paraId="38B6854C" w14:textId="02FCF12A" w:rsidR="003C3628" w:rsidRDefault="003C3628" w:rsidP="003C3628">
      <w:pPr>
        <w:pStyle w:val="ListParagraph"/>
        <w:numPr>
          <w:ilvl w:val="0"/>
          <w:numId w:val="9"/>
        </w:numPr>
      </w:pPr>
      <w:r>
        <w:t>Consists of three or more persons who act, or agree to act, together to further that purpose.</w:t>
      </w:r>
    </w:p>
    <w:p w14:paraId="0D5BC6AE" w14:textId="43728158" w:rsidR="00C64AE8" w:rsidRDefault="003C3628" w:rsidP="003C3628">
      <w:r>
        <w:t xml:space="preserve">When discussing OCGs there are </w:t>
      </w:r>
      <w:proofErr w:type="gramStart"/>
      <w:r>
        <w:t>a number of</w:t>
      </w:r>
      <w:proofErr w:type="gramEnd"/>
      <w:r>
        <w:t xml:space="preserve"> different ways with which they operate and the types of offending they commit.</w:t>
      </w:r>
      <w:r w:rsidR="00C64AE8">
        <w:t xml:space="preserve"> Varese (20</w:t>
      </w:r>
      <w:r w:rsidR="002F4CBC">
        <w:t>20</w:t>
      </w:r>
      <w:r w:rsidR="00C64AE8">
        <w:t xml:space="preserve">) identifies the three main functions of </w:t>
      </w:r>
      <w:proofErr w:type="gramStart"/>
      <w:r w:rsidR="00C64AE8">
        <w:t>OCGs</w:t>
      </w:r>
      <w:proofErr w:type="gramEnd"/>
    </w:p>
    <w:p w14:paraId="5974D9D8" w14:textId="5EF1E0D7" w:rsidR="00C64AE8" w:rsidRDefault="00C64AE8" w:rsidP="00C64AE8">
      <w:pPr>
        <w:pStyle w:val="ListParagraph"/>
        <w:numPr>
          <w:ilvl w:val="0"/>
          <w:numId w:val="13"/>
        </w:numPr>
      </w:pPr>
      <w:r>
        <w:t>Producing – how the group manufactures a product (</w:t>
      </w:r>
      <w:proofErr w:type="spellStart"/>
      <w:proofErr w:type="gramStart"/>
      <w:r>
        <w:t>ie</w:t>
      </w:r>
      <w:proofErr w:type="spellEnd"/>
      <w:proofErr w:type="gramEnd"/>
      <w:r>
        <w:t xml:space="preserve"> drugs) or provides a service</w:t>
      </w:r>
    </w:p>
    <w:p w14:paraId="6C645FCB" w14:textId="710762E4" w:rsidR="00C64AE8" w:rsidRDefault="004A4185" w:rsidP="00C64AE8">
      <w:pPr>
        <w:pStyle w:val="ListParagraph"/>
        <w:numPr>
          <w:ilvl w:val="0"/>
          <w:numId w:val="13"/>
        </w:numPr>
      </w:pPr>
      <w:r>
        <w:t xml:space="preserve">Trading – how the group trades and distributes for the purpose of generating </w:t>
      </w:r>
      <w:proofErr w:type="gramStart"/>
      <w:r>
        <w:t>profit</w:t>
      </w:r>
      <w:proofErr w:type="gramEnd"/>
    </w:p>
    <w:p w14:paraId="4B7C3872" w14:textId="22C37179" w:rsidR="004A4185" w:rsidRDefault="004A4185" w:rsidP="00C64AE8">
      <w:pPr>
        <w:pStyle w:val="ListParagraph"/>
        <w:numPr>
          <w:ilvl w:val="0"/>
          <w:numId w:val="13"/>
        </w:numPr>
      </w:pPr>
      <w:r>
        <w:t>Governing – how the group gains power and control of certain geographical and political environments</w:t>
      </w:r>
    </w:p>
    <w:p w14:paraId="7BE5535C" w14:textId="20162A26" w:rsidR="00C64AE8" w:rsidRDefault="003C3628" w:rsidP="003C3628">
      <w:r>
        <w:t xml:space="preserve"> </w:t>
      </w:r>
      <w:r w:rsidR="00C64AE8">
        <w:t xml:space="preserve">Sergi and Storti (2021) break down the conceptualisation of OCGs into 4 different </w:t>
      </w:r>
      <w:proofErr w:type="gramStart"/>
      <w:r w:rsidR="00C64AE8">
        <w:t>taxonomies</w:t>
      </w:r>
      <w:proofErr w:type="gramEnd"/>
    </w:p>
    <w:p w14:paraId="2A8D924E" w14:textId="3B9A9DAA" w:rsidR="00C64AE8" w:rsidRDefault="00C64AE8" w:rsidP="00C64AE8">
      <w:pPr>
        <w:pStyle w:val="ListParagraph"/>
        <w:numPr>
          <w:ilvl w:val="0"/>
          <w:numId w:val="11"/>
        </w:numPr>
      </w:pPr>
      <w:r>
        <w:t>Mafia-type Groups</w:t>
      </w:r>
    </w:p>
    <w:p w14:paraId="3F931587" w14:textId="528CE6AE" w:rsidR="00C64AE8" w:rsidRDefault="00C64AE8" w:rsidP="00C64AE8">
      <w:pPr>
        <w:pStyle w:val="ListParagraph"/>
        <w:numPr>
          <w:ilvl w:val="0"/>
          <w:numId w:val="11"/>
        </w:numPr>
      </w:pPr>
      <w:r>
        <w:t>Gangs</w:t>
      </w:r>
    </w:p>
    <w:p w14:paraId="3372C97E" w14:textId="18EDA836" w:rsidR="00C64AE8" w:rsidRDefault="00C64AE8" w:rsidP="00C64AE8">
      <w:pPr>
        <w:pStyle w:val="ListParagraph"/>
        <w:numPr>
          <w:ilvl w:val="0"/>
          <w:numId w:val="11"/>
        </w:numPr>
      </w:pPr>
      <w:r>
        <w:t>Cross-border criminal enterprises</w:t>
      </w:r>
    </w:p>
    <w:p w14:paraId="66447E31" w14:textId="1AA566C0" w:rsidR="00C64AE8" w:rsidRDefault="00C64AE8" w:rsidP="00C64AE8">
      <w:pPr>
        <w:pStyle w:val="ListParagraph"/>
        <w:numPr>
          <w:ilvl w:val="0"/>
          <w:numId w:val="11"/>
        </w:numPr>
      </w:pPr>
      <w:r>
        <w:t>Local Criminal Enterprises</w:t>
      </w:r>
    </w:p>
    <w:p w14:paraId="7327D06F" w14:textId="4853D9E1" w:rsidR="004A4185" w:rsidRDefault="004A4185" w:rsidP="004A4185">
      <w:r>
        <w:t>What is clear across the research is that most if not all OCGs operate with the purpose of generating profit for those involved, however different groups have different stakes in all three functions (</w:t>
      </w:r>
      <w:proofErr w:type="spellStart"/>
      <w:r>
        <w:t>Fickenauer</w:t>
      </w:r>
      <w:proofErr w:type="spellEnd"/>
      <w:r>
        <w:t xml:space="preserve">, 2005). Mafia-type groups tend to have an emphasis on the governing “branch”, situating themselves in both </w:t>
      </w:r>
      <w:r w:rsidR="00846765">
        <w:t>formal and informal economies, whereas more cross-border criminal enterprises, an example of this being county lines, focus predominantly on the trading “branch”</w:t>
      </w:r>
      <w:r w:rsidR="002F4CBC">
        <w:t xml:space="preserve"> </w:t>
      </w:r>
      <w:r w:rsidR="002F4CBC">
        <w:t>(Sergi and Storti, 2021)</w:t>
      </w:r>
      <w:r w:rsidR="00846765">
        <w:t xml:space="preserve">. </w:t>
      </w:r>
      <w:r w:rsidR="002F4CBC">
        <w:t>I</w:t>
      </w:r>
      <w:r w:rsidR="00846765">
        <w:t xml:space="preserve">t is interesting to note that there is an argument that by the functionality of OCGs involved in county lines, whereby they send representatives of their organisation to distribute illicit goods and services from major distribution hubs to satellite areas, this is an example of smaller scale attempts of the governing branch. </w:t>
      </w:r>
      <w:r w:rsidR="002F4CBC">
        <w:t>By</w:t>
      </w:r>
      <w:r w:rsidR="00846765">
        <w:t xml:space="preserve"> establish</w:t>
      </w:r>
      <w:r w:rsidR="002F4CBC">
        <w:t>ing</w:t>
      </w:r>
      <w:r w:rsidR="00846765">
        <w:t xml:space="preserve"> their own distribution lines in areas where there was previously less access to these illicit goods and services, they establish their organisation in a position of power in the informal economy</w:t>
      </w:r>
      <w:r w:rsidR="002F4CBC">
        <w:t>.</w:t>
      </w:r>
    </w:p>
    <w:p w14:paraId="706AEDC5" w14:textId="6D36AF91" w:rsidR="003C3628" w:rsidRDefault="003C3628" w:rsidP="003C3628">
      <w:r>
        <w:t xml:space="preserve">Some of the </w:t>
      </w:r>
      <w:r w:rsidR="00846765">
        <w:t>types of offending that OCGs</w:t>
      </w:r>
      <w:r>
        <w:t xml:space="preserve"> </w:t>
      </w:r>
      <w:r w:rsidR="00846765">
        <w:t>commit</w:t>
      </w:r>
      <w:r>
        <w:t xml:space="preserve"> include but are not limited to:</w:t>
      </w:r>
    </w:p>
    <w:p w14:paraId="62D2CF31" w14:textId="49E63B58" w:rsidR="003C3628" w:rsidRDefault="003C3628" w:rsidP="003C3628">
      <w:pPr>
        <w:pStyle w:val="ListParagraph"/>
        <w:numPr>
          <w:ilvl w:val="0"/>
          <w:numId w:val="10"/>
        </w:numPr>
      </w:pPr>
      <w:r>
        <w:t>Modern slavery and human trafficking</w:t>
      </w:r>
    </w:p>
    <w:p w14:paraId="52FD2962" w14:textId="5C102D08" w:rsidR="003C3628" w:rsidRDefault="003C3628" w:rsidP="003C3628">
      <w:pPr>
        <w:pStyle w:val="ListParagraph"/>
        <w:numPr>
          <w:ilvl w:val="0"/>
          <w:numId w:val="10"/>
        </w:numPr>
      </w:pPr>
      <w:r>
        <w:lastRenderedPageBreak/>
        <w:t>Organised Immigration crime</w:t>
      </w:r>
    </w:p>
    <w:p w14:paraId="5639910B" w14:textId="4D8646AF" w:rsidR="003C3628" w:rsidRDefault="003C3628" w:rsidP="003C3628">
      <w:pPr>
        <w:pStyle w:val="ListParagraph"/>
        <w:numPr>
          <w:ilvl w:val="0"/>
          <w:numId w:val="10"/>
        </w:numPr>
      </w:pPr>
      <w:r>
        <w:t>Child sexual exploitation and abuse</w:t>
      </w:r>
    </w:p>
    <w:p w14:paraId="7F6F4ED9" w14:textId="27BB848E" w:rsidR="003C3628" w:rsidRDefault="003C3628" w:rsidP="003C3628">
      <w:pPr>
        <w:pStyle w:val="ListParagraph"/>
        <w:numPr>
          <w:ilvl w:val="0"/>
          <w:numId w:val="10"/>
        </w:numPr>
      </w:pPr>
      <w:r>
        <w:t>Money Laundering</w:t>
      </w:r>
    </w:p>
    <w:p w14:paraId="22431205" w14:textId="49D87227" w:rsidR="003C3628" w:rsidRDefault="003C3628" w:rsidP="006028C5">
      <w:pPr>
        <w:pStyle w:val="ListParagraph"/>
        <w:numPr>
          <w:ilvl w:val="0"/>
          <w:numId w:val="10"/>
        </w:numPr>
      </w:pPr>
      <w:r>
        <w:t xml:space="preserve">Fraud </w:t>
      </w:r>
      <w:r w:rsidR="006028C5">
        <w:t xml:space="preserve">and </w:t>
      </w:r>
      <w:r w:rsidR="00367094">
        <w:t>Internet Facilitated Crime</w:t>
      </w:r>
    </w:p>
    <w:p w14:paraId="6CE06433" w14:textId="6DE7E7EF" w:rsidR="00367094" w:rsidRDefault="00367094" w:rsidP="003C3628">
      <w:pPr>
        <w:pStyle w:val="ListParagraph"/>
        <w:numPr>
          <w:ilvl w:val="0"/>
          <w:numId w:val="10"/>
        </w:numPr>
      </w:pPr>
      <w:r>
        <w:t>Bribery and corruption of agencies and politics</w:t>
      </w:r>
    </w:p>
    <w:p w14:paraId="138374E6" w14:textId="0A8BFA49" w:rsidR="00367094" w:rsidRDefault="00367094" w:rsidP="003C3628">
      <w:pPr>
        <w:pStyle w:val="ListParagraph"/>
        <w:numPr>
          <w:ilvl w:val="0"/>
          <w:numId w:val="10"/>
        </w:numPr>
      </w:pPr>
      <w:r>
        <w:t>The illegal trade of Firearms and Weapons</w:t>
      </w:r>
    </w:p>
    <w:p w14:paraId="1B493FBE" w14:textId="3C29ADFD" w:rsidR="00367094" w:rsidRDefault="00367094" w:rsidP="003C3628">
      <w:pPr>
        <w:pStyle w:val="ListParagraph"/>
        <w:numPr>
          <w:ilvl w:val="0"/>
          <w:numId w:val="10"/>
        </w:numPr>
      </w:pPr>
      <w:r>
        <w:t xml:space="preserve">The illegal drugs </w:t>
      </w:r>
      <w:proofErr w:type="gramStart"/>
      <w:r>
        <w:t>trade</w:t>
      </w:r>
      <w:proofErr w:type="gramEnd"/>
    </w:p>
    <w:p w14:paraId="16D687C4" w14:textId="6F4A5FA8" w:rsidR="00367094" w:rsidRDefault="00367094" w:rsidP="00367094">
      <w:r>
        <w:t xml:space="preserve">The above list is not exhaustive however </w:t>
      </w:r>
      <w:proofErr w:type="gramStart"/>
      <w:r>
        <w:t>these feature</w:t>
      </w:r>
      <w:proofErr w:type="gramEnd"/>
      <w:r>
        <w:t xml:space="preserve"> as some of the most predominant areas with which OCGs play a role.</w:t>
      </w:r>
      <w:r w:rsidR="006F7C7B">
        <w:t xml:space="preserve"> Another important factor to consider is the intersectionality of each of these different offences. </w:t>
      </w:r>
      <w:proofErr w:type="gramStart"/>
      <w:r w:rsidR="00846765">
        <w:t>Often</w:t>
      </w:r>
      <w:proofErr w:type="gramEnd"/>
      <w:r w:rsidR="00846765">
        <w:t xml:space="preserve"> they bleed into each other with individuals being trafficked or being held in modern slavery being used to facilitate the illegal drugs and firearms trade.</w:t>
      </w:r>
    </w:p>
    <w:p w14:paraId="4D605D29" w14:textId="0FCA5296" w:rsidR="00846765" w:rsidRDefault="00846765" w:rsidP="00367094">
      <w:r>
        <w:t>When it comes to investigating and tackling organised crime the Serious and Organised Crime Strategy (2018) published the “four Ps” when it comes to investigating serious and organised crime</w:t>
      </w:r>
    </w:p>
    <w:p w14:paraId="24AC5881" w14:textId="51344664" w:rsidR="00846765" w:rsidRDefault="006028C5" w:rsidP="00846765">
      <w:pPr>
        <w:pStyle w:val="ListParagraph"/>
        <w:numPr>
          <w:ilvl w:val="0"/>
          <w:numId w:val="14"/>
        </w:numPr>
      </w:pPr>
      <w:r>
        <w:t xml:space="preserve">Prevent – prevent people from </w:t>
      </w:r>
      <w:proofErr w:type="gramStart"/>
      <w:r>
        <w:t>participating</w:t>
      </w:r>
      <w:proofErr w:type="gramEnd"/>
    </w:p>
    <w:p w14:paraId="181FC355" w14:textId="31E658CF" w:rsidR="006028C5" w:rsidRDefault="006028C5" w:rsidP="00846765">
      <w:pPr>
        <w:pStyle w:val="ListParagraph"/>
        <w:numPr>
          <w:ilvl w:val="0"/>
          <w:numId w:val="14"/>
        </w:numPr>
      </w:pPr>
      <w:r>
        <w:t xml:space="preserve">Pursue – pursue those who are committing </w:t>
      </w:r>
      <w:proofErr w:type="gramStart"/>
      <w:r>
        <w:t>offences</w:t>
      </w:r>
      <w:proofErr w:type="gramEnd"/>
      <w:r>
        <w:t xml:space="preserve"> </w:t>
      </w:r>
    </w:p>
    <w:p w14:paraId="097AE453" w14:textId="1EA75325" w:rsidR="006028C5" w:rsidRDefault="006028C5" w:rsidP="00846765">
      <w:pPr>
        <w:pStyle w:val="ListParagraph"/>
        <w:numPr>
          <w:ilvl w:val="0"/>
          <w:numId w:val="14"/>
        </w:numPr>
      </w:pPr>
      <w:r>
        <w:t xml:space="preserve">Protect – individuals and organisations who are at risk of becoming victims or being exploited by </w:t>
      </w:r>
      <w:proofErr w:type="gramStart"/>
      <w:r>
        <w:t>OCGs</w:t>
      </w:r>
      <w:proofErr w:type="gramEnd"/>
    </w:p>
    <w:p w14:paraId="3D5C1BC6" w14:textId="15BBD3E1" w:rsidR="006028C5" w:rsidRDefault="006028C5" w:rsidP="00846765">
      <w:pPr>
        <w:pStyle w:val="ListParagraph"/>
        <w:numPr>
          <w:ilvl w:val="0"/>
          <w:numId w:val="14"/>
        </w:numPr>
      </w:pPr>
      <w:r>
        <w:t xml:space="preserve">Prepare – prepare for when it occurs and reduce the </w:t>
      </w:r>
      <w:proofErr w:type="gramStart"/>
      <w:r>
        <w:t>impact</w:t>
      </w:r>
      <w:proofErr w:type="gramEnd"/>
    </w:p>
    <w:p w14:paraId="4C069F74" w14:textId="2C52D10B" w:rsidR="00846765" w:rsidRDefault="006028C5" w:rsidP="00367094">
      <w:r>
        <w:t xml:space="preserve">As mentioned above serious and organised crime impacts a variety of different people and organisations and requires responses from </w:t>
      </w:r>
      <w:proofErr w:type="gramStart"/>
      <w:r>
        <w:t>a number of</w:t>
      </w:r>
      <w:proofErr w:type="gramEnd"/>
      <w:r>
        <w:t xml:space="preserve"> different agencies to best attempt to implement the SOC Strategy (2018). One of these ways is through Multi Agency Public Protection Arrangements (MAPPA) which were created by Section 325 to Section 327B of the Criminal Justice Act (2003). The goal of these arrangements is by different criminal justice agencies working with offenders, they are then able to protect the public. These offenders are managed and categorised on 3 levels depending on the level of severity and danger of their offending and their supervision adjusted appropriately. Offenders and victims of domestic violence may also participate </w:t>
      </w:r>
      <w:r w:rsidR="0011505C">
        <w:t>in Multi-Agency Risk Assessment Conferences (MARAC) which are put in place to safeguard victims of domestic violence. Serious and Violent offenders may be placed on the VISOR database which is used by UK law enforcement agencies and other services to manage them.</w:t>
      </w:r>
    </w:p>
    <w:p w14:paraId="772DD8F2" w14:textId="3607B445" w:rsidR="0011505C" w:rsidRDefault="0046724D" w:rsidP="00367094">
      <w:r>
        <w:t xml:space="preserve">A key bias that officers need to be aware of when investigating serious and organised crime is confirmation bias. This is the idea that people tend to apply their preconceived ideas by seeking for confirmation of their theory rather than for falsification (Rassin et al., 2010). This has been evidenced in the literature with Kassin (2005) summarising that ‘there is a warehouse of psychology research’ that once people have a preconceived </w:t>
      </w:r>
      <w:proofErr w:type="gramStart"/>
      <w:r>
        <w:t>impression</w:t>
      </w:r>
      <w:proofErr w:type="gramEnd"/>
      <w:r>
        <w:t xml:space="preserve"> they will apply what they experience to verify that. An interesting example of where this needs to be considered is the line of questioning that officers undertake when investigating serious and organised crime. Snyder and Swann’s (1978) research indicates that when conducting questioning of individuals in order to gain specific information, people tend to </w:t>
      </w:r>
      <w:proofErr w:type="gramStart"/>
      <w:r>
        <w:t>ask  confirmatory</w:t>
      </w:r>
      <w:proofErr w:type="gramEnd"/>
      <w:r>
        <w:t xml:space="preserve"> questions as opposed to dis-confirming questions. </w:t>
      </w:r>
    </w:p>
    <w:p w14:paraId="3D52EBC4" w14:textId="0F452B01" w:rsidR="00294EEA" w:rsidRDefault="00294EEA" w:rsidP="00367094">
      <w:r>
        <w:t>When investigating sexual crimes, more specifically rapes, officers need to be aware of perpetuating “rape myths” and stereotypes. Vik et al. (2020) highlight that the characteristics of those reporting rape and sexual assault impacts the way with which officers record and report on the incident. These may be because the victim is a drug user, sex worker, promiscuous or many other factors. What is shown is that the way these crimes are initially recorded and investigated can have a drastic impact on the possibility of successful criminal convictions or interventions.</w:t>
      </w:r>
    </w:p>
    <w:p w14:paraId="16589DAB" w14:textId="682DC3C2" w:rsidR="00294EEA" w:rsidRDefault="002F4CBC">
      <w:r>
        <w:lastRenderedPageBreak/>
        <w:t xml:space="preserve">Serious and Organised crime continues to be a complex and costly form of crime prevalent in </w:t>
      </w:r>
      <w:proofErr w:type="gramStart"/>
      <w:r>
        <w:t>todays</w:t>
      </w:r>
      <w:proofErr w:type="gramEnd"/>
      <w:r>
        <w:t xml:space="preserve"> society. </w:t>
      </w:r>
      <w:proofErr w:type="gramStart"/>
      <w:r>
        <w:t>In order to</w:t>
      </w:r>
      <w:proofErr w:type="gramEnd"/>
      <w:r>
        <w:t xml:space="preserve"> successfully investigate it officers need to be aware of a number of different biases that they might hold and that may impact on the way in which they investigate. By successfully being conscious of these biases officers can tailor their questioning of both victims and offenders and implement further safeguarding the multi-agency systems that are currently in place such as MAPPA and VISOR. By being aware of the frequent necessity for a multi-agency approach officers can try and implement the SOC Strategy in reality.</w:t>
      </w:r>
    </w:p>
    <w:p w14:paraId="4526C1C0" w14:textId="7DAF829E" w:rsidR="008B770A" w:rsidRDefault="008B770A">
      <w:r>
        <w:br w:type="page"/>
      </w:r>
    </w:p>
    <w:p w14:paraId="2D380953" w14:textId="59CA8985" w:rsidR="008B770A" w:rsidRDefault="008B770A">
      <w:r>
        <w:lastRenderedPageBreak/>
        <w:t>References:</w:t>
      </w:r>
    </w:p>
    <w:p w14:paraId="6A538C5C" w14:textId="77777777" w:rsidR="00833B43" w:rsidRPr="002F133D" w:rsidRDefault="00833B43" w:rsidP="00833B43">
      <w:pPr>
        <w:pStyle w:val="gmail-p4"/>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Adams, J. and Millie, A., 2021. Everyday moral judgements of anti-social behaviour. </w:t>
      </w:r>
      <w:r w:rsidRPr="002F133D">
        <w:rPr>
          <w:rFonts w:asciiTheme="minorHAnsi" w:hAnsiTheme="minorHAnsi" w:cstheme="minorHAnsi"/>
          <w:i/>
          <w:iCs/>
          <w:color w:val="1A1A1A"/>
          <w:sz w:val="22"/>
          <w:szCs w:val="22"/>
        </w:rPr>
        <w:t>Crime prevention and community safety</w:t>
      </w:r>
      <w:r w:rsidRPr="002F133D">
        <w:rPr>
          <w:rFonts w:asciiTheme="minorHAnsi" w:hAnsiTheme="minorHAnsi" w:cstheme="minorHAnsi"/>
          <w:color w:val="1A1A1A"/>
          <w:sz w:val="22"/>
          <w:szCs w:val="22"/>
        </w:rPr>
        <w:t>, </w:t>
      </w:r>
      <w:r w:rsidRPr="002F133D">
        <w:rPr>
          <w:rFonts w:asciiTheme="minorHAnsi" w:hAnsiTheme="minorHAnsi" w:cstheme="minorHAnsi"/>
          <w:i/>
          <w:iCs/>
          <w:color w:val="1A1A1A"/>
          <w:sz w:val="22"/>
          <w:szCs w:val="22"/>
        </w:rPr>
        <w:t>23</w:t>
      </w:r>
      <w:r w:rsidRPr="002F133D">
        <w:rPr>
          <w:rFonts w:asciiTheme="minorHAnsi" w:hAnsiTheme="minorHAnsi" w:cstheme="minorHAnsi"/>
          <w:color w:val="1A1A1A"/>
          <w:sz w:val="22"/>
          <w:szCs w:val="22"/>
        </w:rPr>
        <w:t>, pp.56-68.</w:t>
      </w:r>
    </w:p>
    <w:p w14:paraId="223C9FB5" w14:textId="77777777" w:rsidR="00833B43" w:rsidRPr="002F133D" w:rsidRDefault="00833B43" w:rsidP="00833B43">
      <w:pPr>
        <w:pStyle w:val="gmail-p5"/>
        <w:spacing w:before="0" w:beforeAutospacing="0" w:after="0" w:afterAutospacing="0"/>
        <w:rPr>
          <w:rFonts w:asciiTheme="minorHAnsi" w:hAnsiTheme="minorHAnsi" w:cstheme="minorHAnsi"/>
          <w:color w:val="000000"/>
          <w:sz w:val="22"/>
          <w:szCs w:val="22"/>
        </w:rPr>
      </w:pPr>
      <w:r w:rsidRPr="002F133D">
        <w:rPr>
          <w:rFonts w:asciiTheme="minorHAnsi" w:hAnsiTheme="minorHAnsi" w:cstheme="minorHAnsi"/>
          <w:color w:val="000000"/>
          <w:sz w:val="22"/>
          <w:szCs w:val="22"/>
        </w:rPr>
        <w:t xml:space="preserve">Annual Report of the Investigatory Powers Commissioner. (2021). [online] IPCO: IPCO, </w:t>
      </w:r>
      <w:proofErr w:type="spellStart"/>
      <w:proofErr w:type="gramStart"/>
      <w:r w:rsidRPr="002F133D">
        <w:rPr>
          <w:rFonts w:asciiTheme="minorHAnsi" w:hAnsiTheme="minorHAnsi" w:cstheme="minorHAnsi"/>
          <w:color w:val="000000"/>
          <w:sz w:val="22"/>
          <w:szCs w:val="22"/>
        </w:rPr>
        <w:t>p.Page</w:t>
      </w:r>
      <w:proofErr w:type="spellEnd"/>
      <w:proofErr w:type="gramEnd"/>
      <w:r w:rsidRPr="002F133D">
        <w:rPr>
          <w:rFonts w:asciiTheme="minorHAnsi" w:hAnsiTheme="minorHAnsi" w:cstheme="minorHAnsi"/>
          <w:color w:val="000000"/>
          <w:sz w:val="22"/>
          <w:szCs w:val="22"/>
        </w:rPr>
        <w:t xml:space="preserve"> 67-68. Available at: </w:t>
      </w:r>
      <w:hyperlink r:id="rId5" w:history="1">
        <w:r w:rsidRPr="002F133D">
          <w:rPr>
            <w:rStyle w:val="Hyperlink"/>
            <w:rFonts w:asciiTheme="minorHAnsi" w:hAnsiTheme="minorHAnsi" w:cstheme="minorHAnsi"/>
            <w:sz w:val="22"/>
            <w:szCs w:val="22"/>
          </w:rPr>
          <w:t>https://ipco-wpmedia-prod-s3.s3.eu-west-2.amazonaws.com/Annual-Report-2021.pdf</w:t>
        </w:r>
      </w:hyperlink>
      <w:r w:rsidRPr="002F133D">
        <w:rPr>
          <w:rFonts w:asciiTheme="minorHAnsi" w:hAnsiTheme="minorHAnsi" w:cstheme="minorHAnsi"/>
          <w:color w:val="000000"/>
          <w:sz w:val="22"/>
          <w:szCs w:val="22"/>
        </w:rPr>
        <w:t xml:space="preserve"> [Accessed 19 Nov. 2023].</w:t>
      </w:r>
    </w:p>
    <w:p w14:paraId="0AC7A704" w14:textId="77777777" w:rsidR="00833B43" w:rsidRPr="002F133D" w:rsidRDefault="00833B43" w:rsidP="00833B43">
      <w:pPr>
        <w:pStyle w:val="gmail-p5"/>
        <w:spacing w:before="0" w:beforeAutospacing="0" w:after="0" w:afterAutospacing="0"/>
        <w:rPr>
          <w:rFonts w:asciiTheme="minorHAnsi" w:hAnsiTheme="minorHAnsi" w:cstheme="minorHAnsi"/>
          <w:color w:val="000000"/>
          <w:sz w:val="22"/>
          <w:szCs w:val="22"/>
        </w:rPr>
      </w:pPr>
      <w:r w:rsidRPr="002F133D">
        <w:rPr>
          <w:rFonts w:asciiTheme="minorHAnsi" w:hAnsiTheme="minorHAnsi" w:cstheme="minorHAnsi"/>
          <w:i/>
          <w:iCs/>
          <w:color w:val="000000"/>
          <w:sz w:val="22"/>
          <w:szCs w:val="22"/>
        </w:rPr>
        <w:t xml:space="preserve">Anti-Social Behaviour, Crime and Policing </w:t>
      </w:r>
      <w:proofErr w:type="spellStart"/>
      <w:r w:rsidRPr="002F133D">
        <w:rPr>
          <w:rFonts w:asciiTheme="minorHAnsi" w:hAnsiTheme="minorHAnsi" w:cstheme="minorHAnsi"/>
          <w:i/>
          <w:iCs/>
          <w:color w:val="000000"/>
          <w:sz w:val="22"/>
          <w:szCs w:val="22"/>
        </w:rPr>
        <w:t>Act</w:t>
      </w:r>
      <w:r w:rsidRPr="002F133D">
        <w:rPr>
          <w:rFonts w:asciiTheme="minorHAnsi" w:hAnsiTheme="minorHAnsi" w:cstheme="minorHAnsi"/>
          <w:color w:val="000000"/>
          <w:sz w:val="22"/>
          <w:szCs w:val="22"/>
        </w:rPr>
        <w:t>.Section</w:t>
      </w:r>
      <w:proofErr w:type="spellEnd"/>
      <w:r w:rsidRPr="002F133D">
        <w:rPr>
          <w:rFonts w:asciiTheme="minorHAnsi" w:hAnsiTheme="minorHAnsi" w:cstheme="minorHAnsi"/>
          <w:color w:val="000000"/>
          <w:sz w:val="22"/>
          <w:szCs w:val="22"/>
        </w:rPr>
        <w:t xml:space="preserve"> 2 [online] Available at: </w:t>
      </w:r>
      <w:hyperlink r:id="rId6" w:history="1">
        <w:r w:rsidRPr="002F133D">
          <w:rPr>
            <w:rStyle w:val="Hyperlink"/>
            <w:rFonts w:asciiTheme="minorHAnsi" w:hAnsiTheme="minorHAnsi" w:cstheme="minorHAnsi"/>
            <w:sz w:val="22"/>
            <w:szCs w:val="22"/>
          </w:rPr>
          <w:t>https://www.legislation.gov.uk/ukpga/2014/12/section/2/enacted</w:t>
        </w:r>
      </w:hyperlink>
      <w:r w:rsidRPr="002F133D">
        <w:rPr>
          <w:rFonts w:asciiTheme="minorHAnsi" w:hAnsiTheme="minorHAnsi" w:cstheme="minorHAnsi"/>
          <w:color w:val="000000"/>
          <w:sz w:val="22"/>
          <w:szCs w:val="22"/>
        </w:rPr>
        <w:t xml:space="preserve"> [Accessed 22 Nov. 2023].</w:t>
      </w:r>
    </w:p>
    <w:p w14:paraId="285F0A23" w14:textId="77777777" w:rsidR="00833B43" w:rsidRPr="002F133D" w:rsidRDefault="00833B43" w:rsidP="00833B43">
      <w:pPr>
        <w:pStyle w:val="gmail-p3"/>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Arthur, R. and Kirk, T., 2023. Children as covert human intelligence sources: spies first, children second. </w:t>
      </w:r>
      <w:r w:rsidRPr="002F133D">
        <w:rPr>
          <w:rFonts w:asciiTheme="minorHAnsi" w:hAnsiTheme="minorHAnsi" w:cstheme="minorHAnsi"/>
          <w:i/>
          <w:iCs/>
          <w:color w:val="1A1A1A"/>
          <w:sz w:val="22"/>
          <w:szCs w:val="22"/>
        </w:rPr>
        <w:t>Youth Justice</w:t>
      </w:r>
      <w:r w:rsidRPr="002F133D">
        <w:rPr>
          <w:rFonts w:asciiTheme="minorHAnsi" w:hAnsiTheme="minorHAnsi" w:cstheme="minorHAnsi"/>
          <w:color w:val="1A1A1A"/>
          <w:sz w:val="22"/>
          <w:szCs w:val="22"/>
        </w:rPr>
        <w:t>, p.14732254231154160.</w:t>
      </w:r>
    </w:p>
    <w:p w14:paraId="6114B7B4" w14:textId="77777777" w:rsidR="00833B43" w:rsidRDefault="00833B43" w:rsidP="00833B43">
      <w:pPr>
        <w:pStyle w:val="gmail-p4"/>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Bateson, M., Nettle, D. and Roberts, G., 2006. Cues of being watched enhance cooperation in a real-world setting. </w:t>
      </w:r>
      <w:r w:rsidRPr="002F133D">
        <w:rPr>
          <w:rFonts w:asciiTheme="minorHAnsi" w:hAnsiTheme="minorHAnsi" w:cstheme="minorHAnsi"/>
          <w:i/>
          <w:iCs/>
          <w:color w:val="1A1A1A"/>
          <w:sz w:val="22"/>
          <w:szCs w:val="22"/>
        </w:rPr>
        <w:t>Biology letters</w:t>
      </w:r>
      <w:r w:rsidRPr="002F133D">
        <w:rPr>
          <w:rFonts w:asciiTheme="minorHAnsi" w:hAnsiTheme="minorHAnsi" w:cstheme="minorHAnsi"/>
          <w:color w:val="1A1A1A"/>
          <w:sz w:val="22"/>
          <w:szCs w:val="22"/>
        </w:rPr>
        <w:t>, </w:t>
      </w:r>
      <w:r w:rsidRPr="002F133D">
        <w:rPr>
          <w:rFonts w:asciiTheme="minorHAnsi" w:hAnsiTheme="minorHAnsi" w:cstheme="minorHAnsi"/>
          <w:i/>
          <w:iCs/>
          <w:color w:val="1A1A1A"/>
          <w:sz w:val="22"/>
          <w:szCs w:val="22"/>
        </w:rPr>
        <w:t>2</w:t>
      </w:r>
      <w:r w:rsidRPr="002F133D">
        <w:rPr>
          <w:rFonts w:asciiTheme="minorHAnsi" w:hAnsiTheme="minorHAnsi" w:cstheme="minorHAnsi"/>
          <w:color w:val="1A1A1A"/>
          <w:sz w:val="22"/>
          <w:szCs w:val="22"/>
        </w:rPr>
        <w:t>(3), pp.412-414.</w:t>
      </w:r>
    </w:p>
    <w:p w14:paraId="72D8702B" w14:textId="77777777" w:rsidR="00833B43" w:rsidRPr="002F133D" w:rsidRDefault="00833B43" w:rsidP="00833B43">
      <w:pPr>
        <w:pStyle w:val="gmail-p4"/>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Behl, J.D. and Steverson, L.A., 2021. </w:t>
      </w:r>
      <w:r w:rsidRPr="002F133D">
        <w:rPr>
          <w:rFonts w:asciiTheme="minorHAnsi" w:hAnsiTheme="minorHAnsi" w:cstheme="minorHAnsi"/>
          <w:i/>
          <w:iCs/>
          <w:color w:val="1A1A1A"/>
          <w:sz w:val="22"/>
          <w:szCs w:val="22"/>
        </w:rPr>
        <w:t>Criminal theory profiles: Inside the minds of theorists of crime and deviance</w:t>
      </w:r>
      <w:r w:rsidRPr="002F133D">
        <w:rPr>
          <w:rFonts w:asciiTheme="minorHAnsi" w:hAnsiTheme="minorHAnsi" w:cstheme="minorHAnsi"/>
          <w:color w:val="1A1A1A"/>
          <w:sz w:val="22"/>
          <w:szCs w:val="22"/>
        </w:rPr>
        <w:t>. Routledge.</w:t>
      </w:r>
    </w:p>
    <w:p w14:paraId="74542485" w14:textId="77777777" w:rsidR="00833B43" w:rsidRPr="002F133D" w:rsidRDefault="00833B43" w:rsidP="00833B43">
      <w:pPr>
        <w:pStyle w:val="gmail-p3"/>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Bradford, B., Jackson, J. and Stanko, E.A., 2009. Contact and confidence: Revisiting the impact of public encounters with the police. </w:t>
      </w:r>
      <w:r w:rsidRPr="002F133D">
        <w:rPr>
          <w:rFonts w:asciiTheme="minorHAnsi" w:hAnsiTheme="minorHAnsi" w:cstheme="minorHAnsi"/>
          <w:i/>
          <w:iCs/>
          <w:color w:val="1A1A1A"/>
          <w:sz w:val="22"/>
          <w:szCs w:val="22"/>
        </w:rPr>
        <w:t>Policing &amp; society</w:t>
      </w:r>
      <w:r w:rsidRPr="002F133D">
        <w:rPr>
          <w:rFonts w:asciiTheme="minorHAnsi" w:hAnsiTheme="minorHAnsi" w:cstheme="minorHAnsi"/>
          <w:color w:val="1A1A1A"/>
          <w:sz w:val="22"/>
          <w:szCs w:val="22"/>
        </w:rPr>
        <w:t>, </w:t>
      </w:r>
      <w:r w:rsidRPr="002F133D">
        <w:rPr>
          <w:rFonts w:asciiTheme="minorHAnsi" w:hAnsiTheme="minorHAnsi" w:cstheme="minorHAnsi"/>
          <w:i/>
          <w:iCs/>
          <w:color w:val="1A1A1A"/>
          <w:sz w:val="22"/>
          <w:szCs w:val="22"/>
        </w:rPr>
        <w:t>19</w:t>
      </w:r>
      <w:r w:rsidRPr="002F133D">
        <w:rPr>
          <w:rFonts w:asciiTheme="minorHAnsi" w:hAnsiTheme="minorHAnsi" w:cstheme="minorHAnsi"/>
          <w:color w:val="1A1A1A"/>
          <w:sz w:val="22"/>
          <w:szCs w:val="22"/>
        </w:rPr>
        <w:t>(1), pp.20-46.</w:t>
      </w:r>
    </w:p>
    <w:p w14:paraId="5B09E8BE" w14:textId="77777777" w:rsidR="00833B43" w:rsidRPr="002F133D" w:rsidRDefault="00833B43" w:rsidP="00833B43">
      <w:pPr>
        <w:pStyle w:val="gmail-p6"/>
        <w:spacing w:before="0" w:beforeAutospacing="0" w:after="0" w:afterAutospacing="0"/>
        <w:rPr>
          <w:rFonts w:asciiTheme="minorHAnsi" w:hAnsiTheme="minorHAnsi" w:cstheme="minorHAnsi"/>
          <w:color w:val="1F1F1F"/>
          <w:sz w:val="22"/>
          <w:szCs w:val="22"/>
        </w:rPr>
      </w:pPr>
      <w:r w:rsidRPr="002F133D">
        <w:rPr>
          <w:rFonts w:asciiTheme="minorHAnsi" w:hAnsiTheme="minorHAnsi" w:cstheme="minorHAnsi"/>
          <w:color w:val="1F1F1F"/>
          <w:sz w:val="22"/>
          <w:szCs w:val="22"/>
        </w:rPr>
        <w:t>Clarke, R. V. G. (1980). Situational crime prevention: Theory and practice. </w:t>
      </w:r>
      <w:r w:rsidRPr="002F133D">
        <w:rPr>
          <w:rFonts w:asciiTheme="minorHAnsi" w:hAnsiTheme="minorHAnsi" w:cstheme="minorHAnsi"/>
          <w:i/>
          <w:iCs/>
          <w:color w:val="1F1F1F"/>
          <w:sz w:val="22"/>
          <w:szCs w:val="22"/>
        </w:rPr>
        <w:t>British Journal of Criminology</w:t>
      </w:r>
      <w:r w:rsidRPr="002F133D">
        <w:rPr>
          <w:rFonts w:asciiTheme="minorHAnsi" w:hAnsiTheme="minorHAnsi" w:cstheme="minorHAnsi"/>
          <w:color w:val="1F1F1F"/>
          <w:sz w:val="22"/>
          <w:szCs w:val="22"/>
        </w:rPr>
        <w:t>, </w:t>
      </w:r>
      <w:r w:rsidRPr="002F133D">
        <w:rPr>
          <w:rFonts w:asciiTheme="minorHAnsi" w:hAnsiTheme="minorHAnsi" w:cstheme="minorHAnsi"/>
          <w:i/>
          <w:iCs/>
          <w:color w:val="1F1F1F"/>
          <w:sz w:val="22"/>
          <w:szCs w:val="22"/>
        </w:rPr>
        <w:t>20</w:t>
      </w:r>
      <w:r w:rsidRPr="002F133D">
        <w:rPr>
          <w:rFonts w:asciiTheme="minorHAnsi" w:hAnsiTheme="minorHAnsi" w:cstheme="minorHAnsi"/>
          <w:color w:val="1F1F1F"/>
          <w:sz w:val="22"/>
          <w:szCs w:val="22"/>
        </w:rPr>
        <w:t>(1), 136–147.</w:t>
      </w:r>
    </w:p>
    <w:p w14:paraId="2632A68E" w14:textId="77777777" w:rsidR="00833B43" w:rsidRPr="002F133D" w:rsidRDefault="00833B43" w:rsidP="00833B43">
      <w:pPr>
        <w:pStyle w:val="gmail-p5"/>
        <w:spacing w:before="0" w:beforeAutospacing="0" w:after="0" w:afterAutospacing="0"/>
        <w:rPr>
          <w:rFonts w:asciiTheme="minorHAnsi" w:hAnsiTheme="minorHAnsi" w:cstheme="minorHAnsi"/>
          <w:color w:val="000000"/>
          <w:sz w:val="22"/>
          <w:szCs w:val="22"/>
        </w:rPr>
      </w:pPr>
      <w:r w:rsidRPr="002F133D">
        <w:rPr>
          <w:rFonts w:asciiTheme="minorHAnsi" w:hAnsiTheme="minorHAnsi" w:cstheme="minorHAnsi"/>
          <w:color w:val="000000"/>
          <w:sz w:val="22"/>
          <w:szCs w:val="22"/>
        </w:rPr>
        <w:t>College Of Policing (2014). </w:t>
      </w:r>
      <w:r w:rsidRPr="002F133D">
        <w:rPr>
          <w:rFonts w:asciiTheme="minorHAnsi" w:hAnsiTheme="minorHAnsi" w:cstheme="minorHAnsi"/>
          <w:i/>
          <w:iCs/>
          <w:color w:val="000000"/>
          <w:sz w:val="22"/>
          <w:szCs w:val="22"/>
        </w:rPr>
        <w:t>National Decision Model</w:t>
      </w:r>
      <w:r w:rsidRPr="002F133D">
        <w:rPr>
          <w:rFonts w:asciiTheme="minorHAnsi" w:hAnsiTheme="minorHAnsi" w:cstheme="minorHAnsi"/>
          <w:color w:val="000000"/>
          <w:sz w:val="22"/>
          <w:szCs w:val="22"/>
        </w:rPr>
        <w:t xml:space="preserve">. [online] College of Policing. Available at: </w:t>
      </w:r>
      <w:hyperlink r:id="rId7" w:history="1">
        <w:r w:rsidRPr="002F133D">
          <w:rPr>
            <w:rStyle w:val="Hyperlink"/>
            <w:rFonts w:asciiTheme="minorHAnsi" w:hAnsiTheme="minorHAnsi" w:cstheme="minorHAnsi"/>
            <w:sz w:val="22"/>
            <w:szCs w:val="22"/>
          </w:rPr>
          <w:t>https://www.college.police.uk/app/national-decision-model/national-decision-model</w:t>
        </w:r>
      </w:hyperlink>
      <w:r w:rsidRPr="002F133D">
        <w:rPr>
          <w:rFonts w:asciiTheme="minorHAnsi" w:hAnsiTheme="minorHAnsi" w:cstheme="minorHAnsi"/>
          <w:color w:val="000000"/>
          <w:sz w:val="22"/>
          <w:szCs w:val="22"/>
        </w:rPr>
        <w:t>.</w:t>
      </w:r>
    </w:p>
    <w:p w14:paraId="002C4DC9" w14:textId="77777777" w:rsidR="00833B43" w:rsidRPr="002F133D" w:rsidRDefault="00833B43" w:rsidP="00833B43">
      <w:pPr>
        <w:pStyle w:val="gmail-p5"/>
        <w:spacing w:before="0" w:beforeAutospacing="0" w:after="0" w:afterAutospacing="0"/>
        <w:rPr>
          <w:rFonts w:asciiTheme="minorHAnsi" w:hAnsiTheme="minorHAnsi" w:cstheme="minorHAnsi"/>
          <w:color w:val="000000"/>
          <w:sz w:val="22"/>
          <w:szCs w:val="22"/>
        </w:rPr>
      </w:pPr>
      <w:r w:rsidRPr="002F133D">
        <w:rPr>
          <w:rFonts w:asciiTheme="minorHAnsi" w:hAnsiTheme="minorHAnsi" w:cstheme="minorHAnsi"/>
          <w:color w:val="000000"/>
          <w:sz w:val="22"/>
          <w:szCs w:val="22"/>
        </w:rPr>
        <w:t>College of Policing (2018). </w:t>
      </w:r>
      <w:r w:rsidRPr="002F133D">
        <w:rPr>
          <w:rFonts w:asciiTheme="minorHAnsi" w:hAnsiTheme="minorHAnsi" w:cstheme="minorHAnsi"/>
          <w:i/>
          <w:iCs/>
          <w:color w:val="000000"/>
          <w:sz w:val="22"/>
          <w:szCs w:val="22"/>
        </w:rPr>
        <w:t>Definitions</w:t>
      </w:r>
      <w:r w:rsidRPr="002F133D">
        <w:rPr>
          <w:rFonts w:asciiTheme="minorHAnsi" w:hAnsiTheme="minorHAnsi" w:cstheme="minorHAnsi"/>
          <w:color w:val="000000"/>
          <w:sz w:val="22"/>
          <w:szCs w:val="22"/>
        </w:rPr>
        <w:t xml:space="preserve">. [online] College of Policing. Available at: </w:t>
      </w:r>
      <w:hyperlink r:id="rId8" w:history="1">
        <w:r w:rsidRPr="002F133D">
          <w:rPr>
            <w:rStyle w:val="Hyperlink"/>
            <w:rFonts w:asciiTheme="minorHAnsi" w:hAnsiTheme="minorHAnsi" w:cstheme="minorHAnsi"/>
            <w:sz w:val="22"/>
            <w:szCs w:val="22"/>
          </w:rPr>
          <w:t>https://www.college.police.uk/app/civil-emergencies/disaster-victim-identification/definitions</w:t>
        </w:r>
      </w:hyperlink>
      <w:r w:rsidRPr="002F133D">
        <w:rPr>
          <w:rFonts w:asciiTheme="minorHAnsi" w:hAnsiTheme="minorHAnsi" w:cstheme="minorHAnsi"/>
          <w:color w:val="000000"/>
          <w:sz w:val="22"/>
          <w:szCs w:val="22"/>
        </w:rPr>
        <w:t>.</w:t>
      </w:r>
    </w:p>
    <w:p w14:paraId="3EB0D456" w14:textId="77777777" w:rsidR="00833B43" w:rsidRPr="002F133D" w:rsidRDefault="00833B43" w:rsidP="00833B43">
      <w:pPr>
        <w:pStyle w:val="gmail-p5"/>
        <w:spacing w:before="0" w:beforeAutospacing="0" w:after="0" w:afterAutospacing="0"/>
        <w:rPr>
          <w:rFonts w:asciiTheme="minorHAnsi" w:hAnsiTheme="minorHAnsi" w:cstheme="minorHAnsi"/>
          <w:color w:val="000000"/>
          <w:sz w:val="22"/>
          <w:szCs w:val="22"/>
        </w:rPr>
      </w:pPr>
      <w:r w:rsidRPr="002F133D">
        <w:rPr>
          <w:rFonts w:asciiTheme="minorHAnsi" w:hAnsiTheme="minorHAnsi" w:cstheme="minorHAnsi"/>
          <w:color w:val="000000"/>
          <w:sz w:val="22"/>
          <w:szCs w:val="22"/>
        </w:rPr>
        <w:t>College of Policing (2022a). </w:t>
      </w:r>
      <w:r w:rsidRPr="002F133D">
        <w:rPr>
          <w:rFonts w:asciiTheme="minorHAnsi" w:hAnsiTheme="minorHAnsi" w:cstheme="minorHAnsi"/>
          <w:i/>
          <w:iCs/>
          <w:color w:val="000000"/>
          <w:sz w:val="22"/>
          <w:szCs w:val="22"/>
        </w:rPr>
        <w:t>Response Policing Career Pathway</w:t>
      </w:r>
      <w:r w:rsidRPr="002F133D">
        <w:rPr>
          <w:rFonts w:asciiTheme="minorHAnsi" w:hAnsiTheme="minorHAnsi" w:cstheme="minorHAnsi"/>
          <w:color w:val="000000"/>
          <w:sz w:val="22"/>
          <w:szCs w:val="22"/>
        </w:rPr>
        <w:t xml:space="preserve">. [online] College of Policing. Available at: </w:t>
      </w:r>
      <w:hyperlink r:id="rId9" w:history="1">
        <w:r w:rsidRPr="002F133D">
          <w:rPr>
            <w:rStyle w:val="Hyperlink"/>
            <w:rFonts w:asciiTheme="minorHAnsi" w:hAnsiTheme="minorHAnsi" w:cstheme="minorHAnsi"/>
            <w:sz w:val="22"/>
            <w:szCs w:val="22"/>
          </w:rPr>
          <w:t>https://www.college.police.uk/career-learning/career-development/career-pathways/response-policing</w:t>
        </w:r>
      </w:hyperlink>
      <w:r w:rsidRPr="002F133D">
        <w:rPr>
          <w:rFonts w:asciiTheme="minorHAnsi" w:hAnsiTheme="minorHAnsi" w:cstheme="minorHAnsi"/>
          <w:color w:val="000000"/>
          <w:sz w:val="22"/>
          <w:szCs w:val="22"/>
        </w:rPr>
        <w:t>.</w:t>
      </w:r>
    </w:p>
    <w:p w14:paraId="20CEC98D" w14:textId="77777777" w:rsidR="00833B43" w:rsidRPr="002F133D" w:rsidRDefault="00833B43" w:rsidP="00833B43">
      <w:pPr>
        <w:pStyle w:val="gmail-p7"/>
        <w:spacing w:before="0" w:beforeAutospacing="0" w:after="180" w:afterAutospacing="0"/>
        <w:rPr>
          <w:rFonts w:asciiTheme="minorHAnsi" w:hAnsiTheme="minorHAnsi" w:cstheme="minorHAnsi"/>
          <w:color w:val="000000"/>
          <w:sz w:val="22"/>
          <w:szCs w:val="22"/>
        </w:rPr>
      </w:pPr>
      <w:r w:rsidRPr="002F133D">
        <w:rPr>
          <w:rFonts w:asciiTheme="minorHAnsi" w:hAnsiTheme="minorHAnsi" w:cstheme="minorHAnsi"/>
          <w:color w:val="000000"/>
          <w:sz w:val="22"/>
          <w:szCs w:val="22"/>
        </w:rPr>
        <w:t>‌College of Policing (2022b). </w:t>
      </w:r>
      <w:r w:rsidRPr="002F133D">
        <w:rPr>
          <w:rFonts w:asciiTheme="minorHAnsi" w:hAnsiTheme="minorHAnsi" w:cstheme="minorHAnsi"/>
          <w:i/>
          <w:iCs/>
          <w:color w:val="000000"/>
          <w:sz w:val="22"/>
          <w:szCs w:val="22"/>
        </w:rPr>
        <w:t>Response Constable</w:t>
      </w:r>
      <w:r w:rsidRPr="002F133D">
        <w:rPr>
          <w:rFonts w:asciiTheme="minorHAnsi" w:hAnsiTheme="minorHAnsi" w:cstheme="minorHAnsi"/>
          <w:color w:val="000000"/>
          <w:sz w:val="22"/>
          <w:szCs w:val="22"/>
        </w:rPr>
        <w:t xml:space="preserve">. [online] College of Policing. Available at: </w:t>
      </w:r>
      <w:hyperlink r:id="rId10" w:history="1">
        <w:r w:rsidRPr="002F133D">
          <w:rPr>
            <w:rStyle w:val="gmail-s1"/>
            <w:rFonts w:asciiTheme="minorHAnsi" w:hAnsiTheme="minorHAnsi" w:cstheme="minorHAnsi"/>
            <w:color w:val="0000FF"/>
            <w:sz w:val="22"/>
            <w:szCs w:val="22"/>
            <w:u w:val="single"/>
          </w:rPr>
          <w:t>https://profdev.college.police.uk/professional-profile/test-9/</w:t>
        </w:r>
      </w:hyperlink>
      <w:r w:rsidRPr="002F133D">
        <w:rPr>
          <w:rFonts w:asciiTheme="minorHAnsi" w:hAnsiTheme="minorHAnsi" w:cstheme="minorHAnsi"/>
          <w:color w:val="000000"/>
          <w:sz w:val="22"/>
          <w:szCs w:val="22"/>
        </w:rPr>
        <w:t>.</w:t>
      </w:r>
    </w:p>
    <w:p w14:paraId="3816F413" w14:textId="77777777" w:rsidR="00833B43" w:rsidRPr="002F133D" w:rsidRDefault="00833B43" w:rsidP="00833B43">
      <w:pPr>
        <w:pStyle w:val="gmail-p5"/>
        <w:spacing w:before="0" w:beforeAutospacing="0" w:after="0" w:afterAutospacing="0"/>
        <w:rPr>
          <w:rFonts w:asciiTheme="minorHAnsi" w:hAnsiTheme="minorHAnsi" w:cstheme="minorHAnsi"/>
          <w:color w:val="000000"/>
          <w:sz w:val="22"/>
          <w:szCs w:val="22"/>
        </w:rPr>
      </w:pPr>
      <w:r w:rsidRPr="002F133D">
        <w:rPr>
          <w:rFonts w:asciiTheme="minorHAnsi" w:hAnsiTheme="minorHAnsi" w:cstheme="minorHAnsi"/>
          <w:color w:val="000000"/>
          <w:sz w:val="22"/>
          <w:szCs w:val="22"/>
        </w:rPr>
        <w:t>College Of Policing (2023). </w:t>
      </w:r>
      <w:r w:rsidRPr="002F133D">
        <w:rPr>
          <w:rFonts w:asciiTheme="minorHAnsi" w:hAnsiTheme="minorHAnsi" w:cstheme="minorHAnsi"/>
          <w:i/>
          <w:iCs/>
          <w:color w:val="000000"/>
          <w:sz w:val="22"/>
          <w:szCs w:val="22"/>
        </w:rPr>
        <w:t>Anti-social behaviour powers</w:t>
      </w:r>
      <w:r w:rsidRPr="002F133D">
        <w:rPr>
          <w:rFonts w:asciiTheme="minorHAnsi" w:hAnsiTheme="minorHAnsi" w:cstheme="minorHAnsi"/>
          <w:color w:val="000000"/>
          <w:sz w:val="22"/>
          <w:szCs w:val="22"/>
        </w:rPr>
        <w:t xml:space="preserve">. [online] College of Policing. Available at: </w:t>
      </w:r>
      <w:hyperlink r:id="rId11" w:history="1">
        <w:r w:rsidRPr="002F133D">
          <w:rPr>
            <w:rStyle w:val="gmail-s1"/>
            <w:rFonts w:asciiTheme="minorHAnsi" w:hAnsiTheme="minorHAnsi" w:cstheme="minorHAnsi"/>
            <w:color w:val="0000FF"/>
            <w:sz w:val="22"/>
            <w:szCs w:val="22"/>
            <w:u w:val="single"/>
          </w:rPr>
          <w:t>https://www.college.police.uk/guidance/anti-social-behaviour-powers</w:t>
        </w:r>
      </w:hyperlink>
      <w:r w:rsidRPr="002F133D">
        <w:rPr>
          <w:rFonts w:asciiTheme="minorHAnsi" w:hAnsiTheme="minorHAnsi" w:cstheme="minorHAnsi"/>
          <w:color w:val="000000"/>
          <w:sz w:val="22"/>
          <w:szCs w:val="22"/>
        </w:rPr>
        <w:t>.</w:t>
      </w:r>
    </w:p>
    <w:p w14:paraId="639E4C2D" w14:textId="77777777" w:rsidR="00833B43" w:rsidRPr="002F133D" w:rsidRDefault="00833B43" w:rsidP="00833B43">
      <w:pPr>
        <w:pStyle w:val="gmail-p7"/>
        <w:spacing w:before="0" w:beforeAutospacing="0" w:after="180" w:afterAutospacing="0"/>
        <w:rPr>
          <w:rFonts w:asciiTheme="minorHAnsi" w:hAnsiTheme="minorHAnsi" w:cstheme="minorHAnsi"/>
          <w:color w:val="000000"/>
          <w:sz w:val="22"/>
          <w:szCs w:val="22"/>
        </w:rPr>
      </w:pPr>
      <w:r w:rsidRPr="002F133D">
        <w:rPr>
          <w:rFonts w:asciiTheme="minorHAnsi" w:hAnsiTheme="minorHAnsi" w:cstheme="minorHAnsi"/>
          <w:color w:val="000000"/>
          <w:sz w:val="22"/>
          <w:szCs w:val="22"/>
        </w:rPr>
        <w:t xml:space="preserve">‌Coomber, R. and Moyle, L., 2018. The changing shape of street-level heroin and crack supply in England: Commuting, holidaying and cuckooing drug dealers across ‘county </w:t>
      </w:r>
      <w:proofErr w:type="gramStart"/>
      <w:r w:rsidRPr="002F133D">
        <w:rPr>
          <w:rFonts w:asciiTheme="minorHAnsi" w:hAnsiTheme="minorHAnsi" w:cstheme="minorHAnsi"/>
          <w:color w:val="000000"/>
          <w:sz w:val="22"/>
          <w:szCs w:val="22"/>
        </w:rPr>
        <w:t>lines’</w:t>
      </w:r>
      <w:proofErr w:type="gramEnd"/>
      <w:r w:rsidRPr="002F133D">
        <w:rPr>
          <w:rFonts w:asciiTheme="minorHAnsi" w:hAnsiTheme="minorHAnsi" w:cstheme="minorHAnsi"/>
          <w:color w:val="000000"/>
          <w:sz w:val="22"/>
          <w:szCs w:val="22"/>
        </w:rPr>
        <w:t>. </w:t>
      </w:r>
      <w:r w:rsidRPr="002F133D">
        <w:rPr>
          <w:rFonts w:asciiTheme="minorHAnsi" w:hAnsiTheme="minorHAnsi" w:cstheme="minorHAnsi"/>
          <w:i/>
          <w:iCs/>
          <w:color w:val="000000"/>
          <w:sz w:val="22"/>
          <w:szCs w:val="22"/>
        </w:rPr>
        <w:t>The British Journal of Criminology</w:t>
      </w:r>
      <w:r w:rsidRPr="002F133D">
        <w:rPr>
          <w:rFonts w:asciiTheme="minorHAnsi" w:hAnsiTheme="minorHAnsi" w:cstheme="minorHAnsi"/>
          <w:color w:val="000000"/>
          <w:sz w:val="22"/>
          <w:szCs w:val="22"/>
        </w:rPr>
        <w:t>, </w:t>
      </w:r>
      <w:r w:rsidRPr="002F133D">
        <w:rPr>
          <w:rFonts w:asciiTheme="minorHAnsi" w:hAnsiTheme="minorHAnsi" w:cstheme="minorHAnsi"/>
          <w:i/>
          <w:iCs/>
          <w:color w:val="000000"/>
          <w:sz w:val="22"/>
          <w:szCs w:val="22"/>
        </w:rPr>
        <w:t>58</w:t>
      </w:r>
      <w:r w:rsidRPr="002F133D">
        <w:rPr>
          <w:rFonts w:asciiTheme="minorHAnsi" w:hAnsiTheme="minorHAnsi" w:cstheme="minorHAnsi"/>
          <w:color w:val="000000"/>
          <w:sz w:val="22"/>
          <w:szCs w:val="22"/>
        </w:rPr>
        <w:t>(6), pp.1323-1342.</w:t>
      </w:r>
    </w:p>
    <w:p w14:paraId="4ADD3AEE" w14:textId="77777777" w:rsidR="00833B43" w:rsidRPr="002F133D" w:rsidRDefault="00833B43" w:rsidP="00833B43">
      <w:pPr>
        <w:pStyle w:val="gmail-p5"/>
        <w:spacing w:before="0" w:beforeAutospacing="0" w:after="0" w:afterAutospacing="0"/>
        <w:rPr>
          <w:rFonts w:asciiTheme="minorHAnsi" w:hAnsiTheme="minorHAnsi" w:cstheme="minorHAnsi"/>
          <w:color w:val="000000"/>
          <w:sz w:val="22"/>
          <w:szCs w:val="22"/>
        </w:rPr>
      </w:pPr>
      <w:r w:rsidRPr="002F133D">
        <w:rPr>
          <w:rFonts w:asciiTheme="minorHAnsi" w:hAnsiTheme="minorHAnsi" w:cstheme="minorHAnsi"/>
          <w:i/>
          <w:iCs/>
          <w:color w:val="000000"/>
          <w:sz w:val="22"/>
          <w:szCs w:val="22"/>
        </w:rPr>
        <w:t>Covert Human Intelligence Sources (Criminal Conduct) Act 2021</w:t>
      </w:r>
      <w:r w:rsidRPr="002F133D">
        <w:rPr>
          <w:rFonts w:asciiTheme="minorHAnsi" w:hAnsiTheme="minorHAnsi" w:cstheme="minorHAnsi"/>
          <w:color w:val="000000"/>
          <w:sz w:val="22"/>
          <w:szCs w:val="22"/>
        </w:rPr>
        <w:t xml:space="preserve">.Section 2 [online] Available at: </w:t>
      </w:r>
      <w:hyperlink r:id="rId12" w:history="1">
        <w:r w:rsidRPr="002F133D">
          <w:rPr>
            <w:rStyle w:val="Hyperlink"/>
            <w:rFonts w:asciiTheme="minorHAnsi" w:hAnsiTheme="minorHAnsi" w:cstheme="minorHAnsi"/>
            <w:sz w:val="22"/>
            <w:szCs w:val="22"/>
          </w:rPr>
          <w:t>https://www.legislation.gov.uk/ukpga/2021/4/section/2/enacted</w:t>
        </w:r>
      </w:hyperlink>
      <w:r w:rsidRPr="002F133D">
        <w:rPr>
          <w:rFonts w:asciiTheme="minorHAnsi" w:hAnsiTheme="minorHAnsi" w:cstheme="minorHAnsi"/>
          <w:color w:val="000000"/>
          <w:sz w:val="22"/>
          <w:szCs w:val="22"/>
        </w:rPr>
        <w:t xml:space="preserve"> [Accessed 22 Nov. 2023].</w:t>
      </w:r>
    </w:p>
    <w:p w14:paraId="242A9B79" w14:textId="77777777" w:rsidR="00833B43" w:rsidRPr="002F133D" w:rsidRDefault="00833B43" w:rsidP="00833B43">
      <w:pPr>
        <w:pStyle w:val="gmail-p5"/>
        <w:spacing w:before="0" w:beforeAutospacing="0" w:after="0" w:afterAutospacing="0"/>
        <w:rPr>
          <w:rFonts w:asciiTheme="minorHAnsi" w:hAnsiTheme="minorHAnsi" w:cstheme="minorHAnsi"/>
          <w:color w:val="000000"/>
          <w:sz w:val="22"/>
          <w:szCs w:val="22"/>
        </w:rPr>
      </w:pPr>
      <w:r w:rsidRPr="002F133D">
        <w:rPr>
          <w:rFonts w:asciiTheme="minorHAnsi" w:hAnsiTheme="minorHAnsi" w:cstheme="minorHAnsi"/>
          <w:i/>
          <w:iCs/>
          <w:color w:val="000000"/>
          <w:sz w:val="22"/>
          <w:szCs w:val="22"/>
        </w:rPr>
        <w:t>Criminal Justice Act 2003</w:t>
      </w:r>
      <w:r w:rsidRPr="002F133D">
        <w:rPr>
          <w:rFonts w:asciiTheme="minorHAnsi" w:hAnsiTheme="minorHAnsi" w:cstheme="minorHAnsi"/>
          <w:color w:val="000000"/>
          <w:sz w:val="22"/>
          <w:szCs w:val="22"/>
        </w:rPr>
        <w:t xml:space="preserve">.Section 325 - Section 327B [online] Available at: </w:t>
      </w:r>
      <w:hyperlink r:id="rId13" w:history="1">
        <w:r w:rsidRPr="002F133D">
          <w:rPr>
            <w:rStyle w:val="Hyperlink"/>
            <w:rFonts w:asciiTheme="minorHAnsi" w:hAnsiTheme="minorHAnsi" w:cstheme="minorHAnsi"/>
            <w:sz w:val="22"/>
            <w:szCs w:val="22"/>
          </w:rPr>
          <w:t>https://www.legislation.gov.uk/ukpga/2003/44/section/325/2010-05-05</w:t>
        </w:r>
      </w:hyperlink>
      <w:r w:rsidRPr="002F133D">
        <w:rPr>
          <w:rFonts w:asciiTheme="minorHAnsi" w:hAnsiTheme="minorHAnsi" w:cstheme="minorHAnsi"/>
          <w:color w:val="000000"/>
          <w:sz w:val="22"/>
          <w:szCs w:val="22"/>
        </w:rPr>
        <w:t xml:space="preserve"> [Accessed 22 Nov. 2023].</w:t>
      </w:r>
    </w:p>
    <w:p w14:paraId="119B30B9" w14:textId="77777777" w:rsidR="00833B43" w:rsidRPr="002F133D" w:rsidRDefault="00833B43" w:rsidP="00833B43">
      <w:pPr>
        <w:pStyle w:val="gmail-p3"/>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Crocker, R., Webb, S., Skidmore, M., Garner, S., Gill, M. and Graham, J., 2019. Tackling local organised crime groups: lessons from research in two UK cities. </w:t>
      </w:r>
      <w:r w:rsidRPr="002F133D">
        <w:rPr>
          <w:rFonts w:asciiTheme="minorHAnsi" w:hAnsiTheme="minorHAnsi" w:cstheme="minorHAnsi"/>
          <w:i/>
          <w:iCs/>
          <w:color w:val="1A1A1A"/>
          <w:sz w:val="22"/>
          <w:szCs w:val="22"/>
        </w:rPr>
        <w:t>Trends in Organized Crime</w:t>
      </w:r>
      <w:r w:rsidRPr="002F133D">
        <w:rPr>
          <w:rFonts w:asciiTheme="minorHAnsi" w:hAnsiTheme="minorHAnsi" w:cstheme="minorHAnsi"/>
          <w:color w:val="1A1A1A"/>
          <w:sz w:val="22"/>
          <w:szCs w:val="22"/>
        </w:rPr>
        <w:t>, </w:t>
      </w:r>
      <w:r w:rsidRPr="002F133D">
        <w:rPr>
          <w:rFonts w:asciiTheme="minorHAnsi" w:hAnsiTheme="minorHAnsi" w:cstheme="minorHAnsi"/>
          <w:i/>
          <w:iCs/>
          <w:color w:val="1A1A1A"/>
          <w:sz w:val="22"/>
          <w:szCs w:val="22"/>
        </w:rPr>
        <w:t>22</w:t>
      </w:r>
      <w:r w:rsidRPr="002F133D">
        <w:rPr>
          <w:rFonts w:asciiTheme="minorHAnsi" w:hAnsiTheme="minorHAnsi" w:cstheme="minorHAnsi"/>
          <w:color w:val="1A1A1A"/>
          <w:sz w:val="22"/>
          <w:szCs w:val="22"/>
        </w:rPr>
        <w:t>(4), pp.433-449.</w:t>
      </w:r>
    </w:p>
    <w:p w14:paraId="09A8F2CA" w14:textId="77777777" w:rsidR="00833B43" w:rsidRPr="002F133D" w:rsidRDefault="00833B43" w:rsidP="00833B43">
      <w:pPr>
        <w:pStyle w:val="gmail-p7"/>
        <w:spacing w:before="0" w:beforeAutospacing="0" w:after="180" w:afterAutospacing="0"/>
        <w:rPr>
          <w:rFonts w:asciiTheme="minorHAnsi" w:hAnsiTheme="minorHAnsi" w:cstheme="minorHAnsi"/>
          <w:color w:val="000000"/>
          <w:sz w:val="22"/>
          <w:szCs w:val="22"/>
        </w:rPr>
      </w:pPr>
      <w:r w:rsidRPr="002F133D">
        <w:rPr>
          <w:rFonts w:asciiTheme="minorHAnsi" w:hAnsiTheme="minorHAnsi" w:cstheme="minorHAnsi"/>
          <w:color w:val="000000"/>
          <w:sz w:val="22"/>
          <w:szCs w:val="22"/>
        </w:rPr>
        <w:t xml:space="preserve">‌Dau, P.M., </w:t>
      </w:r>
      <w:proofErr w:type="spellStart"/>
      <w:r w:rsidRPr="002F133D">
        <w:rPr>
          <w:rFonts w:asciiTheme="minorHAnsi" w:hAnsiTheme="minorHAnsi" w:cstheme="minorHAnsi"/>
          <w:color w:val="000000"/>
          <w:sz w:val="22"/>
          <w:szCs w:val="22"/>
        </w:rPr>
        <w:t>Vandeviver</w:t>
      </w:r>
      <w:proofErr w:type="spellEnd"/>
      <w:r w:rsidRPr="002F133D">
        <w:rPr>
          <w:rFonts w:asciiTheme="minorHAnsi" w:hAnsiTheme="minorHAnsi" w:cstheme="minorHAnsi"/>
          <w:color w:val="000000"/>
          <w:sz w:val="22"/>
          <w:szCs w:val="22"/>
        </w:rPr>
        <w:t xml:space="preserve">, C., Dewinter, M., </w:t>
      </w:r>
      <w:proofErr w:type="spellStart"/>
      <w:r w:rsidRPr="002F133D">
        <w:rPr>
          <w:rFonts w:asciiTheme="minorHAnsi" w:hAnsiTheme="minorHAnsi" w:cstheme="minorHAnsi"/>
          <w:color w:val="000000"/>
          <w:sz w:val="22"/>
          <w:szCs w:val="22"/>
        </w:rPr>
        <w:t>Witlox</w:t>
      </w:r>
      <w:proofErr w:type="spellEnd"/>
      <w:r w:rsidRPr="002F133D">
        <w:rPr>
          <w:rFonts w:asciiTheme="minorHAnsi" w:hAnsiTheme="minorHAnsi" w:cstheme="minorHAnsi"/>
          <w:color w:val="000000"/>
          <w:sz w:val="22"/>
          <w:szCs w:val="22"/>
        </w:rPr>
        <w:t>, F. and Vander Beken, T., 2023. Policing directions: A systematic review on the effectiveness of police presence. </w:t>
      </w:r>
      <w:r w:rsidRPr="002F133D">
        <w:rPr>
          <w:rFonts w:asciiTheme="minorHAnsi" w:hAnsiTheme="minorHAnsi" w:cstheme="minorHAnsi"/>
          <w:i/>
          <w:iCs/>
          <w:color w:val="000000"/>
          <w:sz w:val="22"/>
          <w:szCs w:val="22"/>
        </w:rPr>
        <w:t>European journal on criminal policy and research</w:t>
      </w:r>
      <w:r w:rsidRPr="002F133D">
        <w:rPr>
          <w:rFonts w:asciiTheme="minorHAnsi" w:hAnsiTheme="minorHAnsi" w:cstheme="minorHAnsi"/>
          <w:color w:val="000000"/>
          <w:sz w:val="22"/>
          <w:szCs w:val="22"/>
        </w:rPr>
        <w:t>, </w:t>
      </w:r>
      <w:r w:rsidRPr="002F133D">
        <w:rPr>
          <w:rFonts w:asciiTheme="minorHAnsi" w:hAnsiTheme="minorHAnsi" w:cstheme="minorHAnsi"/>
          <w:i/>
          <w:iCs/>
          <w:color w:val="000000"/>
          <w:sz w:val="22"/>
          <w:szCs w:val="22"/>
        </w:rPr>
        <w:t>29</w:t>
      </w:r>
      <w:r w:rsidRPr="002F133D">
        <w:rPr>
          <w:rFonts w:asciiTheme="minorHAnsi" w:hAnsiTheme="minorHAnsi" w:cstheme="minorHAnsi"/>
          <w:color w:val="000000"/>
          <w:sz w:val="22"/>
          <w:szCs w:val="22"/>
        </w:rPr>
        <w:t>(2), pp.191-225.</w:t>
      </w:r>
    </w:p>
    <w:p w14:paraId="3176F119" w14:textId="77777777" w:rsidR="00833B43" w:rsidRPr="002F133D" w:rsidRDefault="00833B43" w:rsidP="00833B43">
      <w:pPr>
        <w:pStyle w:val="gmail-p4"/>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 xml:space="preserve">Dear, K., Dutton, K. and Fox, E., 2019. Do ‘watching eyes’ influence antisocial </w:t>
      </w:r>
      <w:proofErr w:type="spellStart"/>
      <w:r w:rsidRPr="002F133D">
        <w:rPr>
          <w:rFonts w:asciiTheme="minorHAnsi" w:hAnsiTheme="minorHAnsi" w:cstheme="minorHAnsi"/>
          <w:color w:val="1A1A1A"/>
          <w:sz w:val="22"/>
          <w:szCs w:val="22"/>
        </w:rPr>
        <w:t>behavior</w:t>
      </w:r>
      <w:proofErr w:type="spellEnd"/>
      <w:r w:rsidRPr="002F133D">
        <w:rPr>
          <w:rFonts w:asciiTheme="minorHAnsi" w:hAnsiTheme="minorHAnsi" w:cstheme="minorHAnsi"/>
          <w:color w:val="1A1A1A"/>
          <w:sz w:val="22"/>
          <w:szCs w:val="22"/>
        </w:rPr>
        <w:t>? A systematic review &amp; meta-analysis. </w:t>
      </w:r>
      <w:r w:rsidRPr="002F133D">
        <w:rPr>
          <w:rFonts w:asciiTheme="minorHAnsi" w:hAnsiTheme="minorHAnsi" w:cstheme="minorHAnsi"/>
          <w:i/>
          <w:iCs/>
          <w:color w:val="1A1A1A"/>
          <w:sz w:val="22"/>
          <w:szCs w:val="22"/>
        </w:rPr>
        <w:t xml:space="preserve">Evolution and Human </w:t>
      </w:r>
      <w:proofErr w:type="spellStart"/>
      <w:r w:rsidRPr="002F133D">
        <w:rPr>
          <w:rFonts w:asciiTheme="minorHAnsi" w:hAnsiTheme="minorHAnsi" w:cstheme="minorHAnsi"/>
          <w:i/>
          <w:iCs/>
          <w:color w:val="1A1A1A"/>
          <w:sz w:val="22"/>
          <w:szCs w:val="22"/>
        </w:rPr>
        <w:t>Behavior</w:t>
      </w:r>
      <w:proofErr w:type="spellEnd"/>
      <w:r w:rsidRPr="002F133D">
        <w:rPr>
          <w:rFonts w:asciiTheme="minorHAnsi" w:hAnsiTheme="minorHAnsi" w:cstheme="minorHAnsi"/>
          <w:color w:val="1A1A1A"/>
          <w:sz w:val="22"/>
          <w:szCs w:val="22"/>
        </w:rPr>
        <w:t>, </w:t>
      </w:r>
      <w:r w:rsidRPr="002F133D">
        <w:rPr>
          <w:rFonts w:asciiTheme="minorHAnsi" w:hAnsiTheme="minorHAnsi" w:cstheme="minorHAnsi"/>
          <w:i/>
          <w:iCs/>
          <w:color w:val="1A1A1A"/>
          <w:sz w:val="22"/>
          <w:szCs w:val="22"/>
        </w:rPr>
        <w:t>40</w:t>
      </w:r>
      <w:r w:rsidRPr="002F133D">
        <w:rPr>
          <w:rFonts w:asciiTheme="minorHAnsi" w:hAnsiTheme="minorHAnsi" w:cstheme="minorHAnsi"/>
          <w:color w:val="1A1A1A"/>
          <w:sz w:val="22"/>
          <w:szCs w:val="22"/>
        </w:rPr>
        <w:t>(3), pp.269-280.</w:t>
      </w:r>
    </w:p>
    <w:p w14:paraId="3B0C0B06" w14:textId="77777777" w:rsidR="00833B43" w:rsidRPr="002F133D" w:rsidRDefault="00833B43" w:rsidP="00833B43">
      <w:pPr>
        <w:pStyle w:val="gmail-p3"/>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Dixon, D., 2009. From criminal justice to control process: Interrogation in a changing context. </w:t>
      </w:r>
      <w:r w:rsidRPr="002F133D">
        <w:rPr>
          <w:rFonts w:asciiTheme="minorHAnsi" w:hAnsiTheme="minorHAnsi" w:cstheme="minorHAnsi"/>
          <w:i/>
          <w:iCs/>
          <w:color w:val="1A1A1A"/>
          <w:sz w:val="22"/>
          <w:szCs w:val="22"/>
        </w:rPr>
        <w:t>Handbook of Psychology of Investigative Interviewing: Current Developments and Future Directions</w:t>
      </w:r>
      <w:r w:rsidRPr="002F133D">
        <w:rPr>
          <w:rFonts w:asciiTheme="minorHAnsi" w:hAnsiTheme="minorHAnsi" w:cstheme="minorHAnsi"/>
          <w:color w:val="1A1A1A"/>
          <w:sz w:val="22"/>
          <w:szCs w:val="22"/>
        </w:rPr>
        <w:t>, pp.91-108.</w:t>
      </w:r>
    </w:p>
    <w:p w14:paraId="580FAED5" w14:textId="77777777" w:rsidR="00833B43" w:rsidRPr="002F133D" w:rsidRDefault="00833B43" w:rsidP="00833B43">
      <w:pPr>
        <w:pStyle w:val="gmail-p3"/>
        <w:spacing w:before="0" w:beforeAutospacing="0" w:after="0" w:afterAutospacing="0"/>
        <w:rPr>
          <w:rFonts w:asciiTheme="minorHAnsi" w:hAnsiTheme="minorHAnsi" w:cstheme="minorHAnsi"/>
          <w:color w:val="1A1A1A"/>
          <w:sz w:val="22"/>
          <w:szCs w:val="22"/>
        </w:rPr>
      </w:pPr>
      <w:proofErr w:type="spellStart"/>
      <w:r w:rsidRPr="002F133D">
        <w:rPr>
          <w:rFonts w:asciiTheme="minorHAnsi" w:hAnsiTheme="minorHAnsi" w:cstheme="minorHAnsi"/>
          <w:color w:val="1A1A1A"/>
          <w:sz w:val="22"/>
          <w:szCs w:val="22"/>
        </w:rPr>
        <w:t>Finckenauer</w:t>
      </w:r>
      <w:proofErr w:type="spellEnd"/>
      <w:r w:rsidRPr="002F133D">
        <w:rPr>
          <w:rFonts w:asciiTheme="minorHAnsi" w:hAnsiTheme="minorHAnsi" w:cstheme="minorHAnsi"/>
          <w:color w:val="1A1A1A"/>
          <w:sz w:val="22"/>
          <w:szCs w:val="22"/>
        </w:rPr>
        <w:t xml:space="preserve">, J.O., 2005. Problems of definition: what is organized </w:t>
      </w:r>
      <w:proofErr w:type="gramStart"/>
      <w:r w:rsidRPr="002F133D">
        <w:rPr>
          <w:rFonts w:asciiTheme="minorHAnsi" w:hAnsiTheme="minorHAnsi" w:cstheme="minorHAnsi"/>
          <w:color w:val="1A1A1A"/>
          <w:sz w:val="22"/>
          <w:szCs w:val="22"/>
        </w:rPr>
        <w:t>crime?.</w:t>
      </w:r>
      <w:proofErr w:type="gramEnd"/>
      <w:r w:rsidRPr="002F133D">
        <w:rPr>
          <w:rFonts w:asciiTheme="minorHAnsi" w:hAnsiTheme="minorHAnsi" w:cstheme="minorHAnsi"/>
          <w:color w:val="1A1A1A"/>
          <w:sz w:val="22"/>
          <w:szCs w:val="22"/>
        </w:rPr>
        <w:t> </w:t>
      </w:r>
      <w:r w:rsidRPr="002F133D">
        <w:rPr>
          <w:rFonts w:asciiTheme="minorHAnsi" w:hAnsiTheme="minorHAnsi" w:cstheme="minorHAnsi"/>
          <w:i/>
          <w:iCs/>
          <w:color w:val="1A1A1A"/>
          <w:sz w:val="22"/>
          <w:szCs w:val="22"/>
        </w:rPr>
        <w:t>Trends in organized crime</w:t>
      </w:r>
      <w:r w:rsidRPr="002F133D">
        <w:rPr>
          <w:rFonts w:asciiTheme="minorHAnsi" w:hAnsiTheme="minorHAnsi" w:cstheme="minorHAnsi"/>
          <w:color w:val="1A1A1A"/>
          <w:sz w:val="22"/>
          <w:szCs w:val="22"/>
        </w:rPr>
        <w:t>, </w:t>
      </w:r>
      <w:r w:rsidRPr="002F133D">
        <w:rPr>
          <w:rFonts w:asciiTheme="minorHAnsi" w:hAnsiTheme="minorHAnsi" w:cstheme="minorHAnsi"/>
          <w:i/>
          <w:iCs/>
          <w:color w:val="1A1A1A"/>
          <w:sz w:val="22"/>
          <w:szCs w:val="22"/>
        </w:rPr>
        <w:t>8</w:t>
      </w:r>
      <w:r w:rsidRPr="002F133D">
        <w:rPr>
          <w:rFonts w:asciiTheme="minorHAnsi" w:hAnsiTheme="minorHAnsi" w:cstheme="minorHAnsi"/>
          <w:color w:val="1A1A1A"/>
          <w:sz w:val="22"/>
          <w:szCs w:val="22"/>
        </w:rPr>
        <w:t>(3), pp.63-83.</w:t>
      </w:r>
    </w:p>
    <w:p w14:paraId="6CB3106C" w14:textId="77777777" w:rsidR="00833B43" w:rsidRPr="002F133D" w:rsidRDefault="00833B43" w:rsidP="00833B43">
      <w:pPr>
        <w:pStyle w:val="gmail-p5"/>
        <w:spacing w:before="0" w:beforeAutospacing="0" w:after="0" w:afterAutospacing="0"/>
        <w:rPr>
          <w:rFonts w:asciiTheme="minorHAnsi" w:hAnsiTheme="minorHAnsi" w:cstheme="minorHAnsi"/>
          <w:color w:val="000000"/>
          <w:sz w:val="22"/>
          <w:szCs w:val="22"/>
        </w:rPr>
      </w:pPr>
      <w:hyperlink r:id="rId14" w:history="1">
        <w:r w:rsidRPr="002F133D">
          <w:rPr>
            <w:rStyle w:val="Hyperlink"/>
            <w:rFonts w:asciiTheme="minorHAnsi" w:hAnsiTheme="minorHAnsi" w:cstheme="minorHAnsi"/>
            <w:sz w:val="22"/>
            <w:szCs w:val="22"/>
          </w:rPr>
          <w:t>GOV.UK</w:t>
        </w:r>
      </w:hyperlink>
      <w:r w:rsidRPr="002F133D">
        <w:rPr>
          <w:rFonts w:asciiTheme="minorHAnsi" w:hAnsiTheme="minorHAnsi" w:cstheme="minorHAnsi"/>
          <w:color w:val="000000"/>
          <w:sz w:val="22"/>
          <w:szCs w:val="22"/>
        </w:rPr>
        <w:t>. (n.d.). </w:t>
      </w:r>
      <w:r w:rsidRPr="002F133D">
        <w:rPr>
          <w:rFonts w:asciiTheme="minorHAnsi" w:hAnsiTheme="minorHAnsi" w:cstheme="minorHAnsi"/>
          <w:i/>
          <w:iCs/>
          <w:color w:val="000000"/>
          <w:sz w:val="22"/>
          <w:szCs w:val="22"/>
        </w:rPr>
        <w:t>Serious and Organised Crime Strategy (accessible version)</w:t>
      </w:r>
      <w:r w:rsidRPr="002F133D">
        <w:rPr>
          <w:rFonts w:asciiTheme="minorHAnsi" w:hAnsiTheme="minorHAnsi" w:cstheme="minorHAnsi"/>
          <w:color w:val="000000"/>
          <w:sz w:val="22"/>
          <w:szCs w:val="22"/>
        </w:rPr>
        <w:t xml:space="preserve">. [online] Available at: </w:t>
      </w:r>
      <w:hyperlink r:id="rId15" w:history="1">
        <w:r w:rsidRPr="002F133D">
          <w:rPr>
            <w:rStyle w:val="Hyperlink"/>
            <w:rFonts w:asciiTheme="minorHAnsi" w:hAnsiTheme="minorHAnsi" w:cstheme="minorHAnsi"/>
            <w:sz w:val="22"/>
            <w:szCs w:val="22"/>
          </w:rPr>
          <w:t>https://www.gov.uk/government/publications/serious-and-organised-crime-strategy-2018/serious-and-organised-crime-strategy-accessible-version</w:t>
        </w:r>
      </w:hyperlink>
      <w:r w:rsidRPr="002F133D">
        <w:rPr>
          <w:rFonts w:asciiTheme="minorHAnsi" w:hAnsiTheme="minorHAnsi" w:cstheme="minorHAnsi"/>
          <w:color w:val="000000"/>
          <w:sz w:val="22"/>
          <w:szCs w:val="22"/>
        </w:rPr>
        <w:t>.</w:t>
      </w:r>
    </w:p>
    <w:p w14:paraId="2C89E06B" w14:textId="77777777" w:rsidR="00833B43" w:rsidRPr="002F133D" w:rsidRDefault="00833B43" w:rsidP="00833B43">
      <w:pPr>
        <w:pStyle w:val="gmail-p4"/>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Gul, S., 2009. An evaluation of rational choice theory in criminology. </w:t>
      </w:r>
      <w:proofErr w:type="spellStart"/>
      <w:r w:rsidRPr="002F133D">
        <w:rPr>
          <w:rFonts w:asciiTheme="minorHAnsi" w:hAnsiTheme="minorHAnsi" w:cstheme="minorHAnsi"/>
          <w:i/>
          <w:iCs/>
          <w:color w:val="1A1A1A"/>
          <w:sz w:val="22"/>
          <w:szCs w:val="22"/>
        </w:rPr>
        <w:t>Girne</w:t>
      </w:r>
      <w:proofErr w:type="spellEnd"/>
      <w:r w:rsidRPr="002F133D">
        <w:rPr>
          <w:rFonts w:asciiTheme="minorHAnsi" w:hAnsiTheme="minorHAnsi" w:cstheme="minorHAnsi"/>
          <w:i/>
          <w:iCs/>
          <w:color w:val="1A1A1A"/>
          <w:sz w:val="22"/>
          <w:szCs w:val="22"/>
        </w:rPr>
        <w:t xml:space="preserve"> American University Journal of Sociology and Applied Science</w:t>
      </w:r>
      <w:r w:rsidRPr="002F133D">
        <w:rPr>
          <w:rFonts w:asciiTheme="minorHAnsi" w:hAnsiTheme="minorHAnsi" w:cstheme="minorHAnsi"/>
          <w:color w:val="1A1A1A"/>
          <w:sz w:val="22"/>
          <w:szCs w:val="22"/>
        </w:rPr>
        <w:t>, </w:t>
      </w:r>
      <w:r w:rsidRPr="002F133D">
        <w:rPr>
          <w:rFonts w:asciiTheme="minorHAnsi" w:hAnsiTheme="minorHAnsi" w:cstheme="minorHAnsi"/>
          <w:i/>
          <w:iCs/>
          <w:color w:val="1A1A1A"/>
          <w:sz w:val="22"/>
          <w:szCs w:val="22"/>
        </w:rPr>
        <w:t>4</w:t>
      </w:r>
      <w:r w:rsidRPr="002F133D">
        <w:rPr>
          <w:rFonts w:asciiTheme="minorHAnsi" w:hAnsiTheme="minorHAnsi" w:cstheme="minorHAnsi"/>
          <w:color w:val="1A1A1A"/>
          <w:sz w:val="22"/>
          <w:szCs w:val="22"/>
        </w:rPr>
        <w:t>(8), pp.36-44.</w:t>
      </w:r>
    </w:p>
    <w:p w14:paraId="407332FA" w14:textId="77777777" w:rsidR="00833B43" w:rsidRPr="002F133D" w:rsidRDefault="00833B43" w:rsidP="00833B43">
      <w:pPr>
        <w:pStyle w:val="gmail-p3"/>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 xml:space="preserve">Hinton, M.E., </w:t>
      </w:r>
      <w:proofErr w:type="spellStart"/>
      <w:r w:rsidRPr="002F133D">
        <w:rPr>
          <w:rFonts w:asciiTheme="minorHAnsi" w:hAnsiTheme="minorHAnsi" w:cstheme="minorHAnsi"/>
          <w:color w:val="1A1A1A"/>
          <w:sz w:val="22"/>
          <w:szCs w:val="22"/>
        </w:rPr>
        <w:t>Tillyer</w:t>
      </w:r>
      <w:proofErr w:type="spellEnd"/>
      <w:r w:rsidRPr="002F133D">
        <w:rPr>
          <w:rFonts w:asciiTheme="minorHAnsi" w:hAnsiTheme="minorHAnsi" w:cstheme="minorHAnsi"/>
          <w:color w:val="1A1A1A"/>
          <w:sz w:val="22"/>
          <w:szCs w:val="22"/>
        </w:rPr>
        <w:t xml:space="preserve">, M.S. and </w:t>
      </w:r>
      <w:proofErr w:type="spellStart"/>
      <w:r w:rsidRPr="002F133D">
        <w:rPr>
          <w:rFonts w:asciiTheme="minorHAnsi" w:hAnsiTheme="minorHAnsi" w:cstheme="minorHAnsi"/>
          <w:color w:val="1A1A1A"/>
          <w:sz w:val="22"/>
          <w:szCs w:val="22"/>
        </w:rPr>
        <w:t>Tillyer</w:t>
      </w:r>
      <w:proofErr w:type="spellEnd"/>
      <w:r w:rsidRPr="002F133D">
        <w:rPr>
          <w:rFonts w:asciiTheme="minorHAnsi" w:hAnsiTheme="minorHAnsi" w:cstheme="minorHAnsi"/>
          <w:color w:val="1A1A1A"/>
          <w:sz w:val="22"/>
          <w:szCs w:val="22"/>
        </w:rPr>
        <w:t>, R., 2021. Victimization, offending, and expectations for future success among high-risk youth. </w:t>
      </w:r>
      <w:r w:rsidRPr="002F133D">
        <w:rPr>
          <w:rFonts w:asciiTheme="minorHAnsi" w:hAnsiTheme="minorHAnsi" w:cstheme="minorHAnsi"/>
          <w:i/>
          <w:iCs/>
          <w:color w:val="1A1A1A"/>
          <w:sz w:val="22"/>
          <w:szCs w:val="22"/>
        </w:rPr>
        <w:t xml:space="preserve">Deviant </w:t>
      </w:r>
      <w:proofErr w:type="spellStart"/>
      <w:r w:rsidRPr="002F133D">
        <w:rPr>
          <w:rFonts w:asciiTheme="minorHAnsi" w:hAnsiTheme="minorHAnsi" w:cstheme="minorHAnsi"/>
          <w:i/>
          <w:iCs/>
          <w:color w:val="1A1A1A"/>
          <w:sz w:val="22"/>
          <w:szCs w:val="22"/>
        </w:rPr>
        <w:t>Behavior</w:t>
      </w:r>
      <w:proofErr w:type="spellEnd"/>
      <w:r w:rsidRPr="002F133D">
        <w:rPr>
          <w:rFonts w:asciiTheme="minorHAnsi" w:hAnsiTheme="minorHAnsi" w:cstheme="minorHAnsi"/>
          <w:color w:val="1A1A1A"/>
          <w:sz w:val="22"/>
          <w:szCs w:val="22"/>
        </w:rPr>
        <w:t>, </w:t>
      </w:r>
      <w:r w:rsidRPr="002F133D">
        <w:rPr>
          <w:rFonts w:asciiTheme="minorHAnsi" w:hAnsiTheme="minorHAnsi" w:cstheme="minorHAnsi"/>
          <w:i/>
          <w:iCs/>
          <w:color w:val="1A1A1A"/>
          <w:sz w:val="22"/>
          <w:szCs w:val="22"/>
        </w:rPr>
        <w:t>42</w:t>
      </w:r>
      <w:r w:rsidRPr="002F133D">
        <w:rPr>
          <w:rFonts w:asciiTheme="minorHAnsi" w:hAnsiTheme="minorHAnsi" w:cstheme="minorHAnsi"/>
          <w:color w:val="1A1A1A"/>
          <w:sz w:val="22"/>
          <w:szCs w:val="22"/>
        </w:rPr>
        <w:t>(6), pp.777-791.</w:t>
      </w:r>
    </w:p>
    <w:p w14:paraId="1E776CF3" w14:textId="77777777" w:rsidR="00833B43" w:rsidRPr="002F133D" w:rsidRDefault="00833B43" w:rsidP="00833B43">
      <w:pPr>
        <w:pStyle w:val="gmail-p5"/>
        <w:spacing w:before="0" w:beforeAutospacing="0" w:after="0" w:afterAutospacing="0"/>
        <w:rPr>
          <w:rFonts w:asciiTheme="minorHAnsi" w:hAnsiTheme="minorHAnsi" w:cstheme="minorHAnsi"/>
          <w:color w:val="000000"/>
          <w:sz w:val="22"/>
          <w:szCs w:val="22"/>
        </w:rPr>
      </w:pPr>
      <w:r w:rsidRPr="002F133D">
        <w:rPr>
          <w:rFonts w:asciiTheme="minorHAnsi" w:hAnsiTheme="minorHAnsi" w:cstheme="minorHAnsi"/>
          <w:color w:val="000000"/>
          <w:sz w:val="22"/>
          <w:szCs w:val="22"/>
        </w:rPr>
        <w:t>Home Office (2021). </w:t>
      </w:r>
      <w:r w:rsidRPr="002F133D">
        <w:rPr>
          <w:rFonts w:asciiTheme="minorHAnsi" w:hAnsiTheme="minorHAnsi" w:cstheme="minorHAnsi"/>
          <w:i/>
          <w:iCs/>
          <w:color w:val="000000"/>
          <w:sz w:val="22"/>
          <w:szCs w:val="22"/>
        </w:rPr>
        <w:t>Covert Human Intelligence Sources Bill Factsheet (accessible version)</w:t>
      </w:r>
      <w:r w:rsidRPr="002F133D">
        <w:rPr>
          <w:rFonts w:asciiTheme="minorHAnsi" w:hAnsiTheme="minorHAnsi" w:cstheme="minorHAnsi"/>
          <w:color w:val="000000"/>
          <w:sz w:val="22"/>
          <w:szCs w:val="22"/>
        </w:rPr>
        <w:t xml:space="preserve">. [online] </w:t>
      </w:r>
      <w:hyperlink r:id="rId16" w:history="1">
        <w:r w:rsidRPr="002F133D">
          <w:rPr>
            <w:rStyle w:val="Hyperlink"/>
            <w:rFonts w:asciiTheme="minorHAnsi" w:hAnsiTheme="minorHAnsi" w:cstheme="minorHAnsi"/>
            <w:sz w:val="22"/>
            <w:szCs w:val="22"/>
          </w:rPr>
          <w:t>GOV.UK</w:t>
        </w:r>
      </w:hyperlink>
      <w:r w:rsidRPr="002F133D">
        <w:rPr>
          <w:rFonts w:asciiTheme="minorHAnsi" w:hAnsiTheme="minorHAnsi" w:cstheme="minorHAnsi"/>
          <w:color w:val="000000"/>
          <w:sz w:val="22"/>
          <w:szCs w:val="22"/>
        </w:rPr>
        <w:t xml:space="preserve">. Available at: </w:t>
      </w:r>
      <w:hyperlink r:id="rId17" w:history="1">
        <w:r w:rsidRPr="002F133D">
          <w:rPr>
            <w:rStyle w:val="Hyperlink"/>
            <w:rFonts w:asciiTheme="minorHAnsi" w:hAnsiTheme="minorHAnsi" w:cstheme="minorHAnsi"/>
            <w:sz w:val="22"/>
            <w:szCs w:val="22"/>
          </w:rPr>
          <w:t>https://www.gov.uk/government/publications/covert-human-intelligence-sources-draft-code-of-practice/covert-human-intelligence-sources-bill-factsheet-accessible-version</w:t>
        </w:r>
      </w:hyperlink>
      <w:r w:rsidRPr="002F133D">
        <w:rPr>
          <w:rFonts w:asciiTheme="minorHAnsi" w:hAnsiTheme="minorHAnsi" w:cstheme="minorHAnsi"/>
          <w:color w:val="000000"/>
          <w:sz w:val="22"/>
          <w:szCs w:val="22"/>
        </w:rPr>
        <w:t>.</w:t>
      </w:r>
    </w:p>
    <w:p w14:paraId="669B6EBB" w14:textId="77777777" w:rsidR="00833B43" w:rsidRPr="002F133D" w:rsidRDefault="00833B43" w:rsidP="00833B43">
      <w:pPr>
        <w:pStyle w:val="gmail-p5"/>
        <w:spacing w:before="0" w:beforeAutospacing="0" w:after="0" w:afterAutospacing="0"/>
        <w:rPr>
          <w:rFonts w:asciiTheme="minorHAnsi" w:hAnsiTheme="minorHAnsi" w:cstheme="minorHAnsi"/>
          <w:color w:val="000000"/>
          <w:sz w:val="22"/>
          <w:szCs w:val="22"/>
        </w:rPr>
      </w:pPr>
      <w:r w:rsidRPr="002F133D">
        <w:rPr>
          <w:rFonts w:asciiTheme="minorHAnsi" w:hAnsiTheme="minorHAnsi" w:cstheme="minorHAnsi"/>
          <w:color w:val="000000"/>
          <w:sz w:val="22"/>
          <w:szCs w:val="22"/>
        </w:rPr>
        <w:t>House of Commons (2019). </w:t>
      </w:r>
      <w:r w:rsidRPr="002F133D">
        <w:rPr>
          <w:rFonts w:asciiTheme="minorHAnsi" w:hAnsiTheme="minorHAnsi" w:cstheme="minorHAnsi"/>
          <w:i/>
          <w:iCs/>
          <w:color w:val="000000"/>
          <w:sz w:val="22"/>
          <w:szCs w:val="22"/>
        </w:rPr>
        <w:t>Serious and Organised Crime One Hundred and Nineteenth Report of Session 2017-19 Report, Together with Formal Minutes Relating to the Report</w:t>
      </w:r>
      <w:r w:rsidRPr="002F133D">
        <w:rPr>
          <w:rFonts w:asciiTheme="minorHAnsi" w:hAnsiTheme="minorHAnsi" w:cstheme="minorHAnsi"/>
          <w:color w:val="000000"/>
          <w:sz w:val="22"/>
          <w:szCs w:val="22"/>
        </w:rPr>
        <w:t xml:space="preserve">. [online] Available at: </w:t>
      </w:r>
      <w:hyperlink r:id="rId18" w:history="1">
        <w:r w:rsidRPr="002F133D">
          <w:rPr>
            <w:rStyle w:val="Hyperlink"/>
            <w:rFonts w:asciiTheme="minorHAnsi" w:hAnsiTheme="minorHAnsi" w:cstheme="minorHAnsi"/>
            <w:sz w:val="22"/>
            <w:szCs w:val="22"/>
          </w:rPr>
          <w:t>https://publications.parliament.uk/pa/cm201719/cmselect/cmpubacc/2049/2049.pdf</w:t>
        </w:r>
      </w:hyperlink>
      <w:r w:rsidRPr="002F133D">
        <w:rPr>
          <w:rFonts w:asciiTheme="minorHAnsi" w:hAnsiTheme="minorHAnsi" w:cstheme="minorHAnsi"/>
          <w:color w:val="000000"/>
          <w:sz w:val="22"/>
          <w:szCs w:val="22"/>
        </w:rPr>
        <w:t>.</w:t>
      </w:r>
    </w:p>
    <w:p w14:paraId="73F3EE92" w14:textId="77777777" w:rsidR="00833B43" w:rsidRPr="002F133D" w:rsidRDefault="00833B43" w:rsidP="00833B43">
      <w:pPr>
        <w:pStyle w:val="gmail-p3"/>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 xml:space="preserve">Innes, M. and </w:t>
      </w:r>
      <w:proofErr w:type="spellStart"/>
      <w:r w:rsidRPr="002F133D">
        <w:rPr>
          <w:rFonts w:asciiTheme="minorHAnsi" w:hAnsiTheme="minorHAnsi" w:cstheme="minorHAnsi"/>
          <w:color w:val="1A1A1A"/>
          <w:sz w:val="22"/>
          <w:szCs w:val="22"/>
        </w:rPr>
        <w:t>Sheptycki</w:t>
      </w:r>
      <w:proofErr w:type="spellEnd"/>
      <w:r w:rsidRPr="002F133D">
        <w:rPr>
          <w:rFonts w:asciiTheme="minorHAnsi" w:hAnsiTheme="minorHAnsi" w:cstheme="minorHAnsi"/>
          <w:color w:val="1A1A1A"/>
          <w:sz w:val="22"/>
          <w:szCs w:val="22"/>
        </w:rPr>
        <w:t>, J.W., 2004. From detection to disruption. </w:t>
      </w:r>
      <w:r w:rsidRPr="002F133D">
        <w:rPr>
          <w:rFonts w:asciiTheme="minorHAnsi" w:hAnsiTheme="minorHAnsi" w:cstheme="minorHAnsi"/>
          <w:i/>
          <w:iCs/>
          <w:color w:val="1A1A1A"/>
          <w:sz w:val="22"/>
          <w:szCs w:val="22"/>
        </w:rPr>
        <w:t>International criminal justice review</w:t>
      </w:r>
      <w:r w:rsidRPr="002F133D">
        <w:rPr>
          <w:rFonts w:asciiTheme="minorHAnsi" w:hAnsiTheme="minorHAnsi" w:cstheme="minorHAnsi"/>
          <w:color w:val="1A1A1A"/>
          <w:sz w:val="22"/>
          <w:szCs w:val="22"/>
        </w:rPr>
        <w:t>, </w:t>
      </w:r>
      <w:r w:rsidRPr="002F133D">
        <w:rPr>
          <w:rFonts w:asciiTheme="minorHAnsi" w:hAnsiTheme="minorHAnsi" w:cstheme="minorHAnsi"/>
          <w:i/>
          <w:iCs/>
          <w:color w:val="1A1A1A"/>
          <w:sz w:val="22"/>
          <w:szCs w:val="22"/>
        </w:rPr>
        <w:t>14</w:t>
      </w:r>
      <w:r w:rsidRPr="002F133D">
        <w:rPr>
          <w:rFonts w:asciiTheme="minorHAnsi" w:hAnsiTheme="minorHAnsi" w:cstheme="minorHAnsi"/>
          <w:color w:val="1A1A1A"/>
          <w:sz w:val="22"/>
          <w:szCs w:val="22"/>
        </w:rPr>
        <w:t>(1), pp.1-24.</w:t>
      </w:r>
    </w:p>
    <w:p w14:paraId="701453CB" w14:textId="77777777" w:rsidR="00833B43" w:rsidRPr="002F133D" w:rsidRDefault="00833B43" w:rsidP="00833B43">
      <w:pPr>
        <w:pStyle w:val="gmail-p3"/>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James, A., 2013. </w:t>
      </w:r>
      <w:r w:rsidRPr="002F133D">
        <w:rPr>
          <w:rFonts w:asciiTheme="minorHAnsi" w:hAnsiTheme="minorHAnsi" w:cstheme="minorHAnsi"/>
          <w:i/>
          <w:iCs/>
          <w:color w:val="1A1A1A"/>
          <w:sz w:val="22"/>
          <w:szCs w:val="22"/>
        </w:rPr>
        <w:t xml:space="preserve">Examining intelligence-led policing: Developments in research, </w:t>
      </w:r>
      <w:proofErr w:type="gramStart"/>
      <w:r w:rsidRPr="002F133D">
        <w:rPr>
          <w:rFonts w:asciiTheme="minorHAnsi" w:hAnsiTheme="minorHAnsi" w:cstheme="minorHAnsi"/>
          <w:i/>
          <w:iCs/>
          <w:color w:val="1A1A1A"/>
          <w:sz w:val="22"/>
          <w:szCs w:val="22"/>
        </w:rPr>
        <w:t>policy</w:t>
      </w:r>
      <w:proofErr w:type="gramEnd"/>
      <w:r w:rsidRPr="002F133D">
        <w:rPr>
          <w:rFonts w:asciiTheme="minorHAnsi" w:hAnsiTheme="minorHAnsi" w:cstheme="minorHAnsi"/>
          <w:i/>
          <w:iCs/>
          <w:color w:val="1A1A1A"/>
          <w:sz w:val="22"/>
          <w:szCs w:val="22"/>
        </w:rPr>
        <w:t xml:space="preserve"> and practice</w:t>
      </w:r>
      <w:r w:rsidRPr="002F133D">
        <w:rPr>
          <w:rFonts w:asciiTheme="minorHAnsi" w:hAnsiTheme="minorHAnsi" w:cstheme="minorHAnsi"/>
          <w:color w:val="1A1A1A"/>
          <w:sz w:val="22"/>
          <w:szCs w:val="22"/>
        </w:rPr>
        <w:t> (p. 227). Basingstoke: Palgrave Macmillan.</w:t>
      </w:r>
    </w:p>
    <w:p w14:paraId="56DF7D38" w14:textId="77777777" w:rsidR="00833B43" w:rsidRPr="002F133D" w:rsidRDefault="00833B43" w:rsidP="00833B43">
      <w:pPr>
        <w:pStyle w:val="gmail-p4"/>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Jeffery, C.R., 1971. Crime prevention through environmental design. </w:t>
      </w:r>
      <w:r w:rsidRPr="002F133D">
        <w:rPr>
          <w:rFonts w:asciiTheme="minorHAnsi" w:hAnsiTheme="minorHAnsi" w:cstheme="minorHAnsi"/>
          <w:i/>
          <w:iCs/>
          <w:color w:val="1A1A1A"/>
          <w:sz w:val="22"/>
          <w:szCs w:val="22"/>
        </w:rPr>
        <w:t xml:space="preserve">American </w:t>
      </w:r>
      <w:proofErr w:type="spellStart"/>
      <w:r w:rsidRPr="002F133D">
        <w:rPr>
          <w:rFonts w:asciiTheme="minorHAnsi" w:hAnsiTheme="minorHAnsi" w:cstheme="minorHAnsi"/>
          <w:i/>
          <w:iCs/>
          <w:color w:val="1A1A1A"/>
          <w:sz w:val="22"/>
          <w:szCs w:val="22"/>
        </w:rPr>
        <w:t>Behavioral</w:t>
      </w:r>
      <w:proofErr w:type="spellEnd"/>
      <w:r w:rsidRPr="002F133D">
        <w:rPr>
          <w:rFonts w:asciiTheme="minorHAnsi" w:hAnsiTheme="minorHAnsi" w:cstheme="minorHAnsi"/>
          <w:i/>
          <w:iCs/>
          <w:color w:val="1A1A1A"/>
          <w:sz w:val="22"/>
          <w:szCs w:val="22"/>
        </w:rPr>
        <w:t xml:space="preserve"> Scientist</w:t>
      </w:r>
      <w:r w:rsidRPr="002F133D">
        <w:rPr>
          <w:rFonts w:asciiTheme="minorHAnsi" w:hAnsiTheme="minorHAnsi" w:cstheme="minorHAnsi"/>
          <w:color w:val="1A1A1A"/>
          <w:sz w:val="22"/>
          <w:szCs w:val="22"/>
        </w:rPr>
        <w:t>, </w:t>
      </w:r>
      <w:r w:rsidRPr="002F133D">
        <w:rPr>
          <w:rFonts w:asciiTheme="minorHAnsi" w:hAnsiTheme="minorHAnsi" w:cstheme="minorHAnsi"/>
          <w:i/>
          <w:iCs/>
          <w:color w:val="1A1A1A"/>
          <w:sz w:val="22"/>
          <w:szCs w:val="22"/>
        </w:rPr>
        <w:t>14</w:t>
      </w:r>
      <w:r w:rsidRPr="002F133D">
        <w:rPr>
          <w:rFonts w:asciiTheme="minorHAnsi" w:hAnsiTheme="minorHAnsi" w:cstheme="minorHAnsi"/>
          <w:color w:val="1A1A1A"/>
          <w:sz w:val="22"/>
          <w:szCs w:val="22"/>
        </w:rPr>
        <w:t>(4), pp.598-598.</w:t>
      </w:r>
    </w:p>
    <w:p w14:paraId="56D3AB87" w14:textId="77777777" w:rsidR="00833B43" w:rsidRPr="002F133D" w:rsidRDefault="00833B43" w:rsidP="00833B43">
      <w:pPr>
        <w:pStyle w:val="gmail-p3"/>
        <w:spacing w:before="0" w:beforeAutospacing="0" w:after="0" w:afterAutospacing="0"/>
        <w:rPr>
          <w:rFonts w:asciiTheme="minorHAnsi" w:hAnsiTheme="minorHAnsi" w:cstheme="minorHAnsi"/>
          <w:color w:val="1A1A1A"/>
          <w:sz w:val="22"/>
          <w:szCs w:val="22"/>
        </w:rPr>
      </w:pPr>
      <w:proofErr w:type="gramStart"/>
      <w:r w:rsidRPr="002F133D">
        <w:rPr>
          <w:rFonts w:asciiTheme="minorHAnsi" w:hAnsiTheme="minorHAnsi" w:cstheme="minorHAnsi"/>
          <w:color w:val="1A1A1A"/>
          <w:sz w:val="22"/>
          <w:szCs w:val="22"/>
        </w:rPr>
        <w:t>Kassin,</w:t>
      </w:r>
      <w:r w:rsidRPr="002F133D">
        <w:rPr>
          <w:rStyle w:val="gmail-apple-converted-space"/>
          <w:rFonts w:asciiTheme="minorHAnsi" w:hAnsiTheme="minorHAnsi" w:cstheme="minorHAnsi"/>
          <w:color w:val="1A1A1A"/>
          <w:sz w:val="22"/>
          <w:szCs w:val="22"/>
        </w:rPr>
        <w:t xml:space="preserve">  </w:t>
      </w:r>
      <w:r w:rsidRPr="002F133D">
        <w:rPr>
          <w:rFonts w:asciiTheme="minorHAnsi" w:hAnsiTheme="minorHAnsi" w:cstheme="minorHAnsi"/>
          <w:color w:val="1A1A1A"/>
          <w:sz w:val="22"/>
          <w:szCs w:val="22"/>
        </w:rPr>
        <w:t>S.</w:t>
      </w:r>
      <w:proofErr w:type="gramEnd"/>
      <w:r w:rsidRPr="002F133D">
        <w:rPr>
          <w:rStyle w:val="gmail-apple-converted-space"/>
          <w:rFonts w:asciiTheme="minorHAnsi" w:hAnsiTheme="minorHAnsi" w:cstheme="minorHAnsi"/>
          <w:color w:val="1A1A1A"/>
          <w:sz w:val="22"/>
          <w:szCs w:val="22"/>
        </w:rPr>
        <w:t xml:space="preserve">  </w:t>
      </w:r>
      <w:r w:rsidRPr="002F133D">
        <w:rPr>
          <w:rFonts w:asciiTheme="minorHAnsi" w:hAnsiTheme="minorHAnsi" w:cstheme="minorHAnsi"/>
          <w:color w:val="1A1A1A"/>
          <w:sz w:val="22"/>
          <w:szCs w:val="22"/>
        </w:rPr>
        <w:t>M.</w:t>
      </w:r>
      <w:r w:rsidRPr="002F133D">
        <w:rPr>
          <w:rStyle w:val="gmail-apple-converted-space"/>
          <w:rFonts w:asciiTheme="minorHAnsi" w:hAnsiTheme="minorHAnsi" w:cstheme="minorHAnsi"/>
          <w:color w:val="1A1A1A"/>
          <w:sz w:val="22"/>
          <w:szCs w:val="22"/>
        </w:rPr>
        <w:t xml:space="preserve">  </w:t>
      </w:r>
      <w:r w:rsidRPr="002F133D">
        <w:rPr>
          <w:rFonts w:asciiTheme="minorHAnsi" w:hAnsiTheme="minorHAnsi" w:cstheme="minorHAnsi"/>
          <w:color w:val="1A1A1A"/>
          <w:sz w:val="22"/>
          <w:szCs w:val="22"/>
        </w:rPr>
        <w:t>(2005).</w:t>
      </w:r>
      <w:r w:rsidRPr="002F133D">
        <w:rPr>
          <w:rStyle w:val="gmail-apple-converted-space"/>
          <w:rFonts w:asciiTheme="minorHAnsi" w:hAnsiTheme="minorHAnsi" w:cstheme="minorHAnsi"/>
          <w:color w:val="1A1A1A"/>
          <w:sz w:val="22"/>
          <w:szCs w:val="22"/>
        </w:rPr>
        <w:t xml:space="preserve">  </w:t>
      </w:r>
      <w:proofErr w:type="gramStart"/>
      <w:r w:rsidRPr="002F133D">
        <w:rPr>
          <w:rFonts w:asciiTheme="minorHAnsi" w:hAnsiTheme="minorHAnsi" w:cstheme="minorHAnsi"/>
          <w:color w:val="1A1A1A"/>
          <w:sz w:val="22"/>
          <w:szCs w:val="22"/>
        </w:rPr>
        <w:t>On</w:t>
      </w:r>
      <w:r w:rsidRPr="002F133D">
        <w:rPr>
          <w:rStyle w:val="gmail-apple-converted-space"/>
          <w:rFonts w:asciiTheme="minorHAnsi" w:hAnsiTheme="minorHAnsi" w:cstheme="minorHAnsi"/>
          <w:color w:val="1A1A1A"/>
          <w:sz w:val="22"/>
          <w:szCs w:val="22"/>
        </w:rPr>
        <w:t xml:space="preserve">  </w:t>
      </w:r>
      <w:r w:rsidRPr="002F133D">
        <w:rPr>
          <w:rFonts w:asciiTheme="minorHAnsi" w:hAnsiTheme="minorHAnsi" w:cstheme="minorHAnsi"/>
          <w:color w:val="1A1A1A"/>
          <w:sz w:val="22"/>
          <w:szCs w:val="22"/>
        </w:rPr>
        <w:t>the</w:t>
      </w:r>
      <w:proofErr w:type="gramEnd"/>
      <w:r w:rsidRPr="002F133D">
        <w:rPr>
          <w:rStyle w:val="gmail-apple-converted-space"/>
          <w:rFonts w:asciiTheme="minorHAnsi" w:hAnsiTheme="minorHAnsi" w:cstheme="minorHAnsi"/>
          <w:color w:val="1A1A1A"/>
          <w:sz w:val="22"/>
          <w:szCs w:val="22"/>
        </w:rPr>
        <w:t xml:space="preserve">  </w:t>
      </w:r>
      <w:r w:rsidRPr="002F133D">
        <w:rPr>
          <w:rFonts w:asciiTheme="minorHAnsi" w:hAnsiTheme="minorHAnsi" w:cstheme="minorHAnsi"/>
          <w:color w:val="1A1A1A"/>
          <w:sz w:val="22"/>
          <w:szCs w:val="22"/>
        </w:rPr>
        <w:t>psychology</w:t>
      </w:r>
      <w:r w:rsidRPr="002F133D">
        <w:rPr>
          <w:rStyle w:val="gmail-apple-converted-space"/>
          <w:rFonts w:asciiTheme="minorHAnsi" w:hAnsiTheme="minorHAnsi" w:cstheme="minorHAnsi"/>
          <w:color w:val="1A1A1A"/>
          <w:sz w:val="22"/>
          <w:szCs w:val="22"/>
        </w:rPr>
        <w:t xml:space="preserve">  </w:t>
      </w:r>
      <w:r w:rsidRPr="002F133D">
        <w:rPr>
          <w:rFonts w:asciiTheme="minorHAnsi" w:hAnsiTheme="minorHAnsi" w:cstheme="minorHAnsi"/>
          <w:color w:val="1A1A1A"/>
          <w:sz w:val="22"/>
          <w:szCs w:val="22"/>
        </w:rPr>
        <w:t>of</w:t>
      </w:r>
      <w:r w:rsidRPr="002F133D">
        <w:rPr>
          <w:rStyle w:val="gmail-apple-converted-space"/>
          <w:rFonts w:asciiTheme="minorHAnsi" w:hAnsiTheme="minorHAnsi" w:cstheme="minorHAnsi"/>
          <w:color w:val="1A1A1A"/>
          <w:sz w:val="22"/>
          <w:szCs w:val="22"/>
        </w:rPr>
        <w:t xml:space="preserve">  </w:t>
      </w:r>
      <w:r w:rsidRPr="002F133D">
        <w:rPr>
          <w:rFonts w:asciiTheme="minorHAnsi" w:hAnsiTheme="minorHAnsi" w:cstheme="minorHAnsi"/>
          <w:color w:val="1A1A1A"/>
          <w:sz w:val="22"/>
          <w:szCs w:val="22"/>
        </w:rPr>
        <w:t>confessions:</w:t>
      </w:r>
      <w:r w:rsidRPr="002F133D">
        <w:rPr>
          <w:rStyle w:val="gmail-apple-converted-space"/>
          <w:rFonts w:asciiTheme="minorHAnsi" w:hAnsiTheme="minorHAnsi" w:cstheme="minorHAnsi"/>
          <w:color w:val="1A1A1A"/>
          <w:sz w:val="22"/>
          <w:szCs w:val="22"/>
        </w:rPr>
        <w:t xml:space="preserve">  </w:t>
      </w:r>
      <w:r w:rsidRPr="002F133D">
        <w:rPr>
          <w:rFonts w:asciiTheme="minorHAnsi" w:hAnsiTheme="minorHAnsi" w:cstheme="minorHAnsi"/>
          <w:color w:val="1A1A1A"/>
          <w:sz w:val="22"/>
          <w:szCs w:val="22"/>
        </w:rPr>
        <w:t>Does</w:t>
      </w:r>
      <w:r w:rsidRPr="002F133D">
        <w:rPr>
          <w:rStyle w:val="gmail-apple-converted-space"/>
          <w:rFonts w:asciiTheme="minorHAnsi" w:hAnsiTheme="minorHAnsi" w:cstheme="minorHAnsi"/>
          <w:color w:val="1A1A1A"/>
          <w:sz w:val="22"/>
          <w:szCs w:val="22"/>
        </w:rPr>
        <w:t xml:space="preserve">  </w:t>
      </w:r>
      <w:r w:rsidRPr="002F133D">
        <w:rPr>
          <w:rFonts w:asciiTheme="minorHAnsi" w:hAnsiTheme="minorHAnsi" w:cstheme="minorHAnsi"/>
          <w:color w:val="1A1A1A"/>
          <w:sz w:val="22"/>
          <w:szCs w:val="22"/>
        </w:rPr>
        <w:t>innocence</w:t>
      </w:r>
      <w:r w:rsidRPr="002F133D">
        <w:rPr>
          <w:rStyle w:val="gmail-apple-converted-space"/>
          <w:rFonts w:asciiTheme="minorHAnsi" w:hAnsiTheme="minorHAnsi" w:cstheme="minorHAnsi"/>
          <w:color w:val="1A1A1A"/>
          <w:sz w:val="22"/>
          <w:szCs w:val="22"/>
        </w:rPr>
        <w:t xml:space="preserve">  </w:t>
      </w:r>
      <w:r w:rsidRPr="002F133D">
        <w:rPr>
          <w:rFonts w:asciiTheme="minorHAnsi" w:hAnsiTheme="minorHAnsi" w:cstheme="minorHAnsi"/>
          <w:color w:val="1A1A1A"/>
          <w:sz w:val="22"/>
          <w:szCs w:val="22"/>
        </w:rPr>
        <w:t>put</w:t>
      </w:r>
      <w:r w:rsidRPr="002F133D">
        <w:rPr>
          <w:rStyle w:val="gmail-apple-converted-space"/>
          <w:rFonts w:asciiTheme="minorHAnsi" w:hAnsiTheme="minorHAnsi" w:cstheme="minorHAnsi"/>
          <w:color w:val="1A1A1A"/>
          <w:sz w:val="22"/>
          <w:szCs w:val="22"/>
        </w:rPr>
        <w:t xml:space="preserve">  </w:t>
      </w:r>
      <w:r w:rsidRPr="002F133D">
        <w:rPr>
          <w:rFonts w:asciiTheme="minorHAnsi" w:hAnsiTheme="minorHAnsi" w:cstheme="minorHAnsi"/>
          <w:color w:val="1A1A1A"/>
          <w:sz w:val="22"/>
          <w:szCs w:val="22"/>
        </w:rPr>
        <w:t>innocents</w:t>
      </w:r>
      <w:r w:rsidRPr="002F133D">
        <w:rPr>
          <w:rStyle w:val="gmail-apple-converted-space"/>
          <w:rFonts w:asciiTheme="minorHAnsi" w:hAnsiTheme="minorHAnsi" w:cstheme="minorHAnsi"/>
          <w:color w:val="1A1A1A"/>
          <w:sz w:val="22"/>
          <w:szCs w:val="22"/>
        </w:rPr>
        <w:t xml:space="preserve">  </w:t>
      </w:r>
      <w:r w:rsidRPr="002F133D">
        <w:rPr>
          <w:rFonts w:asciiTheme="minorHAnsi" w:hAnsiTheme="minorHAnsi" w:cstheme="minorHAnsi"/>
          <w:color w:val="1A1A1A"/>
          <w:sz w:val="22"/>
          <w:szCs w:val="22"/>
        </w:rPr>
        <w:t>at</w:t>
      </w:r>
      <w:r w:rsidRPr="002F133D">
        <w:rPr>
          <w:rStyle w:val="gmail-apple-converted-space"/>
          <w:rFonts w:asciiTheme="minorHAnsi" w:hAnsiTheme="minorHAnsi" w:cstheme="minorHAnsi"/>
          <w:color w:val="1A1A1A"/>
          <w:sz w:val="22"/>
          <w:szCs w:val="22"/>
        </w:rPr>
        <w:t xml:space="preserve">  </w:t>
      </w:r>
      <w:r w:rsidRPr="002F133D">
        <w:rPr>
          <w:rFonts w:asciiTheme="minorHAnsi" w:hAnsiTheme="minorHAnsi" w:cstheme="minorHAnsi"/>
          <w:color w:val="1A1A1A"/>
          <w:sz w:val="22"/>
          <w:szCs w:val="22"/>
        </w:rPr>
        <w:t>risk?</w:t>
      </w:r>
      <w:r w:rsidRPr="002F133D">
        <w:rPr>
          <w:rStyle w:val="gmail-apple-converted-space"/>
          <w:rFonts w:asciiTheme="minorHAnsi" w:hAnsiTheme="minorHAnsi" w:cstheme="minorHAnsi"/>
          <w:color w:val="1A1A1A"/>
          <w:sz w:val="22"/>
          <w:szCs w:val="22"/>
        </w:rPr>
        <w:t xml:space="preserve">  </w:t>
      </w:r>
      <w:r w:rsidRPr="002F133D">
        <w:rPr>
          <w:rFonts w:asciiTheme="minorHAnsi" w:hAnsiTheme="minorHAnsi" w:cstheme="minorHAnsi"/>
          <w:color w:val="1A1A1A"/>
          <w:sz w:val="22"/>
          <w:szCs w:val="22"/>
        </w:rPr>
        <w:t>American Psychologist, 60, 215–228.</w:t>
      </w:r>
    </w:p>
    <w:p w14:paraId="11684040" w14:textId="77777777" w:rsidR="00833B43" w:rsidRPr="002F133D" w:rsidRDefault="00833B43" w:rsidP="00833B43">
      <w:pPr>
        <w:pStyle w:val="gmail-p5"/>
        <w:spacing w:before="0" w:beforeAutospacing="0" w:after="0" w:afterAutospacing="0"/>
        <w:rPr>
          <w:rFonts w:asciiTheme="minorHAnsi" w:hAnsiTheme="minorHAnsi" w:cstheme="minorHAnsi"/>
          <w:color w:val="000000"/>
          <w:sz w:val="22"/>
          <w:szCs w:val="22"/>
        </w:rPr>
      </w:pPr>
      <w:r w:rsidRPr="002F133D">
        <w:rPr>
          <w:rFonts w:asciiTheme="minorHAnsi" w:hAnsiTheme="minorHAnsi" w:cstheme="minorHAnsi"/>
          <w:color w:val="000000"/>
          <w:sz w:val="22"/>
          <w:szCs w:val="22"/>
        </w:rPr>
        <w:t xml:space="preserve">Litter Strategy for England. (2017). Available at: </w:t>
      </w:r>
      <w:hyperlink r:id="rId19" w:history="1">
        <w:r w:rsidRPr="002F133D">
          <w:rPr>
            <w:rStyle w:val="Hyperlink"/>
            <w:rFonts w:asciiTheme="minorHAnsi" w:hAnsiTheme="minorHAnsi" w:cstheme="minorHAnsi"/>
            <w:sz w:val="22"/>
            <w:szCs w:val="22"/>
          </w:rPr>
          <w:t>https://assets.publishing.service.gov.uk/government/uploads/system/uploads/attachment_data/file/630999/litter-strategy-for-england-2017-v2.pdf</w:t>
        </w:r>
      </w:hyperlink>
      <w:r w:rsidRPr="002F133D">
        <w:rPr>
          <w:rFonts w:asciiTheme="minorHAnsi" w:hAnsiTheme="minorHAnsi" w:cstheme="minorHAnsi"/>
          <w:color w:val="000000"/>
          <w:sz w:val="22"/>
          <w:szCs w:val="22"/>
        </w:rPr>
        <w:t>.</w:t>
      </w:r>
    </w:p>
    <w:p w14:paraId="6775816F" w14:textId="77777777" w:rsidR="00833B43" w:rsidRPr="002F133D" w:rsidRDefault="00833B43" w:rsidP="00833B43">
      <w:pPr>
        <w:pStyle w:val="gmail-p3"/>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 xml:space="preserve">McKee, J., Ariel, B. and </w:t>
      </w:r>
      <w:proofErr w:type="spellStart"/>
      <w:r w:rsidRPr="002F133D">
        <w:rPr>
          <w:rFonts w:asciiTheme="minorHAnsi" w:hAnsiTheme="minorHAnsi" w:cstheme="minorHAnsi"/>
          <w:color w:val="1A1A1A"/>
          <w:sz w:val="22"/>
          <w:szCs w:val="22"/>
        </w:rPr>
        <w:t>Harinam</w:t>
      </w:r>
      <w:proofErr w:type="spellEnd"/>
      <w:r w:rsidRPr="002F133D">
        <w:rPr>
          <w:rFonts w:asciiTheme="minorHAnsi" w:hAnsiTheme="minorHAnsi" w:cstheme="minorHAnsi"/>
          <w:color w:val="1A1A1A"/>
          <w:sz w:val="22"/>
          <w:szCs w:val="22"/>
        </w:rPr>
        <w:t>, V., 2023. “Mind the Police Dissatisfaction Gap”: The Effect of Callbacks to Victims of Unsolved Crimes in London. </w:t>
      </w:r>
      <w:r w:rsidRPr="002F133D">
        <w:rPr>
          <w:rFonts w:asciiTheme="minorHAnsi" w:hAnsiTheme="minorHAnsi" w:cstheme="minorHAnsi"/>
          <w:i/>
          <w:iCs/>
          <w:color w:val="1A1A1A"/>
          <w:sz w:val="22"/>
          <w:szCs w:val="22"/>
        </w:rPr>
        <w:t>Justice Quarterly</w:t>
      </w:r>
      <w:r w:rsidRPr="002F133D">
        <w:rPr>
          <w:rFonts w:asciiTheme="minorHAnsi" w:hAnsiTheme="minorHAnsi" w:cstheme="minorHAnsi"/>
          <w:color w:val="1A1A1A"/>
          <w:sz w:val="22"/>
          <w:szCs w:val="22"/>
        </w:rPr>
        <w:t>, </w:t>
      </w:r>
      <w:r w:rsidRPr="002F133D">
        <w:rPr>
          <w:rFonts w:asciiTheme="minorHAnsi" w:hAnsiTheme="minorHAnsi" w:cstheme="minorHAnsi"/>
          <w:i/>
          <w:iCs/>
          <w:color w:val="1A1A1A"/>
          <w:sz w:val="22"/>
          <w:szCs w:val="22"/>
        </w:rPr>
        <w:t>40</w:t>
      </w:r>
      <w:r w:rsidRPr="002F133D">
        <w:rPr>
          <w:rFonts w:asciiTheme="minorHAnsi" w:hAnsiTheme="minorHAnsi" w:cstheme="minorHAnsi"/>
          <w:color w:val="1A1A1A"/>
          <w:sz w:val="22"/>
          <w:szCs w:val="22"/>
        </w:rPr>
        <w:t>(5), pp.744-763.</w:t>
      </w:r>
    </w:p>
    <w:p w14:paraId="21F36348" w14:textId="77777777" w:rsidR="00833B43" w:rsidRPr="002F133D" w:rsidRDefault="00833B43" w:rsidP="00833B43">
      <w:pPr>
        <w:pStyle w:val="gmail-p7"/>
        <w:spacing w:before="0" w:beforeAutospacing="0" w:after="180" w:afterAutospacing="0"/>
        <w:rPr>
          <w:rFonts w:asciiTheme="minorHAnsi" w:hAnsiTheme="minorHAnsi" w:cstheme="minorHAnsi"/>
          <w:color w:val="000000"/>
          <w:sz w:val="22"/>
          <w:szCs w:val="22"/>
        </w:rPr>
      </w:pPr>
      <w:r w:rsidRPr="002F133D">
        <w:rPr>
          <w:rFonts w:asciiTheme="minorHAnsi" w:hAnsiTheme="minorHAnsi" w:cstheme="minorHAnsi"/>
          <w:color w:val="000000"/>
          <w:sz w:val="22"/>
          <w:szCs w:val="22"/>
        </w:rPr>
        <w:t xml:space="preserve">‌Mills, H., </w:t>
      </w:r>
      <w:proofErr w:type="spellStart"/>
      <w:r w:rsidRPr="002F133D">
        <w:rPr>
          <w:rFonts w:asciiTheme="minorHAnsi" w:hAnsiTheme="minorHAnsi" w:cstheme="minorHAnsi"/>
          <w:color w:val="000000"/>
          <w:sz w:val="22"/>
          <w:szCs w:val="22"/>
        </w:rPr>
        <w:t>Skodbo</w:t>
      </w:r>
      <w:proofErr w:type="spellEnd"/>
      <w:r w:rsidRPr="002F133D">
        <w:rPr>
          <w:rFonts w:asciiTheme="minorHAnsi" w:hAnsiTheme="minorHAnsi" w:cstheme="minorHAnsi"/>
          <w:color w:val="000000"/>
          <w:sz w:val="22"/>
          <w:szCs w:val="22"/>
        </w:rPr>
        <w:t>, S. and Blyth, P. (2013). </w:t>
      </w:r>
      <w:r w:rsidRPr="002F133D">
        <w:rPr>
          <w:rFonts w:asciiTheme="minorHAnsi" w:hAnsiTheme="minorHAnsi" w:cstheme="minorHAnsi"/>
          <w:i/>
          <w:iCs/>
          <w:color w:val="000000"/>
          <w:sz w:val="22"/>
          <w:szCs w:val="22"/>
        </w:rPr>
        <w:t>Understanding organised crime: estimating the scale and the social and economic costs Research Report 73</w:t>
      </w:r>
      <w:r w:rsidRPr="002F133D">
        <w:rPr>
          <w:rFonts w:asciiTheme="minorHAnsi" w:hAnsiTheme="minorHAnsi" w:cstheme="minorHAnsi"/>
          <w:color w:val="000000"/>
          <w:sz w:val="22"/>
          <w:szCs w:val="22"/>
        </w:rPr>
        <w:t xml:space="preserve">. [online] Available at: </w:t>
      </w:r>
      <w:hyperlink r:id="rId20" w:history="1">
        <w:r w:rsidRPr="002F133D">
          <w:rPr>
            <w:rStyle w:val="gmail-s1"/>
            <w:rFonts w:asciiTheme="minorHAnsi" w:hAnsiTheme="minorHAnsi" w:cstheme="minorHAnsi"/>
            <w:color w:val="0000FF"/>
            <w:sz w:val="22"/>
            <w:szCs w:val="22"/>
            <w:u w:val="single"/>
          </w:rPr>
          <w:t>https://assets.publishing.service.gov.uk/media/5a7c74e8e5274a5255bcec63/horr73.pdf</w:t>
        </w:r>
      </w:hyperlink>
      <w:r w:rsidRPr="002F133D">
        <w:rPr>
          <w:rFonts w:asciiTheme="minorHAnsi" w:hAnsiTheme="minorHAnsi" w:cstheme="minorHAnsi"/>
          <w:color w:val="000000"/>
          <w:sz w:val="22"/>
          <w:szCs w:val="22"/>
        </w:rPr>
        <w:t>.</w:t>
      </w:r>
    </w:p>
    <w:p w14:paraId="11348079" w14:textId="77777777" w:rsidR="00833B43" w:rsidRPr="002F133D" w:rsidRDefault="00833B43" w:rsidP="00833B43">
      <w:pPr>
        <w:pStyle w:val="gmail-p7"/>
        <w:spacing w:before="0" w:beforeAutospacing="0" w:after="180" w:afterAutospacing="0"/>
        <w:rPr>
          <w:rFonts w:asciiTheme="minorHAnsi" w:hAnsiTheme="minorHAnsi" w:cstheme="minorHAnsi"/>
          <w:color w:val="000000"/>
          <w:sz w:val="22"/>
          <w:szCs w:val="22"/>
        </w:rPr>
      </w:pPr>
      <w:r w:rsidRPr="002F133D">
        <w:rPr>
          <w:rFonts w:asciiTheme="minorHAnsi" w:hAnsiTheme="minorHAnsi" w:cstheme="minorHAnsi"/>
          <w:color w:val="000000"/>
          <w:sz w:val="22"/>
          <w:szCs w:val="22"/>
        </w:rPr>
        <w:t xml:space="preserve">‌Moffett, L., </w:t>
      </w:r>
      <w:proofErr w:type="spellStart"/>
      <w:r w:rsidRPr="002F133D">
        <w:rPr>
          <w:rFonts w:asciiTheme="minorHAnsi" w:hAnsiTheme="minorHAnsi" w:cstheme="minorHAnsi"/>
          <w:color w:val="000000"/>
          <w:sz w:val="22"/>
          <w:szCs w:val="22"/>
        </w:rPr>
        <w:t>Oxburgh</w:t>
      </w:r>
      <w:proofErr w:type="spellEnd"/>
      <w:r w:rsidRPr="002F133D">
        <w:rPr>
          <w:rFonts w:asciiTheme="minorHAnsi" w:hAnsiTheme="minorHAnsi" w:cstheme="minorHAnsi"/>
          <w:color w:val="000000"/>
          <w:sz w:val="22"/>
          <w:szCs w:val="22"/>
        </w:rPr>
        <w:t>, G.E., Dresser, P., Watson, S.J. and Gabbert, F., 2022. Inside the shadows: a survey of UK human source intelligence (HUMINT) practitioners, examining their considerations when handling a covert human intelligence source (CHIS). </w:t>
      </w:r>
      <w:r w:rsidRPr="002F133D">
        <w:rPr>
          <w:rFonts w:asciiTheme="minorHAnsi" w:hAnsiTheme="minorHAnsi" w:cstheme="minorHAnsi"/>
          <w:i/>
          <w:iCs/>
          <w:color w:val="000000"/>
          <w:sz w:val="22"/>
          <w:szCs w:val="22"/>
        </w:rPr>
        <w:t>Psychiatry, Psychology and Law</w:t>
      </w:r>
      <w:r w:rsidRPr="002F133D">
        <w:rPr>
          <w:rFonts w:asciiTheme="minorHAnsi" w:hAnsiTheme="minorHAnsi" w:cstheme="minorHAnsi"/>
          <w:color w:val="000000"/>
          <w:sz w:val="22"/>
          <w:szCs w:val="22"/>
        </w:rPr>
        <w:t>, </w:t>
      </w:r>
      <w:r w:rsidRPr="002F133D">
        <w:rPr>
          <w:rFonts w:asciiTheme="minorHAnsi" w:hAnsiTheme="minorHAnsi" w:cstheme="minorHAnsi"/>
          <w:i/>
          <w:iCs/>
          <w:color w:val="000000"/>
          <w:sz w:val="22"/>
          <w:szCs w:val="22"/>
        </w:rPr>
        <w:t>29</w:t>
      </w:r>
      <w:r w:rsidRPr="002F133D">
        <w:rPr>
          <w:rFonts w:asciiTheme="minorHAnsi" w:hAnsiTheme="minorHAnsi" w:cstheme="minorHAnsi"/>
          <w:color w:val="000000"/>
          <w:sz w:val="22"/>
          <w:szCs w:val="22"/>
        </w:rPr>
        <w:t>(4), pp.487-505.</w:t>
      </w:r>
    </w:p>
    <w:p w14:paraId="26316818" w14:textId="77777777" w:rsidR="00833B43" w:rsidRPr="002F133D" w:rsidRDefault="00833B43" w:rsidP="00833B43">
      <w:pPr>
        <w:pStyle w:val="gmail-p3"/>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Myhill, A. and Bradford, B., 2012. Can police enhance public confidence by improving quality of service? Results from two surveys in England and Wales. </w:t>
      </w:r>
      <w:r w:rsidRPr="002F133D">
        <w:rPr>
          <w:rFonts w:asciiTheme="minorHAnsi" w:hAnsiTheme="minorHAnsi" w:cstheme="minorHAnsi"/>
          <w:i/>
          <w:iCs/>
          <w:color w:val="1A1A1A"/>
          <w:sz w:val="22"/>
          <w:szCs w:val="22"/>
        </w:rPr>
        <w:t>Policing and society</w:t>
      </w:r>
      <w:r w:rsidRPr="002F133D">
        <w:rPr>
          <w:rFonts w:asciiTheme="minorHAnsi" w:hAnsiTheme="minorHAnsi" w:cstheme="minorHAnsi"/>
          <w:color w:val="1A1A1A"/>
          <w:sz w:val="22"/>
          <w:szCs w:val="22"/>
        </w:rPr>
        <w:t>, </w:t>
      </w:r>
      <w:r w:rsidRPr="002F133D">
        <w:rPr>
          <w:rFonts w:asciiTheme="minorHAnsi" w:hAnsiTheme="minorHAnsi" w:cstheme="minorHAnsi"/>
          <w:i/>
          <w:iCs/>
          <w:color w:val="1A1A1A"/>
          <w:sz w:val="22"/>
          <w:szCs w:val="22"/>
        </w:rPr>
        <w:t>22</w:t>
      </w:r>
      <w:r w:rsidRPr="002F133D">
        <w:rPr>
          <w:rFonts w:asciiTheme="minorHAnsi" w:hAnsiTheme="minorHAnsi" w:cstheme="minorHAnsi"/>
          <w:color w:val="1A1A1A"/>
          <w:sz w:val="22"/>
          <w:szCs w:val="22"/>
        </w:rPr>
        <w:t>(4), pp.397-425.</w:t>
      </w:r>
    </w:p>
    <w:p w14:paraId="507314CB" w14:textId="77777777" w:rsidR="00833B43" w:rsidRPr="002F133D" w:rsidRDefault="00833B43" w:rsidP="00833B43">
      <w:pPr>
        <w:pStyle w:val="gmail-p4"/>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Newman, O., 1973. </w:t>
      </w:r>
      <w:r w:rsidRPr="002F133D">
        <w:rPr>
          <w:rFonts w:asciiTheme="minorHAnsi" w:hAnsiTheme="minorHAnsi" w:cstheme="minorHAnsi"/>
          <w:i/>
          <w:iCs/>
          <w:color w:val="1A1A1A"/>
          <w:sz w:val="22"/>
          <w:szCs w:val="22"/>
        </w:rPr>
        <w:t>Defensible space: Crime prevention through urban design</w:t>
      </w:r>
      <w:r w:rsidRPr="002F133D">
        <w:rPr>
          <w:rFonts w:asciiTheme="minorHAnsi" w:hAnsiTheme="minorHAnsi" w:cstheme="minorHAnsi"/>
          <w:color w:val="1A1A1A"/>
          <w:sz w:val="22"/>
          <w:szCs w:val="22"/>
        </w:rPr>
        <w:t>. New York: Collier Books.</w:t>
      </w:r>
    </w:p>
    <w:p w14:paraId="69F192CD" w14:textId="77777777" w:rsidR="00833B43" w:rsidRPr="002F133D" w:rsidRDefault="00833B43" w:rsidP="00833B43">
      <w:pPr>
        <w:pStyle w:val="gmail-p3"/>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Nunan, J., Stanier, I., Milne, R., Shawyer, A. and Walsh, D., 2020. Eliciting human intelligence: police source handlers’ perceptions and experiences of rapport during covert human intelligence sources (CHIS) interactions. </w:t>
      </w:r>
      <w:r w:rsidRPr="002F133D">
        <w:rPr>
          <w:rFonts w:asciiTheme="minorHAnsi" w:hAnsiTheme="minorHAnsi" w:cstheme="minorHAnsi"/>
          <w:i/>
          <w:iCs/>
          <w:color w:val="1A1A1A"/>
          <w:sz w:val="22"/>
          <w:szCs w:val="22"/>
        </w:rPr>
        <w:t xml:space="preserve">Psychiatry, </w:t>
      </w:r>
      <w:proofErr w:type="gramStart"/>
      <w:r w:rsidRPr="002F133D">
        <w:rPr>
          <w:rFonts w:asciiTheme="minorHAnsi" w:hAnsiTheme="minorHAnsi" w:cstheme="minorHAnsi"/>
          <w:i/>
          <w:iCs/>
          <w:color w:val="1A1A1A"/>
          <w:sz w:val="22"/>
          <w:szCs w:val="22"/>
        </w:rPr>
        <w:t>psychology</w:t>
      </w:r>
      <w:proofErr w:type="gramEnd"/>
      <w:r w:rsidRPr="002F133D">
        <w:rPr>
          <w:rFonts w:asciiTheme="minorHAnsi" w:hAnsiTheme="minorHAnsi" w:cstheme="minorHAnsi"/>
          <w:i/>
          <w:iCs/>
          <w:color w:val="1A1A1A"/>
          <w:sz w:val="22"/>
          <w:szCs w:val="22"/>
        </w:rPr>
        <w:t xml:space="preserve"> and law</w:t>
      </w:r>
      <w:r w:rsidRPr="002F133D">
        <w:rPr>
          <w:rFonts w:asciiTheme="minorHAnsi" w:hAnsiTheme="minorHAnsi" w:cstheme="minorHAnsi"/>
          <w:color w:val="1A1A1A"/>
          <w:sz w:val="22"/>
          <w:szCs w:val="22"/>
        </w:rPr>
        <w:t>, </w:t>
      </w:r>
      <w:r w:rsidRPr="002F133D">
        <w:rPr>
          <w:rFonts w:asciiTheme="minorHAnsi" w:hAnsiTheme="minorHAnsi" w:cstheme="minorHAnsi"/>
          <w:i/>
          <w:iCs/>
          <w:color w:val="1A1A1A"/>
          <w:sz w:val="22"/>
          <w:szCs w:val="22"/>
        </w:rPr>
        <w:t>27</w:t>
      </w:r>
      <w:r w:rsidRPr="002F133D">
        <w:rPr>
          <w:rFonts w:asciiTheme="minorHAnsi" w:hAnsiTheme="minorHAnsi" w:cstheme="minorHAnsi"/>
          <w:color w:val="1A1A1A"/>
          <w:sz w:val="22"/>
          <w:szCs w:val="22"/>
        </w:rPr>
        <w:t>(4), pp.511-537.</w:t>
      </w:r>
    </w:p>
    <w:p w14:paraId="7399A141" w14:textId="77777777" w:rsidR="00833B43" w:rsidRDefault="00833B43" w:rsidP="00833B43">
      <w:pPr>
        <w:pStyle w:val="gmail-p3"/>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Oliver, R.L., 1981. Measurement and evaluation of satisfaction processes in retail settings. </w:t>
      </w:r>
      <w:r w:rsidRPr="002F133D">
        <w:rPr>
          <w:rFonts w:asciiTheme="minorHAnsi" w:hAnsiTheme="minorHAnsi" w:cstheme="minorHAnsi"/>
          <w:i/>
          <w:iCs/>
          <w:color w:val="1A1A1A"/>
          <w:sz w:val="22"/>
          <w:szCs w:val="22"/>
        </w:rPr>
        <w:t>Journal of retailing</w:t>
      </w:r>
      <w:r w:rsidRPr="002F133D">
        <w:rPr>
          <w:rFonts w:asciiTheme="minorHAnsi" w:hAnsiTheme="minorHAnsi" w:cstheme="minorHAnsi"/>
          <w:color w:val="1A1A1A"/>
          <w:sz w:val="22"/>
          <w:szCs w:val="22"/>
        </w:rPr>
        <w:t>.</w:t>
      </w:r>
    </w:p>
    <w:p w14:paraId="67CC3232" w14:textId="77777777" w:rsidR="00833B43" w:rsidRPr="002F133D" w:rsidRDefault="00833B43" w:rsidP="00833B43">
      <w:pPr>
        <w:pStyle w:val="gmail-p4"/>
        <w:spacing w:before="0" w:beforeAutospacing="0" w:after="0" w:afterAutospacing="0"/>
        <w:rPr>
          <w:rFonts w:asciiTheme="minorHAnsi" w:hAnsiTheme="minorHAnsi" w:cstheme="minorHAnsi"/>
          <w:color w:val="1A1A1A"/>
          <w:sz w:val="22"/>
          <w:szCs w:val="22"/>
        </w:rPr>
      </w:pPr>
      <w:proofErr w:type="spellStart"/>
      <w:r w:rsidRPr="002F133D">
        <w:rPr>
          <w:rFonts w:asciiTheme="minorHAnsi" w:hAnsiTheme="minorHAnsi" w:cstheme="minorHAnsi"/>
          <w:color w:val="1A1A1A"/>
          <w:sz w:val="22"/>
          <w:szCs w:val="22"/>
        </w:rPr>
        <w:t>Piroozfar</w:t>
      </w:r>
      <w:proofErr w:type="spellEnd"/>
      <w:r w:rsidRPr="002F133D">
        <w:rPr>
          <w:rFonts w:asciiTheme="minorHAnsi" w:hAnsiTheme="minorHAnsi" w:cstheme="minorHAnsi"/>
          <w:color w:val="1A1A1A"/>
          <w:sz w:val="22"/>
          <w:szCs w:val="22"/>
        </w:rPr>
        <w:t>, P., Farr, E.R., Aboagye-Nimo, E. and Osei-Berchie, J., 2019. Crime prevention in urban spaces through environmental design: A critical UK perspective. </w:t>
      </w:r>
      <w:r w:rsidRPr="002F133D">
        <w:rPr>
          <w:rFonts w:asciiTheme="minorHAnsi" w:hAnsiTheme="minorHAnsi" w:cstheme="minorHAnsi"/>
          <w:i/>
          <w:iCs/>
          <w:color w:val="1A1A1A"/>
          <w:sz w:val="22"/>
          <w:szCs w:val="22"/>
        </w:rPr>
        <w:t>Cities</w:t>
      </w:r>
      <w:r w:rsidRPr="002F133D">
        <w:rPr>
          <w:rFonts w:asciiTheme="minorHAnsi" w:hAnsiTheme="minorHAnsi" w:cstheme="minorHAnsi"/>
          <w:color w:val="1A1A1A"/>
          <w:sz w:val="22"/>
          <w:szCs w:val="22"/>
        </w:rPr>
        <w:t>, </w:t>
      </w:r>
      <w:r w:rsidRPr="002F133D">
        <w:rPr>
          <w:rFonts w:asciiTheme="minorHAnsi" w:hAnsiTheme="minorHAnsi" w:cstheme="minorHAnsi"/>
          <w:i/>
          <w:iCs/>
          <w:color w:val="1A1A1A"/>
          <w:sz w:val="22"/>
          <w:szCs w:val="22"/>
        </w:rPr>
        <w:t>95</w:t>
      </w:r>
      <w:r w:rsidRPr="002F133D">
        <w:rPr>
          <w:rFonts w:asciiTheme="minorHAnsi" w:hAnsiTheme="minorHAnsi" w:cstheme="minorHAnsi"/>
          <w:color w:val="1A1A1A"/>
          <w:sz w:val="22"/>
          <w:szCs w:val="22"/>
        </w:rPr>
        <w:t>, p.102411.</w:t>
      </w:r>
    </w:p>
    <w:p w14:paraId="1FAEA479" w14:textId="77777777" w:rsidR="00833B43" w:rsidRPr="002F133D" w:rsidRDefault="00833B43" w:rsidP="00833B43">
      <w:pPr>
        <w:pStyle w:val="gmail-p3"/>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 xml:space="preserve">Rassin, E., </w:t>
      </w:r>
      <w:proofErr w:type="spellStart"/>
      <w:r w:rsidRPr="002F133D">
        <w:rPr>
          <w:rFonts w:asciiTheme="minorHAnsi" w:hAnsiTheme="minorHAnsi" w:cstheme="minorHAnsi"/>
          <w:color w:val="1A1A1A"/>
          <w:sz w:val="22"/>
          <w:szCs w:val="22"/>
        </w:rPr>
        <w:t>Eerland</w:t>
      </w:r>
      <w:proofErr w:type="spellEnd"/>
      <w:r w:rsidRPr="002F133D">
        <w:rPr>
          <w:rFonts w:asciiTheme="minorHAnsi" w:hAnsiTheme="minorHAnsi" w:cstheme="minorHAnsi"/>
          <w:color w:val="1A1A1A"/>
          <w:sz w:val="22"/>
          <w:szCs w:val="22"/>
        </w:rPr>
        <w:t>, A. and Kuijpers, I., 2010. Let's find the evidence: An analogue study of confirmation bias in criminal investigations. </w:t>
      </w:r>
      <w:r w:rsidRPr="002F133D">
        <w:rPr>
          <w:rFonts w:asciiTheme="minorHAnsi" w:hAnsiTheme="minorHAnsi" w:cstheme="minorHAnsi"/>
          <w:i/>
          <w:iCs/>
          <w:color w:val="1A1A1A"/>
          <w:sz w:val="22"/>
          <w:szCs w:val="22"/>
        </w:rPr>
        <w:t>Journal of Investigative Psychology and Offender Profiling</w:t>
      </w:r>
      <w:r w:rsidRPr="002F133D">
        <w:rPr>
          <w:rFonts w:asciiTheme="minorHAnsi" w:hAnsiTheme="minorHAnsi" w:cstheme="minorHAnsi"/>
          <w:color w:val="1A1A1A"/>
          <w:sz w:val="22"/>
          <w:szCs w:val="22"/>
        </w:rPr>
        <w:t>, </w:t>
      </w:r>
      <w:r w:rsidRPr="002F133D">
        <w:rPr>
          <w:rFonts w:asciiTheme="minorHAnsi" w:hAnsiTheme="minorHAnsi" w:cstheme="minorHAnsi"/>
          <w:i/>
          <w:iCs/>
          <w:color w:val="1A1A1A"/>
          <w:sz w:val="22"/>
          <w:szCs w:val="22"/>
        </w:rPr>
        <w:t>7</w:t>
      </w:r>
      <w:r w:rsidRPr="002F133D">
        <w:rPr>
          <w:rFonts w:asciiTheme="minorHAnsi" w:hAnsiTheme="minorHAnsi" w:cstheme="minorHAnsi"/>
          <w:color w:val="1A1A1A"/>
          <w:sz w:val="22"/>
          <w:szCs w:val="22"/>
        </w:rPr>
        <w:t>(3), pp.231-246.</w:t>
      </w:r>
    </w:p>
    <w:p w14:paraId="09E8768D" w14:textId="77777777" w:rsidR="00833B43" w:rsidRDefault="00833B43" w:rsidP="00833B43">
      <w:pPr>
        <w:pStyle w:val="gmail-p5"/>
        <w:spacing w:before="0" w:beforeAutospacing="0" w:after="0" w:afterAutospacing="0"/>
        <w:rPr>
          <w:rFonts w:asciiTheme="minorHAnsi" w:hAnsiTheme="minorHAnsi" w:cstheme="minorHAnsi"/>
          <w:color w:val="000000"/>
          <w:sz w:val="22"/>
          <w:szCs w:val="22"/>
        </w:rPr>
      </w:pPr>
      <w:r w:rsidRPr="002F133D">
        <w:rPr>
          <w:rFonts w:asciiTheme="minorHAnsi" w:hAnsiTheme="minorHAnsi" w:cstheme="minorHAnsi"/>
          <w:i/>
          <w:iCs/>
          <w:color w:val="000000"/>
          <w:sz w:val="22"/>
          <w:szCs w:val="22"/>
        </w:rPr>
        <w:t>Regulation of Investigatory Powers Act 2000</w:t>
      </w:r>
      <w:r w:rsidRPr="002F133D">
        <w:rPr>
          <w:rFonts w:asciiTheme="minorHAnsi" w:hAnsiTheme="minorHAnsi" w:cstheme="minorHAnsi"/>
          <w:color w:val="000000"/>
          <w:sz w:val="22"/>
          <w:szCs w:val="22"/>
        </w:rPr>
        <w:t xml:space="preserve">.Section 26(8) [online] Available at: </w:t>
      </w:r>
      <w:hyperlink r:id="rId21" w:history="1">
        <w:r w:rsidRPr="002F133D">
          <w:rPr>
            <w:rStyle w:val="Hyperlink"/>
            <w:rFonts w:asciiTheme="minorHAnsi" w:hAnsiTheme="minorHAnsi" w:cstheme="minorHAnsi"/>
            <w:sz w:val="22"/>
            <w:szCs w:val="22"/>
          </w:rPr>
          <w:t>https://www.legislation.gov.uk/ukpga/2000/23/section/26</w:t>
        </w:r>
      </w:hyperlink>
      <w:r w:rsidRPr="002F133D">
        <w:rPr>
          <w:rFonts w:asciiTheme="minorHAnsi" w:hAnsiTheme="minorHAnsi" w:cstheme="minorHAnsi"/>
          <w:color w:val="000000"/>
          <w:sz w:val="22"/>
          <w:szCs w:val="22"/>
        </w:rPr>
        <w:t xml:space="preserve"> [Accessed 21 Nov. 2023].</w:t>
      </w:r>
    </w:p>
    <w:p w14:paraId="3618A25D" w14:textId="77777777" w:rsidR="00833B43" w:rsidRPr="002F133D" w:rsidRDefault="00833B43" w:rsidP="00833B43">
      <w:pPr>
        <w:pStyle w:val="gmail-p3"/>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lastRenderedPageBreak/>
        <w:t>Sergi, A. and Storti, L., 2021. Shaping space. A conceptual framework on the connections between organised crime groups and territories: An introduction to the special issue on ‘Spaces of Organised Crime’</w:t>
      </w:r>
    </w:p>
    <w:p w14:paraId="6A19AAE4" w14:textId="77777777" w:rsidR="00833B43" w:rsidRPr="002F133D" w:rsidRDefault="00833B43" w:rsidP="00833B43">
      <w:pPr>
        <w:pStyle w:val="gmail-p5"/>
        <w:spacing w:before="0" w:beforeAutospacing="0" w:after="0" w:afterAutospacing="0"/>
        <w:rPr>
          <w:rFonts w:asciiTheme="minorHAnsi" w:hAnsiTheme="minorHAnsi" w:cstheme="minorHAnsi"/>
          <w:color w:val="000000"/>
          <w:sz w:val="22"/>
          <w:szCs w:val="22"/>
        </w:rPr>
      </w:pPr>
      <w:r w:rsidRPr="002F133D">
        <w:rPr>
          <w:rFonts w:asciiTheme="minorHAnsi" w:hAnsiTheme="minorHAnsi" w:cstheme="minorHAnsi"/>
          <w:i/>
          <w:iCs/>
          <w:color w:val="000000"/>
          <w:sz w:val="22"/>
          <w:szCs w:val="22"/>
        </w:rPr>
        <w:t>Serious Crime Act 2015</w:t>
      </w:r>
      <w:r w:rsidRPr="002F133D">
        <w:rPr>
          <w:rFonts w:asciiTheme="minorHAnsi" w:hAnsiTheme="minorHAnsi" w:cstheme="minorHAnsi"/>
          <w:color w:val="000000"/>
          <w:sz w:val="22"/>
          <w:szCs w:val="22"/>
        </w:rPr>
        <w:t xml:space="preserve">.Section 45 [online] Available at: </w:t>
      </w:r>
      <w:hyperlink r:id="rId22" w:history="1">
        <w:r w:rsidRPr="002F133D">
          <w:rPr>
            <w:rStyle w:val="Hyperlink"/>
            <w:rFonts w:asciiTheme="minorHAnsi" w:hAnsiTheme="minorHAnsi" w:cstheme="minorHAnsi"/>
            <w:sz w:val="22"/>
            <w:szCs w:val="22"/>
          </w:rPr>
          <w:t>https://www.legislation.gov.uk/ukpga/2015/9/part/3/crossheading/organised-crime-groups</w:t>
        </w:r>
      </w:hyperlink>
      <w:r w:rsidRPr="002F133D">
        <w:rPr>
          <w:rFonts w:asciiTheme="minorHAnsi" w:hAnsiTheme="minorHAnsi" w:cstheme="minorHAnsi"/>
          <w:color w:val="000000"/>
          <w:sz w:val="22"/>
          <w:szCs w:val="22"/>
        </w:rPr>
        <w:t xml:space="preserve"> [Accessed 22 Nov. 2023].</w:t>
      </w:r>
    </w:p>
    <w:p w14:paraId="75BDD640" w14:textId="77777777" w:rsidR="00833B43" w:rsidRPr="002F133D" w:rsidRDefault="00833B43" w:rsidP="00833B43">
      <w:pPr>
        <w:pStyle w:val="gmail-p7"/>
        <w:spacing w:before="0" w:beforeAutospacing="0" w:after="180" w:afterAutospacing="0"/>
        <w:rPr>
          <w:rFonts w:asciiTheme="minorHAnsi" w:hAnsiTheme="minorHAnsi" w:cstheme="minorHAnsi"/>
          <w:color w:val="000000"/>
          <w:sz w:val="22"/>
          <w:szCs w:val="22"/>
        </w:rPr>
      </w:pPr>
      <w:r w:rsidRPr="002F133D">
        <w:rPr>
          <w:rFonts w:asciiTheme="minorHAnsi" w:hAnsiTheme="minorHAnsi" w:cstheme="minorHAnsi"/>
          <w:color w:val="000000"/>
          <w:sz w:val="22"/>
          <w:szCs w:val="22"/>
        </w:rPr>
        <w:t xml:space="preserve">‌Serious Violence Strategy. (2018). [online] HM Government, </w:t>
      </w:r>
      <w:proofErr w:type="spellStart"/>
      <w:proofErr w:type="gramStart"/>
      <w:r w:rsidRPr="002F133D">
        <w:rPr>
          <w:rFonts w:asciiTheme="minorHAnsi" w:hAnsiTheme="minorHAnsi" w:cstheme="minorHAnsi"/>
          <w:color w:val="000000"/>
          <w:sz w:val="22"/>
          <w:szCs w:val="22"/>
        </w:rPr>
        <w:t>p.Page</w:t>
      </w:r>
      <w:proofErr w:type="spellEnd"/>
      <w:proofErr w:type="gramEnd"/>
      <w:r w:rsidRPr="002F133D">
        <w:rPr>
          <w:rFonts w:asciiTheme="minorHAnsi" w:hAnsiTheme="minorHAnsi" w:cstheme="minorHAnsi"/>
          <w:color w:val="000000"/>
          <w:sz w:val="22"/>
          <w:szCs w:val="22"/>
        </w:rPr>
        <w:t xml:space="preserve"> 46. Available at: </w:t>
      </w:r>
      <w:hyperlink r:id="rId23" w:history="1">
        <w:r w:rsidRPr="002F133D">
          <w:rPr>
            <w:rStyle w:val="Hyperlink"/>
            <w:rFonts w:asciiTheme="minorHAnsi" w:hAnsiTheme="minorHAnsi" w:cstheme="minorHAnsi"/>
            <w:sz w:val="22"/>
            <w:szCs w:val="22"/>
          </w:rPr>
          <w:t>https://assets.publishing.service.gov.uk/media/5acb21d140f0b64fed0afd55/serious-violence-strategy.pdf</w:t>
        </w:r>
      </w:hyperlink>
      <w:r w:rsidRPr="002F133D">
        <w:rPr>
          <w:rFonts w:asciiTheme="minorHAnsi" w:hAnsiTheme="minorHAnsi" w:cstheme="minorHAnsi"/>
          <w:color w:val="000000"/>
          <w:sz w:val="22"/>
          <w:szCs w:val="22"/>
        </w:rPr>
        <w:t xml:space="preserve"> [Accessed 21 Nov. 2023].</w:t>
      </w:r>
    </w:p>
    <w:p w14:paraId="0ED144E6" w14:textId="77777777" w:rsidR="00833B43" w:rsidRPr="002F133D" w:rsidRDefault="00833B43" w:rsidP="00833B43">
      <w:pPr>
        <w:pStyle w:val="gmail-p3"/>
        <w:spacing w:before="0" w:beforeAutospacing="0" w:after="0" w:afterAutospacing="0"/>
        <w:rPr>
          <w:rFonts w:asciiTheme="minorHAnsi" w:hAnsiTheme="minorHAnsi" w:cstheme="minorHAnsi"/>
          <w:color w:val="1A1A1A"/>
          <w:sz w:val="22"/>
          <w:szCs w:val="22"/>
        </w:rPr>
      </w:pPr>
      <w:proofErr w:type="spellStart"/>
      <w:r w:rsidRPr="002F133D">
        <w:rPr>
          <w:rFonts w:asciiTheme="minorHAnsi" w:hAnsiTheme="minorHAnsi" w:cstheme="minorHAnsi"/>
          <w:color w:val="1A1A1A"/>
          <w:sz w:val="22"/>
          <w:szCs w:val="22"/>
        </w:rPr>
        <w:t>Skogan</w:t>
      </w:r>
      <w:proofErr w:type="spellEnd"/>
      <w:r w:rsidRPr="002F133D">
        <w:rPr>
          <w:rFonts w:asciiTheme="minorHAnsi" w:hAnsiTheme="minorHAnsi" w:cstheme="minorHAnsi"/>
          <w:color w:val="1A1A1A"/>
          <w:sz w:val="22"/>
          <w:szCs w:val="22"/>
        </w:rPr>
        <w:t>, W.G., 2006. Asymmetry in the impact of encounters with police. </w:t>
      </w:r>
      <w:r w:rsidRPr="002F133D">
        <w:rPr>
          <w:rFonts w:asciiTheme="minorHAnsi" w:hAnsiTheme="minorHAnsi" w:cstheme="minorHAnsi"/>
          <w:i/>
          <w:iCs/>
          <w:color w:val="1A1A1A"/>
          <w:sz w:val="22"/>
          <w:szCs w:val="22"/>
        </w:rPr>
        <w:t>Policing &amp; society</w:t>
      </w:r>
      <w:r w:rsidRPr="002F133D">
        <w:rPr>
          <w:rFonts w:asciiTheme="minorHAnsi" w:hAnsiTheme="minorHAnsi" w:cstheme="minorHAnsi"/>
          <w:color w:val="1A1A1A"/>
          <w:sz w:val="22"/>
          <w:szCs w:val="22"/>
        </w:rPr>
        <w:t>, </w:t>
      </w:r>
      <w:r w:rsidRPr="002F133D">
        <w:rPr>
          <w:rFonts w:asciiTheme="minorHAnsi" w:hAnsiTheme="minorHAnsi" w:cstheme="minorHAnsi"/>
          <w:i/>
          <w:iCs/>
          <w:color w:val="1A1A1A"/>
          <w:sz w:val="22"/>
          <w:szCs w:val="22"/>
        </w:rPr>
        <w:t>16</w:t>
      </w:r>
      <w:r w:rsidRPr="002F133D">
        <w:rPr>
          <w:rFonts w:asciiTheme="minorHAnsi" w:hAnsiTheme="minorHAnsi" w:cstheme="minorHAnsi"/>
          <w:color w:val="1A1A1A"/>
          <w:sz w:val="22"/>
          <w:szCs w:val="22"/>
        </w:rPr>
        <w:t>(02), pp.99-126.</w:t>
      </w:r>
    </w:p>
    <w:p w14:paraId="0D4CD18C" w14:textId="77777777" w:rsidR="00833B43" w:rsidRPr="002F133D" w:rsidRDefault="00833B43" w:rsidP="00833B43">
      <w:pPr>
        <w:pStyle w:val="gmail-p3"/>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Snyder, M., &amp; Swann, W. B. (1978). Hypothesis-testing processes in social interaction. Journal of Personality and Social Psychology, 36, 1202–1212.</w:t>
      </w:r>
    </w:p>
    <w:p w14:paraId="570F9EDB" w14:textId="77777777" w:rsidR="00833B43" w:rsidRPr="002F133D" w:rsidRDefault="00833B43" w:rsidP="00833B43">
      <w:pPr>
        <w:pStyle w:val="gmail-p3"/>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Spicer, J., 2021. Between gang talk and prohibition: The transfer of blame for County Lines. </w:t>
      </w:r>
      <w:r w:rsidRPr="002F133D">
        <w:rPr>
          <w:rFonts w:asciiTheme="minorHAnsi" w:hAnsiTheme="minorHAnsi" w:cstheme="minorHAnsi"/>
          <w:i/>
          <w:iCs/>
          <w:color w:val="1A1A1A"/>
          <w:sz w:val="22"/>
          <w:szCs w:val="22"/>
        </w:rPr>
        <w:t>International Journal of Drug Policy</w:t>
      </w:r>
      <w:r w:rsidRPr="002F133D">
        <w:rPr>
          <w:rFonts w:asciiTheme="minorHAnsi" w:hAnsiTheme="minorHAnsi" w:cstheme="minorHAnsi"/>
          <w:color w:val="1A1A1A"/>
          <w:sz w:val="22"/>
          <w:szCs w:val="22"/>
        </w:rPr>
        <w:t>, </w:t>
      </w:r>
      <w:r w:rsidRPr="002F133D">
        <w:rPr>
          <w:rFonts w:asciiTheme="minorHAnsi" w:hAnsiTheme="minorHAnsi" w:cstheme="minorHAnsi"/>
          <w:i/>
          <w:iCs/>
          <w:color w:val="1A1A1A"/>
          <w:sz w:val="22"/>
          <w:szCs w:val="22"/>
        </w:rPr>
        <w:t>87</w:t>
      </w:r>
      <w:r w:rsidRPr="002F133D">
        <w:rPr>
          <w:rFonts w:asciiTheme="minorHAnsi" w:hAnsiTheme="minorHAnsi" w:cstheme="minorHAnsi"/>
          <w:color w:val="1A1A1A"/>
          <w:sz w:val="22"/>
          <w:szCs w:val="22"/>
        </w:rPr>
        <w:t>, p.102667.</w:t>
      </w:r>
    </w:p>
    <w:p w14:paraId="0D4E1DD7" w14:textId="77777777" w:rsidR="00833B43" w:rsidRPr="002F133D" w:rsidRDefault="00833B43" w:rsidP="00833B43">
      <w:pPr>
        <w:pStyle w:val="gmail-p7"/>
        <w:spacing w:before="0" w:beforeAutospacing="0" w:after="180" w:afterAutospacing="0"/>
        <w:rPr>
          <w:rFonts w:asciiTheme="minorHAnsi" w:hAnsiTheme="minorHAnsi" w:cstheme="minorHAnsi"/>
          <w:color w:val="000000"/>
          <w:sz w:val="22"/>
          <w:szCs w:val="22"/>
        </w:rPr>
      </w:pPr>
      <w:r w:rsidRPr="002F133D">
        <w:rPr>
          <w:rFonts w:asciiTheme="minorHAnsi" w:hAnsiTheme="minorHAnsi" w:cstheme="minorHAnsi"/>
          <w:color w:val="000000"/>
          <w:sz w:val="22"/>
          <w:szCs w:val="22"/>
        </w:rPr>
        <w:t>‌Stanier, I., Coming in from the Cold? The Contested Role of Juvenile Informants in Intelligence Operations. Professor Robert Dover–University of Hull. Available at:</w:t>
      </w:r>
      <w:hyperlink r:id="rId24" w:history="1">
        <w:r w:rsidRPr="002F133D">
          <w:rPr>
            <w:rStyle w:val="gmail-s1"/>
            <w:rFonts w:asciiTheme="minorHAnsi" w:hAnsiTheme="minorHAnsi" w:cstheme="minorHAnsi"/>
            <w:color w:val="0000FF"/>
            <w:sz w:val="22"/>
            <w:szCs w:val="22"/>
            <w:u w:val="single"/>
          </w:rPr>
          <w:t>https://www.researchgate.net/profile/Robert-Dover-2/publication/348762259_Coming_in_from_the_Cold_The_Contested_Role_of_Juvenile_Informants_in_Intelligence_Operations/links/601a7894a6fdcc37a8fc83ea/Coming-in-from-the-Cold-The-Contested-Role-of-Juvenile-Informants-in-Intelligence-Operations.pdf\</w:t>
        </w:r>
      </w:hyperlink>
    </w:p>
    <w:p w14:paraId="08DB7243" w14:textId="77777777" w:rsidR="00833B43" w:rsidRPr="002F133D" w:rsidRDefault="00833B43" w:rsidP="00833B43">
      <w:pPr>
        <w:pStyle w:val="gmail-p4"/>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 xml:space="preserve">Sutton, A., Cherney, A., White, R. and Clancey, G., 2021. Crime prevention: Principles, </w:t>
      </w:r>
      <w:proofErr w:type="gramStart"/>
      <w:r w:rsidRPr="002F133D">
        <w:rPr>
          <w:rFonts w:asciiTheme="minorHAnsi" w:hAnsiTheme="minorHAnsi" w:cstheme="minorHAnsi"/>
          <w:color w:val="1A1A1A"/>
          <w:sz w:val="22"/>
          <w:szCs w:val="22"/>
        </w:rPr>
        <w:t>perspectives</w:t>
      </w:r>
      <w:proofErr w:type="gramEnd"/>
      <w:r w:rsidRPr="002F133D">
        <w:rPr>
          <w:rFonts w:asciiTheme="minorHAnsi" w:hAnsiTheme="minorHAnsi" w:cstheme="minorHAnsi"/>
          <w:color w:val="1A1A1A"/>
          <w:sz w:val="22"/>
          <w:szCs w:val="22"/>
        </w:rPr>
        <w:t xml:space="preserve"> and practices.</w:t>
      </w:r>
    </w:p>
    <w:p w14:paraId="65BB2DCF" w14:textId="77777777" w:rsidR="00833B43" w:rsidRPr="002F133D" w:rsidRDefault="00833B43" w:rsidP="00833B43">
      <w:pPr>
        <w:pStyle w:val="gmail-p7"/>
        <w:spacing w:before="0" w:beforeAutospacing="0" w:after="180" w:afterAutospacing="0"/>
        <w:rPr>
          <w:rFonts w:asciiTheme="minorHAnsi" w:hAnsiTheme="minorHAnsi" w:cstheme="minorHAnsi"/>
          <w:color w:val="000000"/>
          <w:sz w:val="22"/>
          <w:szCs w:val="22"/>
        </w:rPr>
      </w:pPr>
      <w:r w:rsidRPr="002F133D">
        <w:rPr>
          <w:rFonts w:asciiTheme="minorHAnsi" w:hAnsiTheme="minorHAnsi" w:cstheme="minorHAnsi"/>
          <w:color w:val="000000"/>
          <w:sz w:val="22"/>
          <w:szCs w:val="22"/>
        </w:rPr>
        <w:t>‌UNODC (2018). </w:t>
      </w:r>
      <w:r w:rsidRPr="002F133D">
        <w:rPr>
          <w:rFonts w:asciiTheme="minorHAnsi" w:hAnsiTheme="minorHAnsi" w:cstheme="minorHAnsi"/>
          <w:i/>
          <w:iCs/>
          <w:color w:val="000000"/>
          <w:sz w:val="22"/>
          <w:szCs w:val="22"/>
        </w:rPr>
        <w:t>Organized Crime Module 1 Key Issues: Defining Organized Crime</w:t>
      </w:r>
      <w:r w:rsidRPr="002F133D">
        <w:rPr>
          <w:rFonts w:asciiTheme="minorHAnsi" w:hAnsiTheme="minorHAnsi" w:cstheme="minorHAnsi"/>
          <w:color w:val="000000"/>
          <w:sz w:val="22"/>
          <w:szCs w:val="22"/>
        </w:rPr>
        <w:t xml:space="preserve">. [online] </w:t>
      </w:r>
      <w:hyperlink r:id="rId25" w:history="1">
        <w:r w:rsidRPr="002F133D">
          <w:rPr>
            <w:rStyle w:val="Hyperlink"/>
            <w:rFonts w:asciiTheme="minorHAnsi" w:hAnsiTheme="minorHAnsi" w:cstheme="minorHAnsi"/>
            <w:sz w:val="22"/>
            <w:szCs w:val="22"/>
          </w:rPr>
          <w:t>www.unodc.org</w:t>
        </w:r>
      </w:hyperlink>
      <w:r w:rsidRPr="002F133D">
        <w:rPr>
          <w:rFonts w:asciiTheme="minorHAnsi" w:hAnsiTheme="minorHAnsi" w:cstheme="minorHAnsi"/>
          <w:color w:val="000000"/>
          <w:sz w:val="22"/>
          <w:szCs w:val="22"/>
        </w:rPr>
        <w:t xml:space="preserve">. Available at: </w:t>
      </w:r>
      <w:hyperlink r:id="rId26" w:history="1">
        <w:r w:rsidRPr="002F133D">
          <w:rPr>
            <w:rStyle w:val="gmail-s1"/>
            <w:rFonts w:asciiTheme="minorHAnsi" w:hAnsiTheme="minorHAnsi" w:cstheme="minorHAnsi"/>
            <w:color w:val="0000FF"/>
            <w:sz w:val="22"/>
            <w:szCs w:val="22"/>
            <w:u w:val="single"/>
          </w:rPr>
          <w:t>https://www.unodc.org/e4j/zh/organized-crime/module-1/key-issues/defining-organized-crime.html</w:t>
        </w:r>
      </w:hyperlink>
      <w:r w:rsidRPr="002F133D">
        <w:rPr>
          <w:rFonts w:asciiTheme="minorHAnsi" w:hAnsiTheme="minorHAnsi" w:cstheme="minorHAnsi"/>
          <w:color w:val="000000"/>
          <w:sz w:val="22"/>
          <w:szCs w:val="22"/>
        </w:rPr>
        <w:t>.</w:t>
      </w:r>
    </w:p>
    <w:p w14:paraId="58D94440" w14:textId="77777777" w:rsidR="00833B43" w:rsidRPr="002F133D" w:rsidRDefault="00833B43" w:rsidP="00833B43">
      <w:pPr>
        <w:pStyle w:val="gmail-p3"/>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Varese, F., 2020. How mafias migrate: transplantation, functional diversification, and separation. </w:t>
      </w:r>
      <w:r w:rsidRPr="002F133D">
        <w:rPr>
          <w:rFonts w:asciiTheme="minorHAnsi" w:hAnsiTheme="minorHAnsi" w:cstheme="minorHAnsi"/>
          <w:i/>
          <w:iCs/>
          <w:color w:val="1A1A1A"/>
          <w:sz w:val="22"/>
          <w:szCs w:val="22"/>
        </w:rPr>
        <w:t>Crime and Justice</w:t>
      </w:r>
      <w:r w:rsidRPr="002F133D">
        <w:rPr>
          <w:rFonts w:asciiTheme="minorHAnsi" w:hAnsiTheme="minorHAnsi" w:cstheme="minorHAnsi"/>
          <w:color w:val="1A1A1A"/>
          <w:sz w:val="22"/>
          <w:szCs w:val="22"/>
        </w:rPr>
        <w:t>, </w:t>
      </w:r>
      <w:r w:rsidRPr="002F133D">
        <w:rPr>
          <w:rFonts w:asciiTheme="minorHAnsi" w:hAnsiTheme="minorHAnsi" w:cstheme="minorHAnsi"/>
          <w:i/>
          <w:iCs/>
          <w:color w:val="1A1A1A"/>
          <w:sz w:val="22"/>
          <w:szCs w:val="22"/>
        </w:rPr>
        <w:t>49</w:t>
      </w:r>
      <w:r w:rsidRPr="002F133D">
        <w:rPr>
          <w:rFonts w:asciiTheme="minorHAnsi" w:hAnsiTheme="minorHAnsi" w:cstheme="minorHAnsi"/>
          <w:color w:val="1A1A1A"/>
          <w:sz w:val="22"/>
          <w:szCs w:val="22"/>
        </w:rPr>
        <w:t>(1), pp.289-337.</w:t>
      </w:r>
    </w:p>
    <w:p w14:paraId="221C343A" w14:textId="77777777" w:rsidR="00833B43" w:rsidRPr="002F133D" w:rsidRDefault="00833B43" w:rsidP="00833B43">
      <w:pPr>
        <w:pStyle w:val="gmail-p3"/>
        <w:spacing w:before="0" w:beforeAutospacing="0" w:after="0" w:afterAutospacing="0"/>
        <w:rPr>
          <w:rFonts w:asciiTheme="minorHAnsi" w:hAnsiTheme="minorHAnsi" w:cstheme="minorHAnsi"/>
          <w:color w:val="1A1A1A"/>
          <w:sz w:val="22"/>
          <w:szCs w:val="22"/>
        </w:rPr>
      </w:pPr>
      <w:r w:rsidRPr="002F133D">
        <w:rPr>
          <w:rFonts w:asciiTheme="minorHAnsi" w:hAnsiTheme="minorHAnsi" w:cstheme="minorHAnsi"/>
          <w:color w:val="1A1A1A"/>
          <w:sz w:val="22"/>
          <w:szCs w:val="22"/>
        </w:rPr>
        <w:t xml:space="preserve">Vik, B.F., Rasmussen, K., Schei, B. and Hagemann, C.T., 2020. Is police investigation of rape biased by characteristics of </w:t>
      </w:r>
      <w:proofErr w:type="gramStart"/>
      <w:r w:rsidRPr="002F133D">
        <w:rPr>
          <w:rFonts w:asciiTheme="minorHAnsi" w:hAnsiTheme="minorHAnsi" w:cstheme="minorHAnsi"/>
          <w:color w:val="1A1A1A"/>
          <w:sz w:val="22"/>
          <w:szCs w:val="22"/>
        </w:rPr>
        <w:t>victims?.</w:t>
      </w:r>
      <w:proofErr w:type="gramEnd"/>
      <w:r w:rsidRPr="002F133D">
        <w:rPr>
          <w:rFonts w:asciiTheme="minorHAnsi" w:hAnsiTheme="minorHAnsi" w:cstheme="minorHAnsi"/>
          <w:color w:val="1A1A1A"/>
          <w:sz w:val="22"/>
          <w:szCs w:val="22"/>
        </w:rPr>
        <w:t> </w:t>
      </w:r>
      <w:r w:rsidRPr="002F133D">
        <w:rPr>
          <w:rFonts w:asciiTheme="minorHAnsi" w:hAnsiTheme="minorHAnsi" w:cstheme="minorHAnsi"/>
          <w:i/>
          <w:iCs/>
          <w:color w:val="1A1A1A"/>
          <w:sz w:val="22"/>
          <w:szCs w:val="22"/>
        </w:rPr>
        <w:t>Forensic science international: Synergy</w:t>
      </w:r>
      <w:r w:rsidRPr="002F133D">
        <w:rPr>
          <w:rFonts w:asciiTheme="minorHAnsi" w:hAnsiTheme="minorHAnsi" w:cstheme="minorHAnsi"/>
          <w:color w:val="1A1A1A"/>
          <w:sz w:val="22"/>
          <w:szCs w:val="22"/>
        </w:rPr>
        <w:t>, </w:t>
      </w:r>
      <w:r w:rsidRPr="002F133D">
        <w:rPr>
          <w:rFonts w:asciiTheme="minorHAnsi" w:hAnsiTheme="minorHAnsi" w:cstheme="minorHAnsi"/>
          <w:i/>
          <w:iCs/>
          <w:color w:val="1A1A1A"/>
          <w:sz w:val="22"/>
          <w:szCs w:val="22"/>
        </w:rPr>
        <w:t>2</w:t>
      </w:r>
      <w:r w:rsidRPr="002F133D">
        <w:rPr>
          <w:rFonts w:asciiTheme="minorHAnsi" w:hAnsiTheme="minorHAnsi" w:cstheme="minorHAnsi"/>
          <w:color w:val="1A1A1A"/>
          <w:sz w:val="22"/>
          <w:szCs w:val="22"/>
        </w:rPr>
        <w:t>, pp.98-106.</w:t>
      </w:r>
    </w:p>
    <w:p w14:paraId="5F76C43F" w14:textId="2F0C5AE8" w:rsidR="00833B43" w:rsidRDefault="00833B43" w:rsidP="00833B43">
      <w:r w:rsidRPr="002F133D">
        <w:rPr>
          <w:rFonts w:cstheme="minorHAnsi"/>
          <w:color w:val="1A1A1A"/>
        </w:rPr>
        <w:t>Visher, C.A. and Weisburd, D., 1997. Identifying what works: Recent trends in crime prevention strategies. </w:t>
      </w:r>
      <w:r w:rsidRPr="002F133D">
        <w:rPr>
          <w:rFonts w:cstheme="minorHAnsi"/>
          <w:i/>
          <w:iCs/>
          <w:color w:val="1A1A1A"/>
        </w:rPr>
        <w:t>Crime, Law and Social Change</w:t>
      </w:r>
      <w:r w:rsidRPr="002F133D">
        <w:rPr>
          <w:rFonts w:cstheme="minorHAnsi"/>
          <w:color w:val="1A1A1A"/>
        </w:rPr>
        <w:t>, </w:t>
      </w:r>
      <w:r w:rsidRPr="002F133D">
        <w:rPr>
          <w:rFonts w:cstheme="minorHAnsi"/>
          <w:i/>
          <w:iCs/>
          <w:color w:val="1A1A1A"/>
        </w:rPr>
        <w:t>28</w:t>
      </w:r>
      <w:r w:rsidRPr="002F133D">
        <w:rPr>
          <w:rFonts w:cstheme="minorHAnsi"/>
          <w:color w:val="1A1A1A"/>
        </w:rPr>
        <w:t>, pp.223-242.</w:t>
      </w:r>
    </w:p>
    <w:sectPr w:rsidR="00833B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E50AB"/>
    <w:multiLevelType w:val="hybridMultilevel"/>
    <w:tmpl w:val="EEC80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624B95"/>
    <w:multiLevelType w:val="hybridMultilevel"/>
    <w:tmpl w:val="91D2A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C33AF9"/>
    <w:multiLevelType w:val="hybridMultilevel"/>
    <w:tmpl w:val="363C01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4678BB"/>
    <w:multiLevelType w:val="hybridMultilevel"/>
    <w:tmpl w:val="FB129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7E34FA"/>
    <w:multiLevelType w:val="hybridMultilevel"/>
    <w:tmpl w:val="040C84DA"/>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5D213F1"/>
    <w:multiLevelType w:val="hybridMultilevel"/>
    <w:tmpl w:val="5C2A2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483650"/>
    <w:multiLevelType w:val="hybridMultilevel"/>
    <w:tmpl w:val="1130C59A"/>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AD1E71"/>
    <w:multiLevelType w:val="hybridMultilevel"/>
    <w:tmpl w:val="1696D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B55086"/>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5D97CFF"/>
    <w:multiLevelType w:val="hybridMultilevel"/>
    <w:tmpl w:val="7C401DBC"/>
    <w:lvl w:ilvl="0" w:tplc="388E27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7126D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951EB3"/>
    <w:multiLevelType w:val="hybridMultilevel"/>
    <w:tmpl w:val="78E0B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5405A8E"/>
    <w:multiLevelType w:val="hybridMultilevel"/>
    <w:tmpl w:val="7DA80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FE34B2"/>
    <w:multiLevelType w:val="hybridMultilevel"/>
    <w:tmpl w:val="7CB81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9906568">
    <w:abstractNumId w:val="9"/>
  </w:num>
  <w:num w:numId="2" w16cid:durableId="2053653600">
    <w:abstractNumId w:val="8"/>
  </w:num>
  <w:num w:numId="3" w16cid:durableId="1576696739">
    <w:abstractNumId w:val="10"/>
  </w:num>
  <w:num w:numId="4" w16cid:durableId="625697381">
    <w:abstractNumId w:val="0"/>
  </w:num>
  <w:num w:numId="5" w16cid:durableId="1386023243">
    <w:abstractNumId w:val="6"/>
  </w:num>
  <w:num w:numId="6" w16cid:durableId="1398935526">
    <w:abstractNumId w:val="5"/>
  </w:num>
  <w:num w:numId="7" w16cid:durableId="678973375">
    <w:abstractNumId w:val="3"/>
  </w:num>
  <w:num w:numId="8" w16cid:durableId="262689003">
    <w:abstractNumId w:val="13"/>
  </w:num>
  <w:num w:numId="9" w16cid:durableId="301352224">
    <w:abstractNumId w:val="4"/>
  </w:num>
  <w:num w:numId="10" w16cid:durableId="1865054259">
    <w:abstractNumId w:val="1"/>
  </w:num>
  <w:num w:numId="11" w16cid:durableId="1166827388">
    <w:abstractNumId w:val="11"/>
  </w:num>
  <w:num w:numId="12" w16cid:durableId="21132582">
    <w:abstractNumId w:val="2"/>
  </w:num>
  <w:num w:numId="13" w16cid:durableId="1114178157">
    <w:abstractNumId w:val="7"/>
  </w:num>
  <w:num w:numId="14" w16cid:durableId="14566781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8AF"/>
    <w:rsid w:val="000174EA"/>
    <w:rsid w:val="000356F4"/>
    <w:rsid w:val="00042941"/>
    <w:rsid w:val="0006002A"/>
    <w:rsid w:val="00075204"/>
    <w:rsid w:val="000773D7"/>
    <w:rsid w:val="000F467C"/>
    <w:rsid w:val="00110D90"/>
    <w:rsid w:val="0011505C"/>
    <w:rsid w:val="001C66FE"/>
    <w:rsid w:val="00231830"/>
    <w:rsid w:val="0024286B"/>
    <w:rsid w:val="00294EEA"/>
    <w:rsid w:val="002F4CBC"/>
    <w:rsid w:val="00367094"/>
    <w:rsid w:val="00386501"/>
    <w:rsid w:val="003C3628"/>
    <w:rsid w:val="003E51AA"/>
    <w:rsid w:val="003E6540"/>
    <w:rsid w:val="004626BB"/>
    <w:rsid w:val="0046724D"/>
    <w:rsid w:val="00490726"/>
    <w:rsid w:val="004A3D57"/>
    <w:rsid w:val="004A4185"/>
    <w:rsid w:val="004A6481"/>
    <w:rsid w:val="004D39FD"/>
    <w:rsid w:val="005337B8"/>
    <w:rsid w:val="00546450"/>
    <w:rsid w:val="005631CD"/>
    <w:rsid w:val="005C68AF"/>
    <w:rsid w:val="006028C5"/>
    <w:rsid w:val="006045F5"/>
    <w:rsid w:val="00634BD6"/>
    <w:rsid w:val="006905D3"/>
    <w:rsid w:val="006C4FC2"/>
    <w:rsid w:val="006D238F"/>
    <w:rsid w:val="006F391D"/>
    <w:rsid w:val="006F7C7B"/>
    <w:rsid w:val="00705D70"/>
    <w:rsid w:val="007316CC"/>
    <w:rsid w:val="0075129C"/>
    <w:rsid w:val="008119FD"/>
    <w:rsid w:val="0082005A"/>
    <w:rsid w:val="00833B43"/>
    <w:rsid w:val="00846765"/>
    <w:rsid w:val="00862587"/>
    <w:rsid w:val="00894A00"/>
    <w:rsid w:val="00895D30"/>
    <w:rsid w:val="008B770A"/>
    <w:rsid w:val="00940426"/>
    <w:rsid w:val="00945F87"/>
    <w:rsid w:val="0095520F"/>
    <w:rsid w:val="00962459"/>
    <w:rsid w:val="009A6484"/>
    <w:rsid w:val="00A070B3"/>
    <w:rsid w:val="00A855C0"/>
    <w:rsid w:val="00AC0AF5"/>
    <w:rsid w:val="00AF50FE"/>
    <w:rsid w:val="00B161B4"/>
    <w:rsid w:val="00B35D05"/>
    <w:rsid w:val="00B62C62"/>
    <w:rsid w:val="00BF3486"/>
    <w:rsid w:val="00C00567"/>
    <w:rsid w:val="00C25F95"/>
    <w:rsid w:val="00C64AE8"/>
    <w:rsid w:val="00CB1EC4"/>
    <w:rsid w:val="00CE55FA"/>
    <w:rsid w:val="00CF1B5F"/>
    <w:rsid w:val="00D032AA"/>
    <w:rsid w:val="00D1284C"/>
    <w:rsid w:val="00DA3310"/>
    <w:rsid w:val="00DE4E5A"/>
    <w:rsid w:val="00DE61B3"/>
    <w:rsid w:val="00DF2AB4"/>
    <w:rsid w:val="00E560F6"/>
    <w:rsid w:val="00E633C5"/>
    <w:rsid w:val="00EE4B1A"/>
    <w:rsid w:val="00EE64B8"/>
    <w:rsid w:val="00EF6D0B"/>
    <w:rsid w:val="00F37837"/>
    <w:rsid w:val="00F51B2F"/>
    <w:rsid w:val="00FF1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B5FEA"/>
  <w15:chartTrackingRefBased/>
  <w15:docId w15:val="{CCD3DA43-42B5-4260-925F-2FA60C9A3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6484"/>
    <w:pPr>
      <w:ind w:left="720"/>
      <w:contextualSpacing/>
    </w:pPr>
  </w:style>
  <w:style w:type="character" w:styleId="Hyperlink">
    <w:name w:val="Hyperlink"/>
    <w:basedOn w:val="DefaultParagraphFont"/>
    <w:uiPriority w:val="99"/>
    <w:semiHidden/>
    <w:unhideWhenUsed/>
    <w:rsid w:val="00833B43"/>
    <w:rPr>
      <w:color w:val="0000FF"/>
      <w:u w:val="single"/>
    </w:rPr>
  </w:style>
  <w:style w:type="paragraph" w:customStyle="1" w:styleId="gmail-p3">
    <w:name w:val="gmail-p3"/>
    <w:basedOn w:val="Normal"/>
    <w:rsid w:val="00833B43"/>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paragraph" w:customStyle="1" w:styleId="gmail-p4">
    <w:name w:val="gmail-p4"/>
    <w:basedOn w:val="Normal"/>
    <w:rsid w:val="00833B43"/>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paragraph" w:customStyle="1" w:styleId="gmail-p5">
    <w:name w:val="gmail-p5"/>
    <w:basedOn w:val="Normal"/>
    <w:rsid w:val="00833B43"/>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paragraph" w:customStyle="1" w:styleId="gmail-p6">
    <w:name w:val="gmail-p6"/>
    <w:basedOn w:val="Normal"/>
    <w:rsid w:val="00833B43"/>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paragraph" w:customStyle="1" w:styleId="gmail-p7">
    <w:name w:val="gmail-p7"/>
    <w:basedOn w:val="Normal"/>
    <w:rsid w:val="00833B43"/>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character" w:customStyle="1" w:styleId="gmail-s1">
    <w:name w:val="gmail-s1"/>
    <w:basedOn w:val="DefaultParagraphFont"/>
    <w:rsid w:val="00833B43"/>
  </w:style>
  <w:style w:type="character" w:customStyle="1" w:styleId="gmail-apple-converted-space">
    <w:name w:val="gmail-apple-converted-space"/>
    <w:basedOn w:val="DefaultParagraphFont"/>
    <w:rsid w:val="00833B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r01.safelinks.protection.outlook.com/?url=https%3A%2F%2Fwww.college.police.uk%2Fapp%2Fcivil-emergencies%2Fdisaster-victim-identification%2Fdefinitions&amp;data=05%7C01%7Cgeorge.henderson%40south-wales.police.uk%7C7136a1dafa324eb1a96608dbef7285b5%7C270c2f4dfd0c4f0892a9e5bdd8a87e09%7C0%7C0%7C638367047968098341%7CUnknown%7CTWFpbGZsb3d8eyJWIjoiMC4wLjAwMDAiLCJQIjoiV2luMzIiLCJBTiI6Ik1haWwiLCJXVCI6Mn0%3D%7C3000%7C%7C%7C&amp;sdata=OVGtGDEzd5s6cbznivgQUP8tEtChi5DKndddp4frrSs%3D&amp;reserved=0" TargetMode="External"/><Relationship Id="rId13" Type="http://schemas.openxmlformats.org/officeDocument/2006/relationships/hyperlink" Target="https://gbr01.safelinks.protection.outlook.com/?url=https%3A%2F%2Fwww.legislation.gov.uk%2Fukpga%2F2003%2F44%2Fsection%2F325%2F2010-05-05&amp;data=05%7C01%7Cgeorge.henderson%40south-wales.police.uk%7C7136a1dafa324eb1a96608dbef7285b5%7C270c2f4dfd0c4f0892a9e5bdd8a87e09%7C0%7C0%7C638367047968098341%7CUnknown%7CTWFpbGZsb3d8eyJWIjoiMC4wLjAwMDAiLCJQIjoiV2luMzIiLCJBTiI6Ik1haWwiLCJXVCI6Mn0%3D%7C3000%7C%7C%7C&amp;sdata=eHjIfuG9HS%2B12CdHzV0L3%2BGnaTQKx8uieINY2aYy89Q%3D&amp;reserved=0" TargetMode="External"/><Relationship Id="rId18" Type="http://schemas.openxmlformats.org/officeDocument/2006/relationships/hyperlink" Target="https://gbr01.safelinks.protection.outlook.com/?url=https%3A%2F%2Fpublications.parliament.uk%2Fpa%2Fcm201719%2Fcmselect%2Fcmpubacc%2F2049%2F2049.pdf&amp;data=05%7C01%7Cgeorge.henderson%40south-wales.police.uk%7C7136a1dafa324eb1a96608dbef7285b5%7C270c2f4dfd0c4f0892a9e5bdd8a87e09%7C0%7C0%7C638367047968098341%7CUnknown%7CTWFpbGZsb3d8eyJWIjoiMC4wLjAwMDAiLCJQIjoiV2luMzIiLCJBTiI6Ik1haWwiLCJXVCI6Mn0%3D%7C3000%7C%7C%7C&amp;sdata=dx1t6Dwzbc%2BjsEIU0py5HS7%2BEAq1BMztLP0pBkt2fto%3D&amp;reserved=0" TargetMode="External"/><Relationship Id="rId26" Type="http://schemas.openxmlformats.org/officeDocument/2006/relationships/hyperlink" Target="https://gbr01.safelinks.protection.outlook.com/?url=https%3A%2F%2Fwww.unodc.org%2Fe4j%2Fzh%2Forganized-crime%2Fmodule-1%2Fkey-issues%2Fdefining-organized-crime.html&amp;data=05%7C01%7Cgeorge.henderson%40south-wales.police.uk%7C7136a1dafa324eb1a96608dbef7285b5%7C270c2f4dfd0c4f0892a9e5bdd8a87e09%7C0%7C0%7C638367047967942127%7CUnknown%7CTWFpbGZsb3d8eyJWIjoiMC4wLjAwMDAiLCJQIjoiV2luMzIiLCJBTiI6Ik1haWwiLCJXVCI6Mn0%3D%7C3000%7C%7C%7C&amp;sdata=KTLQJegEzJ7Tt3aWS7thN%2Fh0tqhJvpom1dgvzRVXcpc%3D&amp;reserved=0" TargetMode="External"/><Relationship Id="rId3" Type="http://schemas.openxmlformats.org/officeDocument/2006/relationships/settings" Target="settings.xml"/><Relationship Id="rId21" Type="http://schemas.openxmlformats.org/officeDocument/2006/relationships/hyperlink" Target="https://gbr01.safelinks.protection.outlook.com/?url=https%3A%2F%2Fwww.legislation.gov.uk%2Fukpga%2F2000%2F23%2Fsection%2F26&amp;data=05%7C01%7Cgeorge.henderson%40south-wales.police.uk%7C7136a1dafa324eb1a96608dbef7285b5%7C270c2f4dfd0c4f0892a9e5bdd8a87e09%7C0%7C0%7C638367047968098341%7CUnknown%7CTWFpbGZsb3d8eyJWIjoiMC4wLjAwMDAiLCJQIjoiV2luMzIiLCJBTiI6Ik1haWwiLCJXVCI6Mn0%3D%7C3000%7C%7C%7C&amp;sdata=CdKg%2BoMGoSKE%2F0TkvKAxopYyYm33t63CwZp0OLHWoKA%3D&amp;reserved=0" TargetMode="External"/><Relationship Id="rId7" Type="http://schemas.openxmlformats.org/officeDocument/2006/relationships/hyperlink" Target="https://gbr01.safelinks.protection.outlook.com/?url=https%3A%2F%2Fwww.college.police.uk%2Fapp%2Fnational-decision-model%2Fnational-decision-model&amp;data=05%7C01%7Cgeorge.henderson%40south-wales.police.uk%7C7136a1dafa324eb1a96608dbef7285b5%7C270c2f4dfd0c4f0892a9e5bdd8a87e09%7C0%7C0%7C638367047968098341%7CUnknown%7CTWFpbGZsb3d8eyJWIjoiMC4wLjAwMDAiLCJQIjoiV2luMzIiLCJBTiI6Ik1haWwiLCJXVCI6Mn0%3D%7C3000%7C%7C%7C&amp;sdata=R6sEabTsG4OBZFfF2hX0rTvgCbeFQs%2B6mab5GYQdvwo%3D&amp;reserved=0" TargetMode="External"/><Relationship Id="rId12" Type="http://schemas.openxmlformats.org/officeDocument/2006/relationships/hyperlink" Target="https://gbr01.safelinks.protection.outlook.com/?url=https%3A%2F%2Fwww.legislation.gov.uk%2Fukpga%2F2021%2F4%2Fsection%2F2%2Fenacted&amp;data=05%7C01%7Cgeorge.henderson%40south-wales.police.uk%7C7136a1dafa324eb1a96608dbef7285b5%7C270c2f4dfd0c4f0892a9e5bdd8a87e09%7C0%7C0%7C638367047967942127%7CUnknown%7CTWFpbGZsb3d8eyJWIjoiMC4wLjAwMDAiLCJQIjoiV2luMzIiLCJBTiI6Ik1haWwiLCJXVCI6Mn0%3D%7C3000%7C%7C%7C&amp;sdata=vuTgeQMdthmdtZfMhAZHv7OzSBXB0PStW6hYp7ogqIU%3D&amp;reserved=0" TargetMode="External"/><Relationship Id="rId17" Type="http://schemas.openxmlformats.org/officeDocument/2006/relationships/hyperlink" Target="https://gbr01.safelinks.protection.outlook.com/?url=https%3A%2F%2Fwww.gov.uk%2Fgovernment%2Fpublications%2Fcovert-human-intelligence-sources-draft-code-of-practice%2Fcovert-human-intelligence-sources-bill-factsheet-accessible-version&amp;data=05%7C01%7Cgeorge.henderson%40south-wales.police.uk%7C7136a1dafa324eb1a96608dbef7285b5%7C270c2f4dfd0c4f0892a9e5bdd8a87e09%7C0%7C0%7C638367047967942127%7CUnknown%7CTWFpbGZsb3d8eyJWIjoiMC4wLjAwMDAiLCJQIjoiV2luMzIiLCJBTiI6Ik1haWwiLCJXVCI6Mn0%3D%7C3000%7C%7C%7C&amp;sdata=7yuGofTeAhmMjZ7qfCpKaiS1PSrTOEFMh2R0QX2KZxY%3D&amp;reserved=0" TargetMode="External"/><Relationship Id="rId25" Type="http://schemas.openxmlformats.org/officeDocument/2006/relationships/hyperlink" Target="https://gbr01.safelinks.protection.outlook.com/?url=http%3A%2F%2Fwww.unodc.org%2F&amp;data=05%7C01%7Cgeorge.henderson%40south-wales.police.uk%7C7136a1dafa324eb1a96608dbef7285b5%7C270c2f4dfd0c4f0892a9e5bdd8a87e09%7C0%7C0%7C638367047967942127%7CUnknown%7CTWFpbGZsb3d8eyJWIjoiMC4wLjAwMDAiLCJQIjoiV2luMzIiLCJBTiI6Ik1haWwiLCJXVCI6Mn0%3D%7C3000%7C%7C%7C&amp;sdata=EvjZxGhXKCmvHJCJL%2FyTu4NU%2BvSimnpCAwYWsS18S2A%3D&amp;reserved=0" TargetMode="External"/><Relationship Id="rId2" Type="http://schemas.openxmlformats.org/officeDocument/2006/relationships/styles" Target="styles.xml"/><Relationship Id="rId16" Type="http://schemas.openxmlformats.org/officeDocument/2006/relationships/hyperlink" Target="https://gbr01.safelinks.protection.outlook.com/?url=http%3A%2F%2Fgov.uk%2F&amp;data=05%7C01%7Cgeorge.henderson%40south-wales.police.uk%7C7136a1dafa324eb1a96608dbef7285b5%7C270c2f4dfd0c4f0892a9e5bdd8a87e09%7C0%7C0%7C638367047967942127%7CUnknown%7CTWFpbGZsb3d8eyJWIjoiMC4wLjAwMDAiLCJQIjoiV2luMzIiLCJBTiI6Ik1haWwiLCJXVCI6Mn0%3D%7C3000%7C%7C%7C&amp;sdata=EQDwKV7eoL8p3NOEMovTD9aThLfxrsQp7tKYNFzRV4Y%3D&amp;reserved=0" TargetMode="External"/><Relationship Id="rId20" Type="http://schemas.openxmlformats.org/officeDocument/2006/relationships/hyperlink" Target="https://gbr01.safelinks.protection.outlook.com/?url=https%3A%2F%2Fassets.publishing.service.gov.uk%2Fmedia%2F5a7c74e8e5274a5255bcec63%2Fhorr73.pdf&amp;data=05%7C01%7Cgeorge.henderson%40south-wales.police.uk%7C7136a1dafa324eb1a96608dbef7285b5%7C270c2f4dfd0c4f0892a9e5bdd8a87e09%7C0%7C0%7C638367047968098341%7CUnknown%7CTWFpbGZsb3d8eyJWIjoiMC4wLjAwMDAiLCJQIjoiV2luMzIiLCJBTiI6Ik1haWwiLCJXVCI6Mn0%3D%7C3000%7C%7C%7C&amp;sdata=KRzGzyBVjBsfG6DxF2RA8qFdYOOuIEKjJaaX8ejGDzU%3D&amp;reserved=0" TargetMode="External"/><Relationship Id="rId1" Type="http://schemas.openxmlformats.org/officeDocument/2006/relationships/numbering" Target="numbering.xml"/><Relationship Id="rId6" Type="http://schemas.openxmlformats.org/officeDocument/2006/relationships/hyperlink" Target="https://gbr01.safelinks.protection.outlook.com/?url=https%3A%2F%2Fwww.legislation.gov.uk%2Fukpga%2F2014%2F12%2Fsection%2F2%2Fenacted&amp;data=05%7C01%7Cgeorge.henderson%40south-wales.police.uk%7C7136a1dafa324eb1a96608dbef7285b5%7C270c2f4dfd0c4f0892a9e5bdd8a87e09%7C0%7C0%7C638367047967942127%7CUnknown%7CTWFpbGZsb3d8eyJWIjoiMC4wLjAwMDAiLCJQIjoiV2luMzIiLCJBTiI6Ik1haWwiLCJXVCI6Mn0%3D%7C3000%7C%7C%7C&amp;sdata=hXfyz2XdD%2FdOE%2BBJVXoP3y5dsXnc2lQ2xFXxBokiCi4%3D&amp;reserved=0" TargetMode="External"/><Relationship Id="rId11" Type="http://schemas.openxmlformats.org/officeDocument/2006/relationships/hyperlink" Target="https://gbr01.safelinks.protection.outlook.com/?url=https%3A%2F%2Fwww.college.police.uk%2Fguidance%2Fanti-social-behaviour-powers&amp;data=05%7C01%7Cgeorge.henderson%40south-wales.police.uk%7C7136a1dafa324eb1a96608dbef7285b5%7C270c2f4dfd0c4f0892a9e5bdd8a87e09%7C0%7C0%7C638367047967942127%7CUnknown%7CTWFpbGZsb3d8eyJWIjoiMC4wLjAwMDAiLCJQIjoiV2luMzIiLCJBTiI6Ik1haWwiLCJXVCI6Mn0%3D%7C3000%7C%7C%7C&amp;sdata=9dBQq7qCXEVO%2FvUtNXJ4%2Bm4y%2BLutJOyJj4ywLSKfCmQ%3D&amp;reserved=0" TargetMode="External"/><Relationship Id="rId24" Type="http://schemas.openxmlformats.org/officeDocument/2006/relationships/hyperlink" Target="https://gbr01.safelinks.protection.outlook.com/?url=https%3A%2F%2Fwww.researchgate.net%2Fprofile%2FRobert-Dover-2%2Fpublication%2F348762259_Coming_in_from_the_Cold_The_Contested_Role_of_Juvenile_Informants_in_Intelligence_Operations%2Flinks%2F601a7894a6fdcc37a8fc83ea%2FComing-in-from-the-Cold-The-Contested-Role-of-Juvenile-Informants-in-Intelligence-Operations.pdf%255C&amp;data=05%7C01%7Cgeorge.henderson%40south-wales.police.uk%7C7136a1dafa324eb1a96608dbef7285b5%7C270c2f4dfd0c4f0892a9e5bdd8a87e09%7C0%7C0%7C638367047968098341%7CUnknown%7CTWFpbGZsb3d8eyJWIjoiMC4wLjAwMDAiLCJQIjoiV2luMzIiLCJBTiI6Ik1haWwiLCJXVCI6Mn0%3D%7C3000%7C%7C%7C&amp;sdata=yR9BVoKf9phbPvGm8TxpnVIA03NgSm2XOYj63E4ecmg%3D&amp;reserved=0" TargetMode="External"/><Relationship Id="rId5" Type="http://schemas.openxmlformats.org/officeDocument/2006/relationships/hyperlink" Target="https://gbr01.safelinks.protection.outlook.com/?url=https%3A%2F%2Fipco-wpmedia-prod-s3.s3.eu-west-2.amazonaws.com%2FAnnual-Report-2021.pdf&amp;data=05%7C01%7Cgeorge.henderson%40south-wales.police.uk%7C7136a1dafa324eb1a96608dbef7285b5%7C270c2f4dfd0c4f0892a9e5bdd8a87e09%7C0%7C0%7C638367047968098341%7CUnknown%7CTWFpbGZsb3d8eyJWIjoiMC4wLjAwMDAiLCJQIjoiV2luMzIiLCJBTiI6Ik1haWwiLCJXVCI6Mn0%3D%7C3000%7C%7C%7C&amp;sdata=DTjw%2BlKA2tU4iIBlzEWAy4s%2FyP1HXmOZf97QvE5jgo0%3D&amp;reserved=0" TargetMode="External"/><Relationship Id="rId15" Type="http://schemas.openxmlformats.org/officeDocument/2006/relationships/hyperlink" Target="https://gbr01.safelinks.protection.outlook.com/?url=https%3A%2F%2Fwww.gov.uk%2Fgovernment%2Fpublications%2Fserious-and-organised-crime-strategy-2018%2Fserious-and-organised-crime-strategy-accessible-version&amp;data=05%7C01%7Cgeorge.henderson%40south-wales.police.uk%7C7136a1dafa324eb1a96608dbef7285b5%7C270c2f4dfd0c4f0892a9e5bdd8a87e09%7C0%7C0%7C638367047968098341%7CUnknown%7CTWFpbGZsb3d8eyJWIjoiMC4wLjAwMDAiLCJQIjoiV2luMzIiLCJBTiI6Ik1haWwiLCJXVCI6Mn0%3D%7C3000%7C%7C%7C&amp;sdata=YIYv1PeUoepgOMp%2BljJFSHDHUyUzAwmRVZgth5HCj3s%3D&amp;reserved=0" TargetMode="External"/><Relationship Id="rId23" Type="http://schemas.openxmlformats.org/officeDocument/2006/relationships/hyperlink" Target="https://gbr01.safelinks.protection.outlook.com/?url=https%3A%2F%2Fassets.publishing.service.gov.uk%2Fmedia%2F5acb21d140f0b64fed0afd55%2Fserious-violence-strategy.pdf&amp;data=05%7C01%7Cgeorge.henderson%40south-wales.police.uk%7C7136a1dafa324eb1a96608dbef7285b5%7C270c2f4dfd0c4f0892a9e5bdd8a87e09%7C0%7C0%7C638367047968098341%7CUnknown%7CTWFpbGZsb3d8eyJWIjoiMC4wLjAwMDAiLCJQIjoiV2luMzIiLCJBTiI6Ik1haWwiLCJXVCI6Mn0%3D%7C3000%7C%7C%7C&amp;sdata=1osw5v57%2FVOfsclIhQRgQl24Wi35tunq23Gv%2Fuc3KO0%3D&amp;reserved=0" TargetMode="External"/><Relationship Id="rId28" Type="http://schemas.openxmlformats.org/officeDocument/2006/relationships/theme" Target="theme/theme1.xml"/><Relationship Id="rId10" Type="http://schemas.openxmlformats.org/officeDocument/2006/relationships/hyperlink" Target="https://gbr01.safelinks.protection.outlook.com/?url=https%3A%2F%2Fprofdev.college.police.uk%2Fprofessional-profile%2Ftest-9%2F&amp;data=05%7C01%7Cgeorge.henderson%40south-wales.police.uk%7C7136a1dafa324eb1a96608dbef7285b5%7C270c2f4dfd0c4f0892a9e5bdd8a87e09%7C0%7C0%7C638367047968098341%7CUnknown%7CTWFpbGZsb3d8eyJWIjoiMC4wLjAwMDAiLCJQIjoiV2luMzIiLCJBTiI6Ik1haWwiLCJXVCI6Mn0%3D%7C3000%7C%7C%7C&amp;sdata=W2ySF9oCPy5QWiaRoPSGIbhysXnR9KsJ6jsILkfOtMw%3D&amp;reserved=0" TargetMode="External"/><Relationship Id="rId19" Type="http://schemas.openxmlformats.org/officeDocument/2006/relationships/hyperlink" Target="https://gbr01.safelinks.protection.outlook.com/?url=https%3A%2F%2Fassets.publishing.service.gov.uk%2Fgovernment%2Fuploads%2Fsystem%2Fuploads%2Fattachment_data%2Ffile%2F630999%2Flitter-strategy-for-england-2017-v2.pdf&amp;data=05%7C01%7Cgeorge.henderson%40south-wales.police.uk%7C7136a1dafa324eb1a96608dbef7285b5%7C270c2f4dfd0c4f0892a9e5bdd8a87e09%7C0%7C0%7C638367047967942127%7CUnknown%7CTWFpbGZsb3d8eyJWIjoiMC4wLjAwMDAiLCJQIjoiV2luMzIiLCJBTiI6Ik1haWwiLCJXVCI6Mn0%3D%7C3000%7C%7C%7C&amp;sdata=Cv4ijRnxDn96QZwjaXyEoNCjoW6rWZ9vPj4dUFupvNs%3D&amp;reserved=0" TargetMode="External"/><Relationship Id="rId4" Type="http://schemas.openxmlformats.org/officeDocument/2006/relationships/webSettings" Target="webSettings.xml"/><Relationship Id="rId9" Type="http://schemas.openxmlformats.org/officeDocument/2006/relationships/hyperlink" Target="https://gbr01.safelinks.protection.outlook.com/?url=https%3A%2F%2Fwww.college.police.uk%2Fcareer-learning%2Fcareer-development%2Fcareer-pathways%2Fresponse-policing&amp;data=05%7C01%7Cgeorge.henderson%40south-wales.police.uk%7C7136a1dafa324eb1a96608dbef7285b5%7C270c2f4dfd0c4f0892a9e5bdd8a87e09%7C0%7C0%7C638367047968098341%7CUnknown%7CTWFpbGZsb3d8eyJWIjoiMC4wLjAwMDAiLCJQIjoiV2luMzIiLCJBTiI6Ik1haWwiLCJXVCI6Mn0%3D%7C3000%7C%7C%7C&amp;sdata=WcqHnAgEzLtF76rC%2BU%2BGHu8LtOkTkfFXhN7Lg7tfW8U%3D&amp;reserved=0" TargetMode="External"/><Relationship Id="rId14" Type="http://schemas.openxmlformats.org/officeDocument/2006/relationships/hyperlink" Target="https://gbr01.safelinks.protection.outlook.com/?url=http%3A%2F%2Fgov.uk%2F&amp;data=05%7C01%7Cgeorge.henderson%40south-wales.police.uk%7C7136a1dafa324eb1a96608dbef7285b5%7C270c2f4dfd0c4f0892a9e5bdd8a87e09%7C0%7C0%7C638367047968098341%7CUnknown%7CTWFpbGZsb3d8eyJWIjoiMC4wLjAwMDAiLCJQIjoiV2luMzIiLCJBTiI6Ik1haWwiLCJXVCI6Mn0%3D%7C3000%7C%7C%7C&amp;sdata=83n%2F9AApchBjgK5oE5T7qOxVONK84636KI5ATQI3B0M%3D&amp;reserved=0" TargetMode="External"/><Relationship Id="rId22" Type="http://schemas.openxmlformats.org/officeDocument/2006/relationships/hyperlink" Target="https://gbr01.safelinks.protection.outlook.com/?url=https%3A%2F%2Fwww.legislation.gov.uk%2Fukpga%2F2015%2F9%2Fpart%2F3%2Fcrossheading%2Forganised-crime-groups&amp;data=05%7C01%7Cgeorge.henderson%40south-wales.police.uk%7C7136a1dafa324eb1a96608dbef7285b5%7C270c2f4dfd0c4f0892a9e5bdd8a87e09%7C0%7C0%7C638367047967942127%7CUnknown%7CTWFpbGZsb3d8eyJWIjoiMC4wLjAwMDAiLCJQIjoiV2luMzIiLCJBTiI6Ik1haWwiLCJXVCI6Mn0%3D%7C3000%7C%7C%7C&amp;sdata=mNhCA7Jr7siA68QczicFuobhzW2X86H7dbvLW76l3Ts%3D&amp;reserved=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7262</Words>
  <Characters>41398</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Henderson</dc:creator>
  <cp:keywords/>
  <dc:description/>
  <cp:lastModifiedBy>George Henderson</cp:lastModifiedBy>
  <cp:revision>2</cp:revision>
  <dcterms:created xsi:type="dcterms:W3CDTF">2023-11-27T18:10:00Z</dcterms:created>
  <dcterms:modified xsi:type="dcterms:W3CDTF">2023-11-27T18:10:00Z</dcterms:modified>
</cp:coreProperties>
</file>