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4E875" w14:textId="77777777" w:rsidR="001A2F46" w:rsidRPr="00451767" w:rsidRDefault="001A2F46" w:rsidP="003D3EDC">
      <w:pPr>
        <w:spacing w:after="0" w:line="360" w:lineRule="auto"/>
        <w:ind w:firstLine="720"/>
        <w:jc w:val="both"/>
        <w:rPr>
          <w:rFonts w:ascii="Arial" w:hAnsi="Arial" w:cs="Arial"/>
          <w:sz w:val="24"/>
          <w:szCs w:val="24"/>
        </w:rPr>
      </w:pPr>
    </w:p>
    <w:p w14:paraId="3CE67418" w14:textId="77777777" w:rsidR="001A2F46" w:rsidRPr="00451767" w:rsidRDefault="001A2F46" w:rsidP="003D3EDC">
      <w:pPr>
        <w:spacing w:after="0" w:line="360" w:lineRule="auto"/>
        <w:ind w:firstLine="720"/>
        <w:jc w:val="both"/>
        <w:rPr>
          <w:rFonts w:ascii="Arial" w:hAnsi="Arial" w:cs="Arial"/>
          <w:sz w:val="24"/>
          <w:szCs w:val="24"/>
        </w:rPr>
      </w:pPr>
    </w:p>
    <w:p w14:paraId="7000A146" w14:textId="77777777" w:rsidR="001A2F46" w:rsidRPr="00451767" w:rsidRDefault="001A2F46" w:rsidP="003D3EDC">
      <w:pPr>
        <w:spacing w:after="0" w:line="360" w:lineRule="auto"/>
        <w:ind w:firstLine="720"/>
        <w:jc w:val="both"/>
        <w:rPr>
          <w:rFonts w:ascii="Arial" w:hAnsi="Arial" w:cs="Arial"/>
          <w:sz w:val="24"/>
          <w:szCs w:val="24"/>
        </w:rPr>
      </w:pPr>
    </w:p>
    <w:p w14:paraId="6337E221" w14:textId="77777777" w:rsidR="001A2F46" w:rsidRPr="00451767" w:rsidRDefault="001A2F46" w:rsidP="003D3EDC">
      <w:pPr>
        <w:spacing w:after="0" w:line="360" w:lineRule="auto"/>
        <w:jc w:val="both"/>
        <w:rPr>
          <w:rFonts w:ascii="Arial" w:hAnsi="Arial" w:cs="Arial"/>
          <w:sz w:val="24"/>
          <w:szCs w:val="24"/>
        </w:rPr>
      </w:pPr>
    </w:p>
    <w:p w14:paraId="71EAF4CF" w14:textId="77777777" w:rsidR="001A2F46" w:rsidRPr="00451767" w:rsidRDefault="001A2F46" w:rsidP="003D3EDC">
      <w:pPr>
        <w:spacing w:after="0" w:line="360" w:lineRule="auto"/>
        <w:jc w:val="both"/>
        <w:rPr>
          <w:rFonts w:ascii="Arial" w:hAnsi="Arial" w:cs="Arial"/>
          <w:sz w:val="24"/>
          <w:szCs w:val="24"/>
        </w:rPr>
      </w:pPr>
    </w:p>
    <w:p w14:paraId="5DBEADD2" w14:textId="77777777" w:rsidR="001A2F46" w:rsidRPr="00DE3835" w:rsidRDefault="001A2F46" w:rsidP="003D3EDC">
      <w:pPr>
        <w:spacing w:after="0" w:line="360" w:lineRule="auto"/>
        <w:ind w:firstLine="720"/>
        <w:jc w:val="both"/>
        <w:rPr>
          <w:rFonts w:ascii="Arial" w:hAnsi="Arial" w:cs="Arial"/>
          <w:b/>
          <w:bCs/>
          <w:sz w:val="24"/>
          <w:szCs w:val="24"/>
        </w:rPr>
      </w:pPr>
    </w:p>
    <w:p w14:paraId="28DEBCB6" w14:textId="77777777" w:rsidR="00DE3835" w:rsidRDefault="003A39A1" w:rsidP="003D3EDC">
      <w:pPr>
        <w:spacing w:after="0" w:line="360" w:lineRule="auto"/>
        <w:jc w:val="center"/>
        <w:rPr>
          <w:rFonts w:ascii="Arial" w:hAnsi="Arial" w:cs="Arial"/>
          <w:b/>
          <w:bCs/>
          <w:sz w:val="24"/>
          <w:szCs w:val="24"/>
        </w:rPr>
      </w:pPr>
      <w:r w:rsidRPr="00DE3835">
        <w:rPr>
          <w:rFonts w:ascii="Arial" w:hAnsi="Arial" w:cs="Arial"/>
          <w:b/>
          <w:bCs/>
          <w:sz w:val="24"/>
          <w:szCs w:val="24"/>
        </w:rPr>
        <w:tab/>
      </w:r>
    </w:p>
    <w:p w14:paraId="34831BED" w14:textId="77777777" w:rsidR="00DE3835" w:rsidRDefault="00DE3835" w:rsidP="003D3EDC">
      <w:pPr>
        <w:spacing w:after="0" w:line="360" w:lineRule="auto"/>
        <w:jc w:val="center"/>
        <w:rPr>
          <w:rFonts w:ascii="Arial" w:hAnsi="Arial" w:cs="Arial"/>
          <w:b/>
          <w:bCs/>
          <w:sz w:val="24"/>
          <w:szCs w:val="24"/>
        </w:rPr>
      </w:pPr>
    </w:p>
    <w:p w14:paraId="50E92D78" w14:textId="77777777" w:rsidR="00DE3835" w:rsidRDefault="00DE3835" w:rsidP="003D3EDC">
      <w:pPr>
        <w:spacing w:after="0" w:line="360" w:lineRule="auto"/>
        <w:jc w:val="center"/>
        <w:rPr>
          <w:rFonts w:ascii="Arial" w:hAnsi="Arial" w:cs="Arial"/>
          <w:b/>
          <w:bCs/>
          <w:sz w:val="24"/>
          <w:szCs w:val="24"/>
        </w:rPr>
      </w:pPr>
    </w:p>
    <w:p w14:paraId="479E3C9E" w14:textId="77777777" w:rsidR="00DE3835" w:rsidRDefault="00DE3835" w:rsidP="003D3EDC">
      <w:pPr>
        <w:spacing w:after="0" w:line="360" w:lineRule="auto"/>
        <w:jc w:val="center"/>
        <w:rPr>
          <w:rFonts w:ascii="Arial" w:hAnsi="Arial" w:cs="Arial"/>
          <w:b/>
          <w:bCs/>
          <w:sz w:val="24"/>
          <w:szCs w:val="24"/>
        </w:rPr>
      </w:pPr>
    </w:p>
    <w:p w14:paraId="378EBE92" w14:textId="77777777" w:rsidR="00DE3835" w:rsidRDefault="00DE3835" w:rsidP="003D3EDC">
      <w:pPr>
        <w:spacing w:after="0" w:line="360" w:lineRule="auto"/>
        <w:jc w:val="center"/>
        <w:rPr>
          <w:rFonts w:ascii="Arial" w:hAnsi="Arial" w:cs="Arial"/>
          <w:b/>
          <w:bCs/>
          <w:sz w:val="24"/>
          <w:szCs w:val="24"/>
        </w:rPr>
      </w:pPr>
    </w:p>
    <w:p w14:paraId="60E6D33D" w14:textId="77777777" w:rsidR="00DE3835" w:rsidRDefault="00DE3835" w:rsidP="003D3EDC">
      <w:pPr>
        <w:spacing w:after="0" w:line="360" w:lineRule="auto"/>
        <w:jc w:val="center"/>
        <w:rPr>
          <w:rFonts w:ascii="Arial" w:hAnsi="Arial" w:cs="Arial"/>
          <w:b/>
          <w:bCs/>
          <w:sz w:val="24"/>
          <w:szCs w:val="24"/>
        </w:rPr>
      </w:pPr>
    </w:p>
    <w:p w14:paraId="22A6B854" w14:textId="77777777" w:rsidR="00DE3835" w:rsidRDefault="00DE3835" w:rsidP="003D3EDC">
      <w:pPr>
        <w:spacing w:after="0" w:line="360" w:lineRule="auto"/>
        <w:jc w:val="center"/>
        <w:rPr>
          <w:rFonts w:ascii="Arial" w:hAnsi="Arial" w:cs="Arial"/>
          <w:b/>
          <w:bCs/>
          <w:sz w:val="24"/>
          <w:szCs w:val="24"/>
        </w:rPr>
      </w:pPr>
    </w:p>
    <w:p w14:paraId="493B84D2" w14:textId="77777777" w:rsidR="00DE3835" w:rsidRDefault="00DE3835" w:rsidP="003D3EDC">
      <w:pPr>
        <w:spacing w:after="0" w:line="360" w:lineRule="auto"/>
        <w:jc w:val="both"/>
        <w:rPr>
          <w:rFonts w:ascii="Arial" w:hAnsi="Arial" w:cs="Arial"/>
          <w:b/>
          <w:bCs/>
          <w:sz w:val="24"/>
          <w:szCs w:val="24"/>
        </w:rPr>
      </w:pPr>
    </w:p>
    <w:p w14:paraId="771F3E9B" w14:textId="303EB824" w:rsidR="001A2F46" w:rsidRDefault="003A39A1" w:rsidP="003D3EDC">
      <w:pPr>
        <w:spacing w:after="0" w:line="360" w:lineRule="auto"/>
        <w:jc w:val="center"/>
        <w:rPr>
          <w:rFonts w:ascii="Arial" w:hAnsi="Arial" w:cs="Arial"/>
          <w:b/>
          <w:bCs/>
          <w:iCs/>
          <w:sz w:val="24"/>
          <w:szCs w:val="24"/>
        </w:rPr>
      </w:pPr>
      <w:r w:rsidRPr="00DE3835">
        <w:rPr>
          <w:rFonts w:ascii="Arial" w:hAnsi="Arial" w:cs="Arial"/>
          <w:b/>
          <w:bCs/>
          <w:iCs/>
          <w:sz w:val="24"/>
          <w:szCs w:val="24"/>
        </w:rPr>
        <w:t>Research proposal based on a hotel</w:t>
      </w:r>
    </w:p>
    <w:p w14:paraId="712AFAD1" w14:textId="18E5178B" w:rsidR="003D3EDC" w:rsidRDefault="003D3EDC" w:rsidP="003D3EDC">
      <w:pPr>
        <w:spacing w:after="0" w:line="360" w:lineRule="auto"/>
        <w:jc w:val="center"/>
        <w:rPr>
          <w:rFonts w:ascii="Arial" w:hAnsi="Arial" w:cs="Arial"/>
          <w:b/>
          <w:bCs/>
          <w:iCs/>
          <w:sz w:val="24"/>
          <w:szCs w:val="24"/>
        </w:rPr>
      </w:pPr>
    </w:p>
    <w:p w14:paraId="27C4ED77" w14:textId="77777777" w:rsidR="003D3EDC" w:rsidRPr="00DE3835" w:rsidRDefault="003D3EDC" w:rsidP="003D3EDC">
      <w:pPr>
        <w:spacing w:after="0" w:line="360" w:lineRule="auto"/>
        <w:jc w:val="center"/>
        <w:rPr>
          <w:rFonts w:ascii="Arial" w:hAnsi="Arial" w:cs="Arial"/>
          <w:b/>
          <w:bCs/>
          <w:iCs/>
          <w:sz w:val="24"/>
          <w:szCs w:val="24"/>
        </w:rPr>
      </w:pPr>
    </w:p>
    <w:p w14:paraId="04B1C10A" w14:textId="418166B4" w:rsidR="001A2F46" w:rsidRPr="00451767" w:rsidRDefault="00D21EF1" w:rsidP="003D3EDC">
      <w:pPr>
        <w:spacing w:after="0" w:line="360" w:lineRule="auto"/>
        <w:jc w:val="center"/>
        <w:rPr>
          <w:rFonts w:ascii="Arial" w:hAnsi="Arial" w:cs="Arial"/>
          <w:bCs/>
          <w:iCs/>
          <w:sz w:val="24"/>
          <w:szCs w:val="24"/>
        </w:rPr>
      </w:pPr>
      <w:r>
        <w:rPr>
          <w:rFonts w:ascii="Arial" w:hAnsi="Arial" w:cs="Arial"/>
          <w:bCs/>
          <w:iCs/>
          <w:sz w:val="24"/>
          <w:szCs w:val="24"/>
        </w:rPr>
        <w:t>Ion Daniel Turungiu</w:t>
      </w:r>
    </w:p>
    <w:p w14:paraId="32475282" w14:textId="16426BFA" w:rsidR="001A2F46" w:rsidRPr="00451767" w:rsidRDefault="00D21EF1" w:rsidP="003D3EDC">
      <w:pPr>
        <w:spacing w:after="0" w:line="360" w:lineRule="auto"/>
        <w:jc w:val="center"/>
        <w:rPr>
          <w:rFonts w:ascii="Arial" w:hAnsi="Arial" w:cs="Arial"/>
          <w:bCs/>
          <w:iCs/>
          <w:sz w:val="24"/>
          <w:szCs w:val="24"/>
        </w:rPr>
      </w:pPr>
      <w:r>
        <w:rPr>
          <w:rFonts w:ascii="Arial" w:hAnsi="Arial" w:cs="Arial"/>
          <w:bCs/>
          <w:iCs/>
          <w:sz w:val="24"/>
          <w:szCs w:val="24"/>
        </w:rPr>
        <w:t>Personnel Resourcing and Development</w:t>
      </w:r>
    </w:p>
    <w:p w14:paraId="75350FB4" w14:textId="08EF63E3" w:rsidR="001A2F46" w:rsidRPr="00451767" w:rsidRDefault="00D21EF1" w:rsidP="003D3EDC">
      <w:pPr>
        <w:spacing w:after="0" w:line="360" w:lineRule="auto"/>
        <w:jc w:val="center"/>
        <w:rPr>
          <w:rFonts w:ascii="Arial" w:hAnsi="Arial" w:cs="Arial"/>
          <w:bCs/>
          <w:iCs/>
          <w:sz w:val="24"/>
          <w:szCs w:val="24"/>
        </w:rPr>
      </w:pPr>
      <w:r>
        <w:rPr>
          <w:rFonts w:ascii="Arial" w:hAnsi="Arial" w:cs="Arial"/>
          <w:bCs/>
          <w:iCs/>
          <w:sz w:val="24"/>
          <w:szCs w:val="24"/>
        </w:rPr>
        <w:t>Emily Williams</w:t>
      </w:r>
    </w:p>
    <w:p w14:paraId="0FA85B5D" w14:textId="00292099" w:rsidR="001A2F46" w:rsidRPr="00451767" w:rsidRDefault="00D21EF1" w:rsidP="003D3EDC">
      <w:pPr>
        <w:spacing w:after="0" w:line="360" w:lineRule="auto"/>
        <w:jc w:val="center"/>
        <w:rPr>
          <w:rFonts w:ascii="Arial" w:hAnsi="Arial" w:cs="Arial"/>
          <w:iCs/>
          <w:sz w:val="24"/>
          <w:szCs w:val="24"/>
        </w:rPr>
      </w:pPr>
      <w:r>
        <w:rPr>
          <w:rFonts w:ascii="Arial" w:hAnsi="Arial" w:cs="Arial"/>
          <w:iCs/>
          <w:sz w:val="24"/>
          <w:szCs w:val="24"/>
        </w:rPr>
        <w:t>BMIH5005</w:t>
      </w:r>
    </w:p>
    <w:p w14:paraId="48C5B2B6" w14:textId="21A13389" w:rsidR="001A2F46" w:rsidRPr="00451767" w:rsidRDefault="00D21EF1" w:rsidP="003D3EDC">
      <w:pPr>
        <w:spacing w:after="0" w:line="360" w:lineRule="auto"/>
        <w:jc w:val="center"/>
        <w:rPr>
          <w:rFonts w:ascii="Arial" w:hAnsi="Arial" w:cs="Arial"/>
          <w:b/>
          <w:sz w:val="24"/>
          <w:szCs w:val="24"/>
        </w:rPr>
      </w:pPr>
      <w:r>
        <w:rPr>
          <w:rFonts w:ascii="Arial" w:hAnsi="Arial" w:cs="Arial"/>
          <w:iCs/>
          <w:sz w:val="24"/>
          <w:szCs w:val="24"/>
        </w:rPr>
        <w:t>05/12/2021</w:t>
      </w:r>
    </w:p>
    <w:p w14:paraId="6365C53C" w14:textId="77777777" w:rsidR="001A2F46" w:rsidRPr="00451767" w:rsidRDefault="001A2F46" w:rsidP="003D3EDC">
      <w:pPr>
        <w:tabs>
          <w:tab w:val="left" w:pos="4170"/>
        </w:tabs>
        <w:spacing w:after="0" w:line="360" w:lineRule="auto"/>
        <w:ind w:firstLine="720"/>
        <w:jc w:val="both"/>
        <w:rPr>
          <w:rFonts w:ascii="Arial" w:hAnsi="Arial" w:cs="Arial"/>
          <w:sz w:val="24"/>
          <w:szCs w:val="24"/>
        </w:rPr>
      </w:pPr>
    </w:p>
    <w:p w14:paraId="524C75D3" w14:textId="77777777" w:rsidR="001A2F46" w:rsidRPr="00451767" w:rsidRDefault="001A2F46" w:rsidP="003D3EDC">
      <w:pPr>
        <w:spacing w:after="0" w:line="360" w:lineRule="auto"/>
        <w:ind w:firstLine="720"/>
        <w:jc w:val="both"/>
        <w:rPr>
          <w:rFonts w:ascii="Arial" w:hAnsi="Arial" w:cs="Arial"/>
          <w:sz w:val="24"/>
          <w:szCs w:val="24"/>
        </w:rPr>
      </w:pPr>
    </w:p>
    <w:p w14:paraId="5A50F020" w14:textId="77777777" w:rsidR="001A2F46" w:rsidRPr="00451767" w:rsidRDefault="001A2F46" w:rsidP="003D3EDC">
      <w:pPr>
        <w:spacing w:after="0" w:line="360" w:lineRule="auto"/>
        <w:ind w:firstLine="720"/>
        <w:jc w:val="both"/>
        <w:rPr>
          <w:rFonts w:ascii="Arial" w:hAnsi="Arial" w:cs="Arial"/>
          <w:sz w:val="24"/>
          <w:szCs w:val="24"/>
        </w:rPr>
      </w:pPr>
    </w:p>
    <w:p w14:paraId="6E18D89C" w14:textId="77777777" w:rsidR="001A2F46" w:rsidRPr="00451767" w:rsidRDefault="001A2F46" w:rsidP="003D3EDC">
      <w:pPr>
        <w:spacing w:after="0" w:line="360" w:lineRule="auto"/>
        <w:ind w:firstLine="720"/>
        <w:jc w:val="both"/>
        <w:rPr>
          <w:rFonts w:ascii="Arial" w:hAnsi="Arial" w:cs="Arial"/>
          <w:sz w:val="24"/>
          <w:szCs w:val="24"/>
        </w:rPr>
      </w:pPr>
    </w:p>
    <w:p w14:paraId="4A3AC278" w14:textId="77777777" w:rsidR="001A2F46" w:rsidRPr="00451767" w:rsidRDefault="001A2F46" w:rsidP="003D3EDC">
      <w:pPr>
        <w:spacing w:after="0" w:line="360" w:lineRule="auto"/>
        <w:ind w:firstLine="720"/>
        <w:jc w:val="both"/>
        <w:rPr>
          <w:rFonts w:ascii="Arial" w:hAnsi="Arial" w:cs="Arial"/>
          <w:sz w:val="24"/>
          <w:szCs w:val="24"/>
        </w:rPr>
      </w:pPr>
    </w:p>
    <w:p w14:paraId="4B4361B7" w14:textId="77777777" w:rsidR="001A2F46" w:rsidRPr="00451767" w:rsidRDefault="001A2F46" w:rsidP="003D3EDC">
      <w:pPr>
        <w:spacing w:after="0" w:line="360" w:lineRule="auto"/>
        <w:ind w:firstLine="720"/>
        <w:jc w:val="both"/>
        <w:rPr>
          <w:rFonts w:ascii="Arial" w:hAnsi="Arial" w:cs="Arial"/>
          <w:sz w:val="24"/>
          <w:szCs w:val="24"/>
        </w:rPr>
      </w:pPr>
    </w:p>
    <w:p w14:paraId="73088770" w14:textId="77777777" w:rsidR="001A2F46" w:rsidRPr="00451767" w:rsidRDefault="001A2F46" w:rsidP="003D3EDC">
      <w:pPr>
        <w:spacing w:after="0" w:line="360" w:lineRule="auto"/>
        <w:jc w:val="both"/>
        <w:rPr>
          <w:rFonts w:ascii="Arial" w:hAnsi="Arial" w:cs="Arial"/>
          <w:sz w:val="24"/>
          <w:szCs w:val="24"/>
        </w:rPr>
      </w:pPr>
    </w:p>
    <w:p w14:paraId="2940CB5A" w14:textId="77777777" w:rsidR="001A2F46" w:rsidRPr="00451767" w:rsidRDefault="001A2F46" w:rsidP="003D3EDC">
      <w:pPr>
        <w:spacing w:after="0" w:line="360" w:lineRule="auto"/>
        <w:jc w:val="both"/>
        <w:rPr>
          <w:rFonts w:ascii="Arial" w:hAnsi="Arial" w:cs="Arial"/>
          <w:sz w:val="24"/>
          <w:szCs w:val="24"/>
        </w:rPr>
      </w:pPr>
    </w:p>
    <w:p w14:paraId="0DD3A843" w14:textId="77777777" w:rsidR="003D3EDC" w:rsidRDefault="003D3EDC" w:rsidP="003D3EDC">
      <w:pPr>
        <w:spacing w:after="0" w:line="360" w:lineRule="auto"/>
        <w:jc w:val="both"/>
        <w:rPr>
          <w:rFonts w:ascii="Arial" w:hAnsi="Arial" w:cs="Arial"/>
          <w:b/>
          <w:sz w:val="24"/>
          <w:szCs w:val="24"/>
        </w:rPr>
      </w:pPr>
    </w:p>
    <w:p w14:paraId="35C5F252" w14:textId="43C8EA5C" w:rsidR="000B2B4B"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lastRenderedPageBreak/>
        <w:t>Intro</w:t>
      </w:r>
      <w:r w:rsidR="00DE3835">
        <w:rPr>
          <w:rFonts w:ascii="Arial" w:hAnsi="Arial" w:cs="Arial"/>
          <w:b/>
          <w:sz w:val="24"/>
          <w:szCs w:val="24"/>
        </w:rPr>
        <w:t>duction</w:t>
      </w:r>
    </w:p>
    <w:p w14:paraId="05EDF73A" w14:textId="0AC9705F" w:rsidR="00FD57F0"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Owing to the present outbreak, some hotels have had to adapt their human resource management strategies. Changes in the workplace and social environment, such as migrating to remote work and adopting new workplace policies and procedures to minimize interaction, are occurring, according to Shortland (2021). As a result, workers have difficulty detaching from job obligations, separating their personal and professional lives, and other psychosocial dangers, such as isolation. In response to the pandemic's sudden volatility, the owners of the Starboard hotel claim that they conducted a thorough examination of their costs, which resulted in a leaner, more efficient hotel and a 5c model that will ensure that the company's current employee engagement situation is resolved. The company's ability to weather the pandemic will be aided by the company's efforts to increase employee versatility and streamline hotel operations, as well as by reducing headcount to support a smaller customer base and making use of the company's flexible furlough policy. Covid-19 will be starboard's gateway to a stronger and more stable recovery if its commercial teams and management initiatives succeed in their efforts to propel the business ahead. Workers at starboard have had to deal with complex conditions, including increasing workloads, longer working hours, and fewer breaks. In addition, the risk of contracting the virus at work and passing it on to loved ones is a major issue. Layoffs, salary cutbacks, and furloughs have all contributed to a growing sense of job insecurity and economic loss among employees. Workers' health and well-being are seriously jeopardized due to workplace stress. There is a shortage of workers due to the government's layoffs policy, so workers must compete for the best and brightest. When asked why so many employees were not returning to work after a furlough, management indicated various factors at play (Sanyal and Haddock-Millar 2018).</w:t>
      </w:r>
    </w:p>
    <w:p w14:paraId="153231D5" w14:textId="77777777" w:rsidR="00A61073"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Literature review</w:t>
      </w:r>
    </w:p>
    <w:p w14:paraId="41AE6FFA" w14:textId="77777777" w:rsidR="006145E7"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 xml:space="preserve">Researchers propose using peer-reviewed literature to help solve starboard hotels' problems right now. These crises call for a new approach to human resources management that puts workers first, pays attention to collaboration, communicates clearly with employees, provides incentives to push them to overcome their uncertainties, and ensures telework tools (Hasnat, 2021). In addition to boosting employee well-being, these strategies are designed to help the organization recover and improve its performance, </w:t>
      </w:r>
      <w:r w:rsidRPr="00451767">
        <w:rPr>
          <w:rFonts w:ascii="Arial" w:hAnsi="Arial" w:cs="Arial"/>
          <w:sz w:val="24"/>
          <w:szCs w:val="24"/>
        </w:rPr>
        <w:lastRenderedPageBreak/>
        <w:t>mostly through employee engagement. According to a new study, work engagement and well-being are linked in a statistically significant way (Soomro and Haqqani 2021). Work engagement and well-being positively affect positively affect efficiency, productivity, and a firm's success in this area.</w:t>
      </w:r>
    </w:p>
    <w:p w14:paraId="5C0A9B1E" w14:textId="77777777" w:rsidR="00A61073"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Methodology</w:t>
      </w:r>
    </w:p>
    <w:p w14:paraId="1DEDAAD0" w14:textId="77777777" w:rsidR="006145E7"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Qualitative and quantitative data will be gathered and analyzed in this project. They will gather secondary data from published research on the influence of technology on the hospitality business and the hotel sector. Because of this, the study will concentrate on a review of existing literature in the field of hotel employee engagement. Situational and ethnographic inquiries with hotel managers will obtain qualitative structural data, such as staff engagement initiatives and their implementation (Zheng and Tian 2019). In addition, they will obtain participants' agreement before any main data are gathered using open and clo</w:t>
      </w:r>
      <w:r w:rsidR="005C562B" w:rsidRPr="00451767">
        <w:rPr>
          <w:rFonts w:ascii="Arial" w:hAnsi="Arial" w:cs="Arial"/>
          <w:sz w:val="24"/>
          <w:szCs w:val="24"/>
        </w:rPr>
        <w:t>sed-ended questionnaires. Analyzing and integrating primary research findings are</w:t>
      </w:r>
      <w:r w:rsidRPr="00451767">
        <w:rPr>
          <w:rFonts w:ascii="Arial" w:hAnsi="Arial" w:cs="Arial"/>
          <w:sz w:val="24"/>
          <w:szCs w:val="24"/>
        </w:rPr>
        <w:t xml:space="preserve"> another systematic review of academic writing. It discovers relevant researches, analyzes their quality, and sums up their findings using this method. They should conduct objective, thorough, and comprehensive reviews. Systematic reviews need a bibliographic database search technique, a suitable appraisal of the studies included in the analysis, and an effective summary of the data acquired. To eliminate bias in selection, data collection should be thorough. To do this, a thorough search should be conducted using acceptable selection criteria across as many different sources as feasible.</w:t>
      </w:r>
    </w:p>
    <w:p w14:paraId="209B4DF4" w14:textId="77777777" w:rsidR="00EC2189"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 xml:space="preserve">Using this strategy assures that the integration of the research is carried out in a rigorous, transparent, and reproducible way. A search approach was used to locate existing studies, appraise their usefulness and relevance in a given research subject, assemble numerous studies completed separately, at times with opposing results, and integrate their significance for the research. They used the bibliographic database to conduct the information search approach (Web of Science). As far as social sciences go, it is the most respected database out there. We conducted a literature search using keywords for the systematic review. The researchers' subjectiveness in data gathering was eliminated by employing this methodology. WoS-indexed journals were the primary </w:t>
      </w:r>
      <w:r w:rsidRPr="00451767">
        <w:rPr>
          <w:rFonts w:ascii="Arial" w:hAnsi="Arial" w:cs="Arial"/>
          <w:sz w:val="24"/>
          <w:szCs w:val="24"/>
        </w:rPr>
        <w:lastRenderedPageBreak/>
        <w:t>source of information for this investigation. "wellbeing" and "staff engagement during COVID-19" were the keywords used in the search.</w:t>
      </w:r>
    </w:p>
    <w:p w14:paraId="4BB9C921" w14:textId="1FE14831" w:rsidR="00E72DBB" w:rsidRPr="00EC2189" w:rsidRDefault="003A39A1" w:rsidP="003D3EDC">
      <w:pPr>
        <w:spacing w:after="0" w:line="360" w:lineRule="auto"/>
        <w:jc w:val="both"/>
        <w:rPr>
          <w:rFonts w:ascii="Arial" w:hAnsi="Arial" w:cs="Arial"/>
          <w:sz w:val="24"/>
          <w:szCs w:val="24"/>
        </w:rPr>
      </w:pPr>
      <w:r w:rsidRPr="00451767">
        <w:rPr>
          <w:rFonts w:ascii="Arial" w:hAnsi="Arial" w:cs="Arial"/>
          <w:b/>
          <w:sz w:val="24"/>
          <w:szCs w:val="24"/>
        </w:rPr>
        <w:t xml:space="preserve">Theoretical framework: </w:t>
      </w:r>
      <w:r w:rsidR="006145E7" w:rsidRPr="00451767">
        <w:rPr>
          <w:rFonts w:ascii="Arial" w:hAnsi="Arial" w:cs="Arial"/>
          <w:b/>
          <w:sz w:val="24"/>
          <w:szCs w:val="24"/>
        </w:rPr>
        <w:t>Employee Engagement and Well-Being</w:t>
      </w:r>
    </w:p>
    <w:p w14:paraId="3165C224" w14:textId="77777777" w:rsidR="00F60A94"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Workplace policies and practices that develop and preserve a sense of well-being in the workforce should be implemented by healthy businesses, resulting in a high level of productivity (Sanyal and Haddock-Millar 2018). In contrast, a toxic or unhealthy organization is characterized by poor work, excessive absenteeism, and frequent staff changes. That increases the risk of significant financial and productivity losses for businesses.</w:t>
      </w:r>
    </w:p>
    <w:p w14:paraId="27D5C00A" w14:textId="77777777" w:rsidR="009518C3"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United Kingdom</w:t>
      </w:r>
      <w:r w:rsidR="00F60A94" w:rsidRPr="00451767">
        <w:rPr>
          <w:rFonts w:ascii="Arial" w:hAnsi="Arial" w:cs="Arial"/>
          <w:sz w:val="24"/>
          <w:szCs w:val="24"/>
        </w:rPr>
        <w:t xml:space="preserve"> h</w:t>
      </w:r>
      <w:r w:rsidRPr="00451767">
        <w:rPr>
          <w:rFonts w:ascii="Arial" w:hAnsi="Arial" w:cs="Arial"/>
          <w:sz w:val="24"/>
          <w:szCs w:val="24"/>
        </w:rPr>
        <w:t xml:space="preserve">ealth organizations, on the other hand, have a staff that performs well and is happy, which leads to a strong financial foundation. Workers' psychological well-being is a crucial factor in performing well and behaving well in the job, says Goldstein (2020). As a result, there is a positive association between organizational success and employee satisfaction. Engagement and organizational goals are also linked to the firm's ability to meet its goals and objectives. One of the best ways to improve the well-being and performance of employees is to create a work environment that fosters employee engagement. Sustaining employee engagement levels depends on well-being from </w:t>
      </w:r>
      <w:r w:rsidR="00F60A94" w:rsidRPr="00451767">
        <w:rPr>
          <w:rFonts w:ascii="Arial" w:hAnsi="Arial" w:cs="Arial"/>
          <w:sz w:val="24"/>
          <w:szCs w:val="24"/>
        </w:rPr>
        <w:t>a</w:t>
      </w:r>
      <w:r w:rsidRPr="00451767">
        <w:rPr>
          <w:rFonts w:ascii="Arial" w:hAnsi="Arial" w:cs="Arial"/>
          <w:sz w:val="24"/>
          <w:szCs w:val="24"/>
        </w:rPr>
        <w:t xml:space="preserve"> unidirectional perspective.</w:t>
      </w:r>
    </w:p>
    <w:p w14:paraId="4E34F4C2" w14:textId="0F3F0E65" w:rsidR="009518C3"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Employee engagement has yet to be defined in a single, universally acceptable way. It is not apparent what the term of employee involvement means, according to Adhitama and Riyanto (2020). It has been a trendy issue for special journals and consulting businesses over the past several years, but just a few academic types of research have been published on this topic (Ahmed and Pumdara, 2020). Who described employee retention as the workforce's positive emotional links and commitment, which include participation and involvement in their job, are some of the current state-of-the-art highlights Tripathi and Bagga (2020) argue that engagement may be conceptualized as either a trait optimistic view on life and work, state sensations of energy, absorption, or behavior (extra-role behavior</w:t>
      </w:r>
      <w:r w:rsidR="00DE3835" w:rsidRPr="00451767">
        <w:rPr>
          <w:rFonts w:ascii="Arial" w:hAnsi="Arial" w:cs="Arial"/>
          <w:sz w:val="24"/>
          <w:szCs w:val="24"/>
        </w:rPr>
        <w:t>)</w:t>
      </w:r>
      <w:r w:rsidR="00DE3835">
        <w:rPr>
          <w:rFonts w:ascii="Arial" w:hAnsi="Arial" w:cs="Arial"/>
          <w:sz w:val="24"/>
          <w:szCs w:val="24"/>
        </w:rPr>
        <w:t>.</w:t>
      </w:r>
      <w:r w:rsidRPr="00451767">
        <w:rPr>
          <w:rFonts w:ascii="Arial" w:hAnsi="Arial" w:cs="Arial"/>
          <w:sz w:val="24"/>
          <w:szCs w:val="24"/>
        </w:rPr>
        <w:t xml:space="preserve"> Because of this, the concept of employee participation has been interpreted in many ways (Meier III, 2021).</w:t>
      </w:r>
      <w:r w:rsidR="00E72DBB" w:rsidRPr="00451767">
        <w:rPr>
          <w:rFonts w:ascii="Arial" w:hAnsi="Arial" w:cs="Arial"/>
          <w:sz w:val="24"/>
          <w:szCs w:val="24"/>
        </w:rPr>
        <w:t xml:space="preserve"> </w:t>
      </w:r>
      <w:r w:rsidRPr="00451767">
        <w:rPr>
          <w:rFonts w:ascii="Arial" w:hAnsi="Arial" w:cs="Arial"/>
          <w:sz w:val="24"/>
          <w:szCs w:val="24"/>
        </w:rPr>
        <w:t xml:space="preserve">Empowered employees express their authentic selves through their physical involvement, conceptual understanding, and emotional links, according to an original schema of organizational commitment as </w:t>
      </w:r>
      <w:r w:rsidRPr="00451767">
        <w:rPr>
          <w:rFonts w:ascii="Arial" w:hAnsi="Arial" w:cs="Arial"/>
          <w:sz w:val="24"/>
          <w:szCs w:val="24"/>
        </w:rPr>
        <w:lastRenderedPageBreak/>
        <w:t>resources in the form of cognitive, emotional, and physical. Another strategy proposed by sees participation as the antidote to burnout. Another study that drew on the Utrecht study referred to "work engagement" instead of "personal engagement" and suggested that engaged workers are more likely to do better than their disengaged colleagues (Meier III, 2021). Work engagement is linked to individual participation, fulfillment, and workplace excitement in the satisfaction- engagement strategy. Developing employee engagement requires a two-way conversation between the company and its employees. Tate and Randall (2021) define involvement as "being emotionally present when occupying and implementing an organizational position." This management necessitates an effective communication process. Adhitama and Riyanto (2020) argued that work satisfaction is a component of employee engagement, but only if it is handled in conjunction with all the other basic components involved. According to Maltseva (2020), a company's ability to motivate and inspire its workers is a sign of its success. The goal of these pieces was to draw attention to the concept of employee engagement. The multidimensional approach to interaction, which is related to Doyle's (2020) distinction between 'job engagement' and 'organizational engagement', suggests that engagement may have a variety of foci, much like commitment. According to the findings from an examination of engagement's history, it is safe to conclude that the scientific community agrees on the definition of employee engagement as a positive, fulfilling state of mind characterized by vitality (energy, resilience, and the strong desire to work hard), dedication (involvement, enthusiasm, and pride in one's work), and absorption concentration, as well as overall well-being, while at work. Engaged refers to a more permanent and widespread effective–cognitive state that is not focused on any one item, event, person, or activity (Doyle 2020).</w:t>
      </w:r>
    </w:p>
    <w:p w14:paraId="609E87FF" w14:textId="77777777" w:rsidR="00AB6D8E"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 xml:space="preserve">A 5Cs Model to </w:t>
      </w:r>
      <w:r w:rsidR="007F68CB" w:rsidRPr="00451767">
        <w:rPr>
          <w:rFonts w:ascii="Arial" w:hAnsi="Arial" w:cs="Arial"/>
          <w:b/>
          <w:sz w:val="24"/>
          <w:szCs w:val="24"/>
        </w:rPr>
        <w:t>strengthen</w:t>
      </w:r>
      <w:r w:rsidRPr="00451767">
        <w:rPr>
          <w:rFonts w:ascii="Arial" w:hAnsi="Arial" w:cs="Arial"/>
          <w:b/>
          <w:sz w:val="24"/>
          <w:szCs w:val="24"/>
        </w:rPr>
        <w:t xml:space="preserve"> Employee </w:t>
      </w:r>
      <w:r w:rsidR="007F68CB" w:rsidRPr="00451767">
        <w:rPr>
          <w:rFonts w:ascii="Arial" w:hAnsi="Arial" w:cs="Arial"/>
          <w:b/>
          <w:sz w:val="24"/>
          <w:szCs w:val="24"/>
        </w:rPr>
        <w:t>involvement</w:t>
      </w:r>
      <w:r w:rsidRPr="00451767">
        <w:rPr>
          <w:rFonts w:ascii="Arial" w:hAnsi="Arial" w:cs="Arial"/>
          <w:b/>
          <w:sz w:val="24"/>
          <w:szCs w:val="24"/>
        </w:rPr>
        <w:t xml:space="preserve"> </w:t>
      </w:r>
      <w:r w:rsidR="007F68CB" w:rsidRPr="00451767">
        <w:rPr>
          <w:rFonts w:ascii="Arial" w:hAnsi="Arial" w:cs="Arial"/>
          <w:b/>
          <w:sz w:val="24"/>
          <w:szCs w:val="24"/>
        </w:rPr>
        <w:t>in starboard hotels</w:t>
      </w:r>
    </w:p>
    <w:p w14:paraId="3CD43374" w14:textId="77777777" w:rsidR="00B34C62"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Most employment initiatives are targeted at short-term employment and temporary unemployment programs during the pandemic crisis. To sustain employment and economic activity, there are also significant actions done by starboard, especially connected to workplace health and safety. For this reason, they established many shipboard wellness initiatives in response to the pandemic's effect on workers' health (</w:t>
      </w:r>
      <w:r w:rsidR="00A770CD" w:rsidRPr="00451767">
        <w:rPr>
          <w:rFonts w:ascii="Arial" w:hAnsi="Arial" w:cs="Arial"/>
          <w:sz w:val="24"/>
          <w:szCs w:val="24"/>
        </w:rPr>
        <w:t>Chanana, 2020</w:t>
      </w:r>
      <w:r w:rsidRPr="00451767">
        <w:rPr>
          <w:rFonts w:ascii="Arial" w:hAnsi="Arial" w:cs="Arial"/>
          <w:sz w:val="24"/>
          <w:szCs w:val="24"/>
        </w:rPr>
        <w:t xml:space="preserve">). There are several hurdles and obstacles to overcome regarding employee involvement following the COVID-19 health crisis. As a result of the pandemic's </w:t>
      </w:r>
      <w:r w:rsidRPr="00451767">
        <w:rPr>
          <w:rFonts w:ascii="Arial" w:hAnsi="Arial" w:cs="Arial"/>
          <w:sz w:val="24"/>
          <w:szCs w:val="24"/>
        </w:rPr>
        <w:lastRenderedPageBreak/>
        <w:t>lockdown, social isolation, and safety precautions, the general well-being of the population is affected (Chanana, 2020). A global pandemic's high degree of transmission has compelled businesses to take immediate action to protect their operations and the safety of their staff. Because the epidemic is still raging, it is too early to say whether or not companies are succeeding in adapting to these changes. However, if they want to keep going, we can point them in the right direction regarding government initiatives and regulations and examples from other hotels that have worked.</w:t>
      </w:r>
    </w:p>
    <w:p w14:paraId="33C6BF9C" w14:textId="77777777" w:rsidR="00A067B5"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Communication</w:t>
      </w:r>
    </w:p>
    <w:p w14:paraId="6AB18EAC" w14:textId="77777777" w:rsidR="00A067B5"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To meet the present difficulties, effective communication is essential. Because of the current climate of unpredictability, all communication must be based on a two-way exchange. We cannot ignore the importance of maintaining good working relationships with coworkers, superiors, and subordinates. Affect is one of the characteristics discovered in studies and research to influence employee interactions (Oliveri and Mislevy 2021). they should craft messages with sensitivity and compassion for the problems of employees. The reorganization is an important element of a management style that emphasizes mentoring, coaching, and an environment of acknowledgment.</w:t>
      </w:r>
    </w:p>
    <w:p w14:paraId="38BB55DE" w14:textId="77777777" w:rsidR="00FC13D2"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Cultivation</w:t>
      </w:r>
    </w:p>
    <w:p w14:paraId="05DA0962" w14:textId="77777777" w:rsidR="00AD7AAF"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Not many companies have maintained their whole personnel in the COVID-19 economic situation. Although the return to their work is assured in Europe for six months following the completion of an ERTE, the necessity for furlough may damage employee engagement with the company and lead to more uncertainty. As a result of the current economic context, an employee may believe that the company will still have to cut jobs following the ERTE.</w:t>
      </w:r>
    </w:p>
    <w:p w14:paraId="18A69F04" w14:textId="77777777" w:rsidR="00FC13D2"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 xml:space="preserve">Confidence </w:t>
      </w:r>
    </w:p>
    <w:p w14:paraId="4B2F0896" w14:textId="77777777" w:rsidR="00AD7AAF"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Workers' well-being is greatly influenced by their work environment (Khaire). Despite the vagueness of the term "health," the World Health Organization (WHO) insists that good health encompasses more than just the absence of disease. As a result, stress or cardiovascular disease may be triggered by organizational injustice. Lengthy-term effects on an employee's health and well-being might include sleep issues, inflammation, and a long list of other problems arising from exposure to this type of workplace injustice (Khaire).</w:t>
      </w:r>
    </w:p>
    <w:p w14:paraId="66693BCE" w14:textId="77777777" w:rsidR="00FC13D2"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lastRenderedPageBreak/>
        <w:t xml:space="preserve">Compensation </w:t>
      </w:r>
    </w:p>
    <w:p w14:paraId="6E283B74" w14:textId="77777777" w:rsidR="00685D52"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The means to reward a service or task or the person who does it is through remuneration, which typically involves monetary payment (Bana, 2019).  As a general idea, pay fairness does not include a particular amount of money, as each person estimates what they consider a fair compensation based on their talents, experience, and risk. Employee engagement and well-being at work are strongly linked to the payment provided by the employer and may not be in line with this compensation (Bana, 2019).</w:t>
      </w:r>
    </w:p>
    <w:p w14:paraId="187DC761" w14:textId="77777777" w:rsidR="00A067B5"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 xml:space="preserve">Conciliation </w:t>
      </w:r>
    </w:p>
    <w:p w14:paraId="2C569FFE" w14:textId="77777777" w:rsidR="00B41A82"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Bhusan and Sar (2020) did research titled "Flexibility at work" and found that before the financial crisis, 60% of UK workers thought that their company had implemented remote working policies, while 70% were in favor. Before the epidemic, remote working was a rarity, with less than one in twenty European Union employees doing it regularly in 2020.</w:t>
      </w:r>
    </w:p>
    <w:p w14:paraId="12449F41" w14:textId="77777777" w:rsidR="009B33AB" w:rsidRPr="00451767" w:rsidRDefault="003A39A1" w:rsidP="003D3EDC">
      <w:pPr>
        <w:spacing w:after="0" w:line="360" w:lineRule="auto"/>
        <w:jc w:val="both"/>
        <w:rPr>
          <w:rFonts w:ascii="Arial" w:hAnsi="Arial" w:cs="Arial"/>
          <w:b/>
          <w:sz w:val="24"/>
          <w:szCs w:val="24"/>
        </w:rPr>
      </w:pPr>
      <w:r w:rsidRPr="00451767">
        <w:rPr>
          <w:rFonts w:ascii="Arial" w:hAnsi="Arial" w:cs="Arial"/>
          <w:b/>
          <w:sz w:val="24"/>
          <w:szCs w:val="24"/>
        </w:rPr>
        <w:t>Conclusion</w:t>
      </w:r>
    </w:p>
    <w:p w14:paraId="6D9E3B21" w14:textId="5009E6F9" w:rsidR="00FD57F0" w:rsidRPr="00451767" w:rsidRDefault="003A39A1" w:rsidP="003D3EDC">
      <w:pPr>
        <w:spacing w:after="0" w:line="360" w:lineRule="auto"/>
        <w:ind w:firstLine="720"/>
        <w:jc w:val="both"/>
        <w:rPr>
          <w:rFonts w:ascii="Arial" w:hAnsi="Arial" w:cs="Arial"/>
          <w:sz w:val="24"/>
          <w:szCs w:val="24"/>
        </w:rPr>
      </w:pPr>
      <w:r w:rsidRPr="00451767">
        <w:rPr>
          <w:rFonts w:ascii="Arial" w:hAnsi="Arial" w:cs="Arial"/>
          <w:sz w:val="24"/>
          <w:szCs w:val="24"/>
        </w:rPr>
        <w:t xml:space="preserve">According to this report, the present pandemic has had a significant impact on employee engagement management. In light of this investigation, a plan has been presented to help starboard hotel reinvigorate its workers' passion and engagement in the face of the pandemic's worldwide turbulence. As a result, each manager will be aware of the most essential aspects of employee engagement that they must control and the actions that they must take for the process to succeed. Cultivation, Conciliation, Compensation, Confidence, and Communication are all emphasized in the suggested model for increasing employee involvement, and indicators are offered to track each one's progress. There are two ways in which this research contributes. It provides a framework for enhancing employee engagement by incorporating prior theoretical findings presented in the scientific literature. </w:t>
      </w:r>
      <w:r w:rsidR="00DE3835" w:rsidRPr="00451767">
        <w:rPr>
          <w:rFonts w:ascii="Arial" w:hAnsi="Arial" w:cs="Arial"/>
          <w:sz w:val="24"/>
          <w:szCs w:val="24"/>
        </w:rPr>
        <w:t>So,</w:t>
      </w:r>
      <w:r w:rsidRPr="00451767">
        <w:rPr>
          <w:rFonts w:ascii="Arial" w:hAnsi="Arial" w:cs="Arial"/>
          <w:sz w:val="24"/>
          <w:szCs w:val="24"/>
        </w:rPr>
        <w:t xml:space="preserve"> the article's findings provide a coherent model for health and well-being regulations in the workplace, together with the expected good effects of the COVID-19 pandemic crisis.</w:t>
      </w:r>
    </w:p>
    <w:p w14:paraId="22F992A5" w14:textId="77777777" w:rsidR="003D3EDC" w:rsidRDefault="003D3EDC" w:rsidP="003D3EDC">
      <w:pPr>
        <w:spacing w:after="0" w:line="360" w:lineRule="auto"/>
        <w:jc w:val="center"/>
        <w:rPr>
          <w:rFonts w:ascii="Arial" w:hAnsi="Arial" w:cs="Arial"/>
          <w:b/>
          <w:sz w:val="24"/>
          <w:szCs w:val="24"/>
        </w:rPr>
      </w:pPr>
    </w:p>
    <w:p w14:paraId="2D30780F" w14:textId="77777777" w:rsidR="003D3EDC" w:rsidRDefault="003D3EDC" w:rsidP="003D3EDC">
      <w:pPr>
        <w:spacing w:after="0" w:line="360" w:lineRule="auto"/>
        <w:jc w:val="center"/>
        <w:rPr>
          <w:rFonts w:ascii="Arial" w:hAnsi="Arial" w:cs="Arial"/>
          <w:b/>
          <w:sz w:val="24"/>
          <w:szCs w:val="24"/>
        </w:rPr>
      </w:pPr>
    </w:p>
    <w:p w14:paraId="760A96EB" w14:textId="77777777" w:rsidR="003D3EDC" w:rsidRDefault="003D3EDC" w:rsidP="003D3EDC">
      <w:pPr>
        <w:spacing w:after="0" w:line="360" w:lineRule="auto"/>
        <w:jc w:val="center"/>
        <w:rPr>
          <w:rFonts w:ascii="Arial" w:hAnsi="Arial" w:cs="Arial"/>
          <w:b/>
          <w:sz w:val="24"/>
          <w:szCs w:val="24"/>
        </w:rPr>
      </w:pPr>
    </w:p>
    <w:p w14:paraId="0B29ADCF" w14:textId="77777777" w:rsidR="003D3EDC" w:rsidRDefault="003D3EDC" w:rsidP="003D3EDC">
      <w:pPr>
        <w:spacing w:after="0" w:line="360" w:lineRule="auto"/>
        <w:jc w:val="center"/>
        <w:rPr>
          <w:rFonts w:ascii="Arial" w:hAnsi="Arial" w:cs="Arial"/>
          <w:b/>
          <w:sz w:val="24"/>
          <w:szCs w:val="24"/>
        </w:rPr>
      </w:pPr>
    </w:p>
    <w:p w14:paraId="01E2294E" w14:textId="0F4CAA30" w:rsidR="00B4620B" w:rsidRPr="00451767" w:rsidRDefault="003A39A1" w:rsidP="003D3EDC">
      <w:pPr>
        <w:spacing w:after="0" w:line="360" w:lineRule="auto"/>
        <w:jc w:val="center"/>
        <w:rPr>
          <w:rFonts w:ascii="Arial" w:hAnsi="Arial" w:cs="Arial"/>
          <w:b/>
          <w:sz w:val="24"/>
          <w:szCs w:val="24"/>
        </w:rPr>
      </w:pPr>
      <w:r w:rsidRPr="00451767">
        <w:rPr>
          <w:rFonts w:ascii="Arial" w:hAnsi="Arial" w:cs="Arial"/>
          <w:b/>
          <w:sz w:val="24"/>
          <w:szCs w:val="24"/>
        </w:rPr>
        <w:lastRenderedPageBreak/>
        <w:t>Bibliography</w:t>
      </w:r>
    </w:p>
    <w:p w14:paraId="5C573434" w14:textId="054A1F56" w:rsidR="00E72DBB"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Adhitama, J. and Riyanto, S., 2020. Maintaining Employee Engagement and Employee Performance during the Covid-19 Pandemic at PT. </w:t>
      </w:r>
      <w:proofErr w:type="spellStart"/>
      <w:r w:rsidRPr="00451767">
        <w:rPr>
          <w:rFonts w:ascii="Arial" w:hAnsi="Arial" w:cs="Arial"/>
          <w:sz w:val="24"/>
          <w:szCs w:val="24"/>
        </w:rPr>
        <w:t>Koexim</w:t>
      </w:r>
      <w:proofErr w:type="spellEnd"/>
      <w:r w:rsidRPr="00451767">
        <w:rPr>
          <w:rFonts w:ascii="Arial" w:hAnsi="Arial" w:cs="Arial"/>
          <w:sz w:val="24"/>
          <w:szCs w:val="24"/>
        </w:rPr>
        <w:t xml:space="preserve"> </w:t>
      </w:r>
      <w:proofErr w:type="spellStart"/>
      <w:r w:rsidRPr="00451767">
        <w:rPr>
          <w:rFonts w:ascii="Arial" w:hAnsi="Arial" w:cs="Arial"/>
          <w:sz w:val="24"/>
          <w:szCs w:val="24"/>
        </w:rPr>
        <w:t>Mandiri</w:t>
      </w:r>
      <w:proofErr w:type="spellEnd"/>
      <w:r w:rsidRPr="00451767">
        <w:rPr>
          <w:rFonts w:ascii="Arial" w:hAnsi="Arial" w:cs="Arial"/>
          <w:sz w:val="24"/>
          <w:szCs w:val="24"/>
        </w:rPr>
        <w:t xml:space="preserve"> Finance. </w:t>
      </w:r>
      <w:r w:rsidRPr="00451767">
        <w:rPr>
          <w:rFonts w:ascii="Arial" w:hAnsi="Arial" w:cs="Arial"/>
          <w:i/>
          <w:iCs/>
          <w:sz w:val="24"/>
          <w:szCs w:val="24"/>
        </w:rPr>
        <w:t>Journal of Research in Business and Management</w:t>
      </w:r>
      <w:r w:rsidRPr="00451767">
        <w:rPr>
          <w:rFonts w:ascii="Arial" w:hAnsi="Arial" w:cs="Arial"/>
          <w:sz w:val="24"/>
          <w:szCs w:val="24"/>
        </w:rPr>
        <w:t>, </w:t>
      </w:r>
      <w:r w:rsidRPr="00451767">
        <w:rPr>
          <w:rFonts w:ascii="Arial" w:hAnsi="Arial" w:cs="Arial"/>
          <w:i/>
          <w:iCs/>
          <w:sz w:val="24"/>
          <w:szCs w:val="24"/>
        </w:rPr>
        <w:t>8</w:t>
      </w:r>
      <w:r w:rsidRPr="00451767">
        <w:rPr>
          <w:rFonts w:ascii="Arial" w:hAnsi="Arial" w:cs="Arial"/>
          <w:sz w:val="24"/>
          <w:szCs w:val="24"/>
        </w:rPr>
        <w:t>(3).</w:t>
      </w:r>
    </w:p>
    <w:p w14:paraId="187AA8CE" w14:textId="77777777" w:rsidR="00F33D18"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Ahmed, T., Shahid Khan, M., </w:t>
      </w:r>
      <w:proofErr w:type="spellStart"/>
      <w:r w:rsidRPr="00451767">
        <w:rPr>
          <w:rFonts w:ascii="Arial" w:hAnsi="Arial" w:cs="Arial"/>
          <w:sz w:val="24"/>
          <w:szCs w:val="24"/>
        </w:rPr>
        <w:t>Thitivesa</w:t>
      </w:r>
      <w:proofErr w:type="spellEnd"/>
      <w:r w:rsidRPr="00451767">
        <w:rPr>
          <w:rFonts w:ascii="Arial" w:hAnsi="Arial" w:cs="Arial"/>
          <w:sz w:val="24"/>
          <w:szCs w:val="24"/>
        </w:rPr>
        <w:t xml:space="preserve">, D., </w:t>
      </w:r>
      <w:proofErr w:type="spellStart"/>
      <w:r w:rsidRPr="00451767">
        <w:rPr>
          <w:rFonts w:ascii="Arial" w:hAnsi="Arial" w:cs="Arial"/>
          <w:sz w:val="24"/>
          <w:szCs w:val="24"/>
        </w:rPr>
        <w:t>Siraphatthada</w:t>
      </w:r>
      <w:proofErr w:type="spellEnd"/>
      <w:r w:rsidRPr="00451767">
        <w:rPr>
          <w:rFonts w:ascii="Arial" w:hAnsi="Arial" w:cs="Arial"/>
          <w:sz w:val="24"/>
          <w:szCs w:val="24"/>
        </w:rPr>
        <w:t xml:space="preserve">, Y., and </w:t>
      </w:r>
      <w:proofErr w:type="spellStart"/>
      <w:r w:rsidRPr="00451767">
        <w:rPr>
          <w:rFonts w:ascii="Arial" w:hAnsi="Arial" w:cs="Arial"/>
          <w:sz w:val="24"/>
          <w:szCs w:val="24"/>
        </w:rPr>
        <w:t>Phumdara</w:t>
      </w:r>
      <w:proofErr w:type="spellEnd"/>
      <w:r w:rsidRPr="00451767">
        <w:rPr>
          <w:rFonts w:ascii="Arial" w:hAnsi="Arial" w:cs="Arial"/>
          <w:sz w:val="24"/>
          <w:szCs w:val="24"/>
        </w:rPr>
        <w:t xml:space="preserve">, T., 2020. Impact of </w:t>
      </w:r>
      <w:proofErr w:type="gramStart"/>
      <w:r w:rsidRPr="00451767">
        <w:rPr>
          <w:rFonts w:ascii="Arial" w:hAnsi="Arial" w:cs="Arial"/>
          <w:sz w:val="24"/>
          <w:szCs w:val="24"/>
        </w:rPr>
        <w:t>employees</w:t>
      </w:r>
      <w:proofErr w:type="gramEnd"/>
      <w:r w:rsidRPr="00451767">
        <w:rPr>
          <w:rFonts w:ascii="Arial" w:hAnsi="Arial" w:cs="Arial"/>
          <w:sz w:val="24"/>
          <w:szCs w:val="24"/>
        </w:rPr>
        <w:t xml:space="preserve"> engagement and knowledge sharing on organizational performance: Study of HR challenges in COVID-19 pandemic. </w:t>
      </w:r>
      <w:r w:rsidRPr="00451767">
        <w:rPr>
          <w:rFonts w:ascii="Arial" w:hAnsi="Arial" w:cs="Arial"/>
          <w:i/>
          <w:iCs/>
          <w:sz w:val="24"/>
          <w:szCs w:val="24"/>
        </w:rPr>
        <w:t>Human Systems Management</w:t>
      </w:r>
      <w:r w:rsidRPr="00451767">
        <w:rPr>
          <w:rFonts w:ascii="Arial" w:hAnsi="Arial" w:cs="Arial"/>
          <w:sz w:val="24"/>
          <w:szCs w:val="24"/>
        </w:rPr>
        <w:t>, (Preprint), pp.1-15.</w:t>
      </w:r>
    </w:p>
    <w:p w14:paraId="34AA9F42" w14:textId="77777777" w:rsidR="0052354D"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Bhusan, B. and Sar, A.K., 2020. Critically analyzing the concept of workplace flexibility and how it impacts employee and organizational performance: A case of the retail industry in India. </w:t>
      </w:r>
      <w:r w:rsidRPr="00451767">
        <w:rPr>
          <w:rFonts w:ascii="Arial" w:hAnsi="Arial" w:cs="Arial"/>
          <w:i/>
          <w:iCs/>
          <w:sz w:val="24"/>
          <w:szCs w:val="24"/>
        </w:rPr>
        <w:t>Eurasian Chemical Communications</w:t>
      </w:r>
      <w:r w:rsidRPr="00451767">
        <w:rPr>
          <w:rFonts w:ascii="Arial" w:hAnsi="Arial" w:cs="Arial"/>
          <w:sz w:val="24"/>
          <w:szCs w:val="24"/>
        </w:rPr>
        <w:t>, </w:t>
      </w:r>
      <w:r w:rsidRPr="00451767">
        <w:rPr>
          <w:rFonts w:ascii="Arial" w:hAnsi="Arial" w:cs="Arial"/>
          <w:i/>
          <w:iCs/>
          <w:sz w:val="24"/>
          <w:szCs w:val="24"/>
        </w:rPr>
        <w:t>2</w:t>
      </w:r>
      <w:r w:rsidRPr="00451767">
        <w:rPr>
          <w:rFonts w:ascii="Arial" w:hAnsi="Arial" w:cs="Arial"/>
          <w:sz w:val="24"/>
          <w:szCs w:val="24"/>
        </w:rPr>
        <w:t>(9), pp.1001-1010.</w:t>
      </w:r>
    </w:p>
    <w:p w14:paraId="10AC7834" w14:textId="77777777" w:rsidR="0007715E"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Bana, W.M., 2019. Employee compensation and workplace diversity. </w:t>
      </w:r>
      <w:r w:rsidRPr="00451767">
        <w:rPr>
          <w:rFonts w:ascii="Arial" w:hAnsi="Arial" w:cs="Arial"/>
          <w:i/>
          <w:iCs/>
          <w:sz w:val="24"/>
          <w:szCs w:val="24"/>
        </w:rPr>
        <w:t>International Journal of Education and Research</w:t>
      </w:r>
      <w:r w:rsidRPr="00451767">
        <w:rPr>
          <w:rFonts w:ascii="Arial" w:hAnsi="Arial" w:cs="Arial"/>
          <w:sz w:val="24"/>
          <w:szCs w:val="24"/>
        </w:rPr>
        <w:t>, </w:t>
      </w:r>
      <w:r w:rsidRPr="00451767">
        <w:rPr>
          <w:rFonts w:ascii="Arial" w:hAnsi="Arial" w:cs="Arial"/>
          <w:i/>
          <w:iCs/>
          <w:sz w:val="24"/>
          <w:szCs w:val="24"/>
        </w:rPr>
        <w:t>7</w:t>
      </w:r>
      <w:r w:rsidRPr="00451767">
        <w:rPr>
          <w:rFonts w:ascii="Arial" w:hAnsi="Arial" w:cs="Arial"/>
          <w:sz w:val="24"/>
          <w:szCs w:val="24"/>
        </w:rPr>
        <w:t>(1), pp.235-250.</w:t>
      </w:r>
    </w:p>
    <w:p w14:paraId="438C1278" w14:textId="77777777" w:rsidR="00AB6D8E"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Chanana, N., 2020. Employee engagement practices during COVID</w:t>
      </w:r>
      <w:r w:rsidRPr="00451767">
        <w:rPr>
          <w:rFonts w:ascii="Cambria Math" w:hAnsi="Cambria Math" w:cs="Cambria Math"/>
          <w:sz w:val="24"/>
          <w:szCs w:val="24"/>
        </w:rPr>
        <w:t>‐</w:t>
      </w:r>
      <w:r w:rsidRPr="00451767">
        <w:rPr>
          <w:rFonts w:ascii="Arial" w:hAnsi="Arial" w:cs="Arial"/>
          <w:sz w:val="24"/>
          <w:szCs w:val="24"/>
        </w:rPr>
        <w:t>19 lockdown. </w:t>
      </w:r>
      <w:r w:rsidRPr="00451767">
        <w:rPr>
          <w:rFonts w:ascii="Arial" w:hAnsi="Arial" w:cs="Arial"/>
          <w:i/>
          <w:iCs/>
          <w:sz w:val="24"/>
          <w:szCs w:val="24"/>
        </w:rPr>
        <w:t>Journal of Public Affairs</w:t>
      </w:r>
      <w:r w:rsidRPr="00451767">
        <w:rPr>
          <w:rFonts w:ascii="Arial" w:hAnsi="Arial" w:cs="Arial"/>
          <w:sz w:val="24"/>
          <w:szCs w:val="24"/>
        </w:rPr>
        <w:t>, p.e2508.</w:t>
      </w:r>
    </w:p>
    <w:p w14:paraId="6FAD6C8B" w14:textId="77777777" w:rsidR="00121FEC"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Doyle, J., 2020. Creative communication approaches to youth climate engagement: Use speculative fiction and participatory play to facilitate multidimensional engagement in young people with climate change. </w:t>
      </w:r>
      <w:r w:rsidRPr="00451767">
        <w:rPr>
          <w:rFonts w:ascii="Arial" w:hAnsi="Arial" w:cs="Arial"/>
          <w:i/>
          <w:iCs/>
          <w:sz w:val="24"/>
          <w:szCs w:val="24"/>
        </w:rPr>
        <w:t>International Journal of Communication</w:t>
      </w:r>
      <w:r w:rsidRPr="00451767">
        <w:rPr>
          <w:rFonts w:ascii="Arial" w:hAnsi="Arial" w:cs="Arial"/>
          <w:sz w:val="24"/>
          <w:szCs w:val="24"/>
        </w:rPr>
        <w:t>, </w:t>
      </w:r>
      <w:r w:rsidRPr="00451767">
        <w:rPr>
          <w:rFonts w:ascii="Arial" w:hAnsi="Arial" w:cs="Arial"/>
          <w:i/>
          <w:iCs/>
          <w:sz w:val="24"/>
          <w:szCs w:val="24"/>
        </w:rPr>
        <w:t>14</w:t>
      </w:r>
      <w:r w:rsidRPr="00451767">
        <w:rPr>
          <w:rFonts w:ascii="Arial" w:hAnsi="Arial" w:cs="Arial"/>
          <w:sz w:val="24"/>
          <w:szCs w:val="24"/>
        </w:rPr>
        <w:t>, p.24.</w:t>
      </w:r>
    </w:p>
    <w:p w14:paraId="6B2A005D" w14:textId="77777777" w:rsidR="00A61628"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Goldstein, P. (2020) Down</w:t>
      </w:r>
      <w:r w:rsidRPr="00451767">
        <w:rPr>
          <w:rFonts w:ascii="Arial" w:hAnsi="Arial" w:cs="Arial"/>
          <w:i/>
          <w:iCs/>
          <w:sz w:val="24"/>
          <w:szCs w:val="24"/>
        </w:rPr>
        <w:t xml:space="preserve"> but not out - how the UK hotel sector is adapting to survive</w:t>
      </w:r>
      <w:r w:rsidRPr="00451767">
        <w:rPr>
          <w:rFonts w:ascii="Arial" w:hAnsi="Arial" w:cs="Arial"/>
          <w:sz w:val="24"/>
          <w:szCs w:val="24"/>
        </w:rPr>
        <w:t>, </w:t>
      </w:r>
      <w:r w:rsidRPr="00451767">
        <w:rPr>
          <w:rFonts w:ascii="Arial" w:hAnsi="Arial" w:cs="Arial"/>
          <w:i/>
          <w:iCs/>
          <w:sz w:val="24"/>
          <w:szCs w:val="24"/>
        </w:rPr>
        <w:t>Knightfrank.com</w:t>
      </w:r>
      <w:r w:rsidRPr="00451767">
        <w:rPr>
          <w:rFonts w:ascii="Arial" w:hAnsi="Arial" w:cs="Arial"/>
          <w:sz w:val="24"/>
          <w:szCs w:val="24"/>
        </w:rPr>
        <w:t xml:space="preserve">. Available at: </w:t>
      </w:r>
      <w:hyperlink r:id="rId6" w:history="1">
        <w:r w:rsidRPr="00451767">
          <w:rPr>
            <w:rStyle w:val="Hyperlink"/>
            <w:rFonts w:ascii="Arial" w:hAnsi="Arial" w:cs="Arial"/>
            <w:sz w:val="24"/>
            <w:szCs w:val="24"/>
          </w:rPr>
          <w:t>https://www.knightfrank.com/research/article/2020-12-03-down-but-not-out-how-the-uk-hotel-sector-is-adapting-to-survive</w:t>
        </w:r>
      </w:hyperlink>
      <w:r w:rsidRPr="00451767">
        <w:rPr>
          <w:rFonts w:ascii="Arial" w:hAnsi="Arial" w:cs="Arial"/>
          <w:sz w:val="24"/>
          <w:szCs w:val="24"/>
        </w:rPr>
        <w:t>.</w:t>
      </w:r>
    </w:p>
    <w:p w14:paraId="455CD0F8" w14:textId="77777777" w:rsidR="009D1124"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Hasnat, Q., 2021. </w:t>
      </w:r>
      <w:r w:rsidRPr="00451767">
        <w:rPr>
          <w:rFonts w:ascii="Arial" w:hAnsi="Arial" w:cs="Arial"/>
          <w:i/>
          <w:iCs/>
          <w:sz w:val="24"/>
          <w:szCs w:val="24"/>
        </w:rPr>
        <w:t>An exploration of employee engagement and employee commitment in the London hotel sector: the perspectives of migrant housekeeping workers and their managers</w:t>
      </w:r>
      <w:r w:rsidRPr="00451767">
        <w:rPr>
          <w:rFonts w:ascii="Arial" w:hAnsi="Arial" w:cs="Arial"/>
          <w:sz w:val="24"/>
          <w:szCs w:val="24"/>
        </w:rPr>
        <w:t> (Doctoral dissertation, University of Brighton).</w:t>
      </w:r>
    </w:p>
    <w:p w14:paraId="14C98433" w14:textId="77777777" w:rsidR="0052354D"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Khaire, R.J., A LITERATURE REVIEW ON EMPLOYEE ENGAGEMENT STRATEGIES.</w:t>
      </w:r>
    </w:p>
    <w:p w14:paraId="11E164A8" w14:textId="77777777" w:rsidR="00C763E0"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Mahajan, D.S. and Lele, D.S.G.U., 2021. Employee Engagement </w:t>
      </w:r>
      <w:proofErr w:type="gramStart"/>
      <w:r w:rsidRPr="00451767">
        <w:rPr>
          <w:rFonts w:ascii="Arial" w:hAnsi="Arial" w:cs="Arial"/>
          <w:sz w:val="24"/>
          <w:szCs w:val="24"/>
        </w:rPr>
        <w:t>Of</w:t>
      </w:r>
      <w:proofErr w:type="gramEnd"/>
      <w:r w:rsidRPr="00451767">
        <w:rPr>
          <w:rFonts w:ascii="Arial" w:hAnsi="Arial" w:cs="Arial"/>
          <w:sz w:val="24"/>
          <w:szCs w:val="24"/>
        </w:rPr>
        <w:t xml:space="preserve"> Faculties In Management Institutes In Pune During Covid–19 Pandemic. </w:t>
      </w:r>
      <w:r w:rsidRPr="00451767">
        <w:rPr>
          <w:rFonts w:ascii="Arial" w:hAnsi="Arial" w:cs="Arial"/>
          <w:i/>
          <w:iCs/>
          <w:sz w:val="24"/>
          <w:szCs w:val="24"/>
        </w:rPr>
        <w:t>International Journal of Human Resource Management and Research (IJHRMR)</w:t>
      </w:r>
      <w:r w:rsidRPr="00451767">
        <w:rPr>
          <w:rFonts w:ascii="Arial" w:hAnsi="Arial" w:cs="Arial"/>
          <w:sz w:val="24"/>
          <w:szCs w:val="24"/>
        </w:rPr>
        <w:t>, </w:t>
      </w:r>
      <w:r w:rsidRPr="00451767">
        <w:rPr>
          <w:rFonts w:ascii="Arial" w:hAnsi="Arial" w:cs="Arial"/>
          <w:i/>
          <w:iCs/>
          <w:sz w:val="24"/>
          <w:szCs w:val="24"/>
        </w:rPr>
        <w:t>11</w:t>
      </w:r>
      <w:r w:rsidRPr="00451767">
        <w:rPr>
          <w:rFonts w:ascii="Arial" w:hAnsi="Arial" w:cs="Arial"/>
          <w:sz w:val="24"/>
          <w:szCs w:val="24"/>
        </w:rPr>
        <w:t>, pp.53-60.</w:t>
      </w:r>
    </w:p>
    <w:p w14:paraId="0EDF497E" w14:textId="77777777" w:rsidR="0085319D"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lastRenderedPageBreak/>
        <w:t>Maltseva, K., 2020. Wearables in the workplace: The brave new world of employee engagement. </w:t>
      </w:r>
      <w:r w:rsidRPr="00451767">
        <w:rPr>
          <w:rFonts w:ascii="Arial" w:hAnsi="Arial" w:cs="Arial"/>
          <w:i/>
          <w:iCs/>
          <w:sz w:val="24"/>
          <w:szCs w:val="24"/>
        </w:rPr>
        <w:t>Business Horizons</w:t>
      </w:r>
      <w:r w:rsidRPr="00451767">
        <w:rPr>
          <w:rFonts w:ascii="Arial" w:hAnsi="Arial" w:cs="Arial"/>
          <w:sz w:val="24"/>
          <w:szCs w:val="24"/>
        </w:rPr>
        <w:t>, </w:t>
      </w:r>
      <w:r w:rsidRPr="00451767">
        <w:rPr>
          <w:rFonts w:ascii="Arial" w:hAnsi="Arial" w:cs="Arial"/>
          <w:i/>
          <w:iCs/>
          <w:sz w:val="24"/>
          <w:szCs w:val="24"/>
        </w:rPr>
        <w:t>63</w:t>
      </w:r>
      <w:r w:rsidRPr="00451767">
        <w:rPr>
          <w:rFonts w:ascii="Arial" w:hAnsi="Arial" w:cs="Arial"/>
          <w:sz w:val="24"/>
          <w:szCs w:val="24"/>
        </w:rPr>
        <w:t>(4), pp.493-505.</w:t>
      </w:r>
    </w:p>
    <w:p w14:paraId="27130CB0" w14:textId="77777777" w:rsidR="00C45ACF"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Meier III, J.G., 2021. </w:t>
      </w:r>
      <w:r w:rsidRPr="00451767">
        <w:rPr>
          <w:rFonts w:ascii="Arial" w:hAnsi="Arial" w:cs="Arial"/>
          <w:i/>
          <w:iCs/>
          <w:sz w:val="24"/>
          <w:szCs w:val="24"/>
        </w:rPr>
        <w:t>The Relation among Employee Alignment, Perceived Organizational Support, and Employee Engagement</w:t>
      </w:r>
      <w:r w:rsidRPr="00451767">
        <w:rPr>
          <w:rFonts w:ascii="Arial" w:hAnsi="Arial" w:cs="Arial"/>
          <w:sz w:val="24"/>
          <w:szCs w:val="24"/>
        </w:rPr>
        <w:t> (Doctoral dissertation, The George Washington University).</w:t>
      </w:r>
    </w:p>
    <w:p w14:paraId="20DA9255" w14:textId="77777777" w:rsidR="00E55E85" w:rsidRPr="00451767" w:rsidRDefault="003A39A1" w:rsidP="003D3EDC">
      <w:pPr>
        <w:spacing w:after="0" w:line="360" w:lineRule="auto"/>
        <w:ind w:left="720" w:hanging="720"/>
        <w:jc w:val="both"/>
        <w:rPr>
          <w:rFonts w:ascii="Arial" w:hAnsi="Arial" w:cs="Arial"/>
          <w:sz w:val="24"/>
          <w:szCs w:val="24"/>
        </w:rPr>
      </w:pPr>
      <w:proofErr w:type="spellStart"/>
      <w:r w:rsidRPr="00451767">
        <w:rPr>
          <w:rFonts w:ascii="Arial" w:hAnsi="Arial" w:cs="Arial"/>
          <w:sz w:val="24"/>
          <w:szCs w:val="24"/>
        </w:rPr>
        <w:t>Oliveri</w:t>
      </w:r>
      <w:proofErr w:type="spellEnd"/>
      <w:r w:rsidRPr="00451767">
        <w:rPr>
          <w:rFonts w:ascii="Arial" w:hAnsi="Arial" w:cs="Arial"/>
          <w:sz w:val="24"/>
          <w:szCs w:val="24"/>
        </w:rPr>
        <w:t xml:space="preserve">, M.E., </w:t>
      </w:r>
      <w:proofErr w:type="spellStart"/>
      <w:r w:rsidRPr="00451767">
        <w:rPr>
          <w:rFonts w:ascii="Arial" w:hAnsi="Arial" w:cs="Arial"/>
          <w:sz w:val="24"/>
          <w:szCs w:val="24"/>
        </w:rPr>
        <w:t>Slomp</w:t>
      </w:r>
      <w:proofErr w:type="spellEnd"/>
      <w:r w:rsidRPr="00451767">
        <w:rPr>
          <w:rFonts w:ascii="Arial" w:hAnsi="Arial" w:cs="Arial"/>
          <w:sz w:val="24"/>
          <w:szCs w:val="24"/>
        </w:rPr>
        <w:t>, D.H., Rupp, A.A. and Mislevy, R.J., 2021. Principled development of Workplace English Communication Part 3: An integrated design and appraisal framework. </w:t>
      </w:r>
      <w:r w:rsidRPr="00451767">
        <w:rPr>
          <w:rFonts w:ascii="Arial" w:hAnsi="Arial" w:cs="Arial"/>
          <w:i/>
          <w:iCs/>
          <w:sz w:val="24"/>
          <w:szCs w:val="24"/>
        </w:rPr>
        <w:t>The Journal of Writing Analytics</w:t>
      </w:r>
      <w:r w:rsidRPr="00451767">
        <w:rPr>
          <w:rFonts w:ascii="Arial" w:hAnsi="Arial" w:cs="Arial"/>
          <w:sz w:val="24"/>
          <w:szCs w:val="24"/>
        </w:rPr>
        <w:t>, </w:t>
      </w:r>
      <w:r w:rsidRPr="00451767">
        <w:rPr>
          <w:rFonts w:ascii="Arial" w:hAnsi="Arial" w:cs="Arial"/>
          <w:i/>
          <w:iCs/>
          <w:sz w:val="24"/>
          <w:szCs w:val="24"/>
        </w:rPr>
        <w:t>5</w:t>
      </w:r>
      <w:r w:rsidRPr="00451767">
        <w:rPr>
          <w:rFonts w:ascii="Arial" w:hAnsi="Arial" w:cs="Arial"/>
          <w:sz w:val="24"/>
          <w:szCs w:val="24"/>
        </w:rPr>
        <w:t>.</w:t>
      </w:r>
    </w:p>
    <w:p w14:paraId="7C2C8AE9" w14:textId="77777777" w:rsidR="00121FEC"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Reynolds, N.P., Lough, B.J. and Hartman, E., </w:t>
      </w:r>
      <w:r w:rsidR="00092A37" w:rsidRPr="00451767">
        <w:rPr>
          <w:rFonts w:ascii="Arial" w:hAnsi="Arial" w:cs="Arial"/>
          <w:sz w:val="24"/>
          <w:szCs w:val="24"/>
        </w:rPr>
        <w:t>the</w:t>
      </w:r>
      <w:r w:rsidRPr="00451767">
        <w:rPr>
          <w:rFonts w:ascii="Arial" w:hAnsi="Arial" w:cs="Arial"/>
          <w:sz w:val="24"/>
          <w:szCs w:val="24"/>
        </w:rPr>
        <w:t xml:space="preserve"> Global Engagement Survey: A Multidimensional Assessment of Global Learning.</w:t>
      </w:r>
    </w:p>
    <w:p w14:paraId="53DA0A26" w14:textId="77777777" w:rsidR="00B4620B"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Shortland, S., 2021. Managing employee engagement during the pandemic. </w:t>
      </w:r>
      <w:r w:rsidRPr="00451767">
        <w:rPr>
          <w:rFonts w:ascii="Arial" w:hAnsi="Arial" w:cs="Arial"/>
          <w:i/>
          <w:iCs/>
          <w:sz w:val="24"/>
          <w:szCs w:val="24"/>
        </w:rPr>
        <w:t>Think Global People</w:t>
      </w:r>
      <w:r w:rsidRPr="00451767">
        <w:rPr>
          <w:rFonts w:ascii="Arial" w:hAnsi="Arial" w:cs="Arial"/>
          <w:sz w:val="24"/>
          <w:szCs w:val="24"/>
        </w:rPr>
        <w:t>, pp.20-22.</w:t>
      </w:r>
    </w:p>
    <w:p w14:paraId="6EC4373B" w14:textId="77777777" w:rsidR="001F6E4F"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Soomro, F.A., Azhar, S., Aleem, M. and Haqqani, K., 2021. Employee Engagement and Personality Attributes as Mediating Role between Green HRM Practices and Employee Green Behaviors. </w:t>
      </w:r>
      <w:r w:rsidRPr="00451767">
        <w:rPr>
          <w:rFonts w:ascii="Arial" w:hAnsi="Arial" w:cs="Arial"/>
          <w:i/>
          <w:iCs/>
          <w:sz w:val="24"/>
          <w:szCs w:val="24"/>
        </w:rPr>
        <w:t>LINGUISTICA ANTVERPIENSIA</w:t>
      </w:r>
      <w:r w:rsidRPr="00451767">
        <w:rPr>
          <w:rFonts w:ascii="Arial" w:hAnsi="Arial" w:cs="Arial"/>
          <w:sz w:val="24"/>
          <w:szCs w:val="24"/>
        </w:rPr>
        <w:t>, pp.5964-5985.</w:t>
      </w:r>
    </w:p>
    <w:p w14:paraId="7887D40E" w14:textId="77777777" w:rsidR="00EB7631"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Sanyal, C. and Haddock-Millar, J., 2018. Employee engagement in managing environmental performance: a case study of the Planet Champion initiative, McDonald's UK and Sweden.</w:t>
      </w:r>
    </w:p>
    <w:p w14:paraId="0DDF2695" w14:textId="77777777" w:rsidR="00C45ACF"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Tate, T.D., Lartey, F.M. and Randall, P.M., 2021. Do Performance Goals and Development, Feedback and Recognition, and a Climate of Trust Improve Employee Engagement in Small Businesses in the United </w:t>
      </w:r>
      <w:proofErr w:type="gramStart"/>
      <w:r w:rsidRPr="00451767">
        <w:rPr>
          <w:rFonts w:ascii="Arial" w:hAnsi="Arial" w:cs="Arial"/>
          <w:sz w:val="24"/>
          <w:szCs w:val="24"/>
        </w:rPr>
        <w:t>States?.</w:t>
      </w:r>
      <w:proofErr w:type="gramEnd"/>
      <w:r w:rsidRPr="00451767">
        <w:rPr>
          <w:rFonts w:ascii="Arial" w:hAnsi="Arial" w:cs="Arial"/>
          <w:sz w:val="24"/>
          <w:szCs w:val="24"/>
        </w:rPr>
        <w:t> </w:t>
      </w:r>
      <w:r w:rsidRPr="00451767">
        <w:rPr>
          <w:rFonts w:ascii="Arial" w:hAnsi="Arial" w:cs="Arial"/>
          <w:i/>
          <w:iCs/>
          <w:sz w:val="24"/>
          <w:szCs w:val="24"/>
        </w:rPr>
        <w:t>International Business Research</w:t>
      </w:r>
      <w:r w:rsidRPr="00451767">
        <w:rPr>
          <w:rFonts w:ascii="Arial" w:hAnsi="Arial" w:cs="Arial"/>
          <w:sz w:val="24"/>
          <w:szCs w:val="24"/>
        </w:rPr>
        <w:t>, </w:t>
      </w:r>
      <w:r w:rsidRPr="00451767">
        <w:rPr>
          <w:rFonts w:ascii="Arial" w:hAnsi="Arial" w:cs="Arial"/>
          <w:i/>
          <w:iCs/>
          <w:sz w:val="24"/>
          <w:szCs w:val="24"/>
        </w:rPr>
        <w:t>14</w:t>
      </w:r>
      <w:r w:rsidRPr="00451767">
        <w:rPr>
          <w:rFonts w:ascii="Arial" w:hAnsi="Arial" w:cs="Arial"/>
          <w:sz w:val="24"/>
          <w:szCs w:val="24"/>
        </w:rPr>
        <w:t>(6), pp.1-1.</w:t>
      </w:r>
    </w:p>
    <w:p w14:paraId="44D7E198" w14:textId="77777777" w:rsidR="00C45ACF"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 xml:space="preserve">Tripathi, A.N.U.J. and Bagga, T.E.E.N.A., 2020. Leveraging Work from Home for Business Continuity during COVID-19 Pandemic–Regarding BI Solution Adoption. </w:t>
      </w:r>
      <w:r w:rsidRPr="00451767">
        <w:rPr>
          <w:rFonts w:ascii="Arial" w:hAnsi="Arial" w:cs="Arial"/>
          <w:i/>
          <w:iCs/>
          <w:sz w:val="24"/>
          <w:szCs w:val="24"/>
        </w:rPr>
        <w:t>Indian Journal of Economics and Business</w:t>
      </w:r>
      <w:r w:rsidRPr="00451767">
        <w:rPr>
          <w:rFonts w:ascii="Arial" w:hAnsi="Arial" w:cs="Arial"/>
          <w:sz w:val="24"/>
          <w:szCs w:val="24"/>
        </w:rPr>
        <w:t>, </w:t>
      </w:r>
      <w:r w:rsidRPr="00451767">
        <w:rPr>
          <w:rFonts w:ascii="Arial" w:hAnsi="Arial" w:cs="Arial"/>
          <w:i/>
          <w:iCs/>
          <w:sz w:val="24"/>
          <w:szCs w:val="24"/>
        </w:rPr>
        <w:t>19</w:t>
      </w:r>
      <w:r w:rsidRPr="00451767">
        <w:rPr>
          <w:rFonts w:ascii="Arial" w:hAnsi="Arial" w:cs="Arial"/>
          <w:sz w:val="24"/>
          <w:szCs w:val="24"/>
        </w:rPr>
        <w:t>(1), pp.19-34.</w:t>
      </w:r>
    </w:p>
    <w:p w14:paraId="28F6584A" w14:textId="77777777" w:rsidR="008E4B87" w:rsidRPr="00451767" w:rsidRDefault="003A39A1" w:rsidP="003D3EDC">
      <w:pPr>
        <w:spacing w:after="0" w:line="360" w:lineRule="auto"/>
        <w:ind w:left="720" w:hanging="720"/>
        <w:jc w:val="both"/>
        <w:rPr>
          <w:rFonts w:ascii="Arial" w:hAnsi="Arial" w:cs="Arial"/>
          <w:sz w:val="24"/>
          <w:szCs w:val="24"/>
        </w:rPr>
      </w:pPr>
      <w:r w:rsidRPr="00451767">
        <w:rPr>
          <w:rFonts w:ascii="Arial" w:hAnsi="Arial" w:cs="Arial"/>
          <w:sz w:val="24"/>
          <w:szCs w:val="24"/>
        </w:rPr>
        <w:t>Zheng, M.M. and Tian, V.I., 2019. Empowerment across Cultures: How National Culture Affects Structural and Psychological Empowerment and Employee Engagement. </w:t>
      </w:r>
      <w:r w:rsidRPr="00451767">
        <w:rPr>
          <w:rFonts w:ascii="Arial" w:hAnsi="Arial" w:cs="Arial"/>
          <w:i/>
          <w:iCs/>
          <w:sz w:val="24"/>
          <w:szCs w:val="24"/>
        </w:rPr>
        <w:t>Journal of Marketing Development &amp; Competitiveness</w:t>
      </w:r>
      <w:r w:rsidRPr="00451767">
        <w:rPr>
          <w:rFonts w:ascii="Arial" w:hAnsi="Arial" w:cs="Arial"/>
          <w:sz w:val="24"/>
          <w:szCs w:val="24"/>
        </w:rPr>
        <w:t>, </w:t>
      </w:r>
      <w:r w:rsidRPr="00451767">
        <w:rPr>
          <w:rFonts w:ascii="Arial" w:hAnsi="Arial" w:cs="Arial"/>
          <w:i/>
          <w:iCs/>
          <w:sz w:val="24"/>
          <w:szCs w:val="24"/>
        </w:rPr>
        <w:t>13</w:t>
      </w:r>
      <w:r w:rsidRPr="00451767">
        <w:rPr>
          <w:rFonts w:ascii="Arial" w:hAnsi="Arial" w:cs="Arial"/>
          <w:sz w:val="24"/>
          <w:szCs w:val="24"/>
        </w:rPr>
        <w:t>(3).</w:t>
      </w:r>
    </w:p>
    <w:p w14:paraId="0DA5E115" w14:textId="77777777" w:rsidR="00F33D18" w:rsidRPr="00451767" w:rsidRDefault="00F33D18" w:rsidP="003D3EDC">
      <w:pPr>
        <w:spacing w:after="0" w:line="360" w:lineRule="auto"/>
        <w:ind w:left="720" w:hanging="720"/>
        <w:rPr>
          <w:rFonts w:ascii="Arial" w:hAnsi="Arial" w:cs="Arial"/>
          <w:sz w:val="24"/>
          <w:szCs w:val="24"/>
        </w:rPr>
      </w:pPr>
    </w:p>
    <w:sectPr w:rsidR="00F33D18" w:rsidRPr="00451767" w:rsidSect="000952A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3DF72" w14:textId="77777777" w:rsidR="00377711" w:rsidRDefault="00377711">
      <w:pPr>
        <w:spacing w:after="0" w:line="240" w:lineRule="auto"/>
      </w:pPr>
      <w:r>
        <w:separator/>
      </w:r>
    </w:p>
  </w:endnote>
  <w:endnote w:type="continuationSeparator" w:id="0">
    <w:p w14:paraId="53011199" w14:textId="77777777" w:rsidR="00377711" w:rsidRDefault="00377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29E96" w14:textId="77777777" w:rsidR="00377711" w:rsidRDefault="00377711">
      <w:pPr>
        <w:spacing w:after="0" w:line="240" w:lineRule="auto"/>
      </w:pPr>
      <w:r>
        <w:separator/>
      </w:r>
    </w:p>
  </w:footnote>
  <w:footnote w:type="continuationSeparator" w:id="0">
    <w:p w14:paraId="4B7B62C4" w14:textId="77777777" w:rsidR="00377711" w:rsidRDefault="00377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105678"/>
      <w:docPartObj>
        <w:docPartGallery w:val="Page Numbers (Top of Page)"/>
        <w:docPartUnique/>
      </w:docPartObj>
    </w:sdtPr>
    <w:sdtEndPr>
      <w:rPr>
        <w:rFonts w:ascii="Arial" w:hAnsi="Arial" w:cs="Arial"/>
        <w:sz w:val="24"/>
        <w:szCs w:val="24"/>
      </w:rPr>
    </w:sdtEndPr>
    <w:sdtContent>
      <w:p w14:paraId="4C6E5684" w14:textId="77777777" w:rsidR="00762B4D" w:rsidRPr="003D3EDC" w:rsidRDefault="003A39A1">
        <w:pPr>
          <w:pStyle w:val="Header"/>
          <w:jc w:val="right"/>
          <w:rPr>
            <w:rFonts w:ascii="Arial" w:hAnsi="Arial" w:cs="Arial"/>
            <w:sz w:val="24"/>
            <w:szCs w:val="24"/>
          </w:rPr>
        </w:pPr>
        <w:r w:rsidRPr="003D3EDC">
          <w:rPr>
            <w:rFonts w:ascii="Arial" w:hAnsi="Arial" w:cs="Arial"/>
            <w:sz w:val="24"/>
            <w:szCs w:val="24"/>
          </w:rPr>
          <w:fldChar w:fldCharType="begin"/>
        </w:r>
        <w:r w:rsidR="00CD5711" w:rsidRPr="003D3EDC">
          <w:rPr>
            <w:rFonts w:ascii="Arial" w:hAnsi="Arial" w:cs="Arial"/>
            <w:sz w:val="24"/>
            <w:szCs w:val="24"/>
          </w:rPr>
          <w:instrText xml:space="preserve"> PAGE   \* MERGEFORMAT </w:instrText>
        </w:r>
        <w:r w:rsidRPr="003D3EDC">
          <w:rPr>
            <w:rFonts w:ascii="Arial" w:hAnsi="Arial" w:cs="Arial"/>
            <w:sz w:val="24"/>
            <w:szCs w:val="24"/>
          </w:rPr>
          <w:fldChar w:fldCharType="separate"/>
        </w:r>
        <w:r w:rsidR="008D3938" w:rsidRPr="003D3EDC">
          <w:rPr>
            <w:rFonts w:ascii="Arial" w:hAnsi="Arial" w:cs="Arial"/>
            <w:noProof/>
            <w:sz w:val="24"/>
            <w:szCs w:val="24"/>
          </w:rPr>
          <w:t>1</w:t>
        </w:r>
        <w:r w:rsidRPr="003D3EDC">
          <w:rPr>
            <w:rFonts w:ascii="Arial" w:hAnsi="Arial" w:cs="Arial"/>
            <w:noProof/>
            <w:sz w:val="24"/>
            <w:szCs w:val="24"/>
          </w:rPr>
          <w:fldChar w:fldCharType="end"/>
        </w:r>
      </w:p>
    </w:sdtContent>
  </w:sdt>
  <w:p w14:paraId="3FF9E317" w14:textId="77777777" w:rsidR="00762B4D" w:rsidRDefault="00762B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E29"/>
    <w:rsid w:val="00025153"/>
    <w:rsid w:val="000303A2"/>
    <w:rsid w:val="0007715E"/>
    <w:rsid w:val="00092A37"/>
    <w:rsid w:val="000952A5"/>
    <w:rsid w:val="000B2B4B"/>
    <w:rsid w:val="000B3280"/>
    <w:rsid w:val="000C713E"/>
    <w:rsid w:val="000F716C"/>
    <w:rsid w:val="0011618C"/>
    <w:rsid w:val="00121FEC"/>
    <w:rsid w:val="0015086A"/>
    <w:rsid w:val="00166416"/>
    <w:rsid w:val="001A2F46"/>
    <w:rsid w:val="001F6E4F"/>
    <w:rsid w:val="00211687"/>
    <w:rsid w:val="00232B95"/>
    <w:rsid w:val="0025019E"/>
    <w:rsid w:val="00291592"/>
    <w:rsid w:val="002D76D0"/>
    <w:rsid w:val="002E2D61"/>
    <w:rsid w:val="002F06A7"/>
    <w:rsid w:val="003222BB"/>
    <w:rsid w:val="003646E3"/>
    <w:rsid w:val="00373F18"/>
    <w:rsid w:val="00377711"/>
    <w:rsid w:val="003976A5"/>
    <w:rsid w:val="003A39A1"/>
    <w:rsid w:val="003D3EDC"/>
    <w:rsid w:val="003E7636"/>
    <w:rsid w:val="003F7F2A"/>
    <w:rsid w:val="004167E4"/>
    <w:rsid w:val="00442BDB"/>
    <w:rsid w:val="00451767"/>
    <w:rsid w:val="004570BF"/>
    <w:rsid w:val="00480109"/>
    <w:rsid w:val="004E0D09"/>
    <w:rsid w:val="00516267"/>
    <w:rsid w:val="0052354D"/>
    <w:rsid w:val="005C562B"/>
    <w:rsid w:val="005D6CFB"/>
    <w:rsid w:val="006145E7"/>
    <w:rsid w:val="0065423D"/>
    <w:rsid w:val="00685D52"/>
    <w:rsid w:val="00696CF6"/>
    <w:rsid w:val="0072335A"/>
    <w:rsid w:val="00762B4D"/>
    <w:rsid w:val="007A1BE6"/>
    <w:rsid w:val="007C6A63"/>
    <w:rsid w:val="007F68CB"/>
    <w:rsid w:val="008454A2"/>
    <w:rsid w:val="008501F4"/>
    <w:rsid w:val="0085319D"/>
    <w:rsid w:val="008760A4"/>
    <w:rsid w:val="008B1663"/>
    <w:rsid w:val="008D188E"/>
    <w:rsid w:val="008D3938"/>
    <w:rsid w:val="008E4B87"/>
    <w:rsid w:val="00911342"/>
    <w:rsid w:val="00927DA0"/>
    <w:rsid w:val="00936FB8"/>
    <w:rsid w:val="009518C3"/>
    <w:rsid w:val="00980DB3"/>
    <w:rsid w:val="009A5645"/>
    <w:rsid w:val="009B33AB"/>
    <w:rsid w:val="009D1124"/>
    <w:rsid w:val="009D1452"/>
    <w:rsid w:val="00A067B5"/>
    <w:rsid w:val="00A61073"/>
    <w:rsid w:val="00A61628"/>
    <w:rsid w:val="00A770CD"/>
    <w:rsid w:val="00AB6D8E"/>
    <w:rsid w:val="00AD7AAF"/>
    <w:rsid w:val="00B33568"/>
    <w:rsid w:val="00B34C62"/>
    <w:rsid w:val="00B41A82"/>
    <w:rsid w:val="00B4620B"/>
    <w:rsid w:val="00B46C0A"/>
    <w:rsid w:val="00BD2E29"/>
    <w:rsid w:val="00BD3F8F"/>
    <w:rsid w:val="00BF50F0"/>
    <w:rsid w:val="00C44647"/>
    <w:rsid w:val="00C45ACF"/>
    <w:rsid w:val="00C54A53"/>
    <w:rsid w:val="00C763E0"/>
    <w:rsid w:val="00CD5711"/>
    <w:rsid w:val="00D049B4"/>
    <w:rsid w:val="00D10D36"/>
    <w:rsid w:val="00D21EF1"/>
    <w:rsid w:val="00DA4173"/>
    <w:rsid w:val="00DC7666"/>
    <w:rsid w:val="00DE3835"/>
    <w:rsid w:val="00E55E85"/>
    <w:rsid w:val="00E63974"/>
    <w:rsid w:val="00E70859"/>
    <w:rsid w:val="00E72DBB"/>
    <w:rsid w:val="00EB7631"/>
    <w:rsid w:val="00EC2189"/>
    <w:rsid w:val="00ED58C9"/>
    <w:rsid w:val="00EF6B0B"/>
    <w:rsid w:val="00F040D5"/>
    <w:rsid w:val="00F137EB"/>
    <w:rsid w:val="00F3241F"/>
    <w:rsid w:val="00F33D18"/>
    <w:rsid w:val="00F51582"/>
    <w:rsid w:val="00F60A94"/>
    <w:rsid w:val="00F77FC2"/>
    <w:rsid w:val="00FC13D2"/>
    <w:rsid w:val="00FD57F0"/>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6949B"/>
  <w15:docId w15:val="{A6F457B5-2D2E-4078-8A27-C7C10379E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52A5"/>
  </w:style>
  <w:style w:type="paragraph" w:styleId="Heading2">
    <w:name w:val="heading 2"/>
    <w:basedOn w:val="Normal"/>
    <w:next w:val="Normal"/>
    <w:link w:val="Heading2Char"/>
    <w:uiPriority w:val="9"/>
    <w:semiHidden/>
    <w:unhideWhenUsed/>
    <w:qFormat/>
    <w:rsid w:val="004570B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570B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121FEC"/>
    <w:rPr>
      <w:color w:val="0000FF" w:themeColor="hyperlink"/>
      <w:u w:val="single"/>
    </w:rPr>
  </w:style>
  <w:style w:type="paragraph" w:styleId="Header">
    <w:name w:val="header"/>
    <w:basedOn w:val="Normal"/>
    <w:link w:val="HeaderChar"/>
    <w:uiPriority w:val="99"/>
    <w:unhideWhenUsed/>
    <w:rsid w:val="00762B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2B4D"/>
  </w:style>
  <w:style w:type="paragraph" w:styleId="Footer">
    <w:name w:val="footer"/>
    <w:basedOn w:val="Normal"/>
    <w:link w:val="FooterChar"/>
    <w:uiPriority w:val="99"/>
    <w:unhideWhenUsed/>
    <w:rsid w:val="00762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2B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knightfrank.com/research/article/2020-12-03-down-but-not-out-how-the-uk-hotel-sector-is-adapting-to-survive"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Ramona</cp:lastModifiedBy>
  <cp:revision>2</cp:revision>
  <dcterms:created xsi:type="dcterms:W3CDTF">2021-12-05T09:10:00Z</dcterms:created>
  <dcterms:modified xsi:type="dcterms:W3CDTF">2021-12-05T09:10:00Z</dcterms:modified>
</cp:coreProperties>
</file>