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5618" w:rsidRDefault="00CD5618" w:rsidP="00CD5618">
      <w:pPr>
        <w:pStyle w:val="NoSpacing"/>
        <w:tabs>
          <w:tab w:val="left" w:pos="540"/>
          <w:tab w:val="left" w:pos="1995"/>
        </w:tabs>
        <w:spacing w:before="1540" w:after="240"/>
        <w:rPr>
          <w:rFonts w:ascii="Times New Roman" w:eastAsiaTheme="minorHAnsi" w:hAnsi="Times New Roman"/>
          <w:color w:val="4472C4" w:themeColor="accent1"/>
          <w:sz w:val="32"/>
          <w:szCs w:val="32"/>
        </w:rPr>
      </w:pPr>
      <w:r>
        <w:rPr>
          <w:rFonts w:ascii="Times New Roman" w:eastAsiaTheme="minorHAnsi" w:hAnsi="Times New Roman"/>
          <w:color w:val="4472C4" w:themeColor="accent1"/>
          <w:sz w:val="32"/>
          <w:szCs w:val="32"/>
        </w:rPr>
        <w:tab/>
        <w:t>Name                                 Usman Uddin</w:t>
      </w:r>
    </w:p>
    <w:p w:rsidR="00CD5618" w:rsidRDefault="00CD5618" w:rsidP="00CD5618">
      <w:pPr>
        <w:pStyle w:val="NoSpacing"/>
        <w:tabs>
          <w:tab w:val="left" w:pos="540"/>
          <w:tab w:val="left" w:pos="1995"/>
        </w:tabs>
        <w:spacing w:before="1540" w:after="240"/>
        <w:rPr>
          <w:rFonts w:ascii="Times New Roman" w:eastAsiaTheme="minorHAnsi" w:hAnsi="Times New Roman"/>
          <w:color w:val="4472C4" w:themeColor="accent1"/>
          <w:sz w:val="32"/>
          <w:szCs w:val="32"/>
        </w:rPr>
      </w:pPr>
      <w:r>
        <w:rPr>
          <w:rFonts w:ascii="Times New Roman" w:eastAsiaTheme="minorHAnsi" w:hAnsi="Times New Roman"/>
          <w:color w:val="4472C4" w:themeColor="accent1"/>
          <w:sz w:val="32"/>
          <w:szCs w:val="32"/>
        </w:rPr>
        <w:t xml:space="preserve">    Student Id                              2116921</w:t>
      </w:r>
    </w:p>
    <w:p w:rsidR="0065114D" w:rsidRDefault="00CD5618" w:rsidP="00CD5618">
      <w:pPr>
        <w:pStyle w:val="NoSpacing"/>
        <w:tabs>
          <w:tab w:val="left" w:pos="540"/>
          <w:tab w:val="left" w:pos="1995"/>
        </w:tabs>
        <w:spacing w:before="1540" w:after="240"/>
        <w:rPr>
          <w:rFonts w:ascii="Times New Roman" w:eastAsiaTheme="minorHAnsi" w:hAnsi="Times New Roman"/>
          <w:color w:val="4472C4" w:themeColor="accent1"/>
          <w:sz w:val="32"/>
          <w:szCs w:val="32"/>
        </w:rPr>
      </w:pPr>
      <w:r>
        <w:rPr>
          <w:rFonts w:ascii="Times New Roman" w:eastAsiaTheme="minorHAnsi" w:hAnsi="Times New Roman"/>
          <w:color w:val="4472C4" w:themeColor="accent1"/>
          <w:sz w:val="32"/>
          <w:szCs w:val="32"/>
        </w:rPr>
        <w:t>Assignment Title                    Essay</w:t>
      </w:r>
    </w:p>
    <w:p w:rsidR="00CD5618" w:rsidRDefault="00CD5618" w:rsidP="00CD5618">
      <w:pPr>
        <w:pStyle w:val="NoSpacing"/>
        <w:tabs>
          <w:tab w:val="left" w:pos="540"/>
          <w:tab w:val="left" w:pos="1995"/>
        </w:tabs>
        <w:spacing w:before="1540" w:after="240"/>
        <w:rPr>
          <w:rFonts w:ascii="Times New Roman" w:eastAsiaTheme="minorHAnsi" w:hAnsi="Times New Roman"/>
          <w:color w:val="4472C4" w:themeColor="accent1"/>
          <w:sz w:val="32"/>
          <w:szCs w:val="32"/>
        </w:rPr>
      </w:pPr>
      <w:r>
        <w:rPr>
          <w:rFonts w:ascii="Times New Roman" w:eastAsiaTheme="minorHAnsi" w:hAnsi="Times New Roman"/>
          <w:color w:val="4472C4" w:themeColor="accent1"/>
          <w:sz w:val="32"/>
          <w:szCs w:val="32"/>
        </w:rPr>
        <w:t>Module Code                       BMHP5004_BIRM</w:t>
      </w:r>
    </w:p>
    <w:p w:rsidR="00CD5618" w:rsidRPr="00CD5618" w:rsidRDefault="00CD5618" w:rsidP="00CD5618">
      <w:pPr>
        <w:pStyle w:val="NoSpacing"/>
        <w:tabs>
          <w:tab w:val="left" w:pos="540"/>
          <w:tab w:val="left" w:pos="1995"/>
        </w:tabs>
        <w:spacing w:before="1540" w:after="240"/>
        <w:rPr>
          <w:rFonts w:ascii="Times New Roman" w:eastAsiaTheme="minorHAnsi" w:hAnsi="Times New Roman"/>
          <w:color w:val="4472C4" w:themeColor="accent1"/>
          <w:sz w:val="32"/>
          <w:szCs w:val="32"/>
        </w:rPr>
      </w:pPr>
      <w:r>
        <w:rPr>
          <w:rFonts w:ascii="Times New Roman" w:eastAsiaTheme="minorHAnsi" w:hAnsi="Times New Roman"/>
          <w:color w:val="4472C4" w:themeColor="accent1"/>
          <w:sz w:val="32"/>
          <w:szCs w:val="32"/>
        </w:rPr>
        <w:t xml:space="preserve">Lecturer                             Rachael Rivers          </w:t>
      </w:r>
    </w:p>
    <w:p w:rsidR="00CD5618" w:rsidRDefault="00CD5618">
      <w:pPr>
        <w:pStyle w:val="NoSpacing"/>
        <w:spacing w:before="1540" w:after="240"/>
        <w:jc w:val="center"/>
        <w:rPr>
          <w:rFonts w:ascii="Times New Roman" w:eastAsiaTheme="minorHAnsi" w:hAnsi="Times New Roman"/>
          <w:color w:val="4472C4" w:themeColor="accent1"/>
          <w:sz w:val="24"/>
        </w:rPr>
      </w:pPr>
    </w:p>
    <w:p w:rsidR="00CD5618" w:rsidRDefault="00CD5618">
      <w:pPr>
        <w:pStyle w:val="NoSpacing"/>
        <w:spacing w:before="1540" w:after="240"/>
        <w:jc w:val="center"/>
        <w:rPr>
          <w:rFonts w:ascii="Times New Roman" w:eastAsiaTheme="minorHAnsi" w:hAnsi="Times New Roman"/>
          <w:color w:val="4472C4" w:themeColor="accent1"/>
          <w:sz w:val="24"/>
        </w:rPr>
      </w:pPr>
    </w:p>
    <w:p w:rsidR="00CD5618" w:rsidRDefault="00CD5618">
      <w:pPr>
        <w:pStyle w:val="NoSpacing"/>
        <w:spacing w:before="1540" w:after="240"/>
        <w:jc w:val="center"/>
        <w:rPr>
          <w:rFonts w:ascii="Times New Roman" w:eastAsiaTheme="minorHAnsi" w:hAnsi="Times New Roman"/>
          <w:color w:val="4472C4" w:themeColor="accent1"/>
          <w:sz w:val="24"/>
        </w:rPr>
      </w:pPr>
    </w:p>
    <w:p w:rsidR="00CD5618" w:rsidRDefault="00CD5618">
      <w:pPr>
        <w:pStyle w:val="NoSpacing"/>
        <w:spacing w:before="1540" w:after="240"/>
        <w:jc w:val="center"/>
        <w:rPr>
          <w:rFonts w:ascii="Times New Roman" w:eastAsiaTheme="minorHAnsi" w:hAnsi="Times New Roman"/>
          <w:color w:val="4472C4" w:themeColor="accent1"/>
          <w:sz w:val="24"/>
        </w:rPr>
      </w:pPr>
    </w:p>
    <w:p w:rsidR="00CD5618" w:rsidRDefault="00CD5618">
      <w:pPr>
        <w:pStyle w:val="NoSpacing"/>
        <w:spacing w:before="1540" w:after="240"/>
        <w:jc w:val="center"/>
        <w:rPr>
          <w:rFonts w:ascii="Times New Roman" w:eastAsiaTheme="minorHAnsi" w:hAnsi="Times New Roman"/>
          <w:color w:val="4472C4" w:themeColor="accent1"/>
          <w:sz w:val="24"/>
        </w:rPr>
      </w:pPr>
    </w:p>
    <w:p w:rsidR="00CD5618" w:rsidRDefault="00CD5618">
      <w:pPr>
        <w:pStyle w:val="NoSpacing"/>
        <w:spacing w:before="1540" w:after="240"/>
        <w:jc w:val="center"/>
        <w:rPr>
          <w:rFonts w:ascii="Times New Roman" w:eastAsiaTheme="minorHAnsi" w:hAnsi="Times New Roman"/>
          <w:color w:val="4472C4" w:themeColor="accent1"/>
          <w:sz w:val="24"/>
        </w:rPr>
      </w:pPr>
    </w:p>
    <w:sdt>
      <w:sdtPr>
        <w:rPr>
          <w:rFonts w:ascii="Times New Roman" w:eastAsiaTheme="minorHAnsi" w:hAnsi="Times New Roman"/>
          <w:color w:val="4472C4" w:themeColor="accent1"/>
          <w:sz w:val="24"/>
        </w:rPr>
        <w:id w:val="-1406906670"/>
        <w:docPartObj>
          <w:docPartGallery w:val="Cover Pages"/>
          <w:docPartUnique/>
        </w:docPartObj>
      </w:sdtPr>
      <w:sdtEndPr>
        <w:rPr>
          <w:color w:val="000000" w:themeColor="text1"/>
        </w:rPr>
      </w:sdtEndPr>
      <w:sdtContent>
        <w:p w:rsidR="00E94D13" w:rsidRDefault="00E94D13">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4472C4"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rsidR="00E94D13" w:rsidRPr="00CE3A58" w:rsidRDefault="0065114D" w:rsidP="00E94D13">
              <w:pPr>
                <w:pStyle w:val="NoSpacing"/>
                <w:pBdr>
                  <w:top w:val="single" w:sz="6" w:space="6" w:color="4472C4" w:themeColor="accent1"/>
                  <w:bottom w:val="single" w:sz="6" w:space="6" w:color="4472C4" w:themeColor="accent1"/>
                </w:pBdr>
                <w:spacing w:after="240"/>
                <w:jc w:val="center"/>
                <w:rPr>
                  <w:rFonts w:ascii="Arial" w:eastAsiaTheme="majorEastAsia" w:hAnsi="Arial" w:cs="Arial"/>
                  <w:b/>
                  <w:caps/>
                  <w:color w:val="4472C4" w:themeColor="accent1"/>
                  <w:sz w:val="72"/>
                  <w:szCs w:val="72"/>
                </w:rPr>
              </w:pPr>
              <w:r>
                <w:rPr>
                  <w:rFonts w:ascii="Arial" w:eastAsiaTheme="majorEastAsia" w:hAnsi="Arial" w:cs="Arial"/>
                  <w:b/>
                  <w:caps/>
                  <w:color w:val="4472C4" w:themeColor="accent1"/>
                  <w:sz w:val="72"/>
                  <w:szCs w:val="72"/>
                </w:rPr>
                <w:t>COVID-19</w:t>
              </w:r>
            </w:p>
          </w:sdtContent>
        </w:sdt>
        <w:p w:rsidR="00E94D13" w:rsidRDefault="00E94D13">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E94D13" w:rsidRDefault="00E94D13" w:rsidP="00F5689F">
          <w:pPr>
            <w:spacing w:line="240" w:lineRule="auto"/>
            <w:rPr>
              <w:rFonts w:ascii="Arial" w:eastAsiaTheme="majorEastAsia" w:hAnsi="Arial" w:cstheme="majorBidi"/>
              <w:b/>
              <w:caps/>
              <w:sz w:val="28"/>
              <w:szCs w:val="36"/>
            </w:rPr>
          </w:pPr>
          <w:r>
            <w:br w:type="page"/>
          </w:r>
        </w:p>
      </w:sdtContent>
    </w:sdt>
    <w:sdt>
      <w:sdtPr>
        <w:rPr>
          <w:rFonts w:ascii="Times New Roman" w:eastAsiaTheme="minorHAnsi" w:hAnsi="Times New Roman" w:cstheme="minorBidi"/>
          <w:b w:val="0"/>
          <w:caps w:val="0"/>
          <w:sz w:val="24"/>
          <w:szCs w:val="16"/>
        </w:rPr>
        <w:id w:val="-298692238"/>
        <w:docPartObj>
          <w:docPartGallery w:val="Table of Contents"/>
          <w:docPartUnique/>
        </w:docPartObj>
      </w:sdtPr>
      <w:sdtEndPr>
        <w:rPr>
          <w:bCs/>
          <w:noProof/>
        </w:rPr>
      </w:sdtEndPr>
      <w:sdtContent>
        <w:p w:rsidR="000F036C" w:rsidRDefault="000F036C">
          <w:pPr>
            <w:pStyle w:val="TOCHeading"/>
          </w:pPr>
          <w:r>
            <w:t>Table of Contents</w:t>
          </w:r>
        </w:p>
        <w:p w:rsidR="000F036C" w:rsidRPr="00CE3A58" w:rsidRDefault="009769A5">
          <w:pPr>
            <w:pStyle w:val="TOC1"/>
            <w:tabs>
              <w:tab w:val="right" w:leader="dot" w:pos="9016"/>
            </w:tabs>
            <w:rPr>
              <w:rFonts w:ascii="Arial" w:eastAsiaTheme="minorEastAsia" w:hAnsi="Arial" w:cs="Arial"/>
              <w:b/>
              <w:noProof/>
              <w:color w:val="auto"/>
              <w:sz w:val="22"/>
              <w:szCs w:val="22"/>
            </w:rPr>
          </w:pPr>
          <w:r w:rsidRPr="009769A5">
            <w:fldChar w:fldCharType="begin"/>
          </w:r>
          <w:r w:rsidR="000F036C">
            <w:instrText xml:space="preserve"> TOC \o "1-3" \h \z \u </w:instrText>
          </w:r>
          <w:r w:rsidRPr="009769A5">
            <w:fldChar w:fldCharType="separate"/>
          </w:r>
          <w:hyperlink w:anchor="_Toc127325317" w:history="1">
            <w:r w:rsidR="00CE3A58">
              <w:rPr>
                <w:rStyle w:val="Hyperlink"/>
                <w:rFonts w:ascii="Arial" w:hAnsi="Arial" w:cs="Arial"/>
                <w:b/>
                <w:noProof/>
              </w:rPr>
              <w:t>T</w:t>
            </w:r>
            <w:r w:rsidR="000F036C" w:rsidRPr="00CE3A58">
              <w:rPr>
                <w:rStyle w:val="Hyperlink"/>
                <w:rFonts w:ascii="Arial" w:hAnsi="Arial" w:cs="Arial"/>
                <w:b/>
                <w:noProof/>
              </w:rPr>
              <w:t>he effects of COVID 19 on Children and Families living in poverty in the UK</w:t>
            </w:r>
            <w:r w:rsidR="000F036C" w:rsidRPr="00CE3A58">
              <w:rPr>
                <w:rFonts w:ascii="Arial" w:hAnsi="Arial" w:cs="Arial"/>
                <w:b/>
                <w:noProof/>
                <w:webHidden/>
              </w:rPr>
              <w:tab/>
            </w:r>
            <w:r w:rsidRPr="00CE3A58">
              <w:rPr>
                <w:rFonts w:ascii="Arial" w:hAnsi="Arial" w:cs="Arial"/>
                <w:b/>
                <w:noProof/>
                <w:webHidden/>
              </w:rPr>
              <w:fldChar w:fldCharType="begin"/>
            </w:r>
            <w:r w:rsidR="000F036C" w:rsidRPr="00CE3A58">
              <w:rPr>
                <w:rFonts w:ascii="Arial" w:hAnsi="Arial" w:cs="Arial"/>
                <w:b/>
                <w:noProof/>
                <w:webHidden/>
              </w:rPr>
              <w:instrText xml:space="preserve"> PAGEREF _Toc127325317 \h </w:instrText>
            </w:r>
            <w:r w:rsidRPr="00CE3A58">
              <w:rPr>
                <w:rFonts w:ascii="Arial" w:hAnsi="Arial" w:cs="Arial"/>
                <w:b/>
                <w:noProof/>
                <w:webHidden/>
              </w:rPr>
            </w:r>
            <w:r w:rsidRPr="00CE3A58">
              <w:rPr>
                <w:rFonts w:ascii="Arial" w:hAnsi="Arial" w:cs="Arial"/>
                <w:b/>
                <w:noProof/>
                <w:webHidden/>
              </w:rPr>
              <w:fldChar w:fldCharType="separate"/>
            </w:r>
            <w:r w:rsidR="000F036C" w:rsidRPr="00CE3A58">
              <w:rPr>
                <w:rFonts w:ascii="Arial" w:hAnsi="Arial" w:cs="Arial"/>
                <w:b/>
                <w:noProof/>
                <w:webHidden/>
              </w:rPr>
              <w:t>1</w:t>
            </w:r>
            <w:r w:rsidRPr="00CE3A58">
              <w:rPr>
                <w:rFonts w:ascii="Arial" w:hAnsi="Arial" w:cs="Arial"/>
                <w:b/>
                <w:noProof/>
                <w:webHidden/>
              </w:rPr>
              <w:fldChar w:fldCharType="end"/>
            </w:r>
          </w:hyperlink>
        </w:p>
        <w:p w:rsidR="000F036C" w:rsidRPr="00CE3A58" w:rsidRDefault="009769A5">
          <w:pPr>
            <w:pStyle w:val="TOC1"/>
            <w:tabs>
              <w:tab w:val="right" w:leader="dot" w:pos="9016"/>
            </w:tabs>
            <w:rPr>
              <w:rFonts w:ascii="Arial" w:eastAsiaTheme="minorEastAsia" w:hAnsi="Arial" w:cs="Arial"/>
              <w:b/>
              <w:noProof/>
              <w:color w:val="auto"/>
              <w:sz w:val="22"/>
              <w:szCs w:val="22"/>
            </w:rPr>
          </w:pPr>
          <w:hyperlink w:anchor="_Toc127325318" w:history="1">
            <w:r w:rsidR="00CE3A58">
              <w:rPr>
                <w:rStyle w:val="Hyperlink"/>
                <w:rFonts w:ascii="Arial" w:hAnsi="Arial" w:cs="Arial"/>
                <w:b/>
                <w:noProof/>
              </w:rPr>
              <w:t>I</w:t>
            </w:r>
            <w:r w:rsidR="000F036C" w:rsidRPr="00CE3A58">
              <w:rPr>
                <w:rStyle w:val="Hyperlink"/>
                <w:rFonts w:ascii="Arial" w:hAnsi="Arial" w:cs="Arial"/>
                <w:b/>
                <w:noProof/>
              </w:rPr>
              <w:t>ntroduction</w:t>
            </w:r>
            <w:r w:rsidR="000F036C" w:rsidRPr="00CE3A58">
              <w:rPr>
                <w:rFonts w:ascii="Arial" w:hAnsi="Arial" w:cs="Arial"/>
                <w:b/>
                <w:noProof/>
                <w:webHidden/>
              </w:rPr>
              <w:tab/>
            </w:r>
            <w:r w:rsidRPr="00CE3A58">
              <w:rPr>
                <w:rFonts w:ascii="Arial" w:hAnsi="Arial" w:cs="Arial"/>
                <w:b/>
                <w:noProof/>
                <w:webHidden/>
              </w:rPr>
              <w:fldChar w:fldCharType="begin"/>
            </w:r>
            <w:r w:rsidR="000F036C" w:rsidRPr="00CE3A58">
              <w:rPr>
                <w:rFonts w:ascii="Arial" w:hAnsi="Arial" w:cs="Arial"/>
                <w:b/>
                <w:noProof/>
                <w:webHidden/>
              </w:rPr>
              <w:instrText xml:space="preserve"> PAGEREF _Toc127325318 \h </w:instrText>
            </w:r>
            <w:r w:rsidRPr="00CE3A58">
              <w:rPr>
                <w:rFonts w:ascii="Arial" w:hAnsi="Arial" w:cs="Arial"/>
                <w:b/>
                <w:noProof/>
                <w:webHidden/>
              </w:rPr>
            </w:r>
            <w:r w:rsidRPr="00CE3A58">
              <w:rPr>
                <w:rFonts w:ascii="Arial" w:hAnsi="Arial" w:cs="Arial"/>
                <w:b/>
                <w:noProof/>
                <w:webHidden/>
              </w:rPr>
              <w:fldChar w:fldCharType="separate"/>
            </w:r>
            <w:r w:rsidR="000F036C" w:rsidRPr="00CE3A58">
              <w:rPr>
                <w:rFonts w:ascii="Arial" w:hAnsi="Arial" w:cs="Arial"/>
                <w:b/>
                <w:noProof/>
                <w:webHidden/>
              </w:rPr>
              <w:t>2</w:t>
            </w:r>
            <w:r w:rsidRPr="00CE3A58">
              <w:rPr>
                <w:rFonts w:ascii="Arial" w:hAnsi="Arial" w:cs="Arial"/>
                <w:b/>
                <w:noProof/>
                <w:webHidden/>
              </w:rPr>
              <w:fldChar w:fldCharType="end"/>
            </w:r>
          </w:hyperlink>
        </w:p>
        <w:p w:rsidR="000F036C" w:rsidRPr="00CE3A58" w:rsidRDefault="009769A5">
          <w:pPr>
            <w:pStyle w:val="TOC1"/>
            <w:tabs>
              <w:tab w:val="right" w:leader="dot" w:pos="9016"/>
            </w:tabs>
            <w:rPr>
              <w:rFonts w:ascii="Arial" w:eastAsiaTheme="minorEastAsia" w:hAnsi="Arial" w:cs="Arial"/>
              <w:b/>
              <w:noProof/>
              <w:color w:val="auto"/>
              <w:sz w:val="22"/>
              <w:szCs w:val="22"/>
            </w:rPr>
          </w:pPr>
          <w:hyperlink w:anchor="_Toc127325319" w:history="1">
            <w:r w:rsidR="00CE3A58">
              <w:rPr>
                <w:rStyle w:val="Hyperlink"/>
                <w:rFonts w:ascii="Arial" w:hAnsi="Arial" w:cs="Arial"/>
                <w:b/>
                <w:noProof/>
              </w:rPr>
              <w:t>E</w:t>
            </w:r>
            <w:r w:rsidR="000F036C" w:rsidRPr="00CE3A58">
              <w:rPr>
                <w:rStyle w:val="Hyperlink"/>
                <w:rFonts w:ascii="Arial" w:hAnsi="Arial" w:cs="Arial"/>
                <w:b/>
                <w:noProof/>
              </w:rPr>
              <w:t>conomic impact</w:t>
            </w:r>
            <w:r w:rsidR="000F036C" w:rsidRPr="00CE3A58">
              <w:rPr>
                <w:rFonts w:ascii="Arial" w:hAnsi="Arial" w:cs="Arial"/>
                <w:b/>
                <w:noProof/>
                <w:webHidden/>
              </w:rPr>
              <w:tab/>
            </w:r>
            <w:r w:rsidRPr="00CE3A58">
              <w:rPr>
                <w:rFonts w:ascii="Arial" w:hAnsi="Arial" w:cs="Arial"/>
                <w:b/>
                <w:noProof/>
                <w:webHidden/>
              </w:rPr>
              <w:fldChar w:fldCharType="begin"/>
            </w:r>
            <w:r w:rsidR="000F036C" w:rsidRPr="00CE3A58">
              <w:rPr>
                <w:rFonts w:ascii="Arial" w:hAnsi="Arial" w:cs="Arial"/>
                <w:b/>
                <w:noProof/>
                <w:webHidden/>
              </w:rPr>
              <w:instrText xml:space="preserve"> PAGEREF _Toc127325319 \h </w:instrText>
            </w:r>
            <w:r w:rsidRPr="00CE3A58">
              <w:rPr>
                <w:rFonts w:ascii="Arial" w:hAnsi="Arial" w:cs="Arial"/>
                <w:b/>
                <w:noProof/>
                <w:webHidden/>
              </w:rPr>
            </w:r>
            <w:r w:rsidRPr="00CE3A58">
              <w:rPr>
                <w:rFonts w:ascii="Arial" w:hAnsi="Arial" w:cs="Arial"/>
                <w:b/>
                <w:noProof/>
                <w:webHidden/>
              </w:rPr>
              <w:fldChar w:fldCharType="separate"/>
            </w:r>
            <w:r w:rsidR="000F036C" w:rsidRPr="00CE3A58">
              <w:rPr>
                <w:rFonts w:ascii="Arial" w:hAnsi="Arial" w:cs="Arial"/>
                <w:b/>
                <w:noProof/>
                <w:webHidden/>
              </w:rPr>
              <w:t>2</w:t>
            </w:r>
            <w:r w:rsidRPr="00CE3A58">
              <w:rPr>
                <w:rFonts w:ascii="Arial" w:hAnsi="Arial" w:cs="Arial"/>
                <w:b/>
                <w:noProof/>
                <w:webHidden/>
              </w:rPr>
              <w:fldChar w:fldCharType="end"/>
            </w:r>
          </w:hyperlink>
        </w:p>
        <w:p w:rsidR="000F036C" w:rsidRPr="00CE3A58" w:rsidRDefault="009769A5">
          <w:pPr>
            <w:pStyle w:val="TOC1"/>
            <w:tabs>
              <w:tab w:val="right" w:leader="dot" w:pos="9016"/>
            </w:tabs>
            <w:rPr>
              <w:rFonts w:ascii="Arial" w:eastAsiaTheme="minorEastAsia" w:hAnsi="Arial" w:cs="Arial"/>
              <w:b/>
              <w:noProof/>
              <w:color w:val="auto"/>
              <w:sz w:val="22"/>
              <w:szCs w:val="22"/>
            </w:rPr>
          </w:pPr>
          <w:hyperlink w:anchor="_Toc127325320" w:history="1">
            <w:r w:rsidR="00CE3A58">
              <w:rPr>
                <w:rStyle w:val="Hyperlink"/>
                <w:rFonts w:ascii="Arial" w:hAnsi="Arial" w:cs="Arial"/>
                <w:b/>
                <w:noProof/>
              </w:rPr>
              <w:t>F</w:t>
            </w:r>
            <w:r w:rsidR="000F036C" w:rsidRPr="00CE3A58">
              <w:rPr>
                <w:rStyle w:val="Hyperlink"/>
                <w:rFonts w:ascii="Arial" w:hAnsi="Arial" w:cs="Arial"/>
                <w:b/>
                <w:noProof/>
              </w:rPr>
              <w:t>ood and housing insecurity</w:t>
            </w:r>
            <w:r w:rsidR="000F036C" w:rsidRPr="00CE3A58">
              <w:rPr>
                <w:rFonts w:ascii="Arial" w:hAnsi="Arial" w:cs="Arial"/>
                <w:b/>
                <w:noProof/>
                <w:webHidden/>
              </w:rPr>
              <w:tab/>
            </w:r>
            <w:r w:rsidRPr="00CE3A58">
              <w:rPr>
                <w:rFonts w:ascii="Arial" w:hAnsi="Arial" w:cs="Arial"/>
                <w:b/>
                <w:noProof/>
                <w:webHidden/>
              </w:rPr>
              <w:fldChar w:fldCharType="begin"/>
            </w:r>
            <w:r w:rsidR="000F036C" w:rsidRPr="00CE3A58">
              <w:rPr>
                <w:rFonts w:ascii="Arial" w:hAnsi="Arial" w:cs="Arial"/>
                <w:b/>
                <w:noProof/>
                <w:webHidden/>
              </w:rPr>
              <w:instrText xml:space="preserve"> PAGEREF _Toc127325320 \h </w:instrText>
            </w:r>
            <w:r w:rsidRPr="00CE3A58">
              <w:rPr>
                <w:rFonts w:ascii="Arial" w:hAnsi="Arial" w:cs="Arial"/>
                <w:b/>
                <w:noProof/>
                <w:webHidden/>
              </w:rPr>
            </w:r>
            <w:r w:rsidRPr="00CE3A58">
              <w:rPr>
                <w:rFonts w:ascii="Arial" w:hAnsi="Arial" w:cs="Arial"/>
                <w:b/>
                <w:noProof/>
                <w:webHidden/>
              </w:rPr>
              <w:fldChar w:fldCharType="separate"/>
            </w:r>
            <w:r w:rsidR="000F036C" w:rsidRPr="00CE3A58">
              <w:rPr>
                <w:rFonts w:ascii="Arial" w:hAnsi="Arial" w:cs="Arial"/>
                <w:b/>
                <w:noProof/>
                <w:webHidden/>
              </w:rPr>
              <w:t>3</w:t>
            </w:r>
            <w:r w:rsidRPr="00CE3A58">
              <w:rPr>
                <w:rFonts w:ascii="Arial" w:hAnsi="Arial" w:cs="Arial"/>
                <w:b/>
                <w:noProof/>
                <w:webHidden/>
              </w:rPr>
              <w:fldChar w:fldCharType="end"/>
            </w:r>
          </w:hyperlink>
        </w:p>
        <w:p w:rsidR="000F036C" w:rsidRPr="00CE3A58" w:rsidRDefault="009769A5">
          <w:pPr>
            <w:pStyle w:val="TOC1"/>
            <w:tabs>
              <w:tab w:val="right" w:leader="dot" w:pos="9016"/>
            </w:tabs>
            <w:rPr>
              <w:rFonts w:ascii="Arial" w:eastAsiaTheme="minorEastAsia" w:hAnsi="Arial" w:cs="Arial"/>
              <w:b/>
              <w:noProof/>
              <w:color w:val="auto"/>
              <w:sz w:val="22"/>
              <w:szCs w:val="22"/>
            </w:rPr>
          </w:pPr>
          <w:hyperlink w:anchor="_Toc127325321" w:history="1">
            <w:r w:rsidR="00CE3A58">
              <w:rPr>
                <w:rStyle w:val="Hyperlink"/>
                <w:rFonts w:ascii="Arial" w:hAnsi="Arial" w:cs="Arial"/>
                <w:b/>
                <w:noProof/>
              </w:rPr>
              <w:t>E</w:t>
            </w:r>
            <w:r w:rsidR="000F036C" w:rsidRPr="00CE3A58">
              <w:rPr>
                <w:rStyle w:val="Hyperlink"/>
                <w:rFonts w:ascii="Arial" w:hAnsi="Arial" w:cs="Arial"/>
                <w:b/>
                <w:noProof/>
              </w:rPr>
              <w:t>ducational disruption</w:t>
            </w:r>
            <w:r w:rsidR="000F036C" w:rsidRPr="00CE3A58">
              <w:rPr>
                <w:rFonts w:ascii="Arial" w:hAnsi="Arial" w:cs="Arial"/>
                <w:b/>
                <w:noProof/>
                <w:webHidden/>
              </w:rPr>
              <w:tab/>
            </w:r>
            <w:r w:rsidRPr="00CE3A58">
              <w:rPr>
                <w:rFonts w:ascii="Arial" w:hAnsi="Arial" w:cs="Arial"/>
                <w:b/>
                <w:noProof/>
                <w:webHidden/>
              </w:rPr>
              <w:fldChar w:fldCharType="begin"/>
            </w:r>
            <w:r w:rsidR="000F036C" w:rsidRPr="00CE3A58">
              <w:rPr>
                <w:rFonts w:ascii="Arial" w:hAnsi="Arial" w:cs="Arial"/>
                <w:b/>
                <w:noProof/>
                <w:webHidden/>
              </w:rPr>
              <w:instrText xml:space="preserve"> PAGEREF _Toc127325321 \h </w:instrText>
            </w:r>
            <w:r w:rsidRPr="00CE3A58">
              <w:rPr>
                <w:rFonts w:ascii="Arial" w:hAnsi="Arial" w:cs="Arial"/>
                <w:b/>
                <w:noProof/>
                <w:webHidden/>
              </w:rPr>
            </w:r>
            <w:r w:rsidRPr="00CE3A58">
              <w:rPr>
                <w:rFonts w:ascii="Arial" w:hAnsi="Arial" w:cs="Arial"/>
                <w:b/>
                <w:noProof/>
                <w:webHidden/>
              </w:rPr>
              <w:fldChar w:fldCharType="separate"/>
            </w:r>
            <w:r w:rsidR="000F036C" w:rsidRPr="00CE3A58">
              <w:rPr>
                <w:rFonts w:ascii="Arial" w:hAnsi="Arial" w:cs="Arial"/>
                <w:b/>
                <w:noProof/>
                <w:webHidden/>
              </w:rPr>
              <w:t>4</w:t>
            </w:r>
            <w:r w:rsidRPr="00CE3A58">
              <w:rPr>
                <w:rFonts w:ascii="Arial" w:hAnsi="Arial" w:cs="Arial"/>
                <w:b/>
                <w:noProof/>
                <w:webHidden/>
              </w:rPr>
              <w:fldChar w:fldCharType="end"/>
            </w:r>
          </w:hyperlink>
        </w:p>
        <w:p w:rsidR="000F036C" w:rsidRPr="00CE3A58" w:rsidRDefault="009769A5">
          <w:pPr>
            <w:pStyle w:val="TOC1"/>
            <w:tabs>
              <w:tab w:val="right" w:leader="dot" w:pos="9016"/>
            </w:tabs>
            <w:rPr>
              <w:rFonts w:ascii="Arial" w:eastAsiaTheme="minorEastAsia" w:hAnsi="Arial" w:cs="Arial"/>
              <w:b/>
              <w:noProof/>
              <w:color w:val="auto"/>
              <w:sz w:val="22"/>
              <w:szCs w:val="22"/>
            </w:rPr>
          </w:pPr>
          <w:hyperlink w:anchor="_Toc127325322" w:history="1">
            <w:r w:rsidR="00CE3A58">
              <w:rPr>
                <w:rStyle w:val="Hyperlink"/>
                <w:rFonts w:ascii="Arial" w:hAnsi="Arial" w:cs="Arial"/>
                <w:b/>
                <w:noProof/>
              </w:rPr>
              <w:t>M</w:t>
            </w:r>
            <w:r w:rsidR="000F036C" w:rsidRPr="00CE3A58">
              <w:rPr>
                <w:rStyle w:val="Hyperlink"/>
                <w:rFonts w:ascii="Arial" w:hAnsi="Arial" w:cs="Arial"/>
                <w:b/>
                <w:noProof/>
              </w:rPr>
              <w:t>ental health and well being</w:t>
            </w:r>
            <w:r w:rsidR="000F036C" w:rsidRPr="00CE3A58">
              <w:rPr>
                <w:rFonts w:ascii="Arial" w:hAnsi="Arial" w:cs="Arial"/>
                <w:b/>
                <w:noProof/>
                <w:webHidden/>
              </w:rPr>
              <w:tab/>
            </w:r>
            <w:r w:rsidRPr="00CE3A58">
              <w:rPr>
                <w:rFonts w:ascii="Arial" w:hAnsi="Arial" w:cs="Arial"/>
                <w:b/>
                <w:noProof/>
                <w:webHidden/>
              </w:rPr>
              <w:fldChar w:fldCharType="begin"/>
            </w:r>
            <w:r w:rsidR="000F036C" w:rsidRPr="00CE3A58">
              <w:rPr>
                <w:rFonts w:ascii="Arial" w:hAnsi="Arial" w:cs="Arial"/>
                <w:b/>
                <w:noProof/>
                <w:webHidden/>
              </w:rPr>
              <w:instrText xml:space="preserve"> PAGEREF _Toc127325322 \h </w:instrText>
            </w:r>
            <w:r w:rsidRPr="00CE3A58">
              <w:rPr>
                <w:rFonts w:ascii="Arial" w:hAnsi="Arial" w:cs="Arial"/>
                <w:b/>
                <w:noProof/>
                <w:webHidden/>
              </w:rPr>
            </w:r>
            <w:r w:rsidRPr="00CE3A58">
              <w:rPr>
                <w:rFonts w:ascii="Arial" w:hAnsi="Arial" w:cs="Arial"/>
                <w:b/>
                <w:noProof/>
                <w:webHidden/>
              </w:rPr>
              <w:fldChar w:fldCharType="separate"/>
            </w:r>
            <w:r w:rsidR="000F036C" w:rsidRPr="00CE3A58">
              <w:rPr>
                <w:rFonts w:ascii="Arial" w:hAnsi="Arial" w:cs="Arial"/>
                <w:b/>
                <w:noProof/>
                <w:webHidden/>
              </w:rPr>
              <w:t>4</w:t>
            </w:r>
            <w:r w:rsidRPr="00CE3A58">
              <w:rPr>
                <w:rFonts w:ascii="Arial" w:hAnsi="Arial" w:cs="Arial"/>
                <w:b/>
                <w:noProof/>
                <w:webHidden/>
              </w:rPr>
              <w:fldChar w:fldCharType="end"/>
            </w:r>
          </w:hyperlink>
        </w:p>
        <w:p w:rsidR="000F036C" w:rsidRPr="00CE3A58" w:rsidRDefault="009769A5">
          <w:pPr>
            <w:pStyle w:val="TOC1"/>
            <w:tabs>
              <w:tab w:val="right" w:leader="dot" w:pos="9016"/>
            </w:tabs>
            <w:rPr>
              <w:rFonts w:ascii="Arial" w:eastAsiaTheme="minorEastAsia" w:hAnsi="Arial" w:cs="Arial"/>
              <w:b/>
              <w:noProof/>
              <w:color w:val="auto"/>
              <w:sz w:val="22"/>
              <w:szCs w:val="22"/>
            </w:rPr>
          </w:pPr>
          <w:hyperlink w:anchor="_Toc127325323" w:history="1">
            <w:r w:rsidR="00CE3A58">
              <w:rPr>
                <w:rStyle w:val="Hyperlink"/>
                <w:rFonts w:ascii="Arial" w:hAnsi="Arial" w:cs="Arial"/>
                <w:b/>
                <w:noProof/>
              </w:rPr>
              <w:t>P</w:t>
            </w:r>
            <w:r w:rsidR="000F036C" w:rsidRPr="00CE3A58">
              <w:rPr>
                <w:rStyle w:val="Hyperlink"/>
                <w:rFonts w:ascii="Arial" w:hAnsi="Arial" w:cs="Arial"/>
                <w:b/>
                <w:noProof/>
              </w:rPr>
              <w:t>olicy response</w:t>
            </w:r>
            <w:r w:rsidR="000F036C" w:rsidRPr="00CE3A58">
              <w:rPr>
                <w:rFonts w:ascii="Arial" w:hAnsi="Arial" w:cs="Arial"/>
                <w:b/>
                <w:noProof/>
                <w:webHidden/>
              </w:rPr>
              <w:tab/>
            </w:r>
            <w:r w:rsidRPr="00CE3A58">
              <w:rPr>
                <w:rFonts w:ascii="Arial" w:hAnsi="Arial" w:cs="Arial"/>
                <w:b/>
                <w:noProof/>
                <w:webHidden/>
              </w:rPr>
              <w:fldChar w:fldCharType="begin"/>
            </w:r>
            <w:r w:rsidR="000F036C" w:rsidRPr="00CE3A58">
              <w:rPr>
                <w:rFonts w:ascii="Arial" w:hAnsi="Arial" w:cs="Arial"/>
                <w:b/>
                <w:noProof/>
                <w:webHidden/>
              </w:rPr>
              <w:instrText xml:space="preserve"> PAGEREF _Toc127325323 \h </w:instrText>
            </w:r>
            <w:r w:rsidRPr="00CE3A58">
              <w:rPr>
                <w:rFonts w:ascii="Arial" w:hAnsi="Arial" w:cs="Arial"/>
                <w:b/>
                <w:noProof/>
                <w:webHidden/>
              </w:rPr>
            </w:r>
            <w:r w:rsidRPr="00CE3A58">
              <w:rPr>
                <w:rFonts w:ascii="Arial" w:hAnsi="Arial" w:cs="Arial"/>
                <w:b/>
                <w:noProof/>
                <w:webHidden/>
              </w:rPr>
              <w:fldChar w:fldCharType="separate"/>
            </w:r>
            <w:r w:rsidR="000F036C" w:rsidRPr="00CE3A58">
              <w:rPr>
                <w:rFonts w:ascii="Arial" w:hAnsi="Arial" w:cs="Arial"/>
                <w:b/>
                <w:noProof/>
                <w:webHidden/>
              </w:rPr>
              <w:t>6</w:t>
            </w:r>
            <w:r w:rsidRPr="00CE3A58">
              <w:rPr>
                <w:rFonts w:ascii="Arial" w:hAnsi="Arial" w:cs="Arial"/>
                <w:b/>
                <w:noProof/>
                <w:webHidden/>
              </w:rPr>
              <w:fldChar w:fldCharType="end"/>
            </w:r>
          </w:hyperlink>
        </w:p>
        <w:p w:rsidR="000F036C" w:rsidRPr="00CE3A58" w:rsidRDefault="009769A5">
          <w:pPr>
            <w:pStyle w:val="TOC1"/>
            <w:tabs>
              <w:tab w:val="right" w:leader="dot" w:pos="9016"/>
            </w:tabs>
            <w:rPr>
              <w:rFonts w:ascii="Arial" w:eastAsiaTheme="minorEastAsia" w:hAnsi="Arial" w:cs="Arial"/>
              <w:b/>
              <w:noProof/>
              <w:color w:val="auto"/>
              <w:sz w:val="22"/>
              <w:szCs w:val="22"/>
            </w:rPr>
          </w:pPr>
          <w:hyperlink w:anchor="_Toc127325324" w:history="1">
            <w:r w:rsidR="00CE3A58">
              <w:rPr>
                <w:rStyle w:val="Hyperlink"/>
                <w:rFonts w:ascii="Arial" w:hAnsi="Arial" w:cs="Arial"/>
                <w:b/>
                <w:noProof/>
              </w:rPr>
              <w:t>C</w:t>
            </w:r>
            <w:r w:rsidR="000F036C" w:rsidRPr="00CE3A58">
              <w:rPr>
                <w:rStyle w:val="Hyperlink"/>
                <w:rFonts w:ascii="Arial" w:hAnsi="Arial" w:cs="Arial"/>
                <w:b/>
                <w:noProof/>
              </w:rPr>
              <w:t>onclusion</w:t>
            </w:r>
            <w:r w:rsidR="000F036C" w:rsidRPr="00CE3A58">
              <w:rPr>
                <w:rFonts w:ascii="Arial" w:hAnsi="Arial" w:cs="Arial"/>
                <w:b/>
                <w:noProof/>
                <w:webHidden/>
              </w:rPr>
              <w:tab/>
            </w:r>
            <w:r w:rsidRPr="00CE3A58">
              <w:rPr>
                <w:rFonts w:ascii="Arial" w:hAnsi="Arial" w:cs="Arial"/>
                <w:b/>
                <w:noProof/>
                <w:webHidden/>
              </w:rPr>
              <w:fldChar w:fldCharType="begin"/>
            </w:r>
            <w:r w:rsidR="000F036C" w:rsidRPr="00CE3A58">
              <w:rPr>
                <w:rFonts w:ascii="Arial" w:hAnsi="Arial" w:cs="Arial"/>
                <w:b/>
                <w:noProof/>
                <w:webHidden/>
              </w:rPr>
              <w:instrText xml:space="preserve"> PAGEREF _Toc127325324 \h </w:instrText>
            </w:r>
            <w:r w:rsidRPr="00CE3A58">
              <w:rPr>
                <w:rFonts w:ascii="Arial" w:hAnsi="Arial" w:cs="Arial"/>
                <w:b/>
                <w:noProof/>
                <w:webHidden/>
              </w:rPr>
            </w:r>
            <w:r w:rsidRPr="00CE3A58">
              <w:rPr>
                <w:rFonts w:ascii="Arial" w:hAnsi="Arial" w:cs="Arial"/>
                <w:b/>
                <w:noProof/>
                <w:webHidden/>
              </w:rPr>
              <w:fldChar w:fldCharType="separate"/>
            </w:r>
            <w:r w:rsidR="000F036C" w:rsidRPr="00CE3A58">
              <w:rPr>
                <w:rFonts w:ascii="Arial" w:hAnsi="Arial" w:cs="Arial"/>
                <w:b/>
                <w:noProof/>
                <w:webHidden/>
              </w:rPr>
              <w:t>7</w:t>
            </w:r>
            <w:r w:rsidRPr="00CE3A58">
              <w:rPr>
                <w:rFonts w:ascii="Arial" w:hAnsi="Arial" w:cs="Arial"/>
                <w:b/>
                <w:noProof/>
                <w:webHidden/>
              </w:rPr>
              <w:fldChar w:fldCharType="end"/>
            </w:r>
          </w:hyperlink>
        </w:p>
        <w:p w:rsidR="000F036C" w:rsidRDefault="009769A5">
          <w:pPr>
            <w:pStyle w:val="TOC1"/>
            <w:tabs>
              <w:tab w:val="right" w:leader="dot" w:pos="9016"/>
            </w:tabs>
            <w:rPr>
              <w:rFonts w:asciiTheme="minorHAnsi" w:eastAsiaTheme="minorEastAsia" w:hAnsiTheme="minorHAnsi"/>
              <w:noProof/>
              <w:color w:val="auto"/>
              <w:sz w:val="22"/>
              <w:szCs w:val="22"/>
            </w:rPr>
          </w:pPr>
          <w:hyperlink w:anchor="_Toc127325325" w:history="1">
            <w:r w:rsidR="00CE3A58">
              <w:rPr>
                <w:rStyle w:val="Hyperlink"/>
                <w:rFonts w:ascii="Arial" w:hAnsi="Arial" w:cs="Arial"/>
                <w:b/>
                <w:noProof/>
              </w:rPr>
              <w:t>R</w:t>
            </w:r>
            <w:r w:rsidR="000F036C" w:rsidRPr="00CE3A58">
              <w:rPr>
                <w:rStyle w:val="Hyperlink"/>
                <w:rFonts w:ascii="Arial" w:hAnsi="Arial" w:cs="Arial"/>
                <w:b/>
                <w:noProof/>
              </w:rPr>
              <w:t>efrences</w:t>
            </w:r>
            <w:r w:rsidR="000F036C" w:rsidRPr="00CE3A58">
              <w:rPr>
                <w:rFonts w:ascii="Arial" w:hAnsi="Arial" w:cs="Arial"/>
                <w:b/>
                <w:noProof/>
                <w:webHidden/>
              </w:rPr>
              <w:tab/>
            </w:r>
            <w:r w:rsidRPr="00CE3A58">
              <w:rPr>
                <w:rFonts w:ascii="Arial" w:hAnsi="Arial" w:cs="Arial"/>
                <w:b/>
                <w:noProof/>
                <w:webHidden/>
              </w:rPr>
              <w:fldChar w:fldCharType="begin"/>
            </w:r>
            <w:r w:rsidR="000F036C" w:rsidRPr="00CE3A58">
              <w:rPr>
                <w:rFonts w:ascii="Arial" w:hAnsi="Arial" w:cs="Arial"/>
                <w:b/>
                <w:noProof/>
                <w:webHidden/>
              </w:rPr>
              <w:instrText xml:space="preserve"> PAGEREF _Toc127325325 \h </w:instrText>
            </w:r>
            <w:r w:rsidRPr="00CE3A58">
              <w:rPr>
                <w:rFonts w:ascii="Arial" w:hAnsi="Arial" w:cs="Arial"/>
                <w:b/>
                <w:noProof/>
                <w:webHidden/>
              </w:rPr>
            </w:r>
            <w:r w:rsidRPr="00CE3A58">
              <w:rPr>
                <w:rFonts w:ascii="Arial" w:hAnsi="Arial" w:cs="Arial"/>
                <w:b/>
                <w:noProof/>
                <w:webHidden/>
              </w:rPr>
              <w:fldChar w:fldCharType="separate"/>
            </w:r>
            <w:r w:rsidR="000F036C" w:rsidRPr="00CE3A58">
              <w:rPr>
                <w:rFonts w:ascii="Arial" w:hAnsi="Arial" w:cs="Arial"/>
                <w:b/>
                <w:noProof/>
                <w:webHidden/>
              </w:rPr>
              <w:t>7</w:t>
            </w:r>
            <w:r w:rsidRPr="00CE3A58">
              <w:rPr>
                <w:rFonts w:ascii="Arial" w:hAnsi="Arial" w:cs="Arial"/>
                <w:b/>
                <w:noProof/>
                <w:webHidden/>
              </w:rPr>
              <w:fldChar w:fldCharType="end"/>
            </w:r>
          </w:hyperlink>
        </w:p>
        <w:p w:rsidR="000F036C" w:rsidRDefault="009769A5">
          <w:r>
            <w:rPr>
              <w:b/>
              <w:bCs/>
              <w:noProof/>
            </w:rPr>
            <w:fldChar w:fldCharType="end"/>
          </w:r>
        </w:p>
      </w:sdtContent>
    </w:sdt>
    <w:p w:rsidR="00E94D13" w:rsidRDefault="00E94D13" w:rsidP="001D6FF3">
      <w:pPr>
        <w:pStyle w:val="Heading1"/>
      </w:pPr>
    </w:p>
    <w:p w:rsidR="001E18EA" w:rsidRDefault="001D6FF3" w:rsidP="001D6FF3">
      <w:pPr>
        <w:pStyle w:val="Heading1"/>
      </w:pPr>
      <w:bookmarkStart w:id="0" w:name="_Toc127325317"/>
      <w:r>
        <w:t>the effects of COVID 19 on Children and Families living in poverty in the UK</w:t>
      </w:r>
      <w:bookmarkEnd w:id="0"/>
    </w:p>
    <w:p w:rsidR="001D6FF3" w:rsidRDefault="001D6FF3" w:rsidP="001D6FF3">
      <w:pPr>
        <w:rPr>
          <w:rFonts w:ascii="Arial" w:hAnsi="Arial" w:cs="Arial"/>
          <w:sz w:val="22"/>
        </w:rPr>
      </w:pPr>
      <w:r w:rsidRPr="001D6FF3">
        <w:rPr>
          <w:rFonts w:ascii="Arial" w:hAnsi="Arial" w:cs="Arial"/>
          <w:sz w:val="22"/>
        </w:rPr>
        <w:t>UK children from low-income families have been hit hard by the global spread of the COVID-19 virus. Among the results are:</w:t>
      </w:r>
    </w:p>
    <w:p w:rsidR="001D6FF3" w:rsidRDefault="001D6FF3" w:rsidP="007E6EEA">
      <w:pPr>
        <w:pStyle w:val="ListParagraph"/>
        <w:numPr>
          <w:ilvl w:val="0"/>
          <w:numId w:val="1"/>
        </w:numPr>
        <w:jc w:val="both"/>
        <w:rPr>
          <w:rFonts w:ascii="Arial" w:hAnsi="Arial" w:cs="Arial"/>
          <w:sz w:val="22"/>
        </w:rPr>
      </w:pPr>
      <w:r w:rsidRPr="001D6FF3">
        <w:rPr>
          <w:rFonts w:ascii="Arial" w:hAnsi="Arial" w:cs="Arial"/>
          <w:sz w:val="22"/>
        </w:rPr>
        <w:t>Economic difficulties Low-income families have been hit harder than others by the pandemic's ripple effects, with many losing their jobs and/or seeing their incomes drop. As a result, they now have a harder time paying for food, shelter, and utilities.</w:t>
      </w:r>
    </w:p>
    <w:p w:rsidR="001D6FF3" w:rsidRDefault="001D6FF3" w:rsidP="007E6EEA">
      <w:pPr>
        <w:pStyle w:val="ListParagraph"/>
        <w:numPr>
          <w:ilvl w:val="0"/>
          <w:numId w:val="1"/>
        </w:numPr>
        <w:jc w:val="both"/>
        <w:rPr>
          <w:rFonts w:ascii="Arial" w:hAnsi="Arial" w:cs="Arial"/>
          <w:sz w:val="22"/>
        </w:rPr>
      </w:pPr>
      <w:r w:rsidRPr="001D6FF3">
        <w:rPr>
          <w:rFonts w:ascii="Arial" w:hAnsi="Arial" w:cs="Arial"/>
          <w:sz w:val="22"/>
        </w:rPr>
        <w:t>Disruption of children's education, due to factors such as school closings and distance learning, has widened the achievement gap between children from low- and high-income families.</w:t>
      </w:r>
    </w:p>
    <w:p w:rsidR="001D6FF3" w:rsidRDefault="001D6FF3" w:rsidP="007E6EEA">
      <w:pPr>
        <w:pStyle w:val="ListParagraph"/>
        <w:numPr>
          <w:ilvl w:val="0"/>
          <w:numId w:val="1"/>
        </w:numPr>
        <w:jc w:val="both"/>
        <w:rPr>
          <w:rFonts w:ascii="Arial" w:hAnsi="Arial" w:cs="Arial"/>
          <w:sz w:val="22"/>
        </w:rPr>
      </w:pPr>
      <w:r w:rsidRPr="001D6FF3">
        <w:rPr>
          <w:rFonts w:ascii="Arial" w:hAnsi="Arial" w:cs="Arial"/>
          <w:sz w:val="22"/>
        </w:rPr>
        <w:t>Concerns about one's health and the availability of medical care have increased as a result of the pandemic. Higher rates of food insecurity among children from low-income families have been linked to negative psychological and physiological outcomes.</w:t>
      </w:r>
    </w:p>
    <w:p w:rsidR="001D6FF3" w:rsidRPr="001D6FF3" w:rsidRDefault="001D6FF3" w:rsidP="007E6EEA">
      <w:pPr>
        <w:pStyle w:val="ListParagraph"/>
        <w:numPr>
          <w:ilvl w:val="0"/>
          <w:numId w:val="1"/>
        </w:numPr>
        <w:jc w:val="both"/>
        <w:rPr>
          <w:rFonts w:ascii="Arial" w:hAnsi="Arial" w:cs="Arial"/>
          <w:sz w:val="22"/>
        </w:rPr>
      </w:pPr>
      <w:r w:rsidRPr="001D6FF3">
        <w:rPr>
          <w:rFonts w:ascii="Arial" w:hAnsi="Arial" w:cs="Arial"/>
          <w:sz w:val="22"/>
        </w:rPr>
        <w:t>Children from low-income families may have restricted access to computers and the internet, making it difficult for them to take part in online education and social activities.</w:t>
      </w:r>
    </w:p>
    <w:p w:rsidR="001D6FF3" w:rsidRDefault="001D6FF3" w:rsidP="001D6FF3">
      <w:pPr>
        <w:jc w:val="both"/>
        <w:rPr>
          <w:rFonts w:ascii="Arial" w:hAnsi="Arial" w:cs="Arial"/>
          <w:sz w:val="22"/>
        </w:rPr>
      </w:pPr>
      <w:r w:rsidRPr="001D6FF3">
        <w:rPr>
          <w:rFonts w:ascii="Arial" w:hAnsi="Arial" w:cs="Arial"/>
          <w:sz w:val="22"/>
        </w:rPr>
        <w:lastRenderedPageBreak/>
        <w:t>The pandemic has exacerbated preexisting disparities and brought into sharper focus the need to address poverty and its effects on children and families in the United Kingdom.</w:t>
      </w:r>
    </w:p>
    <w:p w:rsidR="001D6FF3" w:rsidRDefault="001D6FF3" w:rsidP="001D6FF3">
      <w:pPr>
        <w:pStyle w:val="Heading1"/>
      </w:pPr>
      <w:bookmarkStart w:id="1" w:name="_Toc127325318"/>
      <w:r>
        <w:t>introduction</w:t>
      </w:r>
      <w:bookmarkEnd w:id="1"/>
    </w:p>
    <w:p w:rsidR="001D6FF3" w:rsidRPr="00D63BD8" w:rsidRDefault="001D6FF3" w:rsidP="007E6EEA">
      <w:pPr>
        <w:jc w:val="both"/>
        <w:rPr>
          <w:rFonts w:ascii="Arial" w:hAnsi="Arial" w:cs="Arial"/>
          <w:sz w:val="22"/>
          <w:szCs w:val="22"/>
        </w:rPr>
      </w:pPr>
      <w:r w:rsidRPr="00D63BD8">
        <w:rPr>
          <w:rFonts w:ascii="Arial" w:hAnsi="Arial" w:cs="Arial"/>
          <w:sz w:val="22"/>
          <w:szCs w:val="22"/>
        </w:rPr>
        <w:t>When COVID-19 was first introduced to the United Kingdom, it had a devastating effect on children and families struggling to make ends meet</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{"citationItems":[{"id":"ITEM-1","itemData":{"DOI":"10.1136/archdischild-2020-320214","ISSN":"14682044","PMID":"33298551","abstract":"A concise overview of unintended consequences of the COVID19 response in England and an outline of mitigating actions by means of health policies.","author":[{"dropping-particle":"","family":"Hefferon","given":"Catherine","non-dropping-particle":"","parse-names":false,"suffix":""},{"dropping-particle":"","family":"Taylor","given":"Catherine","non-dropping-particle":"","parse-names":false,"suffix":""},{"dropping-particle":"","family":"Bennett","given":"Davara","non-dropping-particle":"","parse-names":false,"suffix":""},{"dropping-particle":"","family":"Falconer","given":"Catherine","non-dropping-particle":"","parse-names":false,"suffix":""},{"dropping-particle":"","family":"Campbell","given":"Melisa","non-dropping-particle":"","parse-names":false,"suffix":""},{"dropping-particle":"","family":"Williams","given":"Joanna G.","non-dropping-particle":"","parse-names":false,"suffix":""},{"dropping-particle":"","family":"Schwartz","given":"Dave","non-dropping-particle":"","parse-names":false,"suffix":""},{"dropping-particle":"","family":"Kipping","given":"Ruth","non-dropping-particle":"","parse-names":false,"suffix":""},{"dropping-particle":"","family":"Taylor-Robinson","given":"David","non-dropping-particle":"","parse-names":false,"suffix":""}],"container-title":"Archives of Disease in Childhood","id":"ITEM-1","issued":{"date-parts":[["2020"]]},"page":"533-538","title":"Priorities for the child public health response to the COVID-19 pandemic recovery in England","type":"article-journal"},"uris":["http://www.mendeley.com/documents/?uuid=02bd57b1-1316-4c4c-842b-f2854d893c65"]}],"mendeley":{"formattedCitation":"(Hefferon et al. 2020)","plainTextFormattedCitation":"(Hefferon et al. 2020)","previouslyFormattedCitation":"(Hefferon et al. 2020)"},"properties":{"noteIndex":0},"schema":"https://github.com/citation-style-language/schema/raw/master/csl-citation.json"}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(Hefferon et al. 2020)</w:t>
      </w:r>
      <w:r w:rsidR="009769A5">
        <w:rPr>
          <w:rFonts w:ascii="Arial" w:hAnsi="Arial" w:cs="Arial"/>
          <w:sz w:val="22"/>
          <w:szCs w:val="22"/>
        </w:rPr>
        <w:fldChar w:fldCharType="end"/>
      </w:r>
      <w:r w:rsidRPr="00D63BD8">
        <w:rPr>
          <w:rFonts w:ascii="Arial" w:hAnsi="Arial" w:cs="Arial"/>
          <w:sz w:val="22"/>
          <w:szCs w:val="22"/>
        </w:rPr>
        <w:t>. Here are a few of the most significant ways in which they were impacted:</w:t>
      </w:r>
    </w:p>
    <w:p w:rsidR="00156130" w:rsidRPr="00D63BD8" w:rsidRDefault="00156130" w:rsidP="007E6EEA">
      <w:pPr>
        <w:pStyle w:val="ListParagraph"/>
        <w:numPr>
          <w:ilvl w:val="0"/>
          <w:numId w:val="2"/>
        </w:numPr>
        <w:jc w:val="both"/>
        <w:rPr>
          <w:rFonts w:ascii="Arial" w:hAnsi="Arial" w:cs="Arial"/>
          <w:sz w:val="22"/>
          <w:szCs w:val="22"/>
        </w:rPr>
      </w:pPr>
      <w:r w:rsidRPr="00D63BD8">
        <w:rPr>
          <w:rFonts w:ascii="Arial" w:hAnsi="Arial" w:cs="Arial"/>
          <w:sz w:val="22"/>
          <w:szCs w:val="22"/>
        </w:rPr>
        <w:t>Lockdowns and business closures caused a significant drop in income, particularly for low-income families who rely on temporary or part-time work. It was tough to pay for food and shelter after losing a source of income.</w:t>
      </w:r>
    </w:p>
    <w:p w:rsidR="00156130" w:rsidRPr="00D63BD8" w:rsidRDefault="00156130" w:rsidP="007E6EEA">
      <w:pPr>
        <w:pStyle w:val="ListParagraph"/>
        <w:numPr>
          <w:ilvl w:val="0"/>
          <w:numId w:val="2"/>
        </w:numPr>
        <w:jc w:val="both"/>
        <w:rPr>
          <w:rFonts w:ascii="Arial" w:hAnsi="Arial" w:cs="Arial"/>
          <w:sz w:val="22"/>
          <w:szCs w:val="22"/>
        </w:rPr>
      </w:pPr>
      <w:r w:rsidRPr="00D63BD8">
        <w:rPr>
          <w:rFonts w:ascii="Arial" w:hAnsi="Arial" w:cs="Arial"/>
          <w:sz w:val="22"/>
          <w:szCs w:val="22"/>
        </w:rPr>
        <w:t xml:space="preserve">A rise in food insecurity occurred because the pandemic wreaked havoc on supply chains, causing prices to skyrocket and leaving many low-income families unable to afford healthy meals. Children who normally receive free school lunches could go hungry if their schools were closed. </w:t>
      </w:r>
    </w:p>
    <w:p w:rsidR="00156130" w:rsidRPr="00D63BD8" w:rsidRDefault="00156130" w:rsidP="007E6EEA">
      <w:pPr>
        <w:pStyle w:val="ListParagraph"/>
        <w:numPr>
          <w:ilvl w:val="0"/>
          <w:numId w:val="2"/>
        </w:numPr>
        <w:jc w:val="both"/>
        <w:rPr>
          <w:rFonts w:ascii="Arial" w:hAnsi="Arial" w:cs="Arial"/>
          <w:sz w:val="22"/>
          <w:szCs w:val="22"/>
        </w:rPr>
      </w:pPr>
      <w:r w:rsidRPr="00D63BD8">
        <w:rPr>
          <w:rFonts w:ascii="Arial" w:hAnsi="Arial" w:cs="Arial"/>
          <w:sz w:val="22"/>
          <w:szCs w:val="22"/>
        </w:rPr>
        <w:t>Increased housing insecurity: As a result of the pandemic's economic effects, many low-income families are now struggling to make their rent payments and may be evicted if they miss any more.</w:t>
      </w:r>
    </w:p>
    <w:p w:rsidR="00156130" w:rsidRPr="00D63BD8" w:rsidRDefault="00156130" w:rsidP="007E6EEA">
      <w:pPr>
        <w:pStyle w:val="ListParagraph"/>
        <w:numPr>
          <w:ilvl w:val="0"/>
          <w:numId w:val="2"/>
        </w:numPr>
        <w:jc w:val="both"/>
        <w:rPr>
          <w:rFonts w:ascii="Arial" w:hAnsi="Arial" w:cs="Arial"/>
          <w:sz w:val="22"/>
          <w:szCs w:val="22"/>
        </w:rPr>
      </w:pPr>
      <w:r w:rsidRPr="00D63BD8">
        <w:rPr>
          <w:rFonts w:ascii="Arial" w:hAnsi="Arial" w:cs="Arial"/>
          <w:sz w:val="22"/>
          <w:szCs w:val="22"/>
        </w:rPr>
        <w:t>Kids from low-income families, who may not have access to computers or the internet at home, have been hit harder by the shift to online learning and the closure of schools. Because of this, the achievement gap between children from different socioeconomic backgrounds has widened.</w:t>
      </w:r>
    </w:p>
    <w:p w:rsidR="00156130" w:rsidRPr="00D63BD8" w:rsidRDefault="00156130" w:rsidP="007E6EEA">
      <w:pPr>
        <w:pStyle w:val="ListParagraph"/>
        <w:numPr>
          <w:ilvl w:val="0"/>
          <w:numId w:val="2"/>
        </w:numPr>
        <w:jc w:val="both"/>
        <w:rPr>
          <w:rFonts w:ascii="Arial" w:hAnsi="Arial" w:cs="Arial"/>
          <w:sz w:val="22"/>
          <w:szCs w:val="22"/>
        </w:rPr>
      </w:pPr>
      <w:r w:rsidRPr="00D63BD8">
        <w:rPr>
          <w:rFonts w:ascii="Arial" w:hAnsi="Arial" w:cs="Arial"/>
          <w:sz w:val="22"/>
          <w:szCs w:val="22"/>
        </w:rPr>
        <w:t>Children and families in poverty are particularly vulnerable to the negative effects of the stress and uncertainty brought on by the pandemic on their mental health and well-being.</w:t>
      </w:r>
    </w:p>
    <w:p w:rsidR="001D6FF3" w:rsidRPr="00D63BD8" w:rsidRDefault="00156130" w:rsidP="00156130">
      <w:pPr>
        <w:rPr>
          <w:rFonts w:ascii="Arial" w:hAnsi="Arial" w:cs="Arial"/>
          <w:sz w:val="22"/>
          <w:szCs w:val="22"/>
        </w:rPr>
      </w:pPr>
      <w:r w:rsidRPr="00D63BD8">
        <w:rPr>
          <w:rFonts w:ascii="Arial" w:hAnsi="Arial" w:cs="Arial"/>
          <w:sz w:val="22"/>
          <w:szCs w:val="22"/>
        </w:rPr>
        <w:t>As a whole, the spread of COVID-19 in the United Kingdom has made inequality worse and highlighted the pressing need to address poverty and its effects on children and families</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{"citationItems":[{"id":"ITEM-1","itemData":{"DOI":"10.1146/annurev-economics-051520-030252","ISSN":"19411391","abstract":"We review the effects of the COVID-19 pandemic on inequalities in education, the labor market, household living standards, mental health, and wealth in the United Kingdom. The pandemic has pushed up inequalities on several dimensions. School closures, in particular, disrupted the learning of poorer children, leading to lower attainment. Mental health worsened for those groups (women and younger adults) who had poorer mental health pre-pandemic. Lockdowns and social distancing particularly reduced the ability of younger, lower-earning, and less educated people to work. However, job-support programs combined with the expanded welfare system meant that, if anything, disposable income inequality fell. Rising house prices have benefited people around the middle of the wealth distribution. In the longer term, lower work experience and training for the less educated and missed schoolingparticularly among children from more deprived familiescould push up human capital inequalities and reduce social mobility.","author":[{"dropping-particle":"","family":"Blundell","given":"Richard","non-dropping-particle":"","parse-names":false,"suffix":""},{"dropping-particle":"","family":"Costa Dias","given":"Monica","non-dropping-particle":"","parse-names":false,"suffix":""},{"dropping-particle":"","family":"Cribb","given":"Jonathan","non-dropping-particle":"","parse-names":false,"suffix":""},{"dropping-particle":"","family":"Joyce","given":"Robert","non-dropping-particle":"","parse-names":false,"suffix":""},{"dropping-particle":"","family":"Waters","given":"Tom","non-dropping-particle":"","parse-names":false,"suffix":""},{"dropping-particle":"","family":"Wernham","given":"Thomas","non-dropping-particle":"","parse-names":false,"suffix":""},{"dropping-particle":"","family":"Xu","given":"Xiaowei","non-dropping-particle":"","parse-names":false,"suffix":""}],"container-title":"Annual Review of Economics","id":"ITEM-1","issued":{"date-parts":[["2022"]]},"page":"607-636","title":"Inequality and the COVID-19 Crisis in the United Kingdom","type":"article-journal","volume":"14"},"uris":["http://www.mendeley.com/documents/?uuid=3b41b8c2-62f5-4e25-ad9b-74bade452289"]}],"mendeley":{"formattedCitation":"(Blundell et al. 2022)","plainTextFormattedCitation":"(Blundell et al. 2022)","previouslyFormattedCitation":"(Blundell et al. 2022)"},"properties":{"noteIndex":0},"schema":"https://github.com/citation-style-language/schema/raw/master/csl-citation.json"}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(Blundell et al. 2022)</w:t>
      </w:r>
      <w:r w:rsidR="009769A5">
        <w:rPr>
          <w:rFonts w:ascii="Arial" w:hAnsi="Arial" w:cs="Arial"/>
          <w:sz w:val="22"/>
          <w:szCs w:val="22"/>
        </w:rPr>
        <w:fldChar w:fldCharType="end"/>
      </w:r>
      <w:r w:rsidRPr="00D63BD8">
        <w:rPr>
          <w:rFonts w:ascii="Arial" w:hAnsi="Arial" w:cs="Arial"/>
          <w:sz w:val="22"/>
          <w:szCs w:val="22"/>
        </w:rPr>
        <w:t>.</w:t>
      </w:r>
    </w:p>
    <w:p w:rsidR="00156130" w:rsidRDefault="00156130" w:rsidP="00156130">
      <w:pPr>
        <w:pStyle w:val="Heading1"/>
      </w:pPr>
      <w:bookmarkStart w:id="2" w:name="_Toc127325319"/>
      <w:r>
        <w:t>economic impact</w:t>
      </w:r>
      <w:bookmarkEnd w:id="2"/>
    </w:p>
    <w:p w:rsidR="00156130" w:rsidRPr="00156130" w:rsidRDefault="00156130" w:rsidP="00156130">
      <w:pPr>
        <w:jc w:val="both"/>
        <w:rPr>
          <w:rFonts w:ascii="Arial" w:hAnsi="Arial" w:cs="Arial"/>
          <w:sz w:val="22"/>
          <w:szCs w:val="22"/>
        </w:rPr>
      </w:pPr>
      <w:r w:rsidRPr="00156130">
        <w:rPr>
          <w:rFonts w:ascii="Arial" w:hAnsi="Arial" w:cs="Arial"/>
          <w:sz w:val="22"/>
          <w:szCs w:val="22"/>
        </w:rPr>
        <w:t>COVID-19 has had a devastating financial impact on children and low-income families in the United Kingdom. Some of the most notable ways in which they have been impacted.</w:t>
      </w:r>
    </w:p>
    <w:p w:rsidR="00156130" w:rsidRDefault="00156130" w:rsidP="00156130">
      <w:pPr>
        <w:jc w:val="both"/>
        <w:rPr>
          <w:rFonts w:ascii="Arial" w:hAnsi="Arial" w:cs="Arial"/>
          <w:sz w:val="22"/>
          <w:szCs w:val="22"/>
        </w:rPr>
      </w:pPr>
      <w:r w:rsidRPr="00156130">
        <w:rPr>
          <w:rFonts w:ascii="Arial" w:hAnsi="Arial" w:cs="Arial"/>
          <w:sz w:val="22"/>
          <w:szCs w:val="22"/>
        </w:rPr>
        <w:t xml:space="preserve">Families living in poverty are more likely to depend on unstable, low-paying jobs or self-employment, both of which have been hit hard by lockdowns and business closures. Because of the loss of income, it's hard to pay for things like food, rent, and </w:t>
      </w:r>
      <w:r w:rsidR="00D63BD8" w:rsidRPr="00156130">
        <w:rPr>
          <w:rFonts w:ascii="Arial" w:hAnsi="Arial" w:cs="Arial"/>
          <w:sz w:val="22"/>
          <w:szCs w:val="22"/>
        </w:rPr>
        <w:t>utilities. Increased</w:t>
      </w:r>
      <w:r w:rsidRPr="00156130">
        <w:rPr>
          <w:rFonts w:ascii="Arial" w:hAnsi="Arial" w:cs="Arial"/>
          <w:sz w:val="22"/>
          <w:szCs w:val="22"/>
        </w:rPr>
        <w:t xml:space="preserve"> reliance on government aid: Many poor families have had to depend on </w:t>
      </w:r>
      <w:r w:rsidRPr="00156130">
        <w:rPr>
          <w:rFonts w:ascii="Arial" w:hAnsi="Arial" w:cs="Arial"/>
          <w:sz w:val="22"/>
          <w:szCs w:val="22"/>
        </w:rPr>
        <w:lastRenderedPageBreak/>
        <w:t>government aid programmer like Universal Credit and the furlough scheme</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DOI":"10.1136/bmj.n376","ISSN":"17561833","PMID":"33579719","author":[{"dropping-particle":"","family":"Whitehead","given":"Margaret","non-dropping-particle":"","parse-names":false,"suffix":""},{"dropping-particle":"","family":"Taylor-Robinson","given":"David","non-dropping-particle":"","parse-names":false,"suffix":""},{"dropping-particle":"","family":"Barr","given":"Ben","non-dropping-particle":"","parse-names":false,"suffix":""}],"container-title":"The BMJ","id":"ITEM-1","issued":{"date-parts":[["2021"]]},"page":"1-2","title":"Poverty, health, and covid-19","type":"article-journal","volume":"372"},"uris":["http://www.mendeley.com/documents/?uuid=005d399f-42bc-4d85-9405-da4b73e2ce45"]}],"mendeley":{"formattedCitation":"(Whitehead, Taylor-Robinson, and Barr 2021)","plainTextFormattedCitation":"(Whitehead, Taylor-Robinson, and Barr 2021)","previouslyFormattedCitation":"(Whitehead, Taylor-Robinson, and Barr 2021)"},"properties":{"noteIndex":0},"schema":"https://github.com/citation-style-language/schema/raw/master/csl-citation.json"}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(Whitehead, Taylor-Robinson, and Barr 2021)</w:t>
      </w:r>
      <w:r w:rsidR="009769A5">
        <w:rPr>
          <w:rFonts w:ascii="Arial" w:hAnsi="Arial" w:cs="Arial"/>
          <w:sz w:val="22"/>
          <w:szCs w:val="22"/>
        </w:rPr>
        <w:fldChar w:fldCharType="end"/>
      </w:r>
      <w:r w:rsidRPr="00156130">
        <w:rPr>
          <w:rFonts w:ascii="Arial" w:hAnsi="Arial" w:cs="Arial"/>
          <w:sz w:val="22"/>
          <w:szCs w:val="22"/>
        </w:rPr>
        <w:t>. But these programmers haven't always helped enough. Delays and administrative mistakes have left some families without money they need. The economic effects of the pandemic have led to more debt and less financial security for low-income families. Many of these families are struggling to pay their rent and bills. Because of this, some families are at risk of being kicked out of their homes and having nowhere to live. Families who are poor are more likely to have limited access to financial services like credit and savings</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{"citationItems":[{"id":"ITEM-1","itemData":{"author":[{"dropping-particle":"","family":"Durcan","given":"Graham","non-dropping-particle":"","parse-names":false,"suffix":""},{"dropping-particle":"","family":"Shea","given":"Nick O","non-dropping-particle":"","parse-names":false,"suffix":""},{"dropping-particle":"","family":"Allwood","given":"Louis","non-dropping-particle":"","parse-names":false,"suffix":""}],"id":"ITEM-1","issue":"May","issued":{"date-parts":[["2020"]]},"title":"CentreforMentalHealth_COVID_MH_Forecasting_May20","type":"article-journal"},"uris":["http://www.mendeley.com/documents/?uuid=7394e31b-1994-40f5-a8d4-411a4ca541db"]}],"mendeley":{"formattedCitation":"(Durcan, Shea, and Allwood 2020)","plainTextFormattedCitation":"(Durcan, Shea, and Allwood 2020)","previouslyFormattedCitation":"(Durcan, Shea, and Allwood 2020)"},"properties":{"noteIndex":0},"schema":"https://github.com/citation-style-language/schema/raw/master/csl-citation.json"}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(Durcan, Shea, and Allwood 2020)</w:t>
      </w:r>
      <w:r w:rsidR="009769A5">
        <w:rPr>
          <w:rFonts w:ascii="Arial" w:hAnsi="Arial" w:cs="Arial"/>
          <w:sz w:val="22"/>
          <w:szCs w:val="22"/>
        </w:rPr>
        <w:fldChar w:fldCharType="end"/>
      </w:r>
      <w:r w:rsidRPr="00156130">
        <w:rPr>
          <w:rFonts w:ascii="Arial" w:hAnsi="Arial" w:cs="Arial"/>
          <w:sz w:val="22"/>
          <w:szCs w:val="22"/>
        </w:rPr>
        <w:t>. This can make it hard to handle sudden changes in money, like the loss of income caused by the pandemic. Overall, the economic effects of COVID-19 on poor children and families in the UK have shown how important it is to do something about poverty and inequality right away. The pandemic has shown how weak the economy is and how the most vulnerable people in society are hit the hardest by economic shocks. Getting rid of poverty and helping families in need must be a top priority in the effort to recover from the pandemic</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{"citationItems":[{"id":"ITEM-1","itemData":{"DOI":"10.1080/14733285.2021.1921699","ISSN":"14733277","abstract":"The UK has been one of the most badly affected nations of the Global North by the COVID-19 outbreak in terms of illness, death rates and a severe economic downturn. Children have been impacted severely (and unequally), with UK lockdown meaning that many children were away from school and usual leisure activities for six months during the first lockdown. We revised this Viewpoint during the third lockdown when schools were closed again for an indefinite time. Despite substantial media and policy debate about the impact of COVID-19 on young people, with a focus on education, young people’s own voices tend to be obscured in these mainstream accounts. By contrast, the Children’s Commissioner for England has focused on young people’s accounts, which are discussed in this viewpoint.","author":[{"dropping-particle":"","family":"Holt","given":"Louise","non-dropping-particle":"","parse-names":false,"suffix":""},{"dropping-particle":"","family":"Murray","given":"Lesley","non-dropping-particle":"","parse-names":false,"suffix":""}],"container-title":"Children's Geographies","id":"ITEM-1","issue":"4","issued":{"date-parts":[["2022"]]},"page":"487-494","title":"Children and Covid 19 in the UK","type":"article-journal","volume":"20"},"uris":["http://www.mendeley.com/documents/?uuid=36cfbad5-9a3f-46cf-8a31-03493bb8c29f"]}],"mendeley":{"formattedCitation":"(Holt and Murray 2022)","plainTextFormattedCitation":"(Holt and Murray 2022)","previouslyFormattedCitation":"(Holt and Murray 2022)"},"properties":{"noteIndex":0},"schema":"https://github.com/citation-style-language/schema/raw/master/csl-citation.json"}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(Holt and Murray 2022)</w:t>
      </w:r>
      <w:r w:rsidR="009769A5">
        <w:rPr>
          <w:rFonts w:ascii="Arial" w:hAnsi="Arial" w:cs="Arial"/>
          <w:sz w:val="22"/>
          <w:szCs w:val="22"/>
        </w:rPr>
        <w:fldChar w:fldCharType="end"/>
      </w:r>
      <w:r w:rsidRPr="00156130">
        <w:rPr>
          <w:rFonts w:ascii="Arial" w:hAnsi="Arial" w:cs="Arial"/>
          <w:sz w:val="22"/>
          <w:szCs w:val="22"/>
        </w:rPr>
        <w:t>.</w:t>
      </w:r>
    </w:p>
    <w:p w:rsidR="00D63BD8" w:rsidRDefault="00965A55" w:rsidP="00D63BD8">
      <w:pPr>
        <w:pStyle w:val="Heading1"/>
      </w:pPr>
      <w:bookmarkStart w:id="3" w:name="_Toc127325320"/>
      <w:r>
        <w:t>food and housing insecurity</w:t>
      </w:r>
      <w:bookmarkEnd w:id="3"/>
    </w:p>
    <w:p w:rsidR="00965A55" w:rsidRDefault="00965A55" w:rsidP="00A832F8">
      <w:pPr>
        <w:jc w:val="both"/>
        <w:rPr>
          <w:rFonts w:ascii="Arial" w:hAnsi="Arial" w:cs="Arial"/>
          <w:sz w:val="22"/>
          <w:szCs w:val="22"/>
        </w:rPr>
      </w:pPr>
      <w:r w:rsidRPr="00A832F8">
        <w:rPr>
          <w:rFonts w:ascii="Arial" w:hAnsi="Arial" w:cs="Arial"/>
          <w:sz w:val="22"/>
          <w:szCs w:val="22"/>
        </w:rPr>
        <w:t>In the United Kingdom, the COVID-19 pandemic has had a major effect on the housing and food insecurity of low-income children and families. As a result of the pandemic's economic repercussions, many families are struggling to meet their basic needs, such as food and shelter.</w:t>
      </w:r>
    </w:p>
    <w:p w:rsidR="00C945B0" w:rsidRDefault="00A832F8" w:rsidP="00A832F8">
      <w:pPr>
        <w:jc w:val="both"/>
        <w:rPr>
          <w:rFonts w:ascii="Arial" w:hAnsi="Arial" w:cs="Arial"/>
          <w:sz w:val="22"/>
          <w:szCs w:val="22"/>
        </w:rPr>
      </w:pPr>
      <w:r w:rsidRPr="00A832F8">
        <w:rPr>
          <w:rFonts w:ascii="Arial" w:hAnsi="Arial" w:cs="Arial"/>
          <w:sz w:val="22"/>
          <w:szCs w:val="22"/>
        </w:rPr>
        <w:t>The worry of not having enough to eat is a serious problem for many households in the United Kingdom. Before the pandemic, one in five British children lived in food-insecure households. As a result of the pandemic, many households are now unable to afford adequate nutrition for their members</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{"citationItems":[{"id":"ITEM-1","itemData":{"ISBN":"9781447364504","abstract":"Epdf and ePUB available Open Access under CC BY NC ND licence. The COVID-19 pandemic affected everyone - but, for some, existing social inequalities were exacerbated, and this created a vital need for research. Researchers found themselves operating in a new and difficult context; they needed to act quickly and think collectively to embark on new research despite the constraints of the pandemic. This book presents the collaborative process of 14 research projects working together during COVID-19. It documents their findings and explains how researchers in the voluntary sector and academia responded methodologically, practically, and ethically to researching poverty and everyday life for families on low incomes during the pandemic. This book synthesises the challenges of researching during COVID-19 to improve future policy and practice. Also see 'A Year Like No Other: Family Life on a Low Income in COVID-19' to find out more about the lived experiences of low-income families during the pandemic.","author":[{"dropping-particle":"","family":"Garthwaite","given":"Kayleigh","non-dropping-particle":"","parse-names":false,"suffix":""},{"dropping-particle":"","family":"Warnock","given":"Rosalie","non-dropping-particle":"","parse-names":false,"suffix":""},{"dropping-particle":"","family":"Patrick","given":"Ruth","non-dropping-particle":"","parse-names":false,"suffix":""},{"dropping-particle":"","family":"Power","given":"Maddy","non-dropping-particle":"","parse-names":false,"suffix":""},{"dropping-particle":"","family":"Tarrant","given":"Anna","non-dropping-particle":"","parse-names":false,"suffix":""}],"container-title":"COVID-19 Collaborations: Researching Poverty and Low-Income Family Life during the Pandemic","id":"ITEM-1","issued":{"date-parts":[["2022"]]},"page":"1-236","title":"COVID-19 Collaborations: Researching Poverty and Low-Income Family Life during the Pandemic","type":"article-journal"},"uris":["http://www.mendeley.com/documents/?uuid=c3cd8ec1-5c15-4a37-9e51-f57f8fbcb4ce"]}],"mendeley":{"formattedCitation":"(Garthwaite et al. 2022)","plainTextFormattedCitation":"(Garthwaite et al. 2022)","previouslyFormattedCitation":"(Garthwaite et al. 2022)"},"properties":{"noteIndex":0},"schema":"https://github.com/citation-style-language/schema/raw/master/csl-citation.json"}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(Garthwaite et al. 2022)</w:t>
      </w:r>
      <w:r w:rsidR="009769A5">
        <w:rPr>
          <w:rFonts w:ascii="Arial" w:hAnsi="Arial" w:cs="Arial"/>
          <w:sz w:val="22"/>
          <w:szCs w:val="22"/>
        </w:rPr>
        <w:fldChar w:fldCharType="end"/>
      </w:r>
      <w:r w:rsidRPr="00A832F8">
        <w:rPr>
          <w:rFonts w:ascii="Arial" w:hAnsi="Arial" w:cs="Arial"/>
          <w:sz w:val="22"/>
          <w:szCs w:val="22"/>
        </w:rPr>
        <w:t>. Over 4 million children in the United Kingdom are now living in households that struggle to put food on the table, according to a report by the Food Foundation. Uncertainty about where one will sleep has also increased due to the pandemic. Before the pandemic, many low-income British families were already having trouble making ends meet. Many families have fallen into arrears and are now at risk of eviction as a result of the pandemic's economic fallout. The government has implemented a number of measures to assist at-risk households, including a moratorium on evictions and a program me to provide financial aid to renters. These efforts, however, have fallen short and many families are still becoming homeless.</w:t>
      </w:r>
    </w:p>
    <w:p w:rsidR="002F1E55" w:rsidRDefault="002F1E55" w:rsidP="00A832F8">
      <w:pPr>
        <w:jc w:val="both"/>
        <w:rPr>
          <w:rFonts w:ascii="Arial" w:hAnsi="Arial" w:cs="Arial"/>
          <w:sz w:val="22"/>
          <w:szCs w:val="22"/>
        </w:rPr>
      </w:pPr>
    </w:p>
    <w:p w:rsidR="00A832F8" w:rsidRDefault="002F1E55" w:rsidP="00A832F8">
      <w:pPr>
        <w:jc w:val="both"/>
        <w:rPr>
          <w:rFonts w:ascii="Arial" w:hAnsi="Arial" w:cs="Arial"/>
          <w:sz w:val="22"/>
          <w:szCs w:val="22"/>
        </w:rPr>
      </w:pPr>
      <w:r>
        <w:rPr>
          <w:rFonts w:ascii="Arial" w:hAnsi="Arial" w:cs="Arial"/>
          <w:sz w:val="22"/>
          <w:szCs w:val="22"/>
        </w:rPr>
        <w:t xml:space="preserve"> </w:t>
      </w:r>
      <w:r w:rsidR="00A832F8" w:rsidRPr="00A832F8">
        <w:rPr>
          <w:rFonts w:ascii="Arial" w:hAnsi="Arial" w:cs="Arial"/>
          <w:sz w:val="22"/>
          <w:szCs w:val="22"/>
        </w:rPr>
        <w:t xml:space="preserve">The government of the United Kingdom has taken some measures to address these problems, such as making school lunches free for some children and increasing funding for local governments to provide emergency food and housing assistance. Experts disagree on </w:t>
      </w:r>
      <w:r w:rsidR="00A832F8" w:rsidRPr="00A832F8">
        <w:rPr>
          <w:rFonts w:ascii="Arial" w:hAnsi="Arial" w:cs="Arial"/>
          <w:sz w:val="22"/>
          <w:szCs w:val="22"/>
        </w:rPr>
        <w:lastRenderedPageBreak/>
        <w:t>what exactly should be done to alleviate poverty and ensure that low-income families have access to long-term aid</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{"citationItems":[{"id":"ITEM-1","itemData":{"ISBN":"9788578110796","ISSN":"17518113","PMID":"25246403","abstract":"Acinetobacter baumannii contains RND-family efflux systems AdeABC and AdeIJK, which pump out a wide range of antimicrobial compounds, as judged from the MIC changes occurring upon deletion of the responsible genes. However, these studies may miss changes because of the high backgrounds generated by the remaining pumps and by β-lactamases, and it is unclear how the activities of these pumps compare quantitatively with those of the well-studied AcrAB-TolC system of Escherichia coli . We expressed adeABC and adeIJK of A. baumannii , as well as E. coli acrAB , in an E. coli host from which acrAB was deleted. The A. baumannii pumps were functional in E. coli , and the MIC changes that were observed largely confirmed the substrate range already reported, with important differences. Thus, the AdeABC system pumped out all β-lactams, an activity that was often missed in deletion studies. When the expression level of the pump genes was adjusted to a similar level for a comparison with AcrAB-TolC, we found that both A. baumannii efflux systems pumped out a wide range of compounds, but AdeABC was less effective than AcrAB-TolC in the extrusion of lipophilic β-lactams, novobiocin, and ethidium bromide, although it was more effective at tetracycline efflux. AdeIJK was remarkably more effective than a similar level of AcrAB-TolC in the efflux of β-lactams, novobiocin, and ethidium bromide, although it was less so in the efflux of erythromycin. These results thus allow us to compare these efflux systems on a quantitative basis, if we can assume that the heterologous systems are fully functional in the E. coli host.","author":[{"dropping-particle":"","family":"Pensiero","given":"Nick","non-dropping-particle":"","parse-names":false,"suffix":""},{"dropping-particle":"","family":"Kelly","given":"Tony","non-dropping-particle":"","parse-names":false,"suffix":""},{"dropping-particle":"","family":"Bokhove","given":"Christian","non-dropping-particle":"","parse-names":false,"suffix":""}],"container-title":"University of Southhampton research report","id":"ITEM-1","issue":"2020","issued":{"date-parts":[["2020"]]},"page":"1-20","title":"Learning inequalities during the Covid-19 pandemic: how families cope with home-schooling","type":"article-journal"},"uris":["http://www.mendeley.com/documents/?uuid=b6057a60-f73b-4987-a18f-baf542279c71"]}],"mendeley":{"formattedCitation":"(Pensiero, Kelly, and Bokhove 2020)","plainTextFormattedCitation":"(Pensiero, Kelly, and Bokhove 2020)","previouslyFormattedCitation":"(Pensiero, Kelly, and Bokhove 2020)"},"properties":{"noteIndex":0},"schema":"https://github.com/citation-style-language/schema/raw/master/csl-citation.json"}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(Pensiero, Kelly, and Bokhove 2020)</w:t>
      </w:r>
      <w:r w:rsidR="009769A5">
        <w:rPr>
          <w:rFonts w:ascii="Arial" w:hAnsi="Arial" w:cs="Arial"/>
          <w:sz w:val="22"/>
          <w:szCs w:val="22"/>
        </w:rPr>
        <w:fldChar w:fldCharType="end"/>
      </w:r>
      <w:r w:rsidR="00A832F8" w:rsidRPr="00A832F8">
        <w:rPr>
          <w:rFonts w:ascii="Arial" w:hAnsi="Arial" w:cs="Arial"/>
          <w:sz w:val="22"/>
          <w:szCs w:val="22"/>
        </w:rPr>
        <w:t>.</w:t>
      </w:r>
    </w:p>
    <w:p w:rsidR="00A832F8" w:rsidRDefault="00A832F8" w:rsidP="00A832F8">
      <w:pPr>
        <w:pStyle w:val="Heading1"/>
      </w:pPr>
      <w:bookmarkStart w:id="4" w:name="_Toc127325321"/>
      <w:r>
        <w:t>educational disruption</w:t>
      </w:r>
      <w:bookmarkEnd w:id="4"/>
    </w:p>
    <w:p w:rsidR="00C945B0" w:rsidRDefault="00A832F8" w:rsidP="00A832F8">
      <w:pPr>
        <w:jc w:val="both"/>
        <w:rPr>
          <w:rFonts w:ascii="Arial" w:hAnsi="Arial" w:cs="Arial"/>
          <w:sz w:val="22"/>
          <w:szCs w:val="22"/>
        </w:rPr>
      </w:pPr>
      <w:r w:rsidRPr="00A832F8">
        <w:rPr>
          <w:rFonts w:ascii="Arial" w:hAnsi="Arial" w:cs="Arial"/>
          <w:sz w:val="22"/>
          <w:szCs w:val="22"/>
        </w:rPr>
        <w:t>Children from low-income families in the UK have been hit hard by the global spread of the COVID-19 virus, which has had a devastating effect on their ability to receive a quality education. Numerous schools have been forced to close because of the pandemic, interfering with the education of millions of children across the country. However, children and low-income families have felt the effects of this disruption the most.Lack of access to technology and the internet has been one of the main obstacles for children and families living in poverty, making it hard for them to participate in distance learning. As a result, many households do not have access to a computer or tablet, and those that do often lack dependable internet service.</w:t>
      </w:r>
    </w:p>
    <w:p w:rsidR="002F1E55" w:rsidRDefault="002F1E55" w:rsidP="00A832F8">
      <w:pPr>
        <w:jc w:val="both"/>
        <w:rPr>
          <w:rFonts w:ascii="Arial" w:hAnsi="Arial" w:cs="Arial"/>
          <w:sz w:val="22"/>
          <w:szCs w:val="22"/>
        </w:rPr>
      </w:pPr>
    </w:p>
    <w:p w:rsidR="00C945B0" w:rsidRDefault="00A832F8" w:rsidP="00A832F8">
      <w:pPr>
        <w:jc w:val="both"/>
        <w:rPr>
          <w:rFonts w:ascii="Arial" w:hAnsi="Arial" w:cs="Arial"/>
          <w:sz w:val="22"/>
          <w:szCs w:val="22"/>
        </w:rPr>
      </w:pPr>
      <w:r w:rsidRPr="00A832F8">
        <w:rPr>
          <w:rFonts w:ascii="Arial" w:hAnsi="Arial" w:cs="Arial"/>
          <w:sz w:val="22"/>
          <w:szCs w:val="22"/>
        </w:rPr>
        <w:t xml:space="preserve"> As a result, there is now a large digital divide, and children from low-income families are at a greater risk of falling further behind in their education</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author":[{"dropping-particle":"","family":"Gallagher-Mackay","given":"Kelly","non-dropping-particle":"","parse-names":false,"suffix":""},{"dropping-particle":"","family":"Srivastava","given":"Prachi","non-dropping-particle":"","parse-names":false,"suffix":""},{"dropping-particle":"","family":"Underwood","given":"Kathryn","non-dropping-particle":"","parse-names":false,"suffix":""},{"dropping-particle":"","family":"Dhuey","given":"Elizabeth","non-dropping-particle":"","parse-names":false,"suffix":""},{"dropping-particle":"","family":"McCready","given":"Lance","non-dropping-particle":"","parse-names":false,"suffix":""}],"id":"ITEM-1","issued":{"date-parts":[["2021"]]},"title":"COVID-19 and Education Disruption in Ontario: Emerging Evidence COVID-19 and Education Disruption in Ontario: Emerging Evidence on Impacts on Impacts Recommended Citation Recommended Citation","type":"article-journal"},"uris":["http://www.mendeley.com/documents/?uuid=73e39617-4fa1-4719-ba6d-a8966157074a"]}],"mendeley":{"formattedCitation":"(Gallagher-Mackay et al. 2021)","plainTextFormattedCitation":"(Gallagher-Mackay et al. 2021)","previouslyFormattedCitation":"(Gallagher-Mackay et al. 2021)"},"properties":{"noteIndex":0},"schema":"https://github.com/citation-style-language/schema/raw/master/csl-citation.json"}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(Gallagher-Mackay et al. 2021)</w:t>
      </w:r>
      <w:r w:rsidR="009769A5">
        <w:rPr>
          <w:rFonts w:ascii="Arial" w:hAnsi="Arial" w:cs="Arial"/>
          <w:sz w:val="22"/>
          <w:szCs w:val="22"/>
        </w:rPr>
        <w:fldChar w:fldCharType="end"/>
      </w:r>
      <w:r w:rsidRPr="00A832F8">
        <w:rPr>
          <w:rFonts w:ascii="Arial" w:hAnsi="Arial" w:cs="Arial"/>
          <w:sz w:val="22"/>
          <w:szCs w:val="22"/>
        </w:rPr>
        <w:t>. An additional difficulty has been the inadequate services provided to children with disabilities and special educational needs. Due to the chaos caused by the pandemic, it has been challenging to provide the additional support these children may need in order</w:t>
      </w:r>
      <w:r w:rsidR="002F1E55">
        <w:rPr>
          <w:rFonts w:ascii="Arial" w:hAnsi="Arial" w:cs="Arial"/>
          <w:sz w:val="22"/>
          <w:szCs w:val="22"/>
        </w:rPr>
        <w:t xml:space="preserve"> to learn effectively. </w:t>
      </w:r>
    </w:p>
    <w:p w:rsidR="002F1E55" w:rsidRDefault="002F1E55" w:rsidP="00A832F8">
      <w:pPr>
        <w:jc w:val="both"/>
        <w:rPr>
          <w:rFonts w:ascii="Arial" w:hAnsi="Arial" w:cs="Arial"/>
          <w:sz w:val="22"/>
          <w:szCs w:val="22"/>
        </w:rPr>
      </w:pPr>
    </w:p>
    <w:p w:rsidR="00A832F8" w:rsidRDefault="00A832F8" w:rsidP="00A832F8">
      <w:pPr>
        <w:jc w:val="both"/>
        <w:rPr>
          <w:rFonts w:ascii="Arial" w:hAnsi="Arial" w:cs="Arial"/>
          <w:sz w:val="22"/>
          <w:szCs w:val="22"/>
        </w:rPr>
      </w:pPr>
      <w:r w:rsidRPr="00A832F8">
        <w:rPr>
          <w:rFonts w:ascii="Arial" w:hAnsi="Arial" w:cs="Arial"/>
          <w:sz w:val="22"/>
          <w:szCs w:val="22"/>
        </w:rPr>
        <w:t xml:space="preserve"> Financial stress and uncertainty are causing emotional and mental health issues for many people and their families. Due to the upheaval in their daily routines, children may be experiencing feelings of isolation and anxiety as they struggle to resume their normal school and social activities. The government of the United Kingdom has implemented several measures to deal with these problems, such as making school lunches free for low-income students and funding mental health initiatives for kids. Experts disagree on what exactly should be done to alleviate poverty and ensure that low-income families have access to long-term aid. Efforts to bridge the digital divide and bolster services for students with exceptionalities are two examples</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{"citationItems":[{"id":"ITEM-1","itemData":{"DOI":"10.1080/13545701.2020.1860246","ISSN":"14664372","abstract":"The COVID-19 global crisis and the “stay-home” response taken by most governments has starkly exposed the dependence of formal economies on the invisible and unpaid care labor of women–a dependence that has intensified during the pandemic as public childcare provision and schools are shut and parents work from home. This article focuses specifically on the childcare and income support provided by grandparents in the United Kingdom and South Africa. In undertaking this comparative analysis the study demonstrates the universality of intergenerational interdependence and the contextual specificity of grandparental childcare and income provision, as well as the differential impacts of suspending, or risking, such supports during the pandemic. Grandparents within and across households make substantial contributions to economic, social, and affective lives, and the study argues for greater recognition of these crucial contributions and the development of a more intersectional understanding of the provision of care work. HIGHLIGHTS COVID-19 has highlighted grandparents’ key contributions to society as part of intergenerational support. In the UK, suspension of grandparents’ informal childcare exposed gaps in formal childcare provision. In South Africa, grandparents maintained caregiving roles in multigenerational households, despite health risks. Grandparents’ contributions must be recognized, reevaluated, and reprioritized in government recovery planning.","author":[{"dropping-particle":"","family":"Cantillon","given":"Sara","non-dropping-particle":"","parse-names":false,"suffix":""},{"dropping-particle":"","family":"Moore","given":"Elena","non-dropping-particle":"","parse-names":false,"suffix":""},{"dropping-particle":"","family":"Teasdale","given":"Nina","non-dropping-particle":"","parse-names":false,"suffix":""}],"container-title":"Feminist Economics","id":"ITEM-1","issue":"1-2","issued":{"date-parts":[["2021"]]},"page":"188-202","publisher":"Routledge","title":"COVID-19 and the Pivotal role of Grandparents: Childcare and income Support in the UK and South Africa","type":"article-journal","volume":"27"},"uris":["http://www.mendeley.com/documents/?uuid=ed1ef956-6d50-45b4-99e0-ba4db6c255ab"]}],"mendeley":{"formattedCitation":"(Cantillon, Moore, and Teasdale 2021)","plainTextFormattedCitation":"(Cantillon, Moore, and Teasdale 2021)","previouslyFormattedCitation":"(Cantillon, Moore, and Teasdale 2021)"},"properties":{"noteIndex":0},"schema":"https://github.com/citation-style-language/schema/raw/master/csl-citation.json"}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(Cantillon, Moore, and Teasdale 2021)</w:t>
      </w:r>
      <w:r w:rsidR="009769A5">
        <w:rPr>
          <w:rFonts w:ascii="Arial" w:hAnsi="Arial" w:cs="Arial"/>
          <w:sz w:val="22"/>
          <w:szCs w:val="22"/>
        </w:rPr>
        <w:fldChar w:fldCharType="end"/>
      </w:r>
      <w:r w:rsidRPr="00A832F8">
        <w:rPr>
          <w:rFonts w:ascii="Arial" w:hAnsi="Arial" w:cs="Arial"/>
          <w:sz w:val="22"/>
          <w:szCs w:val="22"/>
        </w:rPr>
        <w:t>.</w:t>
      </w:r>
    </w:p>
    <w:p w:rsidR="00A832F8" w:rsidRDefault="00A832F8" w:rsidP="00A832F8">
      <w:pPr>
        <w:pStyle w:val="Heading1"/>
      </w:pPr>
      <w:bookmarkStart w:id="5" w:name="_Toc127325322"/>
      <w:r>
        <w:t>mental health and well being</w:t>
      </w:r>
      <w:bookmarkEnd w:id="5"/>
    </w:p>
    <w:p w:rsidR="00C945B0" w:rsidRDefault="00355364" w:rsidP="00355364">
      <w:pPr>
        <w:jc w:val="both"/>
        <w:rPr>
          <w:rFonts w:ascii="Arial" w:hAnsi="Arial" w:cs="Arial"/>
          <w:sz w:val="22"/>
          <w:szCs w:val="22"/>
        </w:rPr>
      </w:pPr>
      <w:r w:rsidRPr="00355364">
        <w:rPr>
          <w:rFonts w:ascii="Arial" w:hAnsi="Arial" w:cs="Arial"/>
          <w:sz w:val="22"/>
          <w:szCs w:val="22"/>
        </w:rPr>
        <w:t xml:space="preserve">In the United Kingdom, the COVID-19 pandemic has had a major effect on children's and families' emotional health and well-being. Social isolation, uncertainty about the future, and fears about the virus are just a few of the stressors brought on by the pandemic, all of which </w:t>
      </w:r>
      <w:r w:rsidRPr="00355364">
        <w:rPr>
          <w:rFonts w:ascii="Arial" w:hAnsi="Arial" w:cs="Arial"/>
          <w:sz w:val="22"/>
          <w:szCs w:val="22"/>
        </w:rPr>
        <w:lastRenderedPageBreak/>
        <w:t>have taken a heavy toll on the mental health of people of all ages. During this pandemic, families have had to deal with the added stress of being isolated from their friends and community. As a result of the pandemic's widespread social distancing measures and restrictions on social gatherings, it has become more challenging for families to get to know each other and access support networks</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{"citationItems":[{"id":"ITEM-1","itemData":{"DOI":"10.1111/ijsw.12568","ISSN":"14682397","abstract":"In this study, we investigated the household income of families with children. Our specific interest was the earned income losses during the COVID-19 pandemic, and how social transfers have mitigated those losses. We assessed the monthly income levels by comparing the information on the year prior to pandemic to income levels during COVID-19 pandemic. We found that the pandemic affected all studied subgroups of families with children, with the most negative economic influence in May 2020. In addition, our results indicate that in Finland the social transfers protected fairly well against the negative economic impacts of the pandemic among families with children, especially among vulnerable families (those with lowest income level prior COVID-19, with low parental education, single-parent families and families with non-Finnish-born parents). The information gained from this analysis can be useful in economic recovery during and after COVID-19 pandemic, and when preparing for future challenges.","author":[{"dropping-particle":"","family":"Kärkkäinen","given":"Sanna","non-dropping-particle":"","parse-names":false,"suffix":""},{"dropping-particle":"","family":"Mesiäislehto","given":"Merita","non-dropping-particle":"","parse-names":false,"suffix":""},{"dropping-particle":"","family":"Sirniö","given":"Outi","non-dropping-particle":"","parse-names":false,"suffix":""},{"dropping-particle":"","family":"Karvonen","given":"Sakari","non-dropping-particle":"","parse-names":false,"suffix":""},{"dropping-particle":"","family":"Kauppinen","given":"Timo M.","non-dropping-particle":"","parse-names":false,"suffix":""}],"container-title":"International Journal of Social Welfare","id":"ITEM-1","issue":"November 2021","issued":{"date-parts":[["2022"]]},"page":"1-17","title":"The role of social transfers in mitigating families with children from the economic impact of the COVID-19 pandemic","type":"article-journal"},"uris":["http://www.mendeley.com/documents/?uuid=29a6dcb8-f676-4e40-b04f-0b3f90fbed30"]}],"mendeley":{"formattedCitation":"(Kärkkäinen et al. 2022)","plainTextFormattedCitation":"(Kärkkäinen et al. 2022)","previouslyFormattedCitation":"(Kärkkäinen et al. 2022)"},"properties":{"noteIndex":0},"schema":"https://github.com/citation-style-language/schema/raw/master/csl-citation.json"}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(Kärkkäinen et al. 2022)</w:t>
      </w:r>
      <w:r w:rsidR="009769A5">
        <w:rPr>
          <w:rFonts w:ascii="Arial" w:hAnsi="Arial" w:cs="Arial"/>
          <w:sz w:val="22"/>
          <w:szCs w:val="22"/>
        </w:rPr>
        <w:fldChar w:fldCharType="end"/>
      </w:r>
      <w:r w:rsidRPr="00355364">
        <w:rPr>
          <w:rFonts w:ascii="Arial" w:hAnsi="Arial" w:cs="Arial"/>
          <w:sz w:val="22"/>
          <w:szCs w:val="22"/>
        </w:rPr>
        <w:t>. Long-term mental health consequences may also result from children missing out on school and extracurricular activities, both of which are important opportunities for social and cognitive growth. Concerns about the economy, employment, and the long-term impact of the virus are just a few examples of the many unknowns brought on by the pandemic.</w:t>
      </w:r>
    </w:p>
    <w:p w:rsidR="002C54C9" w:rsidRDefault="002C54C9" w:rsidP="00355364">
      <w:pPr>
        <w:jc w:val="both"/>
        <w:rPr>
          <w:rFonts w:ascii="Arial" w:hAnsi="Arial" w:cs="Arial"/>
          <w:sz w:val="22"/>
          <w:szCs w:val="22"/>
        </w:rPr>
      </w:pPr>
    </w:p>
    <w:p w:rsidR="00355364" w:rsidRDefault="00355364" w:rsidP="00355364">
      <w:pPr>
        <w:jc w:val="both"/>
        <w:rPr>
          <w:rFonts w:ascii="Arial" w:hAnsi="Arial" w:cs="Arial"/>
          <w:sz w:val="22"/>
          <w:szCs w:val="22"/>
        </w:rPr>
      </w:pPr>
      <w:r w:rsidRPr="00355364">
        <w:rPr>
          <w:rFonts w:ascii="Arial" w:hAnsi="Arial" w:cs="Arial"/>
          <w:sz w:val="22"/>
          <w:szCs w:val="22"/>
        </w:rPr>
        <w:t xml:space="preserve"> Uncertainty is stressful and unsettling for anyone, but it can be especially difficult for people who are already struggling financially due to things like job loss or lack of income. Concerns about contracting the virus can also have a negative effect on people's emotional well-being and the ability to care for their families. Many people may be concerned that they will become infected, or that their loved ones who are at higher risk will become ill. There is a chance that the pandemic will reawaken fears and phobias in som</w:t>
      </w:r>
      <w:r w:rsidR="00441839">
        <w:rPr>
          <w:rFonts w:ascii="Arial" w:hAnsi="Arial" w:cs="Arial"/>
          <w:sz w:val="22"/>
          <w:szCs w:val="22"/>
        </w:rPr>
        <w:t xml:space="preserve">e people. </w:t>
      </w:r>
      <w:r w:rsidRPr="00355364">
        <w:rPr>
          <w:rFonts w:ascii="Arial" w:hAnsi="Arial" w:cs="Arial"/>
          <w:sz w:val="22"/>
          <w:szCs w:val="22"/>
        </w:rPr>
        <w:t>While some progress has been made, many professionals believe that more must be done to help those struggling with mental health and their families. Some examples of this kind of action would be programs designed to help people who are financially struggling or socially isolated</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{"citationItems":[{"id":"ITEM-1","itemData":{"DOI":"10.1002/jcop.22883","ISSN":"15206629","abstract":"The aim of the paper is to illustrate how the housing system in the United Kingdom (UK) has contributed to creating vulnerabilities during the COVID-19 pandemic. Drawing on the concept of ontological security we look at how living with housing insecurity whilst enduring poor housing conditions has impacted the lives of those living in households. The paper draws on semi-structured interviews with 50 residents and 8 housing professionals. The findings outline the grinding impact of the pandemic on the ontological security of residents and the coping strategies adopted by a wider range of households who are now increasingly vulnerable. A number of people went into lockdown in vulnerable situations, experiencing deep inequalities and living in poorly maintained homes. This has weakened the ontological security experienced by many households. These represent significant failings of the housing system and housing policy impacting on the health and wellbeing of a wider cohort of people creating additional vulnerabilities.","author":[{"dropping-particle":"","family":"Brown","given":"Philip","non-dropping-particle":"","parse-names":false,"suffix":""},{"dropping-particle":"","family":"Newton","given":"Dillon","non-dropping-particle":"","parse-names":false,"suffix":""},{"dropping-particle":"","family":"Armitage","given":"Rachel","non-dropping-particle":"","parse-names":false,"suffix":""},{"dropping-particle":"","family":"Monchuk","given":"Leanne","non-dropping-particle":"","parse-names":false,"suffix":""},{"dropping-particle":"","family":"Robson","given":"Brian","non-dropping-particle":"","parse-names":false,"suffix":""}],"container-title":"Journal of Community Psychology","id":"ITEM-1","issue":"March","issued":{"date-parts":[["2022"]]},"title":"Locked down: Ontological security and the experience of COVID-19 while living in poor-quality housing","type":"article-journal"},"uris":["http://www.mendeley.com/documents/?uuid=20f6ea5f-0231-48d3-b1ff-c031fc988250"]}],"mendeley":{"formattedCitation":"(Brown et al. 2022)","plainTextFormattedCitation":"(Brown et al. 2022)","previouslyFormattedCitation":"(Brown et al. 2022)"},"properties":{"noteIndex":0},"schema":"https://github.com/citation-style-language/schema/raw/master/csl-citation.json"}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(Brown et al. 2022)</w:t>
      </w:r>
      <w:r w:rsidR="009769A5">
        <w:rPr>
          <w:rFonts w:ascii="Arial" w:hAnsi="Arial" w:cs="Arial"/>
          <w:sz w:val="22"/>
          <w:szCs w:val="22"/>
        </w:rPr>
        <w:fldChar w:fldCharType="end"/>
      </w:r>
      <w:r w:rsidRPr="00355364">
        <w:rPr>
          <w:rFonts w:ascii="Arial" w:hAnsi="Arial" w:cs="Arial"/>
          <w:sz w:val="22"/>
          <w:szCs w:val="22"/>
        </w:rPr>
        <w:t>.</w:t>
      </w:r>
    </w:p>
    <w:p w:rsidR="002F1E55" w:rsidRPr="00355364" w:rsidRDefault="002F1E55" w:rsidP="00355364">
      <w:pPr>
        <w:jc w:val="both"/>
        <w:rPr>
          <w:rFonts w:ascii="Arial" w:hAnsi="Arial" w:cs="Arial"/>
          <w:sz w:val="22"/>
          <w:szCs w:val="22"/>
        </w:rPr>
      </w:pPr>
    </w:p>
    <w:p w:rsidR="00C945B0" w:rsidRDefault="00355364" w:rsidP="00355364">
      <w:pPr>
        <w:jc w:val="both"/>
        <w:rPr>
          <w:rFonts w:ascii="Arial" w:hAnsi="Arial" w:cs="Arial"/>
          <w:sz w:val="22"/>
          <w:szCs w:val="22"/>
        </w:rPr>
      </w:pPr>
      <w:r w:rsidRPr="00355364">
        <w:rPr>
          <w:rFonts w:ascii="Arial" w:hAnsi="Arial" w:cs="Arial"/>
          <w:sz w:val="22"/>
          <w:szCs w:val="22"/>
        </w:rPr>
        <w:t xml:space="preserve"> Financial anxiety and instability have long been a problem for low-income families. As a result of the pandemic, many people have lost their jobs and seen their incomes drop significantly. Having to rely on food banks and other forms of emergency support to meet basic needs has put a great strain on many families. Families struggling to make ends meet often face additional stresses, such as social isolation</w:t>
      </w:r>
      <w:r w:rsidR="009769A5">
        <w:rPr>
          <w:rFonts w:ascii="Arial" w:hAnsi="Arial" w:cs="Arial"/>
          <w:sz w:val="22"/>
          <w:szCs w:val="22"/>
        </w:rPr>
        <w:fldChar w:fldCharType="begin" w:fldLock="1"/>
      </w:r>
      <w:r w:rsidR="00AA7668">
        <w:rPr>
          <w:rFonts w:ascii="Arial" w:hAnsi="Arial" w:cs="Arial"/>
          <w:sz w:val="22"/>
          <w:szCs w:val="22"/>
        </w:rPr>
        <w:instrText>ADDIN CSL_CITATION {"citationItems":[{"id":"ITEM-1","itemData":{"abstract":"Executive Summary Introduction Even before the coronavirus pandemic struck in early 2020, food insecurity was rising steadily and attracting growing concern across the UK. Under Covid-19, which has caused the UK to enter its worst economic recession on record, food insecurity has worsened significantly. The pandemic has disproportionately impacted young people under the age of 25, whose overrepresentation in precarious, poorly paid jobs in volatile labour market sectors and lower rates of social security protections have left them particularly exposed to the vast economic penalties of Covid-19, including food insecurity. Interviews were conducted with young people living in Edinburgh and London about their experiences of food insecurity before and during the pandemic. This research makes recommendations to policy and practice that would mitigate against youth food insecurity at what is a critically challenging time for young people across the UK. Key findings • Youth food insecurity is driven by a range of both common and more age-specific factors. As with food insecurity among other age groups, its primary causes are low income and problems with welfare benefits. Critically, however, these common drivers featured alongside more distinctively youth-specific factors, including leaving the family household for the first time and living in shared living environments. • Covid-19 has had a significant impact on driving/worsening food insecurity among young people. Their greater likelihood of being underemployed in precarious, poorly paid jobs and/or being full-time students has meant that key policy interventions designed to mitigate against economic hardship under Covid-19 have applied to, and been experienced differently by, young people. • Youth food insecurity carries significant penalties for mental and physical health and wellbeing. Subsisting on nutritionally inadequate diets or insufficient food lowered mood and caused stress, anxiety and depression, as well as physical exhaustion and ill health. Young people with pre-existing health conditions, including eating disorders, were the worst affected. • Young people draw on a range of strategies to manage their food insecurity. These include shopping for cheap food in budget stores, rationing food and skipping meals, seeking ad-hoc earning and eating opportunities, and careful budgeting. • Accessing and accepting formal and informal food support is challenging for young people, who have a strong sense of…","author":[{"dropping-particle":"","family":"McPherson","given":"Charlotte","non-dropping-particle":"","parse-names":false,"suffix":""}],"id":"ITEM-1","issue":"November","issued":{"date-parts":[["2020"]]},"page":"16","title":"Young people, food insecurity and Covid-19: A qualitative study in Edinburgh and London","type":"article-journal"},"uris":["http://www.mendeley.com/documents/?uuid=00b396ba-5d26-4c50-a0da-9517963b277f"]}],"mendeley":{"formattedCitation":"(McPherson 2020)","plainTextFormattedCitation":"(McPherson 2020)"},"properties":{"noteIndex":0},"schema":"https://github.com/citation-style-language/schema/raw/master/csl-citation.json"}</w:instrText>
      </w:r>
      <w:r w:rsidR="009769A5">
        <w:rPr>
          <w:rFonts w:ascii="Arial" w:hAnsi="Arial" w:cs="Arial"/>
          <w:sz w:val="22"/>
          <w:szCs w:val="22"/>
        </w:rPr>
        <w:fldChar w:fldCharType="separate"/>
      </w:r>
      <w:r w:rsidR="00AA7668" w:rsidRPr="00AA7668">
        <w:rPr>
          <w:rFonts w:ascii="Arial" w:hAnsi="Arial" w:cs="Arial"/>
          <w:noProof/>
          <w:sz w:val="22"/>
          <w:szCs w:val="22"/>
        </w:rPr>
        <w:t>(McPherson 2020)</w:t>
      </w:r>
      <w:r w:rsidR="009769A5">
        <w:rPr>
          <w:rFonts w:ascii="Arial" w:hAnsi="Arial" w:cs="Arial"/>
          <w:sz w:val="22"/>
          <w:szCs w:val="22"/>
        </w:rPr>
        <w:fldChar w:fldCharType="end"/>
      </w:r>
      <w:r w:rsidRPr="00355364">
        <w:rPr>
          <w:rFonts w:ascii="Arial" w:hAnsi="Arial" w:cs="Arial"/>
          <w:sz w:val="22"/>
          <w:szCs w:val="22"/>
        </w:rPr>
        <w:t>. As a result of the pandemic's widespread social distancing measures and restrictions on social gatherings, it has become more challenging for families to get to know each other and access support networks.</w:t>
      </w:r>
    </w:p>
    <w:p w:rsidR="00E94D13" w:rsidRDefault="002C54C9" w:rsidP="00355364">
      <w:pPr>
        <w:jc w:val="both"/>
        <w:rPr>
          <w:rFonts w:ascii="Arial" w:hAnsi="Arial" w:cs="Arial"/>
          <w:sz w:val="22"/>
          <w:szCs w:val="22"/>
        </w:rPr>
      </w:pPr>
      <w:r>
        <w:rPr>
          <w:rFonts w:ascii="Arial" w:hAnsi="Arial" w:cs="Arial"/>
          <w:sz w:val="22"/>
          <w:szCs w:val="22"/>
        </w:rPr>
        <w:t xml:space="preserve"> </w:t>
      </w:r>
      <w:r w:rsidR="00355364" w:rsidRPr="00355364">
        <w:rPr>
          <w:rFonts w:ascii="Arial" w:hAnsi="Arial" w:cs="Arial"/>
          <w:sz w:val="22"/>
          <w:szCs w:val="22"/>
        </w:rPr>
        <w:t>Both children and parents' mental health may suffer as a result of this. The government of the United Kingdom has responded to these problems by taking several measures, such as funding mental health services and helping struggling families</w:t>
      </w:r>
      <w:r w:rsidR="009769A5">
        <w:rPr>
          <w:rFonts w:ascii="Arial" w:hAnsi="Arial" w:cs="Arial"/>
          <w:sz w:val="22"/>
          <w:szCs w:val="22"/>
        </w:rPr>
        <w:fldChar w:fldCharType="begin" w:fldLock="1"/>
      </w:r>
      <w:r w:rsidR="005B0B28">
        <w:rPr>
          <w:rFonts w:ascii="Arial" w:hAnsi="Arial" w:cs="Arial"/>
          <w:sz w:val="22"/>
          <w:szCs w:val="22"/>
        </w:rPr>
        <w:instrText>ADDIN CSL_CITATION {"citationItems":[{"id":"ITEM-1","itemData":{"DOI":"10.1016/S2215-0366(21)00151-6","ISSN":"22150374","PMID":"33965057","abstract":"Background: The mental health of the UK population declined at the onset of the COVID-19 pandemic. Convenience sample surveys indicate that recovery began soon after. Using a probability sample, we tracked mental health during the pandemic to characterise mental health trajectories and identify predictors of deterioration. Methods: This study was a secondary analysis of five waves of the UK Household Longitudinal Study (a large, national, probability-based survey that has been collecting data continuously since January, 2009) from late April to early October, 2020 and pre-pandemic data taken from 2018–19. Mental health was assessed using the 12-item General Health Questionnaire (GHQ-12). We used latent class mixed models to identify discrete mental health trajectories and fixed-effects regression to identify predictors of change in mental health. Findings: Mental health was assessed in 19 763 adults (≥16 years; 11 477 [58·1%] women and 8287 [41·9%] men; 3453 [17·5%] participants from minority ethnic groups). Mean population mental health deteriorated with the onset of the pandemic and did not begin improving until July, 2020. Latent class analysis identified five distinct mental health trajectories up to October 2020. Most individuals in the population had either consistently good (7437 [39·3%] participants) or consistently very good (7623 [37·5%] participants) mental health across the first 6 months of the pandemic. A recovering group (1727 [12·0%] participants) showed worsened mental health during the initial shock of the pandemic and then returned to around pre-pandemic levels of mental health by October, 2020. The two remaining groups were characterised by poor mental health throughout the observation period; for one group, (523 [4·1%] participants) there was an initial worsening in mental health that was sustained with highly elevated scores. The other group (1011 [7·0%] participants) had little initial acute deterioration in their mental health, but reported a steady and sustained decline in mental health over time. These last two groups were more likely to have pre-existing mental or physical ill-health, to live in deprived neighbourhoods, and be of Asian, Black or mixed ethnicity. Infection with SARS-CoV-2, local lockdown, and financial difficulties all predicted a subsequent deterioration in mental health. Interpretation: Between April and October 2020, the mental health of most UK adults remained resilient or returned to pre-pandemic levels. A…","author":[{"dropping-particle":"","family":"Pierce","given":"Matthias","non-dropping-particle":"","parse-names":false,"suffix":""},{"dropping-particle":"","family":"McManus","given":"Sally","non-dropping-particle":"","parse-names":false,"suffix":""},{"dropping-particle":"","family":"Hope","given":"Holly","non-dropping-particle":"","parse-names":false,"suffix":""},{"dropping-particle":"","family":"Hotopf","given":"Matthew","non-dropping-particle":"","parse-names":false,"suffix":""},{"dropping-particle":"","family":"Ford","given":"Tamsin","non-dropping-particle":"","parse-names":false,"suffix":""},{"dropping-particle":"","family":"Hatch","given":"Stephani L.","non-dropping-particle":"","parse-names":false,"suffix":""},{"dropping-particle":"","family":"John","given":"Ann","non-dropping-particle":"","parse-names":false,"suffix":""},{"dropping-particle":"","family":"Kontopantelis","given":"Evangelos","non-dropping-particle":"","parse-names":false,"suffix":""},{"dropping-particle":"","family":"Webb","given":"Roger T.","non-dropping-particle":"","parse-names":false,"suffix":""},{"dropping-particle":"","family":"Wessely","given":"Simon","non-dropping-particle":"","parse-names":false,"suffix":""},{"dropping-particle":"","family":"Abel","given":"Kathryn M.","non-dropping-particle":"","parse-names":false,"suffix":""}],"container-title":"The Lancet Psychiatry","id":"ITEM-1","issue":"7","issued":{"date-parts":[["2021"]]},"page":"610-619","title":"Mental health responses to the COVID-19 pandemic: a latent class trajectory analysis using longitudinal UK data","type":"article-journal","volume":"8"},"uris":["http://www.mendeley.com/documents/?uuid=a7f321f1-7f60-48ec-bfb7-1ee759dac4e5"]}],"mendeley":{"formattedCitation":"(Pierce et al. 2021)","plainTextFormattedCitation":"(Pierce et al. 2021)","previouslyFormattedCitation":"(Pierce et al. 2021)"},"properties":{"noteIndex":0},"schema":"https://github.com/citation-style-language/schema/raw/master/csl-citation.json"}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(Pierce et al. 2021)</w:t>
      </w:r>
      <w:r w:rsidR="009769A5">
        <w:rPr>
          <w:rFonts w:ascii="Arial" w:hAnsi="Arial" w:cs="Arial"/>
          <w:sz w:val="22"/>
          <w:szCs w:val="22"/>
        </w:rPr>
        <w:fldChar w:fldCharType="end"/>
      </w:r>
      <w:r w:rsidR="002F1E55">
        <w:rPr>
          <w:rFonts w:ascii="Arial" w:hAnsi="Arial" w:cs="Arial"/>
          <w:sz w:val="22"/>
          <w:szCs w:val="22"/>
        </w:rPr>
        <w:t xml:space="preserve">. </w:t>
      </w:r>
    </w:p>
    <w:p w:rsidR="00355364" w:rsidRDefault="00355364" w:rsidP="00355364">
      <w:pPr>
        <w:pStyle w:val="Heading1"/>
      </w:pPr>
      <w:bookmarkStart w:id="6" w:name="_Toc127325323"/>
      <w:r>
        <w:t>policy response</w:t>
      </w:r>
      <w:bookmarkEnd w:id="6"/>
    </w:p>
    <w:p w:rsidR="00C945B0" w:rsidRDefault="00F520FA" w:rsidP="00F520FA">
      <w:pPr>
        <w:jc w:val="both"/>
        <w:rPr>
          <w:rFonts w:ascii="Arial" w:hAnsi="Arial" w:cs="Arial"/>
          <w:sz w:val="22"/>
          <w:szCs w:val="22"/>
        </w:rPr>
      </w:pPr>
      <w:r w:rsidRPr="00F520FA">
        <w:rPr>
          <w:rFonts w:ascii="Arial" w:hAnsi="Arial" w:cs="Arial"/>
          <w:sz w:val="22"/>
          <w:szCs w:val="22"/>
        </w:rPr>
        <w:t xml:space="preserve">The </w:t>
      </w:r>
      <w:r w:rsidR="002F1E55" w:rsidRPr="00F520FA">
        <w:rPr>
          <w:rFonts w:ascii="Arial" w:hAnsi="Arial" w:cs="Arial"/>
          <w:sz w:val="22"/>
          <w:szCs w:val="22"/>
        </w:rPr>
        <w:t>Corona virus</w:t>
      </w:r>
      <w:r w:rsidRPr="00F520FA">
        <w:rPr>
          <w:rFonts w:ascii="Arial" w:hAnsi="Arial" w:cs="Arial"/>
          <w:sz w:val="22"/>
          <w:szCs w:val="22"/>
        </w:rPr>
        <w:t xml:space="preserve"> Job Retention Scheme, also known as the furlough scheme, has allowed businesses to keep their employees during the pandemic by having the government cover a </w:t>
      </w:r>
      <w:r w:rsidRPr="00F520FA">
        <w:rPr>
          <w:rFonts w:ascii="Arial" w:hAnsi="Arial" w:cs="Arial"/>
          <w:sz w:val="22"/>
          <w:szCs w:val="22"/>
        </w:rPr>
        <w:lastRenderedPageBreak/>
        <w:t>portion of their salaries. Consequently, many people's jobs and incomes have been secured. Self-Employed Individuals Affected by the Pandemic Have Received Financial Support Through This Scheme This scheme has provided financial support to self-employed individuals who have been impacted by the pandemic, helping to prevent income reductions and job losses. The Coronavirus Job Support Scheme: This scheme has helped to prevent job losses and income reductions by providing financial support to businesses that have been affected by the pandemic. The UK government has ensured that children from low-income families have access to nutritious food even when schools are closed by extending the provision of free school meals during the pandemic.</w:t>
      </w:r>
    </w:p>
    <w:p w:rsidR="002C54C9" w:rsidRDefault="002C54C9" w:rsidP="00F520FA">
      <w:pPr>
        <w:jc w:val="both"/>
        <w:rPr>
          <w:rFonts w:ascii="Arial" w:hAnsi="Arial" w:cs="Arial"/>
          <w:sz w:val="22"/>
          <w:szCs w:val="22"/>
        </w:rPr>
      </w:pPr>
    </w:p>
    <w:p w:rsidR="00F520FA" w:rsidRDefault="00F520FA" w:rsidP="00F520FA">
      <w:pPr>
        <w:jc w:val="both"/>
        <w:rPr>
          <w:rFonts w:ascii="Arial" w:hAnsi="Arial" w:cs="Arial"/>
          <w:sz w:val="22"/>
          <w:szCs w:val="22"/>
        </w:rPr>
      </w:pPr>
      <w:r w:rsidRPr="00F520FA">
        <w:rPr>
          <w:rFonts w:ascii="Arial" w:hAnsi="Arial" w:cs="Arial"/>
          <w:sz w:val="22"/>
          <w:szCs w:val="22"/>
        </w:rPr>
        <w:t xml:space="preserve"> The government has created a new mental health hotline and invested in other services to help people and their families cope with mental health problems</w:t>
      </w:r>
      <w:r w:rsidR="009769A5">
        <w:rPr>
          <w:rFonts w:ascii="Arial" w:hAnsi="Arial" w:cs="Arial"/>
          <w:sz w:val="22"/>
          <w:szCs w:val="22"/>
        </w:rPr>
        <w:fldChar w:fldCharType="begin" w:fldLock="1"/>
      </w:r>
      <w:r w:rsidR="00AA7668">
        <w:rPr>
          <w:rFonts w:ascii="Arial" w:hAnsi="Arial" w:cs="Arial"/>
          <w:sz w:val="22"/>
          <w:szCs w:val="22"/>
        </w:rPr>
        <w:instrText>ADDIN CSL_CITATION {"citationItems":[{"id":"ITEM-1","itemData":{"DOI":"10.1080/17441692.2021.1896765","ISSN":"17441706","PMID":"33705248","abstract":"Gender norms, roles and relations differentially affect women, men, and non-binary individuals’ vulnerability to disease. Outbreak response measures also have immediate and long-term gendered effects. However, gender-based analysis of outbreaks and responses is limited by lack of data and little integration of feminist analysis within global health scholarship. Recognising these barriers, this paper applies a gender matrix methodology, grounded in feminist political economy approaches, to evaluate the gendered effects of the COVID-19 pandemic and response in four case studies: China, Hong Kong, Canada, and the UK. Through a rapid scoping of documentation of the gendered effects of the outbreak, it applies the matrix framework to analyse findings, identifying common themes across the case studies: financial discrimination, crisis in care, and unequal risks and secondary effects. Results point to transnational structural conditions which put women on the front lines of the pandemic at work and at home while denying them health, economic and personal security–effects that are exacerbated where racism and other forms of discrimination intersect with gender inequities. Given that women and people living at the intersections of multiple inequities are made additionally vulnerable by pandemic responses, intersectional feminist responses should be prioritised at the beginning of any crises.","author":[{"dropping-particle":"","family":"Smith","given":"Julia","non-dropping-particle":"","parse-names":false,"suffix":""},{"dropping-particle":"","family":"Davies","given":"Sara E.","non-dropping-particle":"","parse-names":false,"suffix":""},{"dropping-particle":"","family":"Feng","given":"Huiyun","non-dropping-particle":"","parse-names":false,"suffix":""},{"dropping-particle":"","family":"Gan","given":"Connie C.R.","non-dropping-particle":"","parse-names":false,"suffix":""},{"dropping-particle":"","family":"Grépin","given":"Karen A.","non-dropping-particle":"","parse-names":false,"suffix":""},{"dropping-particle":"","family":"Harman","given":"Sophie","non-dropping-particle":"","parse-names":false,"suffix":""},{"dropping-particle":"","family":"Herten-Crabb","given":"Asha","non-dropping-particle":"","parse-names":false,"suffix":""},{"dropping-particle":"","family":"Morgan","given":"Rosemary","non-dropping-particle":"","parse-names":false,"suffix":""},{"dropping-particle":"","family":"Vandan","given":"Nimisha","non-dropping-particle":"","parse-names":false,"suffix":""},{"dropping-particle":"","family":"Wenham","given":"Clare","non-dropping-particle":"","parse-names":false,"suffix":""}],"container-title":"Global Public Health","id":"ITEM-1","issue":"8-9","issued":{"date-parts":[["2021"]]},"page":"1364-1380","publisher":"Taylor &amp; Francis","title":"More than a public health crisis: A feminist political economic analysis of COVID-19","type":"article-journal","volume":"16"},"uris":["http://www.mendeley.com/documents/?uuid=23969689-8537-46b6-82ac-d0c5977f95b3"]}],"mendeley":{"formattedCitation":"(Smith et al. 2021)","plainTextFormattedCitation":"(Smith et al. 2021)","previouslyFormattedCitation":"(Smith et al. 2021)"},"properties":{"noteIndex":0},"schema":"https://github.com/citation-style-language/schema/raw/master/csl-citation.json"}</w:instrText>
      </w:r>
      <w:r w:rsidR="009769A5">
        <w:rPr>
          <w:rFonts w:ascii="Arial" w:hAnsi="Arial" w:cs="Arial"/>
          <w:sz w:val="22"/>
          <w:szCs w:val="22"/>
        </w:rPr>
        <w:fldChar w:fldCharType="separate"/>
      </w:r>
      <w:r w:rsidR="005B0B28" w:rsidRPr="005B0B28">
        <w:rPr>
          <w:rFonts w:ascii="Arial" w:hAnsi="Arial" w:cs="Arial"/>
          <w:noProof/>
          <w:sz w:val="22"/>
          <w:szCs w:val="22"/>
        </w:rPr>
        <w:t>(Smith et al. 2021)</w:t>
      </w:r>
      <w:r w:rsidR="009769A5">
        <w:rPr>
          <w:rFonts w:ascii="Arial" w:hAnsi="Arial" w:cs="Arial"/>
          <w:sz w:val="22"/>
          <w:szCs w:val="22"/>
        </w:rPr>
        <w:fldChar w:fldCharType="end"/>
      </w:r>
      <w:r w:rsidRPr="00F520FA">
        <w:rPr>
          <w:rFonts w:ascii="Arial" w:hAnsi="Arial" w:cs="Arial"/>
          <w:sz w:val="22"/>
          <w:szCs w:val="22"/>
        </w:rPr>
        <w:t>. The government has enacted a number of policies to assist low-income families with housing, such as a moratorium on evictions during the pandemic and increased assistance for those who are at risk of becoming homeless. Although these policies have helped children and families in poverty during the pandemic, many experts argue that more needs to be done to address the root causes of poverty and to provide sustainable support for families in need. Long-term initiatives to address the root causes of poverty, such as inequality and a lack of opportunity, may be part of the solution. So, too, may measures to close the digital divide and help struggling families afford food, shelter, and transportation</w:t>
      </w:r>
      <w:r w:rsidR="009769A5">
        <w:rPr>
          <w:rFonts w:ascii="Arial" w:hAnsi="Arial" w:cs="Arial"/>
          <w:sz w:val="22"/>
          <w:szCs w:val="22"/>
        </w:rPr>
        <w:fldChar w:fldCharType="begin" w:fldLock="1"/>
      </w:r>
      <w:r w:rsidR="00AA7668">
        <w:rPr>
          <w:rFonts w:ascii="Arial" w:hAnsi="Arial" w:cs="Arial"/>
          <w:sz w:val="22"/>
          <w:szCs w:val="22"/>
        </w:rPr>
        <w:instrText>ADDIN CSL_CITATION {"citationItems":[{"id":"ITEM-1","itemData":{"DOI":"10.1007/s10888-021-09491-w","ISBN":"1088802109","ISSN":"15738701","abstract":"We analyse the UK policy response to Covid-19 and its impact on household incomes in the UK in April and May 2020, using microsimulation methods. We estimate that households lost a substantial share of their net income of 6.9% on average. But policies protected household incomes to a substantial degree: compared to the drop in net income, GDP per capita fell by 18.9% between the first and second quarter of 2020. Earnings subsidies (the Coronavirus Job Retention Scheme) protected household finances and provided the main insurance mechanism during the crisis. Besides subsidies, Covid-related increases to state benefits, as well as the automatic stabilisers in the tax and benefit system, played an important role in mitigating the income losses. However, analysing the impact of a near-decade of austerity on the UK safety net, we find that, compared to 2011 policies, the 2020 pre-Covid tax-benefit policies would have been less effective in insuring incomes against the shocks. We also assess the potential distributional impact of introducing a Universal Basic Income (UBI) instead of the Covid emergency measures and find that a UBI would have supported the incomes of different vulnerable groups but would have provided less protection to those hit hardest by the labour market shocks.","author":[{"dropping-particle":"","family":"Brewer","given":"Mike","non-dropping-particle":"","parse-names":false,"suffix":""},{"dropping-particle":"","family":"Tasseva","given":"Iva Valentinova","non-dropping-particle":"","parse-names":false,"suffix":""}],"container-title":"Journal of Economic Inequality","id":"ITEM-1","issue":"3","issued":{"date-parts":[["2021"]]},"page":"433-458","publisher":"The Journal of Economic Inequality","title":"Did the UK policy response to Covid-19 protect household incomes?","type":"article-journal","volume":"19"},"uris":["http://www.mendeley.com/documents/?uuid=27845966-5a2b-48ef-b808-8ef9a6f5eb39"]}],"mendeley":{"formattedCitation":"(Brewer and Tasseva 2021)","plainTextFormattedCitation":"(Brewer and Tasseva 2021)","previouslyFormattedCitation":"(Brewer and Tasseva 2021)"},"properties":{"noteIndex":0},"schema":"https://github.com/citation-style-language/schema/raw/master/csl-citation.json"}</w:instrText>
      </w:r>
      <w:r w:rsidR="009769A5">
        <w:rPr>
          <w:rFonts w:ascii="Arial" w:hAnsi="Arial" w:cs="Arial"/>
          <w:sz w:val="22"/>
          <w:szCs w:val="22"/>
        </w:rPr>
        <w:fldChar w:fldCharType="separate"/>
      </w:r>
      <w:r w:rsidR="00AA7668" w:rsidRPr="00AA7668">
        <w:rPr>
          <w:rFonts w:ascii="Arial" w:hAnsi="Arial" w:cs="Arial"/>
          <w:noProof/>
          <w:sz w:val="22"/>
          <w:szCs w:val="22"/>
        </w:rPr>
        <w:t>(Brewer and Tasseva 2021)</w:t>
      </w:r>
      <w:r w:rsidR="009769A5">
        <w:rPr>
          <w:rFonts w:ascii="Arial" w:hAnsi="Arial" w:cs="Arial"/>
          <w:sz w:val="22"/>
          <w:szCs w:val="22"/>
        </w:rPr>
        <w:fldChar w:fldCharType="end"/>
      </w:r>
      <w:r w:rsidRPr="00F520FA">
        <w:rPr>
          <w:rFonts w:ascii="Arial" w:hAnsi="Arial" w:cs="Arial"/>
          <w:sz w:val="22"/>
          <w:szCs w:val="22"/>
        </w:rPr>
        <w:t>.</w:t>
      </w:r>
    </w:p>
    <w:p w:rsidR="002C54C9" w:rsidRDefault="002C54C9" w:rsidP="00F520FA">
      <w:pPr>
        <w:jc w:val="both"/>
        <w:rPr>
          <w:rFonts w:ascii="Arial" w:hAnsi="Arial" w:cs="Arial"/>
          <w:sz w:val="22"/>
          <w:szCs w:val="22"/>
        </w:rPr>
      </w:pPr>
    </w:p>
    <w:p w:rsidR="00F520FA" w:rsidRDefault="00F520FA" w:rsidP="00F520FA">
      <w:pPr>
        <w:jc w:val="both"/>
        <w:rPr>
          <w:rFonts w:ascii="Arial" w:hAnsi="Arial" w:cs="Arial"/>
          <w:sz w:val="22"/>
          <w:szCs w:val="22"/>
        </w:rPr>
      </w:pPr>
      <w:r w:rsidRPr="00F520FA">
        <w:rPr>
          <w:rFonts w:ascii="Arial" w:hAnsi="Arial" w:cs="Arial"/>
          <w:sz w:val="22"/>
          <w:szCs w:val="22"/>
        </w:rPr>
        <w:t>The Winter Grant Program for COVID-19 Households with children, especially those who are vulnerable and living in poverty, can receive assistance through this program me. Funding is allocated to municipalities for the purpose of distributing basic necessities like food, energy, and water to those in need.The government's £170 million Covid Winter Grant Scheme helps low-income families, especially those with children, get through the winter by covering the cost of food, utilities, and other necessities</w:t>
      </w:r>
      <w:r w:rsidR="009769A5">
        <w:rPr>
          <w:rFonts w:ascii="Arial" w:hAnsi="Arial" w:cs="Arial"/>
          <w:sz w:val="22"/>
          <w:szCs w:val="22"/>
        </w:rPr>
        <w:fldChar w:fldCharType="begin" w:fldLock="1"/>
      </w:r>
      <w:r w:rsidR="00AA7668">
        <w:rPr>
          <w:rFonts w:ascii="Arial" w:hAnsi="Arial" w:cs="Arial"/>
          <w:sz w:val="22"/>
          <w:szCs w:val="22"/>
        </w:rPr>
        <w:instrText>ADDIN CSL_CITATION {"citationItems":[{"id":"ITEM-1","itemData":{"DOI":"10.1108/BFJ-10-2020-0917","ISSN":"0007070X","abstract":"Purpose: The current pilot study explored food insecurity, food waste, food related behaviours and cooking confidence of UK consumers following the COVID-19 lockdown. Design/methodology/approach: Data were collected from 473 UK-based consumers (63% female) in March 2020. A cross-sectional online survey measured variables including food insecurity prevalence, self-reported food waste, food management behaviours, confidence and frequency of use of a range of cooking methods, type of food eaten (ultra-processed, semi-finished, unprocessed) and packaging type foods are purchased in. Findings: 39% of participants have experienced some food insecurity in the last 12 months. Being younger, having a greater BMI and living in a smaller household were associated with food insecurity. Green leaves, carrots, potatoes and sliced bread are the most wasted of purchased foods. Polenta, green leaves and white rice are the most wasted cooked foods. Food secure participants reported wasting a smaller percentage of purchased and cooked foods compared to food insecure participants. Overall, participants were most confident about boiling, microwaving and stir-frying and least confident with using a pressure cooker or sous vide. Food secure participants were more confident with boiling, stir-frying, grilling and roasting than insecure food participants. Practical implications: This has implications for post lockdown policy, including food policies and guidance for public-facing communications. Originality/value: We identified novel differences in self-report food waste behaviours and cooking confidence between the food secure and insecure consumers and observed demographics associated with food insecurity.","author":[{"dropping-particle":"","family":"Armstrong","given":"Beth","non-dropping-particle":"","parse-names":false,"suffix":""},{"dropping-particle":"","family":"Reynolds","given":"Christian","non-dropping-particle":"","parse-names":false,"suffix":""},{"dropping-particle":"","family":"Martins","given":"Carla Adriano","non-dropping-particle":"","parse-names":false,"suffix":""},{"dropping-particle":"","family":"Frankowska","given":"Angelina","non-dropping-particle":"","parse-names":false,"suffix":""},{"dropping-particle":"","family":"Levy","given":"Renata Bertazzi","non-dropping-particle":"","parse-names":false,"suffix":""},{"dropping-particle":"","family":"Rauber","given":"Fernanda","non-dropping-particle":"","parse-names":false,"suffix":""},{"dropping-particle":"","family":"Osei-Kwasi","given":"Hibbah A.","non-dropping-particle":"","parse-names":false,"suffix":""},{"dropping-particle":"","family":"Vega","given":"Marcelo","non-dropping-particle":"","parse-names":false,"suffix":""},{"dropping-particle":"","family":"Cediel","given":"Gustavo","non-dropping-particle":"","parse-names":false,"suffix":""},{"dropping-particle":"","family":"Schmidt","given":"Ximena","non-dropping-particle":"","parse-names":false,"suffix":""},{"dropping-particle":"","family":"Kluczkovski","given":"Alana","non-dropping-particle":"","parse-names":false,"suffix":""},{"dropping-particle":"","family":"Akparibo","given":"Robert","non-dropping-particle":"","parse-names":false,"suffix":""},{"dropping-particle":"","family":"Auma","given":"Carolyn L.","non-dropping-particle":"","parse-names":false,"suffix":""},{"dropping-particle":"","family":"Defeyter","given":"Margaret Anne A.","non-dropping-particle":"","parse-names":false,"suffix":""},{"dropping-particle":"","family":"Tereza da Silva","given":"Jacqueline","non-dropping-particle":"","parse-names":false,"suffix":""},{"dropping-particle":"","family":"Bridge","given":"Gemma","non-dropping-particle":"","parse-names":false,"suffix":""}],"container-title":"British Food Journal","id":"ITEM-1","issue":"9","issued":{"date-parts":[["2021"]]},"page":"2959-2978","title":"Food insecurity, food waste, food behaviours and cooking confidence of UK citizens at the start of the COVID-19 lockdown","type":"article-journal","volume":"123"},"uris":["http://www.mendeley.com/documents/?uuid=b07d2090-b611-49ef-b54c-e92e9a1c8353"]}],"mendeley":{"formattedCitation":"(Armstrong et al. 2021)","plainTextFormattedCitation":"(Armstrong et al. 2021)","previouslyFormattedCitation":"(Armstrong et al. 2021)"},"properties":{"noteIndex":0},"schema":"https://github.com/citation-style-language/schema/raw/master/csl-citation.json"}</w:instrText>
      </w:r>
      <w:r w:rsidR="009769A5">
        <w:rPr>
          <w:rFonts w:ascii="Arial" w:hAnsi="Arial" w:cs="Arial"/>
          <w:sz w:val="22"/>
          <w:szCs w:val="22"/>
        </w:rPr>
        <w:fldChar w:fldCharType="separate"/>
      </w:r>
      <w:r w:rsidR="00AA7668" w:rsidRPr="00AA7668">
        <w:rPr>
          <w:rFonts w:ascii="Arial" w:hAnsi="Arial" w:cs="Arial"/>
          <w:noProof/>
          <w:sz w:val="22"/>
          <w:szCs w:val="22"/>
        </w:rPr>
        <w:t>(Armstrong et al. 2021)</w:t>
      </w:r>
      <w:r w:rsidR="009769A5">
        <w:rPr>
          <w:rFonts w:ascii="Arial" w:hAnsi="Arial" w:cs="Arial"/>
          <w:sz w:val="22"/>
          <w:szCs w:val="22"/>
        </w:rPr>
        <w:fldChar w:fldCharType="end"/>
      </w:r>
      <w:r w:rsidRPr="00F520FA">
        <w:rPr>
          <w:rFonts w:ascii="Arial" w:hAnsi="Arial" w:cs="Arial"/>
          <w:sz w:val="22"/>
          <w:szCs w:val="22"/>
        </w:rPr>
        <w:t>.</w:t>
      </w:r>
    </w:p>
    <w:p w:rsidR="00F520FA" w:rsidRDefault="00F520FA" w:rsidP="00F520FA">
      <w:pPr>
        <w:pStyle w:val="Heading1"/>
      </w:pPr>
      <w:bookmarkStart w:id="7" w:name="_Toc127325324"/>
      <w:r>
        <w:t>conclusion</w:t>
      </w:r>
      <w:bookmarkEnd w:id="7"/>
    </w:p>
    <w:p w:rsidR="00C945B0" w:rsidRDefault="00F520FA" w:rsidP="00F520FA">
      <w:pPr>
        <w:jc w:val="both"/>
        <w:rPr>
          <w:rFonts w:ascii="Arial" w:hAnsi="Arial" w:cs="Arial"/>
          <w:sz w:val="22"/>
          <w:szCs w:val="22"/>
        </w:rPr>
      </w:pPr>
      <w:r w:rsidRPr="00F520FA">
        <w:rPr>
          <w:rFonts w:ascii="Arial" w:hAnsi="Arial" w:cs="Arial"/>
          <w:sz w:val="22"/>
          <w:szCs w:val="22"/>
        </w:rPr>
        <w:t xml:space="preserve">Children and families in poverty in the UK have been hit hard by the COVID-19 pandemic. The pandemic has had a disproportionate effect on these households, which has led to increased financial hardship, housing insecurity, disruptions in the classroom, and mental health issues for many members. The pandemic has brought to light and exacerbated existing inequalities, revealing the frailty of the social safety net and the need for stronger, more equitable policies to support families in crisis. The government of the United Kingdom </w:t>
      </w:r>
      <w:r w:rsidRPr="00F520FA">
        <w:rPr>
          <w:rFonts w:ascii="Arial" w:hAnsi="Arial" w:cs="Arial"/>
          <w:sz w:val="22"/>
          <w:szCs w:val="22"/>
        </w:rPr>
        <w:lastRenderedPageBreak/>
        <w:t>has taken measures, such as providing aid, free school meals, and mental health support to low-income children and their families so that they can cope with the pandemic. Many experts, however, insist that more work needs to be done to alleviate poverty and sustainably assist low-income families.</w:t>
      </w:r>
    </w:p>
    <w:p w:rsidR="00F520FA" w:rsidRDefault="00F520FA" w:rsidP="00F520FA">
      <w:pPr>
        <w:jc w:val="both"/>
        <w:rPr>
          <w:rFonts w:ascii="Arial" w:hAnsi="Arial" w:cs="Arial"/>
          <w:sz w:val="22"/>
          <w:szCs w:val="22"/>
        </w:rPr>
      </w:pPr>
      <w:bookmarkStart w:id="8" w:name="_GoBack"/>
      <w:bookmarkEnd w:id="8"/>
      <w:r w:rsidRPr="00F520FA">
        <w:rPr>
          <w:rFonts w:ascii="Arial" w:hAnsi="Arial" w:cs="Arial"/>
          <w:sz w:val="22"/>
          <w:szCs w:val="22"/>
        </w:rPr>
        <w:t xml:space="preserve"> Included in this category are initiatives to reduce economic disparity, expand opportunities for affordable housing and education, and guarantee the availability of food, water, and power. A more equitable and just society that supports all members of the community must be a top priority for policymakers as they move forward with pandemic recovery efforts, and it is imperative that the needs of vulnerable families be prioritized. This necessitates a long-term, all-encompassing strategy that targets the root causes of poverty and inequality, allocates resources towards improving public schools and hospitals, and maintains financial stability for low-income families. We can't start preparing for the future and building a more just and resilient society until that happens.</w:t>
      </w:r>
    </w:p>
    <w:p w:rsidR="00F520FA" w:rsidRDefault="00F520FA" w:rsidP="00F520FA">
      <w:pPr>
        <w:pStyle w:val="Heading1"/>
      </w:pPr>
      <w:bookmarkStart w:id="9" w:name="_Toc127325325"/>
      <w:r>
        <w:t>refrences</w:t>
      </w:r>
      <w:bookmarkEnd w:id="9"/>
    </w:p>
    <w:p w:rsidR="00AA7668" w:rsidRPr="00AA7668" w:rsidRDefault="009769A5" w:rsidP="00AA7668">
      <w:pPr>
        <w:widowControl w:val="0"/>
        <w:autoSpaceDE w:val="0"/>
        <w:autoSpaceDN w:val="0"/>
        <w:adjustRightInd w:val="0"/>
        <w:ind w:left="480" w:hanging="480"/>
        <w:rPr>
          <w:rFonts w:cs="Times New Roman"/>
          <w:noProof/>
          <w:szCs w:val="24"/>
        </w:rPr>
      </w:pPr>
      <w:r>
        <w:fldChar w:fldCharType="begin" w:fldLock="1"/>
      </w:r>
      <w:r w:rsidR="005B0B28">
        <w:instrText xml:space="preserve">ADDIN Mendeley Bibliography CSL_BIBLIOGRAPHY </w:instrText>
      </w:r>
      <w:r>
        <w:fldChar w:fldCharType="separate"/>
      </w:r>
      <w:r w:rsidR="00AA7668" w:rsidRPr="00AA7668">
        <w:rPr>
          <w:rFonts w:cs="Times New Roman"/>
          <w:noProof/>
          <w:szCs w:val="24"/>
        </w:rPr>
        <w:t xml:space="preserve">Armstrong, Beth, Christian Reynolds, Carla Adriano Martins, Angelina Frankowska, Renata Bertazzi Levy, Fernanda Rauber, Hibbah A. Osei-Kwasi, et al. 2021. “Food Insecurity, Food Waste, Food Behaviours and Cooking Confidence of UK Citizens at the Start of the COVID-19 Lockdown.” </w:t>
      </w:r>
      <w:r w:rsidR="00AA7668" w:rsidRPr="00AA7668">
        <w:rPr>
          <w:rFonts w:cs="Times New Roman"/>
          <w:i/>
          <w:iCs/>
          <w:noProof/>
          <w:szCs w:val="24"/>
        </w:rPr>
        <w:t>British Food Journal</w:t>
      </w:r>
      <w:r w:rsidR="00AA7668" w:rsidRPr="00AA7668">
        <w:rPr>
          <w:rFonts w:cs="Times New Roman"/>
          <w:noProof/>
          <w:szCs w:val="24"/>
        </w:rPr>
        <w:t xml:space="preserve"> 123 (9): 2959–78. https://doi.org/10.1108/BFJ-10-2020-0917.</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Blundell, Richard, Monica Costa Dias, Jonathan Cribb, Robert Joyce, Tom Waters, Thomas Wernham, and Xiaowei Xu. 2022. “Inequality and the COVID-19 Crisis in the United Kingdom.” </w:t>
      </w:r>
      <w:r w:rsidRPr="00AA7668">
        <w:rPr>
          <w:rFonts w:cs="Times New Roman"/>
          <w:i/>
          <w:iCs/>
          <w:noProof/>
          <w:szCs w:val="24"/>
        </w:rPr>
        <w:t>Annual Review of Economics</w:t>
      </w:r>
      <w:r w:rsidRPr="00AA7668">
        <w:rPr>
          <w:rFonts w:cs="Times New Roman"/>
          <w:noProof/>
          <w:szCs w:val="24"/>
        </w:rPr>
        <w:t xml:space="preserve"> 14: 607–36. https://doi.org/10.1146/annurev-economics-051520-030252.</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Brewer, Mike, and Iva Valentinova Tasseva. 2021. “Did the UK Policy Response to Covid-19 Protect Household Incomes?” </w:t>
      </w:r>
      <w:r w:rsidRPr="00AA7668">
        <w:rPr>
          <w:rFonts w:cs="Times New Roman"/>
          <w:i/>
          <w:iCs/>
          <w:noProof/>
          <w:szCs w:val="24"/>
        </w:rPr>
        <w:t>Journal of Economic Inequality</w:t>
      </w:r>
      <w:r w:rsidRPr="00AA7668">
        <w:rPr>
          <w:rFonts w:cs="Times New Roman"/>
          <w:noProof/>
          <w:szCs w:val="24"/>
        </w:rPr>
        <w:t xml:space="preserve"> 19 (3): 433–58. https://doi.org/10.1007/s10888-021-09491-w.</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Brown, Philip, Dillon Newton, Rachel Armitage, Leanne Monchuk, and Brian Robson. 2022. “Locked down: Ontological Security and the Experience of COVID-19 While Living in Poor-Quality Housing.” </w:t>
      </w:r>
      <w:r w:rsidRPr="00AA7668">
        <w:rPr>
          <w:rFonts w:cs="Times New Roman"/>
          <w:i/>
          <w:iCs/>
          <w:noProof/>
          <w:szCs w:val="24"/>
        </w:rPr>
        <w:t>Journal of Community Psychology</w:t>
      </w:r>
      <w:r w:rsidRPr="00AA7668">
        <w:rPr>
          <w:rFonts w:cs="Times New Roman"/>
          <w:noProof/>
          <w:szCs w:val="24"/>
        </w:rPr>
        <w:t>, no. March. https://doi.org/10.1002/jcop.22883.</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Cantillon, Sara, Elena Moore, and Nina Teasdale. 2021. “COVID-19 and the Pivotal Role of Grandparents: Childcare and Income Support in the UK and South Africa.” </w:t>
      </w:r>
      <w:r w:rsidRPr="00AA7668">
        <w:rPr>
          <w:rFonts w:cs="Times New Roman"/>
          <w:i/>
          <w:iCs/>
          <w:noProof/>
          <w:szCs w:val="24"/>
        </w:rPr>
        <w:t>Feminist Economics</w:t>
      </w:r>
      <w:r w:rsidRPr="00AA7668">
        <w:rPr>
          <w:rFonts w:cs="Times New Roman"/>
          <w:noProof/>
          <w:szCs w:val="24"/>
        </w:rPr>
        <w:t xml:space="preserve"> 27 (1–2): 188–202. https://doi.org/10.1080/13545701.2020.1860246.</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lastRenderedPageBreak/>
        <w:t>Durcan, Graham, Nick O Shea, and Louis Allwood. 2020. “CentreforMentalHealth_COVID_MH_Forecasting_May20,” no. May.</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Gallagher-Mackay, Kelly, Prachi Srivastava, Kathryn Underwood, Elizabeth Dhuey, and Lance McCready. 2021. “COVID-19 and Education Disruption in Ontario: Emerging Evidence COVID-19 and Education Disruption in Ontario: Emerging Evidence on Impacts on Impacts Recommended Citation Recommended Citation.” https://scholars.wlu.ca/laso_faculty.</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Garthwaite, Kayleigh, Rosalie Warnock, Ruth Patrick, Maddy Power, and Anna Tarrant. 2022. “COVID-19 Collaborations: Researching Poverty and Low-Income Family Life during the Pandemic.” </w:t>
      </w:r>
      <w:r w:rsidRPr="00AA7668">
        <w:rPr>
          <w:rFonts w:cs="Times New Roman"/>
          <w:i/>
          <w:iCs/>
          <w:noProof/>
          <w:szCs w:val="24"/>
        </w:rPr>
        <w:t>COVID-19 Collaborations: Researching Poverty and Low-Income Family Life during the Pandemic</w:t>
      </w:r>
      <w:r w:rsidRPr="00AA7668">
        <w:rPr>
          <w:rFonts w:cs="Times New Roman"/>
          <w:noProof/>
          <w:szCs w:val="24"/>
        </w:rPr>
        <w:t>, 1–236.</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Hefferon, Catherine, Catherine Taylor, Davara Bennett, Catherine Falconer, Melisa Campbell, Joanna G. Williams, Dave Schwartz, Ruth Kipping, and David Taylor-Robinson. 2020. “Priorities for the Child Public Health Response to the COVID-19 Pandemic Recovery in England.” </w:t>
      </w:r>
      <w:r w:rsidRPr="00AA7668">
        <w:rPr>
          <w:rFonts w:cs="Times New Roman"/>
          <w:i/>
          <w:iCs/>
          <w:noProof/>
          <w:szCs w:val="24"/>
        </w:rPr>
        <w:t>Archives of Disease in Childhood</w:t>
      </w:r>
      <w:r w:rsidRPr="00AA7668">
        <w:rPr>
          <w:rFonts w:cs="Times New Roman"/>
          <w:noProof/>
          <w:szCs w:val="24"/>
        </w:rPr>
        <w:t>, 533–38. https://doi.org/10.1136/archdischild-2020-320214.</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Holt, Louise, and Lesley Murray. 2022. “Children and Covid 19 in the UK.” </w:t>
      </w:r>
      <w:r w:rsidRPr="00AA7668">
        <w:rPr>
          <w:rFonts w:cs="Times New Roman"/>
          <w:i/>
          <w:iCs/>
          <w:noProof/>
          <w:szCs w:val="24"/>
        </w:rPr>
        <w:t>Children’s Geographies</w:t>
      </w:r>
      <w:r w:rsidRPr="00AA7668">
        <w:rPr>
          <w:rFonts w:cs="Times New Roman"/>
          <w:noProof/>
          <w:szCs w:val="24"/>
        </w:rPr>
        <w:t xml:space="preserve"> 20 (4): 487–94. https://doi.org/10.1080/14733285.2021.1921699.</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Kärkkäinen, Sanna, Merita Mesiäislehto, Outi Sirniö, Sakari Karvonen, and Timo M. Kauppinen. 2022. “The Role of Social Transfers in Mitigating Families with Children from the Economic Impact of the COVID-19 Pandemic.” </w:t>
      </w:r>
      <w:r w:rsidRPr="00AA7668">
        <w:rPr>
          <w:rFonts w:cs="Times New Roman"/>
          <w:i/>
          <w:iCs/>
          <w:noProof/>
          <w:szCs w:val="24"/>
        </w:rPr>
        <w:t>International Journal of Social Welfare</w:t>
      </w:r>
      <w:r w:rsidRPr="00AA7668">
        <w:rPr>
          <w:rFonts w:cs="Times New Roman"/>
          <w:noProof/>
          <w:szCs w:val="24"/>
        </w:rPr>
        <w:t>, no. November 2021: 1–17. https://doi.org/10.1111/ijsw.12568.</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McPherson, Charlotte. 2020. “Young People, Food Insecurity and Covid-19: A Qualitative Study in Edinburgh and London,” no. November: 16.</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Pensiero, Nick, Tony Kelly, and Christian Bokhove. 2020. “Learning Inequalities during the Covid-19 Pandemic: How Families Cope with Home-Schooling.” </w:t>
      </w:r>
      <w:r w:rsidRPr="00AA7668">
        <w:rPr>
          <w:rFonts w:cs="Times New Roman"/>
          <w:i/>
          <w:iCs/>
          <w:noProof/>
          <w:szCs w:val="24"/>
        </w:rPr>
        <w:t>University of Southhampton Research Report</w:t>
      </w:r>
      <w:r w:rsidRPr="00AA7668">
        <w:rPr>
          <w:rFonts w:cs="Times New Roman"/>
          <w:noProof/>
          <w:szCs w:val="24"/>
        </w:rPr>
        <w:t>, no. 2020: 1–20.</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Pierce, Matthias, Sally McManus, Holly Hope, Matthew Hotopf, Tamsin Ford, Stephani L. Hatch, Ann John, et al. 2021. “Mental Health Responses to the COVID-19 Pandemic: A Latent Class Trajectory Analysis Using Longitudinal UK Data.” </w:t>
      </w:r>
      <w:r w:rsidRPr="00AA7668">
        <w:rPr>
          <w:rFonts w:cs="Times New Roman"/>
          <w:i/>
          <w:iCs/>
          <w:noProof/>
          <w:szCs w:val="24"/>
        </w:rPr>
        <w:t>The Lancet Psychiatry</w:t>
      </w:r>
      <w:r w:rsidRPr="00AA7668">
        <w:rPr>
          <w:rFonts w:cs="Times New Roman"/>
          <w:noProof/>
          <w:szCs w:val="24"/>
        </w:rPr>
        <w:t xml:space="preserve"> 8 (7): 610–19. https://doi.org/10.1016/S2215-0366(21)00151-6.</w:t>
      </w:r>
    </w:p>
    <w:p w:rsidR="00AA7668" w:rsidRPr="00AA7668" w:rsidRDefault="00AA7668" w:rsidP="00AA7668">
      <w:pPr>
        <w:widowControl w:val="0"/>
        <w:autoSpaceDE w:val="0"/>
        <w:autoSpaceDN w:val="0"/>
        <w:adjustRightInd w:val="0"/>
        <w:ind w:left="480" w:hanging="480"/>
        <w:rPr>
          <w:rFonts w:cs="Times New Roman"/>
          <w:noProof/>
          <w:szCs w:val="24"/>
        </w:rPr>
      </w:pPr>
      <w:r w:rsidRPr="00AA7668">
        <w:rPr>
          <w:rFonts w:cs="Times New Roman"/>
          <w:noProof/>
          <w:szCs w:val="24"/>
        </w:rPr>
        <w:t xml:space="preserve">Smith, Julia, Sara E. Davies, Huiyun Feng, Connie C.R. Gan, Karen A. Grépin, Sophie Harman, Asha Herten-Crabb, Rosemary Morgan, Nimisha Vandan, and Clare Wenham. 2021. “More than a Public Health Crisis: A Feminist Political Economic Analysis of </w:t>
      </w:r>
      <w:r w:rsidRPr="00AA7668">
        <w:rPr>
          <w:rFonts w:cs="Times New Roman"/>
          <w:noProof/>
          <w:szCs w:val="24"/>
        </w:rPr>
        <w:lastRenderedPageBreak/>
        <w:t xml:space="preserve">COVID-19.” </w:t>
      </w:r>
      <w:r w:rsidRPr="00AA7668">
        <w:rPr>
          <w:rFonts w:cs="Times New Roman"/>
          <w:i/>
          <w:iCs/>
          <w:noProof/>
          <w:szCs w:val="24"/>
        </w:rPr>
        <w:t>Global Public Health</w:t>
      </w:r>
      <w:r w:rsidRPr="00AA7668">
        <w:rPr>
          <w:rFonts w:cs="Times New Roman"/>
          <w:noProof/>
          <w:szCs w:val="24"/>
        </w:rPr>
        <w:t xml:space="preserve"> 16 (8–9): 1364–80. https://doi.org/10.1080/17441692.2021.1896765.</w:t>
      </w:r>
    </w:p>
    <w:p w:rsidR="00AA7668" w:rsidRPr="00AA7668" w:rsidRDefault="00AA7668" w:rsidP="00AA7668">
      <w:pPr>
        <w:widowControl w:val="0"/>
        <w:autoSpaceDE w:val="0"/>
        <w:autoSpaceDN w:val="0"/>
        <w:adjustRightInd w:val="0"/>
        <w:ind w:left="480" w:hanging="480"/>
        <w:rPr>
          <w:rFonts w:cs="Times New Roman"/>
          <w:noProof/>
        </w:rPr>
      </w:pPr>
      <w:r w:rsidRPr="00AA7668">
        <w:rPr>
          <w:rFonts w:cs="Times New Roman"/>
          <w:noProof/>
          <w:szCs w:val="24"/>
        </w:rPr>
        <w:t xml:space="preserve">Whitehead, Margaret, David Taylor-Robinson, and Ben Barr. 2021. “Poverty, Health, and Covid-19.” </w:t>
      </w:r>
      <w:r w:rsidRPr="00AA7668">
        <w:rPr>
          <w:rFonts w:cs="Times New Roman"/>
          <w:i/>
          <w:iCs/>
          <w:noProof/>
          <w:szCs w:val="24"/>
        </w:rPr>
        <w:t>The BMJ</w:t>
      </w:r>
      <w:r w:rsidRPr="00AA7668">
        <w:rPr>
          <w:rFonts w:cs="Times New Roman"/>
          <w:noProof/>
          <w:szCs w:val="24"/>
        </w:rPr>
        <w:t xml:space="preserve"> 372: 1–2. https://doi.org/10.1136/bmj.n376.</w:t>
      </w:r>
    </w:p>
    <w:p w:rsidR="005B0B28" w:rsidRPr="005B0B28" w:rsidRDefault="009769A5" w:rsidP="005B0B28">
      <w:r>
        <w:fldChar w:fldCharType="end"/>
      </w:r>
    </w:p>
    <w:p w:rsidR="00F520FA" w:rsidRPr="00F520FA" w:rsidRDefault="00F520FA" w:rsidP="00F520FA">
      <w:pPr>
        <w:jc w:val="both"/>
        <w:rPr>
          <w:rFonts w:ascii="Arial" w:hAnsi="Arial" w:cs="Arial"/>
          <w:sz w:val="22"/>
          <w:szCs w:val="22"/>
        </w:rPr>
      </w:pPr>
    </w:p>
    <w:p w:rsidR="00F520FA" w:rsidRPr="00F520FA" w:rsidRDefault="00F520FA" w:rsidP="00F520FA">
      <w:pPr>
        <w:jc w:val="both"/>
        <w:rPr>
          <w:rFonts w:ascii="Arial" w:hAnsi="Arial" w:cs="Arial"/>
          <w:sz w:val="22"/>
          <w:szCs w:val="22"/>
        </w:rPr>
      </w:pPr>
    </w:p>
    <w:p w:rsidR="00F520FA" w:rsidRPr="00F520FA" w:rsidRDefault="00F520FA" w:rsidP="00F520FA">
      <w:pPr>
        <w:jc w:val="both"/>
        <w:rPr>
          <w:rFonts w:ascii="Arial" w:hAnsi="Arial" w:cs="Arial"/>
          <w:sz w:val="22"/>
          <w:szCs w:val="22"/>
        </w:rPr>
      </w:pPr>
    </w:p>
    <w:p w:rsidR="00355364" w:rsidRPr="00F520FA" w:rsidRDefault="00355364" w:rsidP="00F520FA">
      <w:pPr>
        <w:jc w:val="both"/>
        <w:rPr>
          <w:rFonts w:ascii="Arial" w:hAnsi="Arial" w:cs="Arial"/>
          <w:sz w:val="22"/>
          <w:szCs w:val="22"/>
        </w:rPr>
      </w:pPr>
    </w:p>
    <w:p w:rsidR="00A832F8" w:rsidRPr="00F520FA" w:rsidRDefault="00A832F8" w:rsidP="00F520FA">
      <w:pPr>
        <w:jc w:val="both"/>
        <w:rPr>
          <w:rFonts w:ascii="Arial" w:hAnsi="Arial" w:cs="Arial"/>
          <w:sz w:val="22"/>
          <w:szCs w:val="22"/>
        </w:rPr>
      </w:pPr>
    </w:p>
    <w:sectPr w:rsidR="00A832F8" w:rsidRPr="00F520FA" w:rsidSect="00E94D13">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B4AED"/>
    <w:multiLevelType w:val="hybridMultilevel"/>
    <w:tmpl w:val="BF78FF1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nsid w:val="15AC1284"/>
    <w:multiLevelType w:val="hybridMultilevel"/>
    <w:tmpl w:val="096CED6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nsid w:val="7F5D6377"/>
    <w:multiLevelType w:val="hybridMultilevel"/>
    <w:tmpl w:val="0C5EF78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D6FF3"/>
    <w:rsid w:val="000F036C"/>
    <w:rsid w:val="00156130"/>
    <w:rsid w:val="001D198F"/>
    <w:rsid w:val="001D6FF3"/>
    <w:rsid w:val="001E18EA"/>
    <w:rsid w:val="00250A41"/>
    <w:rsid w:val="002C54C9"/>
    <w:rsid w:val="002F1E55"/>
    <w:rsid w:val="00355364"/>
    <w:rsid w:val="003D0F5D"/>
    <w:rsid w:val="00441839"/>
    <w:rsid w:val="005B0B28"/>
    <w:rsid w:val="0065114D"/>
    <w:rsid w:val="007E6EEA"/>
    <w:rsid w:val="008A185A"/>
    <w:rsid w:val="008B3F87"/>
    <w:rsid w:val="009139C6"/>
    <w:rsid w:val="00965A55"/>
    <w:rsid w:val="009769A5"/>
    <w:rsid w:val="00A01320"/>
    <w:rsid w:val="00A01BF2"/>
    <w:rsid w:val="00A832F8"/>
    <w:rsid w:val="00AA7668"/>
    <w:rsid w:val="00B349BC"/>
    <w:rsid w:val="00C13210"/>
    <w:rsid w:val="00C945B0"/>
    <w:rsid w:val="00CD5618"/>
    <w:rsid w:val="00CE3A58"/>
    <w:rsid w:val="00D63BD8"/>
    <w:rsid w:val="00E94D13"/>
    <w:rsid w:val="00F42CD5"/>
    <w:rsid w:val="00F44840"/>
    <w:rsid w:val="00F520FA"/>
    <w:rsid w:val="00F568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16"/>
        <w:szCs w:val="16"/>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BF2"/>
    <w:pPr>
      <w:spacing w:line="360" w:lineRule="auto"/>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1D6FF3"/>
    <w:pPr>
      <w:keepNext/>
      <w:keepLines/>
      <w:spacing w:before="400" w:after="120"/>
      <w:outlineLvl w:val="0"/>
    </w:pPr>
    <w:rPr>
      <w:rFonts w:ascii="Arial" w:eastAsiaTheme="majorEastAsia" w:hAnsi="Arial" w:cstheme="majorBidi"/>
      <w:b/>
      <w:caps/>
      <w:sz w:val="28"/>
      <w:szCs w:val="36"/>
    </w:rPr>
  </w:style>
  <w:style w:type="paragraph" w:styleId="Heading2">
    <w:name w:val="heading 2"/>
    <w:basedOn w:val="Normal"/>
    <w:next w:val="Normal"/>
    <w:link w:val="Heading2Char"/>
    <w:uiPriority w:val="9"/>
    <w:semiHidden/>
    <w:unhideWhenUsed/>
    <w:qFormat/>
    <w:rsid w:val="00F42CD5"/>
    <w:pPr>
      <w:keepNext/>
      <w:keepLines/>
      <w:spacing w:before="120"/>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F42CD5"/>
    <w:pPr>
      <w:keepNext/>
      <w:keepLines/>
      <w:spacing w:before="120"/>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F42CD5"/>
    <w:pPr>
      <w:keepNext/>
      <w:keepLines/>
      <w:spacing w:before="12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F42CD5"/>
    <w:pPr>
      <w:keepNext/>
      <w:keepLines/>
      <w:spacing w:before="12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F42CD5"/>
    <w:pPr>
      <w:keepNext/>
      <w:keepLines/>
      <w:spacing w:before="12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F42CD5"/>
    <w:pPr>
      <w:keepNext/>
      <w:keepLines/>
      <w:spacing w:before="12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F42CD5"/>
    <w:pPr>
      <w:keepNext/>
      <w:keepLines/>
      <w:spacing w:before="12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F42CD5"/>
    <w:pPr>
      <w:keepNext/>
      <w:keepLines/>
      <w:spacing w:before="12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FF3"/>
    <w:rPr>
      <w:rFonts w:ascii="Arial" w:eastAsiaTheme="majorEastAsia" w:hAnsi="Arial" w:cstheme="majorBidi"/>
      <w:b/>
      <w:caps/>
      <w:color w:val="000000" w:themeColor="text1"/>
      <w:sz w:val="28"/>
      <w:szCs w:val="36"/>
    </w:rPr>
  </w:style>
  <w:style w:type="character" w:customStyle="1" w:styleId="Heading2Char">
    <w:name w:val="Heading 2 Char"/>
    <w:basedOn w:val="DefaultParagraphFont"/>
    <w:link w:val="Heading2"/>
    <w:uiPriority w:val="9"/>
    <w:semiHidden/>
    <w:rsid w:val="00F42CD5"/>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F42CD5"/>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F42CD5"/>
    <w:rPr>
      <w:rFonts w:asciiTheme="majorHAnsi" w:eastAsiaTheme="majorEastAsia" w:hAnsiTheme="majorHAnsi" w:cstheme="majorBidi"/>
      <w:caps/>
      <w:sz w:val="16"/>
      <w:szCs w:val="16"/>
    </w:rPr>
  </w:style>
  <w:style w:type="character" w:customStyle="1" w:styleId="Heading5Char">
    <w:name w:val="Heading 5 Char"/>
    <w:basedOn w:val="DefaultParagraphFont"/>
    <w:link w:val="Heading5"/>
    <w:uiPriority w:val="9"/>
    <w:semiHidden/>
    <w:rsid w:val="00F42CD5"/>
    <w:rPr>
      <w:rFonts w:asciiTheme="majorHAnsi" w:eastAsiaTheme="majorEastAsia" w:hAnsiTheme="majorHAnsi" w:cstheme="majorBidi"/>
      <w:i/>
      <w:iCs/>
      <w:caps/>
      <w:sz w:val="16"/>
      <w:szCs w:val="16"/>
    </w:rPr>
  </w:style>
  <w:style w:type="character" w:customStyle="1" w:styleId="Heading6Char">
    <w:name w:val="Heading 6 Char"/>
    <w:basedOn w:val="DefaultParagraphFont"/>
    <w:link w:val="Heading6"/>
    <w:uiPriority w:val="9"/>
    <w:semiHidden/>
    <w:rsid w:val="00F42CD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F42CD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F42CD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F42CD5"/>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F42CD5"/>
    <w:rPr>
      <w:b/>
      <w:bCs/>
      <w:smallCaps/>
      <w:color w:val="595959" w:themeColor="text1" w:themeTint="A6"/>
    </w:rPr>
  </w:style>
  <w:style w:type="paragraph" w:styleId="Title">
    <w:name w:val="Title"/>
    <w:basedOn w:val="Normal"/>
    <w:next w:val="Normal"/>
    <w:link w:val="TitleChar"/>
    <w:uiPriority w:val="10"/>
    <w:qFormat/>
    <w:rsid w:val="00F42CD5"/>
    <w:pPr>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F42CD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F42CD5"/>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F42CD5"/>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F42CD5"/>
    <w:rPr>
      <w:b/>
      <w:bCs/>
    </w:rPr>
  </w:style>
  <w:style w:type="character" w:styleId="Emphasis">
    <w:name w:val="Emphasis"/>
    <w:basedOn w:val="DefaultParagraphFont"/>
    <w:uiPriority w:val="20"/>
    <w:qFormat/>
    <w:rsid w:val="00F42CD5"/>
    <w:rPr>
      <w:i/>
      <w:iCs/>
    </w:rPr>
  </w:style>
  <w:style w:type="paragraph" w:styleId="NoSpacing">
    <w:name w:val="No Spacing"/>
    <w:link w:val="NoSpacingChar"/>
    <w:uiPriority w:val="1"/>
    <w:qFormat/>
    <w:rsid w:val="00F42CD5"/>
    <w:rPr>
      <w:rFonts w:eastAsiaTheme="minorEastAsia"/>
    </w:rPr>
  </w:style>
  <w:style w:type="paragraph" w:styleId="Quote">
    <w:name w:val="Quote"/>
    <w:basedOn w:val="Normal"/>
    <w:next w:val="Normal"/>
    <w:link w:val="QuoteChar"/>
    <w:uiPriority w:val="29"/>
    <w:qFormat/>
    <w:rsid w:val="00F42CD5"/>
    <w:pPr>
      <w:spacing w:before="160"/>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F42CD5"/>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F42CD5"/>
    <w:pPr>
      <w:spacing w:before="280" w:after="280"/>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F42CD5"/>
    <w:rPr>
      <w:rFonts w:eastAsiaTheme="minorEastAsia"/>
      <w:color w:val="404040" w:themeColor="text1" w:themeTint="BF"/>
      <w:sz w:val="32"/>
      <w:szCs w:val="32"/>
    </w:rPr>
  </w:style>
  <w:style w:type="character" w:styleId="SubtleEmphasis">
    <w:name w:val="Subtle Emphasis"/>
    <w:basedOn w:val="DefaultParagraphFont"/>
    <w:uiPriority w:val="19"/>
    <w:qFormat/>
    <w:rsid w:val="00F42CD5"/>
    <w:rPr>
      <w:i/>
      <w:iCs/>
      <w:color w:val="595959" w:themeColor="text1" w:themeTint="A6"/>
    </w:rPr>
  </w:style>
  <w:style w:type="character" w:styleId="IntenseEmphasis">
    <w:name w:val="Intense Emphasis"/>
    <w:basedOn w:val="DefaultParagraphFont"/>
    <w:uiPriority w:val="21"/>
    <w:qFormat/>
    <w:rsid w:val="00F42CD5"/>
    <w:rPr>
      <w:b/>
      <w:bCs/>
      <w:i/>
      <w:iCs/>
    </w:rPr>
  </w:style>
  <w:style w:type="character" w:styleId="SubtleReference">
    <w:name w:val="Subtle Reference"/>
    <w:basedOn w:val="DefaultParagraphFont"/>
    <w:uiPriority w:val="31"/>
    <w:qFormat/>
    <w:rsid w:val="00F42CD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42CD5"/>
    <w:rPr>
      <w:b/>
      <w:bCs/>
      <w:caps w:val="0"/>
      <w:smallCaps/>
      <w:color w:val="auto"/>
      <w:spacing w:val="3"/>
      <w:u w:val="single"/>
    </w:rPr>
  </w:style>
  <w:style w:type="character" w:styleId="BookTitle">
    <w:name w:val="Book Title"/>
    <w:basedOn w:val="DefaultParagraphFont"/>
    <w:uiPriority w:val="33"/>
    <w:qFormat/>
    <w:rsid w:val="00F42CD5"/>
    <w:rPr>
      <w:b/>
      <w:bCs/>
      <w:smallCaps/>
      <w:spacing w:val="7"/>
    </w:rPr>
  </w:style>
  <w:style w:type="paragraph" w:styleId="TOCHeading">
    <w:name w:val="TOC Heading"/>
    <w:basedOn w:val="Heading1"/>
    <w:next w:val="Normal"/>
    <w:uiPriority w:val="39"/>
    <w:unhideWhenUsed/>
    <w:qFormat/>
    <w:rsid w:val="00F42CD5"/>
    <w:pPr>
      <w:outlineLvl w:val="9"/>
    </w:pPr>
  </w:style>
  <w:style w:type="paragraph" w:styleId="ListParagraph">
    <w:name w:val="List Paragraph"/>
    <w:basedOn w:val="Normal"/>
    <w:uiPriority w:val="34"/>
    <w:qFormat/>
    <w:rsid w:val="001D6FF3"/>
    <w:pPr>
      <w:ind w:left="720"/>
      <w:contextualSpacing/>
    </w:pPr>
  </w:style>
  <w:style w:type="paragraph" w:styleId="TOC1">
    <w:name w:val="toc 1"/>
    <w:basedOn w:val="Normal"/>
    <w:next w:val="Normal"/>
    <w:autoRedefine/>
    <w:uiPriority w:val="39"/>
    <w:unhideWhenUsed/>
    <w:rsid w:val="00E94D13"/>
    <w:pPr>
      <w:spacing w:after="100"/>
    </w:pPr>
  </w:style>
  <w:style w:type="character" w:styleId="Hyperlink">
    <w:name w:val="Hyperlink"/>
    <w:basedOn w:val="DefaultParagraphFont"/>
    <w:uiPriority w:val="99"/>
    <w:unhideWhenUsed/>
    <w:rsid w:val="00E94D13"/>
    <w:rPr>
      <w:color w:val="0563C1" w:themeColor="hyperlink"/>
      <w:u w:val="single"/>
    </w:rPr>
  </w:style>
  <w:style w:type="character" w:customStyle="1" w:styleId="NoSpacingChar">
    <w:name w:val="No Spacing Char"/>
    <w:basedOn w:val="DefaultParagraphFont"/>
    <w:link w:val="NoSpacing"/>
    <w:uiPriority w:val="1"/>
    <w:rsid w:val="00E94D13"/>
    <w:rPr>
      <w:rFonts w:eastAsiaTheme="minorEastAsia"/>
    </w:rPr>
  </w:style>
  <w:style w:type="paragraph" w:styleId="BalloonText">
    <w:name w:val="Balloon Text"/>
    <w:basedOn w:val="Normal"/>
    <w:link w:val="BalloonTextChar"/>
    <w:uiPriority w:val="99"/>
    <w:semiHidden/>
    <w:unhideWhenUsed/>
    <w:rsid w:val="00C13210"/>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sid w:val="00C13210"/>
    <w:rPr>
      <w:rFonts w:ascii="Tahoma" w:hAnsi="Tahoma" w:cs="Tahoma"/>
      <w:color w:val="000000" w:themeColor="tex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5EB4D-DA37-46E2-ACA0-BA1B351F7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9140</Words>
  <Characters>52100</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COVID-19</vt:lpstr>
    </vt:vector>
  </TitlesOfParts>
  <Company>Grizli777</Company>
  <LinksUpToDate>false</LinksUpToDate>
  <CharactersWithSpaces>61118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COVID-19</dc:title>
  <dc:creator>laiba fayaz</dc:creator>
  <cp:lastModifiedBy>ROCK MOBILE</cp:lastModifiedBy>
  <cp:revision>6</cp:revision>
  <dcterms:created xsi:type="dcterms:W3CDTF">2023-03-22T14:48:00Z</dcterms:created>
  <dcterms:modified xsi:type="dcterms:W3CDTF">2023-03-24T14:05:00Z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25e903c3-e860-3117-a9ba-4f3a6844fc1c</vt:lpwstr>
  </property>
  <property fmtid="{D5CDD505-2E9C-101B-9397-08002B2CF9AE}" pid="4" name="Mendeley Citation Style_1">
    <vt:lpwstr>http://www.zotero.org/styles/chicago-author-date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