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4073617" w:rsidP="7E181FC5" w:rsidRDefault="34073617" w14:paraId="2FDC492B" w14:textId="78ECE2B8">
      <w:pPr>
        <w:rPr>
          <w:b w:val="1"/>
          <w:bCs w:val="1"/>
        </w:rPr>
      </w:pPr>
      <w:r w:rsidRPr="7E181FC5" w:rsidR="34073617">
        <w:rPr>
          <w:b w:val="1"/>
          <w:bCs w:val="1"/>
        </w:rPr>
        <w:t>Module:</w:t>
      </w:r>
      <w:r w:rsidRPr="7E181FC5" w:rsidR="6B7AEDA5">
        <w:rPr>
          <w:b w:val="1"/>
          <w:bCs w:val="1"/>
        </w:rPr>
        <w:t xml:space="preserve"> BMLW 4005</w:t>
      </w:r>
    </w:p>
    <w:p w:rsidR="6B7AEDA5" w:rsidP="7E181FC5" w:rsidRDefault="6B7AEDA5" w14:paraId="685FEBE9" w14:textId="1896D8F8">
      <w:pPr>
        <w:pStyle w:val="Normal"/>
        <w:rPr>
          <w:b w:val="1"/>
          <w:bCs w:val="1"/>
        </w:rPr>
      </w:pPr>
      <w:r w:rsidRPr="7E181FC5" w:rsidR="6B7AEDA5">
        <w:rPr>
          <w:b w:val="1"/>
          <w:bCs w:val="1"/>
        </w:rPr>
        <w:t xml:space="preserve">Student </w:t>
      </w:r>
      <w:r w:rsidRPr="7E181FC5" w:rsidR="28A3CA4E">
        <w:rPr>
          <w:b w:val="1"/>
          <w:bCs w:val="1"/>
        </w:rPr>
        <w:t>ID:</w:t>
      </w:r>
      <w:r w:rsidRPr="7E181FC5" w:rsidR="6B7AEDA5">
        <w:rPr>
          <w:b w:val="1"/>
          <w:bCs w:val="1"/>
        </w:rPr>
        <w:t xml:space="preserve"> 2229444</w:t>
      </w:r>
    </w:p>
    <w:p w:rsidR="7E181FC5" w:rsidRDefault="7E181FC5" w14:paraId="28F4A671" w14:textId="43835E89"/>
    <w:p xmlns:wp14="http://schemas.microsoft.com/office/word/2010/wordml" w14:paraId="564A27F8" wp14:textId="34768317">
      <w:bookmarkStart w:name="_GoBack" w:id="0"/>
      <w:bookmarkEnd w:id="0"/>
      <w:r w:rsidR="6B7AEDA5">
        <w:rPr/>
        <w:t xml:space="preserve">The world is in a constant state of change. The changes take place in </w:t>
      </w:r>
      <w:bookmarkStart w:name="_Int_km9lhVFU" w:id="518837070"/>
      <w:r w:rsidR="6B7AEDA5">
        <w:rPr/>
        <w:t>almost every</w:t>
      </w:r>
      <w:bookmarkEnd w:id="518837070"/>
      <w:r w:rsidR="6B7AEDA5">
        <w:rPr/>
        <w:t xml:space="preserve"> sector that affect</w:t>
      </w:r>
      <w:r w:rsidR="37E3D6F2">
        <w:rPr/>
        <w:t xml:space="preserve">s the society. This leaves </w:t>
      </w:r>
      <w:r w:rsidR="37D59DD8">
        <w:rPr/>
        <w:t>society</w:t>
      </w:r>
      <w:r w:rsidR="6B7AEDA5">
        <w:rPr/>
        <w:t xml:space="preserve"> with no </w:t>
      </w:r>
      <w:r w:rsidR="6B7AEDA5">
        <w:rPr/>
        <w:t>option</w:t>
      </w:r>
      <w:r w:rsidR="6B7AEDA5">
        <w:rPr/>
        <w:t xml:space="preserve"> but to morph with the various changes. One area that needs to be constantly reviewed with the changes is the legal spectrum. </w:t>
      </w:r>
      <w:bookmarkStart w:name="_Int_W6NAaMhr" w:id="1316921741"/>
      <w:r w:rsidR="6B7AEDA5">
        <w:rPr/>
        <w:t>After all, laws</w:t>
      </w:r>
      <w:bookmarkEnd w:id="1316921741"/>
      <w:r w:rsidR="6B7AEDA5">
        <w:rPr/>
        <w:t xml:space="preserve"> emanate from the society. However, this has not been the case for some laws. The law governing homicide in England and Wales has been criticized for being outdated and out of touch with the contemporary </w:t>
      </w:r>
      <w:r w:rsidR="793EF1C0">
        <w:rPr/>
        <w:t>society (</w:t>
      </w:r>
      <w:r w:rsidR="6B7AEDA5">
        <w:rPr/>
        <w:t xml:space="preserve">Reed </w:t>
      </w:r>
      <w:r w:rsidR="6B7AEDA5">
        <w:rPr/>
        <w:t>et al.</w:t>
      </w:r>
      <w:r w:rsidR="6B7AEDA5">
        <w:rPr/>
        <w:t xml:space="preserve">, 2018). The nature of this law has led to calls for urgent reforms. This paper explores the current state of the law, </w:t>
      </w:r>
      <w:r w:rsidR="6B7AEDA5">
        <w:rPr/>
        <w:t>identifies</w:t>
      </w:r>
      <w:r w:rsidR="6B7AEDA5">
        <w:rPr/>
        <w:t xml:space="preserve"> key issues, examine proposals for reform, </w:t>
      </w:r>
      <w:r w:rsidR="020B8086">
        <w:rPr/>
        <w:t>analyses</w:t>
      </w:r>
      <w:r w:rsidR="6B7AEDA5">
        <w:rPr/>
        <w:t xml:space="preserve"> the government's acceptance and rejection of these proposals, and discusses the arguments against reform. By critically assessing these aspects, this essay aims to </w:t>
      </w:r>
      <w:r w:rsidR="6B7AEDA5">
        <w:rPr/>
        <w:t>determine</w:t>
      </w:r>
      <w:r w:rsidR="6B7AEDA5">
        <w:rPr/>
        <w:t xml:space="preserve"> whether the law governing homicide in England and Wales is in dire need of reform.</w:t>
      </w:r>
    </w:p>
    <w:p xmlns:wp14="http://schemas.microsoft.com/office/word/2010/wordml" w:rsidP="7E181FC5" w14:paraId="717BB0B9" wp14:textId="00EF3328">
      <w:pPr>
        <w:pStyle w:val="Normal"/>
      </w:pPr>
      <w:r w:rsidR="6B7AEDA5">
        <w:rPr/>
        <w:t xml:space="preserve">The current law governing homicide in England and Wales is primarily based on the common law principles. Specifically, the legislation that deals with this area of crime is the (Homicide Act, 1957). Under the law, there offences outlined therein are categorized into two: murder and manslaughter. </w:t>
      </w:r>
    </w:p>
    <w:p xmlns:wp14="http://schemas.microsoft.com/office/word/2010/wordml" w:rsidP="7E181FC5" w14:paraId="6115817C" wp14:textId="18E6B8F3">
      <w:pPr>
        <w:pStyle w:val="Normal"/>
      </w:pPr>
      <w:r w:rsidR="6B7AEDA5">
        <w:rPr/>
        <w:t xml:space="preserve">Murder is defined as the unlawful killing of a human being with malice </w:t>
      </w:r>
      <w:r w:rsidR="7D05BE96">
        <w:rPr/>
        <w:t>aforethought (</w:t>
      </w:r>
      <w:r w:rsidR="6B7AEDA5">
        <w:rPr/>
        <w:t xml:space="preserve">Herring, 2020). Malice aforethought can be either express or implied, </w:t>
      </w:r>
      <w:r w:rsidR="6B7AEDA5">
        <w:rPr/>
        <w:t>indicating</w:t>
      </w:r>
      <w:r w:rsidR="6B7AEDA5">
        <w:rPr/>
        <w:t xml:space="preserve"> an intention to cause death or grievous bodily harm. </w:t>
      </w:r>
    </w:p>
    <w:p xmlns:wp14="http://schemas.microsoft.com/office/word/2010/wordml" w:rsidP="7E181FC5" w14:paraId="0FF48741" wp14:textId="5820310A">
      <w:pPr>
        <w:pStyle w:val="Normal"/>
      </w:pPr>
      <w:r w:rsidR="6B7AEDA5">
        <w:rPr/>
        <w:t xml:space="preserve">As for the offence of manslaughter, the law provides for four ways in which it can be committed. The first one is reckless manslaughter where the accused person had no intention to kill but understood the risks involved in the action that they were about to </w:t>
      </w:r>
      <w:r w:rsidR="77CE5E2D">
        <w:rPr/>
        <w:t>undertake (</w:t>
      </w:r>
      <w:r w:rsidR="6B7AEDA5">
        <w:rPr/>
        <w:t xml:space="preserve">Stark, 2017). The next form of manslaughter is </w:t>
      </w:r>
      <w:r w:rsidR="55F6B076">
        <w:rPr/>
        <w:t xml:space="preserve">the unlawful and dangerous act of manslaughter where the act in question that led to a killing was illegal albeit there was no intention to </w:t>
      </w:r>
      <w:r w:rsidR="6B7AEDA5">
        <w:rPr/>
        <w:t>(</w:t>
      </w:r>
      <w:r w:rsidR="6B7AEDA5">
        <w:rPr/>
        <w:t xml:space="preserve">Leigh, 2017). Gross negligence manslaughter is also categorized as a form of manslaughter. It arises where without malice aforethought, a person acted in a grossly negligent manner while at the same time appreciating the available risks to kill another </w:t>
      </w:r>
      <w:r w:rsidR="4415D537">
        <w:rPr/>
        <w:t>person (</w:t>
      </w:r>
      <w:r w:rsidR="6B7AEDA5">
        <w:rPr/>
        <w:t>Crosby, 2020).</w:t>
      </w:r>
    </w:p>
    <w:p xmlns:wp14="http://schemas.microsoft.com/office/word/2010/wordml" w:rsidP="7E181FC5" w14:paraId="5D674D74" wp14:textId="5C600BF9">
      <w:pPr>
        <w:pStyle w:val="Normal"/>
      </w:pPr>
      <w:bookmarkStart w:name="_Int_kvaWWD5Y" w:id="1240290496"/>
      <w:r w:rsidR="6B7AEDA5">
        <w:rPr/>
        <w:t>That being said, the</w:t>
      </w:r>
      <w:bookmarkEnd w:id="1240290496"/>
      <w:r w:rsidR="6B7AEDA5">
        <w:rPr/>
        <w:t xml:space="preserve"> law has several limitations that need addressing as already mentioned. The main issue with this law is, as espoused by the Law Commission in 2005, is it set on shaky foundations (Law Commission, 2005). The law has been in existence for centuries now with some of its provisions untouched the whole time. Others, although already changed, still need further changes as they have become outdated since the last time they were amended. </w:t>
      </w:r>
    </w:p>
    <w:p xmlns:wp14="http://schemas.microsoft.com/office/word/2010/wordml" w:rsidP="7E181FC5" w14:paraId="0D3C45D3" wp14:textId="39066332">
      <w:pPr>
        <w:pStyle w:val="Normal"/>
      </w:pPr>
      <w:r w:rsidR="6B7AEDA5">
        <w:rPr/>
        <w:t xml:space="preserve">One of the areas for those calling for reforms in this law is the definition of offences, murder in particular. The definition lacks clarity, and its interpretation has led to </w:t>
      </w:r>
      <w:r w:rsidR="6B7AEDA5">
        <w:rPr/>
        <w:t>numerous</w:t>
      </w:r>
      <w:r w:rsidR="6B7AEDA5">
        <w:rPr/>
        <w:t xml:space="preserve"> issues and controversies. </w:t>
      </w:r>
      <w:r w:rsidR="6B7AEDA5">
        <w:rPr/>
        <w:t>An indication</w:t>
      </w:r>
      <w:r w:rsidR="6B7AEDA5">
        <w:rPr/>
        <w:t xml:space="preserve"> of this is the </w:t>
      </w:r>
      <w:r w:rsidR="6B7AEDA5">
        <w:rPr/>
        <w:t>numerous</w:t>
      </w:r>
      <w:r w:rsidR="6B7AEDA5">
        <w:rPr/>
        <w:t xml:space="preserve"> times that courts have altered the definition provided in the legislation. These various definitions brought up by case laws lead to further confusion. Such a scenario arose in the case of (R v </w:t>
      </w:r>
      <w:r w:rsidR="6B7AEDA5">
        <w:rPr/>
        <w:t>Woollin</w:t>
      </w:r>
      <w:r w:rsidR="6B7AEDA5">
        <w:rPr/>
        <w:t>)</w:t>
      </w:r>
      <w:r w:rsidR="6B7AEDA5">
        <w:rPr/>
        <w:t xml:space="preserve"> </w:t>
      </w:r>
      <w:r w:rsidR="6B7AEDA5">
        <w:rPr/>
        <w:t xml:space="preserve">where the accused person had thrown his </w:t>
      </w:r>
      <w:bookmarkStart w:name="_Int_S7x5nLon" w:id="928265931"/>
      <w:r w:rsidR="6B7AEDA5">
        <w:rPr/>
        <w:t>three month old</w:t>
      </w:r>
      <w:bookmarkEnd w:id="928265931"/>
      <w:r w:rsidR="6B7AEDA5">
        <w:rPr/>
        <w:t xml:space="preserve"> son to </w:t>
      </w:r>
      <w:bookmarkStart w:name="_Int_nagUL77X" w:id="1022949497"/>
      <w:r w:rsidR="6B7AEDA5">
        <w:rPr/>
        <w:t>a hard surface</w:t>
      </w:r>
      <w:bookmarkEnd w:id="1022949497"/>
      <w:r w:rsidR="6B7AEDA5">
        <w:rPr/>
        <w:t xml:space="preserve">. The baby eventually died after fracturing its skull. The trial judge opined to the jury that it would be right to conclude that </w:t>
      </w:r>
      <w:r w:rsidR="490E01F4">
        <w:rPr/>
        <w:t>the accused intended to harm the baby if he had appreciated the substantial risk of causing serious harm to it before. Thus, the jury would be right to find him guilty. The jury went ahead and found him guilty. The accused appealed on the grounds of the term ‘’substantial risk’’. He argued that as per the directions given to the jury to consider the appreciation of substantial risk, the judge had widened the definition of murder. The appellate court substituted murder with manslaughter. The problem with the definition of murder under the current law is that it is too broad and ambiguous that it even becomes difficult to differentiate it from</w:t>
      </w:r>
      <w:r w:rsidR="7E181FC5">
        <w:rPr/>
        <w:t xml:space="preserve"> man</w:t>
      </w:r>
      <w:r w:rsidR="6B7AEDA5">
        <w:rPr/>
        <w:t>slaughter.</w:t>
      </w:r>
    </w:p>
    <w:p xmlns:wp14="http://schemas.microsoft.com/office/word/2010/wordml" w:rsidP="7E181FC5" w14:paraId="059F5EDE" wp14:textId="2A101F27">
      <w:pPr>
        <w:pStyle w:val="Normal"/>
      </w:pPr>
      <w:r w:rsidR="6B7AEDA5">
        <w:rPr/>
        <w:t xml:space="preserve">Another significant issue is the availability and application of partial defences to </w:t>
      </w:r>
      <w:r w:rsidR="5BBD92FE">
        <w:rPr/>
        <w:t>murder (</w:t>
      </w:r>
      <w:r w:rsidR="6B7AEDA5">
        <w:rPr/>
        <w:t xml:space="preserve">Crofts and Wake, 2021). The partial defences of diminished responsibility, and loss of control which includes provocation </w:t>
      </w:r>
      <w:r w:rsidR="6B7AEDA5">
        <w:rPr/>
        <w:t>provide</w:t>
      </w:r>
      <w:r w:rsidR="6B7AEDA5">
        <w:rPr/>
        <w:t xml:space="preserve"> opportunities for a charge of murder to be reduced to manslaughter. However, these defences have been criticized for their narrow scope and lack of flexibility, leading to potential </w:t>
      </w:r>
      <w:r w:rsidR="742DDE26">
        <w:rPr/>
        <w:t>injustices (</w:t>
      </w:r>
      <w:r w:rsidR="6B7AEDA5">
        <w:rPr/>
        <w:t>Quick and Wells, 2012).</w:t>
      </w:r>
    </w:p>
    <w:p xmlns:wp14="http://schemas.microsoft.com/office/word/2010/wordml" w:rsidP="7E181FC5" w14:paraId="2D4F35DC" wp14:textId="39AC2B1A">
      <w:pPr>
        <w:pStyle w:val="Normal"/>
      </w:pPr>
      <w:r w:rsidR="6B7AEDA5">
        <w:rPr/>
        <w:t xml:space="preserve">Another key issue surrounds the controversial intent </w:t>
      </w:r>
      <w:r w:rsidR="6B7AEDA5">
        <w:rPr/>
        <w:t>required</w:t>
      </w:r>
      <w:r w:rsidR="6B7AEDA5">
        <w:rPr/>
        <w:t xml:space="preserve"> for </w:t>
      </w:r>
      <w:r w:rsidR="337CECE8">
        <w:rPr/>
        <w:t>murder (</w:t>
      </w:r>
      <w:r w:rsidR="6B7AEDA5">
        <w:rPr/>
        <w:t xml:space="preserve">Allen and Edwards, 2021). The concept of "malice aforethought" has been criticized for its archaic nature and its failure to distinguish between different degrees of culpability. The lack of a comprehensive framework for assessing intent hampers the justice system's ability to differentiate between offenders who </w:t>
      </w:r>
      <w:r w:rsidR="6B7AEDA5">
        <w:rPr/>
        <w:t>possess</w:t>
      </w:r>
      <w:r w:rsidR="6B7AEDA5">
        <w:rPr/>
        <w:t xml:space="preserve"> varying levels of culpability.</w:t>
      </w:r>
    </w:p>
    <w:p xmlns:wp14="http://schemas.microsoft.com/office/word/2010/wordml" w:rsidP="7E181FC5" w14:paraId="72FFE437" wp14:textId="18E46127">
      <w:pPr>
        <w:pStyle w:val="Normal"/>
      </w:pPr>
      <w:r w:rsidR="6B7AEDA5">
        <w:rPr/>
        <w:t xml:space="preserve">Additionally, the breadth of manslaughter as an alternative charge poses a </w:t>
      </w:r>
      <w:r w:rsidR="6013B8CF">
        <w:rPr/>
        <w:t>challenge (</w:t>
      </w:r>
      <w:r w:rsidR="6B7AEDA5">
        <w:rPr/>
        <w:t xml:space="preserve">Monaghan, 2020). The current law encompasses both voluntary and involuntary manslaughter, resulting in a wide range of offenses being classified under the same umbrella. This lack of specificity can lead to inconsistent sentencing and difficulties in ensuring </w:t>
      </w:r>
      <w:r w:rsidR="6B7AEDA5">
        <w:rPr/>
        <w:t>appropriate accountability</w:t>
      </w:r>
      <w:r w:rsidR="6B7AEDA5">
        <w:rPr/>
        <w:t xml:space="preserve"> for offenders.</w:t>
      </w:r>
    </w:p>
    <w:p xmlns:wp14="http://schemas.microsoft.com/office/word/2010/wordml" w:rsidP="7E181FC5" w14:paraId="2E455B92" wp14:textId="7E2FC068">
      <w:pPr>
        <w:pStyle w:val="Normal"/>
      </w:pPr>
      <w:r w:rsidR="6B7AEDA5">
        <w:rPr/>
        <w:t>The Law Commission, an independent body responsible for reviewing and proposing reforms to the law in England and Wales, together with other bodies has played a crucial role in recognizing the need for comprehensive reform of the homicide laws. Their proposals have been informed by extensive research, expert analysis, and public consultation, aiming to address the shortcomings of the current legal framework.</w:t>
      </w:r>
    </w:p>
    <w:p xmlns:wp14="http://schemas.microsoft.com/office/word/2010/wordml" w:rsidP="7E181FC5" w14:paraId="09228B0D" wp14:textId="30234FC3">
      <w:pPr>
        <w:pStyle w:val="Normal"/>
      </w:pPr>
      <w:r w:rsidR="6B7AEDA5">
        <w:rPr/>
        <w:t xml:space="preserve">One suggestion is to replace the partial defences of provocation under loss of control and diminished responsibility with a single </w:t>
      </w:r>
      <w:r w:rsidR="36FEB307">
        <w:rPr/>
        <w:t>defence</w:t>
      </w:r>
      <w:r w:rsidR="6B7AEDA5">
        <w:rPr/>
        <w:t xml:space="preserve"> of loss of </w:t>
      </w:r>
      <w:r w:rsidR="13CC61A0">
        <w:rPr/>
        <w:t>control (</w:t>
      </w:r>
      <w:bookmarkStart w:name="_Int_tc3DhEFa" w:id="690658355"/>
      <w:r w:rsidR="6B7AEDA5">
        <w:rPr/>
        <w:t>Fitz-Gibbon</w:t>
      </w:r>
      <w:bookmarkEnd w:id="690658355"/>
      <w:r w:rsidR="6B7AEDA5">
        <w:rPr/>
        <w:t xml:space="preserve">, 2013). </w:t>
      </w:r>
      <w:bookmarkStart w:name="_Int_S50eJUuw" w:id="1086897435"/>
      <w:r w:rsidR="6B7AEDA5">
        <w:rPr/>
        <w:t>Essentially, this</w:t>
      </w:r>
      <w:bookmarkEnd w:id="1086897435"/>
      <w:r w:rsidR="6B7AEDA5">
        <w:rPr/>
        <w:t xml:space="preserve"> would mean assimilating the defence of diminished control into the defen</w:t>
      </w:r>
      <w:r w:rsidR="07B2E726">
        <w:rPr/>
        <w:t>c</w:t>
      </w:r>
      <w:r w:rsidR="6B7AEDA5">
        <w:rPr/>
        <w:t xml:space="preserve">e of loss of control. This change aims to </w:t>
      </w:r>
      <w:r w:rsidR="6B7AEDA5">
        <w:rPr/>
        <w:t>provide</w:t>
      </w:r>
      <w:r w:rsidR="6B7AEDA5">
        <w:rPr/>
        <w:t xml:space="preserve"> a more balanced and flexible approach, ensuring that culpability is </w:t>
      </w:r>
      <w:bookmarkStart w:name="_Int_CT3UMdtT" w:id="196617191"/>
      <w:r w:rsidR="6B7AEDA5">
        <w:rPr/>
        <w:t>properly assessed</w:t>
      </w:r>
      <w:bookmarkEnd w:id="196617191"/>
      <w:r w:rsidR="6B7AEDA5">
        <w:rPr/>
        <w:t xml:space="preserve">. The proposed </w:t>
      </w:r>
      <w:r w:rsidR="6B7AEDA5">
        <w:rPr/>
        <w:t>defen</w:t>
      </w:r>
      <w:r w:rsidR="78A22B62">
        <w:rPr/>
        <w:t>c</w:t>
      </w:r>
      <w:r w:rsidR="6B7AEDA5">
        <w:rPr/>
        <w:t>e</w:t>
      </w:r>
      <w:r w:rsidR="6B7AEDA5">
        <w:rPr/>
        <w:t xml:space="preserve"> of "loss of control" aims to </w:t>
      </w:r>
      <w:r w:rsidR="6B7AEDA5">
        <w:rPr/>
        <w:t>provide</w:t>
      </w:r>
      <w:r w:rsidR="6B7AEDA5">
        <w:rPr/>
        <w:t xml:space="preserve"> a more balanced and flexible approach, ensuring that culpability is </w:t>
      </w:r>
      <w:bookmarkStart w:name="_Int_32PFDvN7" w:id="84896103"/>
      <w:r w:rsidR="6B7AEDA5">
        <w:rPr/>
        <w:t>properly assessed</w:t>
      </w:r>
      <w:bookmarkEnd w:id="84896103"/>
      <w:r w:rsidR="6B7AEDA5">
        <w:rPr/>
        <w:t xml:space="preserve">. By considering the circumstances that led to the loss of control, such as fear or a sense of betrayal, the proposal </w:t>
      </w:r>
      <w:r w:rsidR="6B7AEDA5">
        <w:rPr/>
        <w:t>seeks</w:t>
      </w:r>
      <w:r w:rsidR="6B7AEDA5">
        <w:rPr/>
        <w:t xml:space="preserve"> to </w:t>
      </w:r>
      <w:r w:rsidR="6B7AEDA5">
        <w:rPr/>
        <w:t>provide</w:t>
      </w:r>
      <w:r w:rsidR="6B7AEDA5">
        <w:rPr/>
        <w:t xml:space="preserve"> a more just and nuanced understanding of the offender's state of mind.</w:t>
      </w:r>
    </w:p>
    <w:p xmlns:wp14="http://schemas.microsoft.com/office/word/2010/wordml" w:rsidP="7E181FC5" w14:paraId="69010A95" wp14:textId="142609CD">
      <w:pPr>
        <w:pStyle w:val="Normal"/>
      </w:pPr>
      <w:r w:rsidR="6B7AEDA5">
        <w:rPr/>
        <w:t>Another vital aspect of the reform is the consideration of mitigating factors and defen</w:t>
      </w:r>
      <w:r w:rsidR="757B6EE1">
        <w:rPr/>
        <w:t>c</w:t>
      </w:r>
      <w:r w:rsidR="6B7AEDA5">
        <w:rPr/>
        <w:t xml:space="preserve">es. The proposed reforms </w:t>
      </w:r>
      <w:bookmarkStart w:name="_Int_1GXTikMz" w:id="811580661"/>
      <w:r w:rsidR="6B7AEDA5">
        <w:rPr/>
        <w:t>recognizes</w:t>
      </w:r>
      <w:bookmarkEnd w:id="811580661"/>
      <w:r w:rsidR="6B7AEDA5">
        <w:rPr/>
        <w:t xml:space="preserve"> the importance of </w:t>
      </w:r>
      <w:bookmarkStart w:name="_Int_noyYhNBC" w:id="171025415"/>
      <w:r w:rsidR="6B7AEDA5">
        <w:rPr/>
        <w:t>taking into account</w:t>
      </w:r>
      <w:bookmarkEnd w:id="171025415"/>
      <w:r w:rsidR="6B7AEDA5">
        <w:rPr/>
        <w:t xml:space="preserve"> a wide range of circumstances when assessing culpability and determining </w:t>
      </w:r>
      <w:r w:rsidR="6B7AEDA5">
        <w:rPr/>
        <w:t>appropriate penalties</w:t>
      </w:r>
      <w:r w:rsidR="6B7AEDA5">
        <w:rPr/>
        <w:t xml:space="preserve">. This includes factors such as provocation, diminished responsibility, and </w:t>
      </w:r>
      <w:r w:rsidR="6B7AEDA5">
        <w:rPr/>
        <w:t>self-defen</w:t>
      </w:r>
      <w:r w:rsidR="343646C7">
        <w:rPr/>
        <w:t>c</w:t>
      </w:r>
      <w:r w:rsidR="6B7AEDA5">
        <w:rPr/>
        <w:t>e</w:t>
      </w:r>
      <w:r w:rsidR="6B7AEDA5">
        <w:rPr/>
        <w:t>. By affording greater recognition to these aspects, the reformed law aims to ensure that justice is proportionate and tailored to the specific circumstances of each case, fostering fairness and accuracy in the legal process.</w:t>
      </w:r>
    </w:p>
    <w:p xmlns:wp14="http://schemas.microsoft.com/office/word/2010/wordml" w:rsidP="7E181FC5" w14:paraId="66CF7D41" wp14:textId="4115B62B">
      <w:pPr>
        <w:pStyle w:val="Normal"/>
      </w:pPr>
      <w:r w:rsidR="6B7AEDA5">
        <w:rPr/>
        <w:t xml:space="preserve">Moreover, there is the need for introducing a hierarchy of mental states for murder, differentiating between </w:t>
      </w:r>
      <w:bookmarkStart w:name="_Int_gIRBEqad" w:id="1077626548"/>
      <w:r w:rsidR="6B7AEDA5">
        <w:rPr/>
        <w:t>different levels</w:t>
      </w:r>
      <w:bookmarkEnd w:id="1077626548"/>
      <w:r w:rsidR="6B7AEDA5">
        <w:rPr/>
        <w:t xml:space="preserve"> of </w:t>
      </w:r>
      <w:r w:rsidR="1DE19FD7">
        <w:rPr/>
        <w:t>intention (</w:t>
      </w:r>
      <w:r w:rsidR="6B7AEDA5">
        <w:rPr/>
        <w:t xml:space="preserve">Wilson, 2007). The proponents of this argues that the current law </w:t>
      </w:r>
      <w:r w:rsidR="6B7AEDA5">
        <w:rPr/>
        <w:t>fails to</w:t>
      </w:r>
      <w:r w:rsidR="6B7AEDA5">
        <w:rPr/>
        <w:t xml:space="preserve"> adequately distinguish between varying degrees of intention</w:t>
      </w:r>
      <w:r w:rsidR="6B7AEDA5">
        <w:rPr/>
        <w:t xml:space="preserve">.  </w:t>
      </w:r>
      <w:r w:rsidR="6B7AEDA5">
        <w:rPr/>
        <w:t xml:space="preserve">This would allow for more nuanced judgments and </w:t>
      </w:r>
      <w:r w:rsidR="6B7AEDA5">
        <w:rPr/>
        <w:t>appropriate sentencing</w:t>
      </w:r>
      <w:r w:rsidR="6B7AEDA5">
        <w:rPr/>
        <w:t xml:space="preserve"> based on the offender's state of mind. This approach aligns with the principle of proportionality in criminal sentencing, ensuring that offenders are held accountable based on the level of culpability they </w:t>
      </w:r>
      <w:r w:rsidR="6B7AEDA5">
        <w:rPr/>
        <w:t>demonstrate</w:t>
      </w:r>
      <w:r w:rsidR="6B7AEDA5">
        <w:rPr/>
        <w:t>.</w:t>
      </w:r>
    </w:p>
    <w:p xmlns:wp14="http://schemas.microsoft.com/office/word/2010/wordml" w:rsidP="7E181FC5" w14:paraId="6B81357E" wp14:textId="3F043339">
      <w:pPr>
        <w:pStyle w:val="Normal"/>
      </w:pPr>
      <w:r w:rsidR="6B7AEDA5">
        <w:rPr/>
        <w:t xml:space="preserve">Another reform that can be </w:t>
      </w:r>
      <w:r w:rsidR="59D2376A">
        <w:rPr/>
        <w:t>affected</w:t>
      </w:r>
      <w:r w:rsidR="6B7AEDA5">
        <w:rPr/>
        <w:t xml:space="preserve"> is the reclassification of the offen</w:t>
      </w:r>
      <w:r w:rsidR="641CF6C5">
        <w:rPr/>
        <w:t>c</w:t>
      </w:r>
      <w:r w:rsidR="6B7AEDA5">
        <w:rPr/>
        <w:t xml:space="preserve">e of </w:t>
      </w:r>
      <w:r w:rsidR="1A627830">
        <w:rPr/>
        <w:t>manslaughter (</w:t>
      </w:r>
      <w:r w:rsidR="6B7AEDA5">
        <w:rPr/>
        <w:t xml:space="preserve">Wilson, 2006). This involves creating distinct categories to differentiate offenses, such as gross negligence manslaughter and reckless manslaughter, ensuring that offenders are charged </w:t>
      </w:r>
      <w:bookmarkStart w:name="_Int_Kw2lpRfe" w:id="513623390"/>
      <w:r w:rsidR="6B7AEDA5">
        <w:rPr/>
        <w:t>appropriately</w:t>
      </w:r>
      <w:bookmarkEnd w:id="513623390"/>
      <w:r w:rsidR="6B7AEDA5">
        <w:rPr/>
        <w:t xml:space="preserve"> and the gravity of the offen</w:t>
      </w:r>
      <w:r w:rsidR="7933A015">
        <w:rPr/>
        <w:t>c</w:t>
      </w:r>
      <w:r w:rsidR="6B7AEDA5">
        <w:rPr/>
        <w:t xml:space="preserve">e is duly recognized. The rationale behind the proposal is the current law does not adequately differentiate between </w:t>
      </w:r>
      <w:bookmarkStart w:name="_Int_kK8EEUkl" w:id="1046739096"/>
      <w:r w:rsidR="6B7AEDA5">
        <w:rPr/>
        <w:t>various types</w:t>
      </w:r>
      <w:bookmarkEnd w:id="1046739096"/>
      <w:r w:rsidR="6B7AEDA5">
        <w:rPr/>
        <w:t xml:space="preserve"> of manslaughter offen</w:t>
      </w:r>
      <w:r w:rsidR="6B18E11B">
        <w:rPr/>
        <w:t>c</w:t>
      </w:r>
      <w:r w:rsidR="6B7AEDA5">
        <w:rPr/>
        <w:t xml:space="preserve">es. This reform aims to enhance clarity and consistency in the application of the law while reflecting the varying levels of culpability associated with </w:t>
      </w:r>
      <w:bookmarkStart w:name="_Int_Is7C9BLh" w:id="1715693888"/>
      <w:r w:rsidR="6B7AEDA5">
        <w:rPr/>
        <w:t>different types</w:t>
      </w:r>
      <w:bookmarkEnd w:id="1715693888"/>
      <w:r w:rsidR="6B7AEDA5">
        <w:rPr/>
        <w:t xml:space="preserve"> of manslaughter.</w:t>
      </w:r>
    </w:p>
    <w:p xmlns:wp14="http://schemas.microsoft.com/office/word/2010/wordml" w:rsidP="7E181FC5" w14:paraId="1505867B" wp14:textId="10A5A393">
      <w:pPr>
        <w:pStyle w:val="Normal"/>
      </w:pPr>
      <w:r w:rsidR="6B7AEDA5">
        <w:rPr/>
        <w:t xml:space="preserve">The government has accepted some proposals for reform, such as the restructuring of the </w:t>
      </w:r>
      <w:r w:rsidR="405A20BA">
        <w:rPr/>
        <w:t>defence</w:t>
      </w:r>
      <w:r w:rsidR="6B7AEDA5">
        <w:rPr/>
        <w:t xml:space="preserve"> of "loss of control" and the reclassification of manslaughter offenses. These reforms aim to address some of the existing issues and improve the overall fairness and effectiveness of the law.</w:t>
      </w:r>
    </w:p>
    <w:p xmlns:wp14="http://schemas.microsoft.com/office/word/2010/wordml" w:rsidP="7E181FC5" w14:paraId="5DBF5913" wp14:textId="62BC6148">
      <w:pPr>
        <w:pStyle w:val="Normal"/>
      </w:pPr>
      <w:r w:rsidR="6B7AEDA5">
        <w:rPr/>
        <w:t xml:space="preserve">However, the government has also rejected certain proposals. This may be due to concerns about potential unintended consequences or the need for further consideration. The decision to accept or reject reform proposals is a complex process influenced by </w:t>
      </w:r>
      <w:bookmarkStart w:name="_Int_XEBWy3sh" w:id="783575545"/>
      <w:r w:rsidR="6B7AEDA5">
        <w:rPr/>
        <w:t>various factors</w:t>
      </w:r>
      <w:bookmarkEnd w:id="783575545"/>
      <w:r w:rsidR="6B7AEDA5">
        <w:rPr/>
        <w:t>, including legal, social, and political considerations.</w:t>
      </w:r>
    </w:p>
    <w:p xmlns:wp14="http://schemas.microsoft.com/office/word/2010/wordml" w:rsidP="7E181FC5" w14:paraId="455C26BD" wp14:textId="1C5E36D8">
      <w:pPr>
        <w:pStyle w:val="Normal"/>
      </w:pPr>
      <w:r w:rsidR="6B7AEDA5">
        <w:rPr/>
        <w:t>Opponents of reform argue that the existing law provides a necessary balance between the interest of justice, deterrence, and public safety. They contend that any changes to the law governing homicide may lead to uncertainty, undermine the principles of the common law, and weaken the deterrence factor associated with murder charges.</w:t>
      </w:r>
    </w:p>
    <w:p xmlns:wp14="http://schemas.microsoft.com/office/word/2010/wordml" w:rsidP="7E181FC5" w14:paraId="0526E968" wp14:textId="4F23516F">
      <w:pPr>
        <w:pStyle w:val="Normal"/>
      </w:pPr>
      <w:r w:rsidR="6B7AEDA5">
        <w:rPr/>
        <w:t xml:space="preserve">Moreover, some argue that the proposed reforms, such as the introduction of a hierarchy of mental states, may complicate the legal process and burden the judiciary with additional complexities. Concerns about potential subjective interpretations and difficulties in proving specific mental states are also raised as arguments against reform. </w:t>
      </w:r>
    </w:p>
    <w:p xmlns:wp14="http://schemas.microsoft.com/office/word/2010/wordml" w:rsidP="7E181FC5" w14:paraId="0573ED42" wp14:textId="6EA64B30">
      <w:pPr>
        <w:pStyle w:val="Normal"/>
      </w:pPr>
      <w:r w:rsidR="6B7AEDA5">
        <w:rPr/>
        <w:t>In conclusion, the law governing homicide in England and Wales is indeed in dire need of reform. The existing law's outdated nature and lack of clarity have created significant issues, including limited scope for partial defences, controversies surrounding intent requirements, and broad categorization of manslaughter offenses. The proposals for reform put forward by the Law Commission and other relevant bodies offer potential solutions to address these issues and improve the fairness and effectiveness of the law. While the government's acceptance of some proposals is commendable, further consideration should be given to those rejected, ensuring that reforms strike the right balance between justice, legal certainty, and public safety.</w:t>
      </w:r>
    </w:p>
    <w:p xmlns:wp14="http://schemas.microsoft.com/office/word/2010/wordml" w:rsidP="7E181FC5" w14:paraId="1EFAF663" wp14:textId="1995F99B">
      <w:pPr>
        <w:pStyle w:val="Normal"/>
      </w:pPr>
      <w:r>
        <w:br/>
      </w:r>
    </w:p>
    <w:p xmlns:wp14="http://schemas.microsoft.com/office/word/2010/wordml" w:rsidP="7E181FC5" w14:paraId="306EE0E7" wp14:textId="5B1BD249">
      <w:pPr>
        <w:pStyle w:val="Normal"/>
      </w:pPr>
      <w:r>
        <w:br/>
      </w:r>
    </w:p>
    <w:p xmlns:wp14="http://schemas.microsoft.com/office/word/2010/wordml" w:rsidP="7E181FC5" w14:paraId="52482F2A" wp14:textId="22F370B8">
      <w:pPr>
        <w:pStyle w:val="Normal"/>
      </w:pPr>
      <w:r>
        <w:br/>
      </w:r>
    </w:p>
    <w:p xmlns:wp14="http://schemas.microsoft.com/office/word/2010/wordml" w:rsidP="7E181FC5" w14:paraId="12E13A19" wp14:textId="14667E43">
      <w:pPr>
        <w:pStyle w:val="Normal"/>
      </w:pPr>
      <w:r>
        <w:br/>
      </w:r>
    </w:p>
    <w:p xmlns:wp14="http://schemas.microsoft.com/office/word/2010/wordml" w:rsidP="7E181FC5" w14:paraId="33AC8A27" wp14:textId="3B52F749">
      <w:pPr>
        <w:pStyle w:val="Normal"/>
      </w:pPr>
      <w:r>
        <w:br/>
      </w:r>
    </w:p>
    <w:p xmlns:wp14="http://schemas.microsoft.com/office/word/2010/wordml" w:rsidP="7E181FC5" w14:paraId="2AF0DD52" wp14:textId="3D0205E9">
      <w:pPr>
        <w:pStyle w:val="Normal"/>
      </w:pPr>
      <w:r>
        <w:br/>
      </w:r>
    </w:p>
    <w:p xmlns:wp14="http://schemas.microsoft.com/office/word/2010/wordml" w:rsidP="7E181FC5" w14:paraId="2CAAE3E0" wp14:textId="7BD37EC3">
      <w:pPr>
        <w:pStyle w:val="Normal"/>
      </w:pPr>
      <w:r>
        <w:br/>
      </w:r>
    </w:p>
    <w:p xmlns:wp14="http://schemas.microsoft.com/office/word/2010/wordml" w:rsidP="7E181FC5" w14:paraId="681CB8C2" wp14:textId="27E9F7D1">
      <w:pPr>
        <w:pStyle w:val="Normal"/>
      </w:pPr>
      <w:r>
        <w:br/>
      </w:r>
    </w:p>
    <w:p xmlns:wp14="http://schemas.microsoft.com/office/word/2010/wordml" w:rsidP="7E181FC5" w14:paraId="70B016F5" wp14:textId="10CDD291">
      <w:pPr>
        <w:pStyle w:val="Normal"/>
        <w:rPr>
          <w:b w:val="1"/>
          <w:bCs w:val="1"/>
        </w:rPr>
      </w:pPr>
      <w:r w:rsidRPr="7E181FC5" w:rsidR="6B7AEDA5">
        <w:rPr>
          <w:b w:val="1"/>
          <w:bCs w:val="1"/>
        </w:rPr>
        <w:t xml:space="preserve">Reference </w:t>
      </w:r>
      <w:r w:rsidRPr="7E181FC5" w:rsidR="2E709E69">
        <w:rPr>
          <w:b w:val="1"/>
          <w:bCs w:val="1"/>
        </w:rPr>
        <w:t>List:</w:t>
      </w:r>
    </w:p>
    <w:p xmlns:wp14="http://schemas.microsoft.com/office/word/2010/wordml" w:rsidP="7E181FC5" w14:paraId="712F8A17" wp14:textId="669CD67C">
      <w:pPr>
        <w:pStyle w:val="Normal"/>
      </w:pPr>
      <w:r w:rsidR="6B7AEDA5">
        <w:rPr/>
        <w:t>Allen, M.J. and Edwards, I. (2021) ‘9. Homicide</w:t>
      </w:r>
      <w:bookmarkStart w:name="_Int_2kV7WpQc" w:id="191817539"/>
      <w:r w:rsidR="6B7AEDA5">
        <w:rPr/>
        <w:t>’,</w:t>
      </w:r>
      <w:bookmarkEnd w:id="191817539"/>
      <w:r w:rsidR="6B7AEDA5">
        <w:rPr/>
        <w:t xml:space="preserve"> in </w:t>
      </w:r>
      <w:r w:rsidR="6B7AEDA5">
        <w:rPr/>
        <w:t>Criminal Law</w:t>
      </w:r>
      <w:r w:rsidR="6B7AEDA5">
        <w:rPr/>
        <w:t>, pp. 360–420. Available at: https://doi.org/10.1093/he/9780198869931.003.0009.</w:t>
      </w:r>
    </w:p>
    <w:p xmlns:wp14="http://schemas.microsoft.com/office/word/2010/wordml" w:rsidP="7E181FC5" w14:paraId="56D8989D" wp14:textId="0540A592">
      <w:pPr>
        <w:pStyle w:val="Normal"/>
      </w:pPr>
      <w:r w:rsidR="6B7AEDA5">
        <w:rPr/>
        <w:t xml:space="preserve">Crofts, T. and Wake, N. (2021) ‘Diminished responsibility determinations in England and Wales and New South Wales: whose role is it anyway?’, </w:t>
      </w:r>
      <w:r w:rsidR="6B7AEDA5">
        <w:rPr/>
        <w:t>Northern Ireland Legal Quarterly</w:t>
      </w:r>
      <w:r w:rsidR="6B7AEDA5">
        <w:rPr/>
        <w:t>, 72(2). Available at: https://doi.org/10.53386/nilq.v72i2.874.</w:t>
      </w:r>
    </w:p>
    <w:p xmlns:wp14="http://schemas.microsoft.com/office/word/2010/wordml" w:rsidP="7E181FC5" w14:paraId="3A273758" wp14:textId="4DAB0346">
      <w:pPr>
        <w:pStyle w:val="Normal"/>
      </w:pPr>
      <w:r w:rsidR="6B7AEDA5">
        <w:rPr/>
        <w:t xml:space="preserve">Crosby, C. (2020) ‘Gross Negligence Manslaughter Revisited: Time for a Change of Direction?’, </w:t>
      </w:r>
      <w:r w:rsidR="6B7AEDA5">
        <w:rPr/>
        <w:t>Journal of Criminal Law</w:t>
      </w:r>
      <w:r w:rsidR="6B7AEDA5">
        <w:rPr/>
        <w:t>, 84(3), pp. 228–245. Available at: https://doi.org/10.1177/0022018320926468.</w:t>
      </w:r>
    </w:p>
    <w:p xmlns:wp14="http://schemas.microsoft.com/office/word/2010/wordml" w:rsidP="7E181FC5" w14:paraId="6E5A4023" wp14:textId="2DE6A33D">
      <w:pPr>
        <w:pStyle w:val="Normal"/>
      </w:pPr>
      <w:bookmarkStart w:name="_Int_oPfvPKlG" w:id="1614532557"/>
      <w:r w:rsidR="6B7AEDA5">
        <w:rPr/>
        <w:t>Fitz-Gibbon</w:t>
      </w:r>
      <w:bookmarkEnd w:id="1614532557"/>
      <w:r w:rsidR="6B7AEDA5">
        <w:rPr/>
        <w:t xml:space="preserve">, K. (2013) ‘Replacing Provocation in England and Wales: Examining the Partial Defence of Loss of Control’, </w:t>
      </w:r>
      <w:r w:rsidR="6B7AEDA5">
        <w:rPr/>
        <w:t>Journal of Law and Society</w:t>
      </w:r>
      <w:r w:rsidR="6B7AEDA5">
        <w:rPr/>
        <w:t>, 40(2), pp. 280–305. Available at: https://doi.org/10.1111/j.1467-6478.2013.00623.x.</w:t>
      </w:r>
    </w:p>
    <w:p xmlns:wp14="http://schemas.microsoft.com/office/word/2010/wordml" w:rsidP="7E181FC5" w14:paraId="1B3D88CF" wp14:textId="7242B809">
      <w:pPr>
        <w:pStyle w:val="Normal"/>
      </w:pPr>
      <w:r w:rsidR="6B7AEDA5">
        <w:rPr/>
        <w:t>Herring, J. (2020) ‘7. Homicide I</w:t>
      </w:r>
      <w:bookmarkStart w:name="_Int_5Pco8LHj" w:id="1017558399"/>
      <w:r w:rsidR="6B7AEDA5">
        <w:rPr/>
        <w:t>’,</w:t>
      </w:r>
      <w:bookmarkEnd w:id="1017558399"/>
      <w:r w:rsidR="6B7AEDA5">
        <w:rPr/>
        <w:t xml:space="preserve"> in </w:t>
      </w:r>
      <w:r w:rsidR="6B7AEDA5">
        <w:rPr/>
        <w:t>Criminal Law Concentrate</w:t>
      </w:r>
      <w:r w:rsidR="6B7AEDA5">
        <w:rPr/>
        <w:t>, pp. 81–92. Available at: https://doi.org/10.1093/he/9780198854982.003.0007.</w:t>
      </w:r>
    </w:p>
    <w:p xmlns:wp14="http://schemas.microsoft.com/office/word/2010/wordml" w:rsidP="7E181FC5" w14:paraId="72BA3E04" wp14:textId="63BF8362">
      <w:pPr>
        <w:pStyle w:val="Normal"/>
      </w:pPr>
      <w:r w:rsidR="6B7AEDA5">
        <w:rPr/>
        <w:t>Homicide Act, 1957</w:t>
      </w:r>
    </w:p>
    <w:p xmlns:wp14="http://schemas.microsoft.com/office/word/2010/wordml" w:rsidP="7E181FC5" w14:paraId="40614224" wp14:textId="45E25E92">
      <w:pPr>
        <w:pStyle w:val="Normal"/>
      </w:pPr>
      <w:r w:rsidR="6B7AEDA5">
        <w:rPr/>
        <w:t xml:space="preserve">Law </w:t>
      </w:r>
      <w:r w:rsidR="6B7AEDA5">
        <w:rPr/>
        <w:t>Comm</w:t>
      </w:r>
      <w:r w:rsidR="001B06F0">
        <w:rPr/>
        <w:t>i</w:t>
      </w:r>
      <w:r w:rsidR="6B7AEDA5">
        <w:rPr/>
        <w:t>ssion</w:t>
      </w:r>
      <w:r w:rsidR="6B7AEDA5">
        <w:rPr/>
        <w:t xml:space="preserve"> Consultation Paper No 177, 2005</w:t>
      </w:r>
    </w:p>
    <w:p xmlns:wp14="http://schemas.microsoft.com/office/word/2010/wordml" w:rsidP="7E181FC5" w14:paraId="6821FFF5" wp14:textId="26A20DD8">
      <w:pPr>
        <w:pStyle w:val="Normal"/>
      </w:pPr>
      <w:r w:rsidR="6B7AEDA5">
        <w:rPr/>
        <w:t xml:space="preserve">Leigh, G. (2017) ‘Deconstructing Unlawful Act Manslaughter’, </w:t>
      </w:r>
      <w:r w:rsidR="6B7AEDA5">
        <w:rPr/>
        <w:t>Journal of Criminal Law</w:t>
      </w:r>
      <w:r w:rsidR="6B7AEDA5">
        <w:rPr/>
        <w:t>, 81(2), pp. 112–124. Available at: https://doi.org/10.1177/0022018317694716.</w:t>
      </w:r>
    </w:p>
    <w:p xmlns:wp14="http://schemas.microsoft.com/office/word/2010/wordml" w:rsidP="7E181FC5" w14:paraId="1222003E" wp14:textId="59A1D7D3">
      <w:pPr>
        <w:pStyle w:val="Normal"/>
      </w:pPr>
      <w:r w:rsidR="6B7AEDA5">
        <w:rPr/>
        <w:t>Monaghan, N. (2020) ‘5. Murder and voluntary manslaughter</w:t>
      </w:r>
      <w:bookmarkStart w:name="_Int_jz67Kkkb" w:id="1694428178"/>
      <w:r w:rsidR="6B7AEDA5">
        <w:rPr/>
        <w:t>’,</w:t>
      </w:r>
      <w:bookmarkEnd w:id="1694428178"/>
      <w:r w:rsidR="6B7AEDA5">
        <w:rPr/>
        <w:t xml:space="preserve"> in </w:t>
      </w:r>
      <w:r w:rsidR="6B7AEDA5">
        <w:rPr/>
        <w:t>Criminal Law Directions</w:t>
      </w:r>
      <w:r w:rsidR="6B7AEDA5">
        <w:rPr/>
        <w:t>, pp. 99–132. Available at: https://doi.org/10.1093/he/9780198848783.003.0005.</w:t>
      </w:r>
    </w:p>
    <w:p xmlns:wp14="http://schemas.microsoft.com/office/word/2010/wordml" w:rsidP="7E181FC5" w14:paraId="44F7ABF7" wp14:textId="1A8E341E">
      <w:pPr>
        <w:pStyle w:val="Normal"/>
      </w:pPr>
      <w:r w:rsidR="6B7AEDA5">
        <w:rPr/>
        <w:t xml:space="preserve">Quick, O. and Wells, C. (2012) ‘Partial reform of partial defences: Developments in England and Wales’, </w:t>
      </w:r>
      <w:r w:rsidR="6B7AEDA5">
        <w:rPr/>
        <w:t>Australian and New Zealand Journal of Criminology</w:t>
      </w:r>
      <w:r w:rsidR="6B7AEDA5">
        <w:rPr/>
        <w:t>, 45(3), pp. 337–350. Available at: https://doi.org/10.1177/0004865812456856.</w:t>
      </w:r>
    </w:p>
    <w:p xmlns:wp14="http://schemas.microsoft.com/office/word/2010/wordml" w:rsidP="7E181FC5" w14:paraId="7F600225" wp14:textId="586BD55D">
      <w:pPr>
        <w:pStyle w:val="Normal"/>
      </w:pPr>
      <w:r w:rsidR="6B7AEDA5">
        <w:rPr/>
        <w:t xml:space="preserve">Reed, A. </w:t>
      </w:r>
      <w:r w:rsidR="6B7AEDA5">
        <w:rPr/>
        <w:t>et al.</w:t>
      </w:r>
      <w:r w:rsidR="6B7AEDA5">
        <w:rPr/>
        <w:t xml:space="preserve"> (2018) </w:t>
      </w:r>
      <w:r w:rsidR="6B7AEDA5">
        <w:rPr/>
        <w:t>Homicide in criminal law: A research companion</w:t>
      </w:r>
      <w:r w:rsidR="6B7AEDA5">
        <w:rPr/>
        <w:t xml:space="preserve">, </w:t>
      </w:r>
      <w:r w:rsidR="6B7AEDA5">
        <w:rPr/>
        <w:t>Homicide in Criminal Law: A Research Companion</w:t>
      </w:r>
      <w:r w:rsidR="6B7AEDA5">
        <w:rPr/>
        <w:t>. Available at: https://doi.org/10.4324/9781351016315.</w:t>
      </w:r>
    </w:p>
    <w:p xmlns:wp14="http://schemas.microsoft.com/office/word/2010/wordml" w:rsidP="7E181FC5" w14:paraId="4FAD782A" wp14:textId="4E73D2ED">
      <w:pPr>
        <w:pStyle w:val="Normal"/>
      </w:pPr>
      <w:r w:rsidR="6B7AEDA5">
        <w:rPr/>
        <w:t>R v Woollin [1999] AC 82 HL</w:t>
      </w:r>
    </w:p>
    <w:p xmlns:wp14="http://schemas.microsoft.com/office/word/2010/wordml" w:rsidP="7E181FC5" w14:paraId="7447F0EE" wp14:textId="65046EDD">
      <w:pPr>
        <w:pStyle w:val="Normal"/>
      </w:pPr>
      <w:r w:rsidR="6B7AEDA5">
        <w:rPr/>
        <w:t xml:space="preserve">Stark, F. (2017) ‘Reckless Manslaughter’, </w:t>
      </w:r>
      <w:r w:rsidR="6B7AEDA5">
        <w:rPr/>
        <w:t>The Criminal Law Review</w:t>
      </w:r>
      <w:r w:rsidR="6B7AEDA5">
        <w:rPr/>
        <w:t>, (10), p. 763. Available at: http://ezproxy.tees.ac.uk/docview/1981040993?accountid=14650%0Ahttp://rf3mf3dz3g.search.serialssolutions.com/directLink?&amp;atitle=Reckless+Manslaughter&amp;author=Stark%2C+Findlay&amp;issn=0011135X&amp;title=The+Criminal+Law+Review&amp;volume=&amp;issue=10&amp;date=2017-10-01&amp;spag.</w:t>
      </w:r>
    </w:p>
    <w:p xmlns:wp14="http://schemas.microsoft.com/office/word/2010/wordml" w:rsidP="7E181FC5" w14:paraId="390E6AFB" wp14:textId="21F99DAD">
      <w:pPr>
        <w:pStyle w:val="Normal"/>
      </w:pPr>
      <w:r w:rsidR="6B7AEDA5">
        <w:rPr/>
        <w:t xml:space="preserve">Wilson, W. (2006) ‘The structure of criminal homicide’, </w:t>
      </w:r>
      <w:r w:rsidR="6B7AEDA5">
        <w:rPr/>
        <w:t>Criminal Law Review</w:t>
      </w:r>
      <w:r w:rsidR="6B7AEDA5">
        <w:rPr/>
        <w:t>, pp. 471–485.</w:t>
      </w:r>
    </w:p>
    <w:p xmlns:wp14="http://schemas.microsoft.com/office/word/2010/wordml" w:rsidP="7E181FC5" w14:paraId="49F400B4" wp14:textId="4C1F1BB0">
      <w:pPr>
        <w:pStyle w:val="Normal"/>
      </w:pPr>
      <w:r w:rsidR="6B7AEDA5">
        <w:rPr/>
        <w:t xml:space="preserve">Wilson, W. (2007) ‘What’s wrong with murder?’, </w:t>
      </w:r>
      <w:r w:rsidR="6B7AEDA5">
        <w:rPr/>
        <w:t>Criminal Law and Philosophy</w:t>
      </w:r>
      <w:r w:rsidR="6B7AEDA5">
        <w:rPr/>
        <w:t>, 1(2), pp. 157–177. Available at: https://doi.org/10.1007/s11572-006-9017-7.</w:t>
      </w:r>
    </w:p>
    <w:p xmlns:wp14="http://schemas.microsoft.com/office/word/2010/wordml" w:rsidP="7E181FC5" w14:paraId="4FDD0664" wp14:textId="105EA44C">
      <w:pPr>
        <w:pStyle w:val="Normal"/>
      </w:pPr>
      <w:r>
        <w:br/>
      </w:r>
    </w:p>
    <w:p xmlns:wp14="http://schemas.microsoft.com/office/word/2010/wordml" w:rsidP="7E181FC5" w14:paraId="2E886BDE" wp14:textId="670F55C2">
      <w:pPr>
        <w:pStyle w:val="Normal"/>
      </w:pPr>
      <w:r>
        <w:br/>
      </w:r>
    </w:p>
    <w:p xmlns:wp14="http://schemas.microsoft.com/office/word/2010/wordml" w:rsidP="7E181FC5" w14:paraId="1E961F05" wp14:textId="50099B84">
      <w:pPr>
        <w:pStyle w:val="Normal"/>
      </w:pPr>
      <w:r>
        <w:br/>
      </w:r>
    </w:p>
    <w:p xmlns:wp14="http://schemas.microsoft.com/office/word/2010/wordml" w:rsidP="7E181FC5" w14:paraId="236F6147" wp14:textId="13E13940">
      <w:pPr>
        <w:pStyle w:val="Normal"/>
      </w:pPr>
      <w:r>
        <w:br/>
      </w:r>
    </w:p>
    <w:p xmlns:wp14="http://schemas.microsoft.com/office/word/2010/wordml" w:rsidP="7E181FC5" w14:paraId="38752397" wp14:textId="0970DAC1">
      <w:pPr>
        <w:pStyle w:val="Normal"/>
      </w:pPr>
      <w:r>
        <w:br/>
      </w:r>
    </w:p>
    <w:p xmlns:wp14="http://schemas.microsoft.com/office/word/2010/wordml" w:rsidP="7E181FC5" w14:paraId="48C49E45" wp14:textId="0A441043">
      <w:pPr>
        <w:pStyle w:val="Normal"/>
      </w:pPr>
      <w:r>
        <w:br/>
      </w:r>
    </w:p>
    <w:p xmlns:wp14="http://schemas.microsoft.com/office/word/2010/wordml" w:rsidP="7E181FC5" w14:paraId="035164EF" wp14:textId="2B036B94">
      <w:pPr>
        <w:pStyle w:val="Normal"/>
      </w:pPr>
      <w:r>
        <w:br/>
      </w:r>
    </w:p>
    <w:p xmlns:wp14="http://schemas.microsoft.com/office/word/2010/wordml" w:rsidP="7E181FC5" w14:paraId="787E5C3A" wp14:textId="3ABD651C">
      <w:pPr>
        <w:pStyle w:val="Normal"/>
      </w:pPr>
      <w:r>
        <w:br/>
      </w:r>
    </w:p>
    <w:p xmlns:wp14="http://schemas.microsoft.com/office/word/2010/wordml" w:rsidP="7E181FC5" w14:paraId="34FEE4C3" wp14:textId="47C4B804">
      <w:pPr>
        <w:pStyle w:val="Normal"/>
      </w:pPr>
      <w:r>
        <w:br/>
      </w:r>
    </w:p>
    <w:p xmlns:wp14="http://schemas.microsoft.com/office/word/2010/wordml" w:rsidP="7E181FC5" w14:paraId="157E2811" wp14:textId="68665B7F">
      <w:pPr>
        <w:pStyle w:val="Normal"/>
      </w:pPr>
      <w:r>
        <w:br/>
      </w:r>
    </w:p>
    <w:p xmlns:wp14="http://schemas.microsoft.com/office/word/2010/wordml" w:rsidP="7E181FC5" w14:paraId="5E5787A5" wp14:textId="129E6F1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cg3LDoWBzH+qeT" int2:id="wPYVZZNn">
      <int2:state int2:type="AugLoop_Text_Critique" int2:value="Rejected"/>
    </int2:textHash>
    <int2:textHash int2:hashCode="31Ck6IoW0FCrVK" int2:id="PIXN1Hg1">
      <int2:state int2:type="AugLoop_Text_Critique" int2:value="Rejected"/>
    </int2:textHash>
    <int2:bookmark int2:bookmarkName="_Int_jz67Kkkb" int2:invalidationBookmarkName="" int2:hashCode="NkPdJ9i9g1wpGP" int2:id="vbHiae9X">
      <int2:state int2:type="AugLoop_Text_Critique" int2:value="Rejected"/>
    </int2:bookmark>
    <int2:bookmark int2:bookmarkName="_Int_5Pco8LHj" int2:invalidationBookmarkName="" int2:hashCode="NkPdJ9i9g1wpGP" int2:id="r8RmmfdL">
      <int2:state int2:type="AugLoop_Text_Critique" int2:value="Rejected"/>
    </int2:bookmark>
    <int2:bookmark int2:bookmarkName="_Int_2kV7WpQc" int2:invalidationBookmarkName="" int2:hashCode="NkPdJ9i9g1wpGP" int2:id="hNWLG6Vx">
      <int2:state int2:type="AugLoop_Text_Critique" int2:value="Rejected"/>
    </int2:bookmark>
    <int2:bookmark int2:bookmarkName="_Int_oPfvPKlG" int2:invalidationBookmarkName="" int2:hashCode="ZU/3pM1I+aRNsa" int2:id="J19y7dVa">
      <int2:state int2:type="AugLoop_Text_Critique" int2:value="Rejected"/>
    </int2:bookmark>
    <int2:bookmark int2:bookmarkName="_Int_XEBWy3sh" int2:invalidationBookmarkName="" int2:hashCode="yGt/AajGvtwzLJ" int2:id="6JIgfWTx">
      <int2:state int2:type="AugLoop_Text_Critique" int2:value="Rejected"/>
    </int2:bookmark>
    <int2:bookmark int2:bookmarkName="_Int_tc3DhEFa" int2:invalidationBookmarkName="" int2:hashCode="ZU/3pM1I+aRNsa" int2:id="UAWa6ODk">
      <int2:state int2:type="AugLoop_Text_Critique" int2:value="Rejected"/>
    </int2:bookmark>
    <int2:bookmark int2:bookmarkName="_Int_32PFDvN7" int2:invalidationBookmarkName="" int2:hashCode="Ev8QDwEizIhDbs" int2:id="ekEJx1na">
      <int2:state int2:type="AugLoop_Text_Critique" int2:value="Rejected"/>
    </int2:bookmark>
    <int2:bookmark int2:bookmarkName="_Int_noyYhNBC" int2:invalidationBookmarkName="" int2:hashCode="yIxiwsoLtgKuGw" int2:id="BMQhXJ9O">
      <int2:state int2:type="AugLoop_Text_Critique" int2:value="Rejected"/>
    </int2:bookmark>
    <int2:bookmark int2:bookmarkName="_Int_gIRBEqad" int2:invalidationBookmarkName="" int2:hashCode="m3n1N4djUgoncb" int2:id="mChJ8JDp">
      <int2:state int2:type="AugLoop_Text_Critique" int2:value="Rejected"/>
    </int2:bookmark>
    <int2:bookmark int2:bookmarkName="_Int_Is7C9BLh" int2:invalidationBookmarkName="" int2:hashCode="waH4Rjwlr2owYL" int2:id="wPv5O8Uj">
      <int2:state int2:type="AugLoop_Text_Critique" int2:value="Rejected"/>
    </int2:bookmark>
    <int2:bookmark int2:bookmarkName="_Int_Kw2lpRfe" int2:invalidationBookmarkName="" int2:hashCode="yEU/kszw/+zCNU" int2:id="0IlaDKWv">
      <int2:state int2:type="AugLoop_Text_Critique" int2:value="Rejected"/>
    </int2:bookmark>
    <int2:bookmark int2:bookmarkName="_Int_kK8EEUkl" int2:invalidationBookmarkName="" int2:hashCode="n1MWLRd07Xysr7" int2:id="WcKUujVL">
      <int2:state int2:type="AugLoop_Text_Critique" int2:value="Rejected"/>
    </int2:bookmark>
    <int2:bookmark int2:bookmarkName="_Int_1GXTikMz" int2:invalidationBookmarkName="" int2:hashCode="qbQf12DjypAwir" int2:id="zEE0jqs9">
      <int2:state int2:type="AugLoop_Text_Critique" int2:value="Rejected"/>
    </int2:bookmark>
    <int2:bookmark int2:bookmarkName="_Int_CT3UMdtT" int2:invalidationBookmarkName="" int2:hashCode="Ev8QDwEizIhDbs" int2:id="zSAdz5GM">
      <int2:state int2:type="AugLoop_Text_Critique" int2:value="Rejected"/>
    </int2:bookmark>
    <int2:bookmark int2:bookmarkName="_Int_S50eJUuw" int2:invalidationBookmarkName="" int2:hashCode="gWh1EFI+DWB6w3" int2:id="oLYg2wAK">
      <int2:state int2:type="AugLoop_Text_Critique" int2:value="Rejected"/>
    </int2:bookmark>
    <int2:bookmark int2:bookmarkName="_Int_S7x5nLon" int2:invalidationBookmarkName="" int2:hashCode="jO6X/7nD3RSr2G" int2:id="rvuVrPwF">
      <int2:state int2:type="AugLoop_Text_Critique" int2:value="Rejected"/>
    </int2:bookmark>
    <int2:bookmark int2:bookmarkName="_Int_nagUL77X" int2:invalidationBookmarkName="" int2:hashCode="eih6qXR9rbB8d3" int2:id="1l1BtryW">
      <int2:state int2:type="AugLoop_Text_Critique" int2:value="Rejected"/>
    </int2:bookmark>
    <int2:bookmark int2:bookmarkName="_Int_kvaWWD5Y" int2:invalidationBookmarkName="" int2:hashCode="rujDfUoCgKOuGv" int2:id="Wqot9FdW">
      <int2:state int2:type="AugLoop_Text_Critique" int2:value="Rejected"/>
    </int2:bookmark>
    <int2:bookmark int2:bookmarkName="_Int_W6NAaMhr" int2:invalidationBookmarkName="" int2:hashCode="99k6R/sO0Wz/kH" int2:id="fgEiao8b">
      <int2:state int2:type="AugLoop_Text_Critique" int2:value="Rejected"/>
    </int2:bookmark>
    <int2:bookmark int2:bookmarkName="_Int_km9lhVFU" int2:invalidationBookmarkName="" int2:hashCode="jCmKMEh2RM9O54" int2:id="uKHiimwm">
      <int2:state int2:type="AugLoop_Text_Critique" int2:value="Rejected"/>
    </int2:bookmark>
    <int2:entireDocument int2:id="ANKt0M1H">
      <int2:extLst>
        <oel:ext uri="E302BA01-7950-474C-9AD3-286E660C40A8">
          <int2:similaritySummary int2:version="1" int2:runId="1688684656362" int2:tilesCheckedInThisRun="37" int2:totalNumOfTiles="37" int2:similarityAnnotationCount="0" int2:numWords="1855" int2:numFlaggedWords="0"/>
        </oel:ext>
      </int2:extLst>
    </int2:entireDocument>
  </int2:observations>
  <int2:intelligenceSettings/>
  <int2:onDemandWorkflows>
    <int2:onDemandWorkflow int2:type="SimilarityCheck" int2:paragraphVersions="2FDC492B-78ECE2B8 685FEBE9-1896D8F8 28F4A671-43835E89 564A27F8-34768317 717BB0B9-00EF3328 6115817C-18E6B8F3 0FF48741-5820310A 5D674D74-5C600BF9 0D3C45D3-39066332 059F5EDE-2A101F27 2D4F35DC-39AC2B1A 72FFE437-18E46127 2E455B92-7E2FC068 09228B0D-30234FC3 69010A95-142609CD 66CF7D41-4115B62B 6B81357E-3F043339 1505867B-10A5A393 5DBF5913-62BC6148 455C26BD-1C5E36D8 0526E968-4F23516F 0573ED42-6EA64B30 1EFAF663-1995F99B 306EE0E7-5B1BD249 52482F2A-22F370B8 12E13A19-14667E43 33AC8A27-3B52F749 2AF0DD52-3D0205E9 2CAAE3E0-7BD37EC3 681CB8C2-27E9F7D1 70B016F5-457751F8 712F8A17-669CD67C 56D8989D-0540A592 3A273758-4DAB0346 6E5A4023-2DE6A33D 1B3D88CF-7242B809 72BA3E04-63BF8362 40614224-45E25E92 6821FFF5-26A20DD8 1222003E-59A1D7D3 44F7ABF7-1A8E341E 7F600225-586BD55D 4FAD782A-4E73D2ED 7447F0EE-65046EDD 390E6AFB-21F99DAD 49F400B4-4C1F1BB0 4FDD0664-105EA44C 2E886BDE-670F55C2 1E961F05-50099B84 236F6147-13E13940 38752397-0970DAC1 48C49E45-0A441043 035164EF-2B036B94 787E5C3A-3ABD651C 34FEE4C3-47C4B804 157E2811-68665B7F 5E5787A5-129E6F1E"/>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64D98F"/>
    <w:rsid w:val="001B06F0"/>
    <w:rsid w:val="020B8086"/>
    <w:rsid w:val="039B8BDD"/>
    <w:rsid w:val="07B2E726"/>
    <w:rsid w:val="1164D98F"/>
    <w:rsid w:val="13CC61A0"/>
    <w:rsid w:val="1A627830"/>
    <w:rsid w:val="1DE19FD7"/>
    <w:rsid w:val="23F1124D"/>
    <w:rsid w:val="258CE2AE"/>
    <w:rsid w:val="28A3CA4E"/>
    <w:rsid w:val="2E709E69"/>
    <w:rsid w:val="337CECE8"/>
    <w:rsid w:val="34073617"/>
    <w:rsid w:val="343646C7"/>
    <w:rsid w:val="36FEB307"/>
    <w:rsid w:val="37D59DD8"/>
    <w:rsid w:val="37E3D6F2"/>
    <w:rsid w:val="403DABB1"/>
    <w:rsid w:val="405A20BA"/>
    <w:rsid w:val="4415D537"/>
    <w:rsid w:val="4693C4D8"/>
    <w:rsid w:val="4693C4D8"/>
    <w:rsid w:val="490E01F4"/>
    <w:rsid w:val="49CB659A"/>
    <w:rsid w:val="4CBE62BB"/>
    <w:rsid w:val="4CBE62BB"/>
    <w:rsid w:val="51575FA9"/>
    <w:rsid w:val="5299969F"/>
    <w:rsid w:val="55F6B076"/>
    <w:rsid w:val="59D2376A"/>
    <w:rsid w:val="59E976EA"/>
    <w:rsid w:val="5BBD92FE"/>
    <w:rsid w:val="5D2117AC"/>
    <w:rsid w:val="5D64DFAB"/>
    <w:rsid w:val="6013B8CF"/>
    <w:rsid w:val="641CF6C5"/>
    <w:rsid w:val="67E9F3CE"/>
    <w:rsid w:val="6B18E11B"/>
    <w:rsid w:val="6B7AEDA5"/>
    <w:rsid w:val="742DDE26"/>
    <w:rsid w:val="757B6EE1"/>
    <w:rsid w:val="77CE5E2D"/>
    <w:rsid w:val="78A22B62"/>
    <w:rsid w:val="7933A015"/>
    <w:rsid w:val="793B6056"/>
    <w:rsid w:val="793EF1C0"/>
    <w:rsid w:val="7C730118"/>
    <w:rsid w:val="7D05BE96"/>
    <w:rsid w:val="7E181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4D98F"/>
  <w15:chartTrackingRefBased/>
  <w15:docId w15:val="{A84AC5AF-0F8F-4478-B221-19F626831E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f59edd0400d43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Sajid Khan (2229444)</dc:creator>
  <keywords/>
  <dc:description/>
  <lastModifiedBy>Sajid Khan (2229444)</lastModifiedBy>
  <revision>2</revision>
  <dcterms:created xsi:type="dcterms:W3CDTF">2023-07-06T22:54:00.1609021Z</dcterms:created>
  <dcterms:modified xsi:type="dcterms:W3CDTF">2023-07-06T23:05:39.3915892Z</dcterms:modified>
</coreProperties>
</file>