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FBB72" w14:textId="77777777" w:rsidR="00D86431" w:rsidRDefault="002C4575">
      <w:pPr>
        <w:tabs>
          <w:tab w:val="right" w:pos="10570"/>
        </w:tabs>
        <w:spacing w:after="61" w:line="259" w:lineRule="auto"/>
        <w:ind w:left="-1" w:right="0" w:firstLine="0"/>
      </w:pPr>
      <w:r>
        <w:rPr>
          <w:noProof/>
        </w:rPr>
        <w:drawing>
          <wp:inline distT="0" distB="0" distL="0" distR="0" wp14:anchorId="41A4C18C" wp14:editId="68A1F06C">
            <wp:extent cx="1809750" cy="723900"/>
            <wp:effectExtent l="0" t="0" r="0" b="0"/>
            <wp:docPr id="554" name="Picture 55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554" name="Picture 554"/>
                    <pic:cNvPicPr/>
                  </pic:nvPicPr>
                  <pic:blipFill>
                    <a:blip r:embed="rId5"/>
                    <a:stretch>
                      <a:fillRect/>
                    </a:stretch>
                  </pic:blipFill>
                  <pic:spPr>
                    <a:xfrm>
                      <a:off x="0" y="0"/>
                      <a:ext cx="1809750" cy="723900"/>
                    </a:xfrm>
                    <a:prstGeom prst="rect">
                      <a:avLst/>
                    </a:prstGeom>
                  </pic:spPr>
                </pic:pic>
              </a:graphicData>
            </a:graphic>
          </wp:inline>
        </w:drawing>
      </w:r>
      <w:r>
        <w:rPr>
          <w:rFonts w:cs="Arial"/>
          <w:sz w:val="20"/>
        </w:rPr>
        <w:tab/>
        <w:t xml:space="preserve">  </w:t>
      </w:r>
    </w:p>
    <w:p w14:paraId="7136FB3F" w14:textId="77777777" w:rsidR="00D86431" w:rsidRDefault="002C4575">
      <w:pPr>
        <w:spacing w:after="0" w:line="259" w:lineRule="auto"/>
        <w:ind w:left="0" w:right="111" w:firstLine="0"/>
        <w:jc w:val="right"/>
      </w:pPr>
      <w:r>
        <w:rPr>
          <w:rFonts w:cs="Arial"/>
          <w:b/>
        </w:rPr>
        <w:t xml:space="preserve">APPENDIX GA36a </w:t>
      </w:r>
    </w:p>
    <w:p w14:paraId="6551A33C" w14:textId="77777777" w:rsidR="00D86431" w:rsidRDefault="002C4575">
      <w:pPr>
        <w:spacing w:after="297" w:line="259" w:lineRule="auto"/>
        <w:ind w:left="0" w:right="0" w:firstLine="0"/>
      </w:pPr>
      <w:r>
        <w:rPr>
          <w:rFonts w:cs="Arial"/>
          <w:sz w:val="20"/>
        </w:rPr>
        <w:t xml:space="preserve"> </w:t>
      </w:r>
    </w:p>
    <w:p w14:paraId="07F01EAD" w14:textId="77777777" w:rsidR="00D86431" w:rsidRDefault="002C4575">
      <w:pPr>
        <w:pStyle w:val="Heading1"/>
      </w:pPr>
      <w:r>
        <w:t xml:space="preserve">LEVEL 4 ASSESSMENT 1 SPECIFICATION  </w:t>
      </w:r>
    </w:p>
    <w:p w14:paraId="21D57937" w14:textId="77777777" w:rsidR="00D86431" w:rsidRDefault="002C4575">
      <w:pPr>
        <w:spacing w:after="0" w:line="259" w:lineRule="auto"/>
        <w:ind w:left="0" w:right="27" w:firstLine="0"/>
        <w:jc w:val="center"/>
      </w:pPr>
      <w:r>
        <w:rPr>
          <w:rFonts w:cs="Arial"/>
          <w:b/>
          <w:i/>
          <w:sz w:val="32"/>
        </w:rPr>
        <w:t xml:space="preserve"> </w:t>
      </w:r>
    </w:p>
    <w:tbl>
      <w:tblPr>
        <w:tblStyle w:val="TableGrid1"/>
        <w:tblW w:w="9928" w:type="dxa"/>
        <w:tblInd w:w="396" w:type="dxa"/>
        <w:tblCellMar>
          <w:top w:w="16" w:type="dxa"/>
          <w:left w:w="104" w:type="dxa"/>
        </w:tblCellMar>
        <w:tblLook w:val="04A0" w:firstRow="1" w:lastRow="0" w:firstColumn="1" w:lastColumn="0" w:noHBand="0" w:noVBand="1"/>
      </w:tblPr>
      <w:tblGrid>
        <w:gridCol w:w="2094"/>
        <w:gridCol w:w="3298"/>
        <w:gridCol w:w="2264"/>
        <w:gridCol w:w="2272"/>
      </w:tblGrid>
      <w:tr w:rsidR="00D86431" w14:paraId="2F06A537" w14:textId="77777777">
        <w:trPr>
          <w:trHeight w:val="754"/>
        </w:trPr>
        <w:tc>
          <w:tcPr>
            <w:tcW w:w="2094" w:type="dxa"/>
            <w:tcBorders>
              <w:top w:val="single" w:sz="4" w:space="0" w:color="000000"/>
              <w:left w:val="single" w:sz="4" w:space="0" w:color="000000"/>
              <w:bottom w:val="single" w:sz="4" w:space="0" w:color="000000"/>
              <w:right w:val="single" w:sz="4" w:space="0" w:color="000000"/>
            </w:tcBorders>
            <w:shd w:val="clear" w:color="auto" w:fill="D9D9D9"/>
          </w:tcPr>
          <w:p w14:paraId="1597E676" w14:textId="77777777" w:rsidR="00D86431" w:rsidRDefault="002C4575">
            <w:pPr>
              <w:spacing w:after="0" w:line="259" w:lineRule="auto"/>
              <w:ind w:left="5" w:right="0" w:firstLine="0"/>
            </w:pPr>
            <w:r>
              <w:rPr>
                <w:b/>
                <w:sz w:val="22"/>
              </w:rPr>
              <w:t xml:space="preserve">Student name: </w:t>
            </w:r>
          </w:p>
        </w:tc>
        <w:tc>
          <w:tcPr>
            <w:tcW w:w="3299" w:type="dxa"/>
            <w:tcBorders>
              <w:top w:val="single" w:sz="4" w:space="0" w:color="000000"/>
              <w:left w:val="single" w:sz="4" w:space="0" w:color="000000"/>
              <w:bottom w:val="single" w:sz="4" w:space="0" w:color="000000"/>
              <w:right w:val="single" w:sz="4" w:space="0" w:color="000000"/>
            </w:tcBorders>
          </w:tcPr>
          <w:p w14:paraId="7F70E82C" w14:textId="77777777" w:rsidR="00D86431" w:rsidRDefault="002C4575">
            <w:pPr>
              <w:spacing w:after="0" w:line="259" w:lineRule="auto"/>
              <w:ind w:left="8" w:right="0" w:firstLine="0"/>
            </w:pPr>
            <w:r>
              <w:rPr>
                <w:b/>
                <w:sz w:val="22"/>
              </w:rPr>
              <w:t xml:space="preserve">Gabriel </w:t>
            </w:r>
            <w:proofErr w:type="spellStart"/>
            <w:r>
              <w:rPr>
                <w:b/>
                <w:sz w:val="22"/>
              </w:rPr>
              <w:t>Huchiu</w:t>
            </w:r>
            <w:proofErr w:type="spellEnd"/>
            <w:r>
              <w:rPr>
                <w:b/>
                <w:sz w:val="22"/>
              </w:rP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2987DFBD" w14:textId="77777777" w:rsidR="00D86431" w:rsidRDefault="002C4575">
            <w:pPr>
              <w:spacing w:after="0" w:line="259" w:lineRule="auto"/>
              <w:ind w:left="0" w:right="0" w:firstLine="0"/>
              <w:jc w:val="both"/>
            </w:pPr>
            <w:r>
              <w:rPr>
                <w:b/>
                <w:sz w:val="22"/>
              </w:rPr>
              <w:t xml:space="preserve">Student ID number: </w:t>
            </w:r>
          </w:p>
        </w:tc>
        <w:tc>
          <w:tcPr>
            <w:tcW w:w="2272" w:type="dxa"/>
            <w:tcBorders>
              <w:top w:val="single" w:sz="4" w:space="0" w:color="000000"/>
              <w:left w:val="single" w:sz="4" w:space="0" w:color="000000"/>
              <w:bottom w:val="single" w:sz="4" w:space="0" w:color="000000"/>
              <w:right w:val="single" w:sz="4" w:space="0" w:color="000000"/>
            </w:tcBorders>
            <w:vAlign w:val="center"/>
          </w:tcPr>
          <w:p w14:paraId="5C9F23F5" w14:textId="77777777" w:rsidR="00D86431" w:rsidRDefault="002C4575">
            <w:pPr>
              <w:spacing w:after="0" w:line="259" w:lineRule="auto"/>
              <w:ind w:left="8" w:right="0" w:firstLine="0"/>
            </w:pPr>
            <w:r>
              <w:rPr>
                <w:b/>
                <w:color w:val="0000FF"/>
                <w:sz w:val="22"/>
                <w:u w:val="single" w:color="0000FF"/>
              </w:rPr>
              <w:t>2233684@student.</w:t>
            </w:r>
          </w:p>
          <w:p w14:paraId="60336716" w14:textId="77777777" w:rsidR="00D86431" w:rsidRDefault="002C4575">
            <w:pPr>
              <w:spacing w:after="0" w:line="259" w:lineRule="auto"/>
              <w:ind w:left="8" w:right="0" w:firstLine="0"/>
            </w:pPr>
            <w:r>
              <w:rPr>
                <w:b/>
                <w:color w:val="0000FF"/>
                <w:sz w:val="22"/>
                <w:u w:val="single" w:color="0000FF"/>
              </w:rPr>
              <w:t>uwtsd.ac.uk</w:t>
            </w:r>
            <w:r>
              <w:rPr>
                <w:b/>
                <w:sz w:val="22"/>
              </w:rPr>
              <w:t xml:space="preserve">  </w:t>
            </w:r>
          </w:p>
        </w:tc>
      </w:tr>
      <w:tr w:rsidR="00D86431" w14:paraId="3F18AEEA" w14:textId="77777777">
        <w:trPr>
          <w:trHeight w:val="505"/>
        </w:trPr>
        <w:tc>
          <w:tcPr>
            <w:tcW w:w="20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FCE9E0" w14:textId="77777777" w:rsidR="00D86431" w:rsidRDefault="002C4575">
            <w:pPr>
              <w:spacing w:after="0" w:line="259" w:lineRule="auto"/>
              <w:ind w:left="5" w:right="0" w:firstLine="0"/>
            </w:pPr>
            <w:proofErr w:type="spellStart"/>
            <w:r>
              <w:rPr>
                <w:b/>
                <w:sz w:val="22"/>
              </w:rPr>
              <w:t>Programme</w:t>
            </w:r>
            <w:proofErr w:type="spellEnd"/>
            <w:r>
              <w:rPr>
                <w:b/>
                <w:sz w:val="22"/>
              </w:rPr>
              <w:t xml:space="preserv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7DA5075E" w14:textId="77777777" w:rsidR="00D86431" w:rsidRDefault="002C4575">
            <w:pPr>
              <w:spacing w:after="0" w:line="259" w:lineRule="auto"/>
              <w:ind w:left="8" w:right="0" w:firstLine="0"/>
            </w:pPr>
            <w:r>
              <w:rPr>
                <w:b/>
                <w:sz w:val="22"/>
              </w:rPr>
              <w:t xml:space="preserve">Public services portfolio </w:t>
            </w:r>
          </w:p>
        </w:tc>
      </w:tr>
      <w:tr w:rsidR="00D86431" w14:paraId="59D9670F" w14:textId="77777777">
        <w:trPr>
          <w:trHeight w:val="500"/>
        </w:trPr>
        <w:tc>
          <w:tcPr>
            <w:tcW w:w="20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FB13F6" w14:textId="77777777" w:rsidR="00D86431" w:rsidRDefault="002C4575">
            <w:pPr>
              <w:spacing w:after="0" w:line="259" w:lineRule="auto"/>
              <w:ind w:left="5" w:right="0" w:firstLine="0"/>
            </w:pPr>
            <w:r>
              <w:rPr>
                <w:b/>
                <w:sz w:val="22"/>
              </w:rPr>
              <w:t xml:space="preserve">Module: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2B398CC0" w14:textId="77777777" w:rsidR="00D86431" w:rsidRDefault="002C4575">
            <w:pPr>
              <w:spacing w:after="0" w:line="259" w:lineRule="auto"/>
              <w:ind w:left="8" w:right="0" w:firstLine="0"/>
            </w:pPr>
            <w:r>
              <w:rPr>
                <w:b/>
                <w:sz w:val="22"/>
              </w:rPr>
              <w:t xml:space="preserve">Criminal law </w:t>
            </w:r>
          </w:p>
        </w:tc>
      </w:tr>
      <w:tr w:rsidR="00D86431" w14:paraId="1CA4A76F" w14:textId="77777777">
        <w:trPr>
          <w:trHeight w:val="770"/>
        </w:trPr>
        <w:tc>
          <w:tcPr>
            <w:tcW w:w="2094" w:type="dxa"/>
            <w:tcBorders>
              <w:top w:val="single" w:sz="4" w:space="0" w:color="000000"/>
              <w:left w:val="single" w:sz="4" w:space="0" w:color="000000"/>
              <w:bottom w:val="single" w:sz="4" w:space="0" w:color="000000"/>
              <w:right w:val="single" w:sz="4" w:space="0" w:color="000000"/>
            </w:tcBorders>
            <w:shd w:val="clear" w:color="auto" w:fill="D9D9D9"/>
          </w:tcPr>
          <w:p w14:paraId="045384F7" w14:textId="77777777" w:rsidR="00D86431" w:rsidRDefault="002C4575">
            <w:pPr>
              <w:spacing w:after="0" w:line="259" w:lineRule="auto"/>
              <w:ind w:left="5" w:right="0" w:firstLine="0"/>
            </w:pPr>
            <w:r>
              <w:rPr>
                <w:b/>
                <w:sz w:val="22"/>
              </w:rPr>
              <w:t xml:space="preserve">Module code: </w:t>
            </w:r>
          </w:p>
        </w:tc>
        <w:tc>
          <w:tcPr>
            <w:tcW w:w="3299" w:type="dxa"/>
            <w:tcBorders>
              <w:top w:val="single" w:sz="4" w:space="0" w:color="000000"/>
              <w:left w:val="single" w:sz="4" w:space="0" w:color="000000"/>
              <w:bottom w:val="single" w:sz="4" w:space="0" w:color="000000"/>
              <w:right w:val="single" w:sz="4" w:space="0" w:color="000000"/>
            </w:tcBorders>
          </w:tcPr>
          <w:p w14:paraId="1320BB65" w14:textId="77777777" w:rsidR="00D86431" w:rsidRDefault="002C4575">
            <w:pPr>
              <w:spacing w:after="0" w:line="259" w:lineRule="auto"/>
              <w:ind w:left="8" w:right="0" w:firstLine="0"/>
            </w:pPr>
            <w:r>
              <w:rPr>
                <w:b/>
                <w:sz w:val="22"/>
              </w:rPr>
              <w:t xml:space="preserve">BMPL4009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69C1C5FD" w14:textId="77777777" w:rsidR="00D86431" w:rsidRDefault="002C4575">
            <w:pPr>
              <w:spacing w:after="0" w:line="259" w:lineRule="auto"/>
              <w:ind w:left="0" w:right="107" w:firstLine="0"/>
              <w:jc w:val="both"/>
            </w:pPr>
            <w:r>
              <w:rPr>
                <w:b/>
                <w:sz w:val="22"/>
              </w:rPr>
              <w:t xml:space="preserve">Contribution to Overall Module Assessment (%): </w:t>
            </w:r>
          </w:p>
        </w:tc>
        <w:tc>
          <w:tcPr>
            <w:tcW w:w="2272" w:type="dxa"/>
            <w:tcBorders>
              <w:top w:val="single" w:sz="4" w:space="0" w:color="000000"/>
              <w:left w:val="single" w:sz="4" w:space="0" w:color="000000"/>
              <w:bottom w:val="single" w:sz="4" w:space="0" w:color="000000"/>
              <w:right w:val="single" w:sz="4" w:space="0" w:color="000000"/>
            </w:tcBorders>
          </w:tcPr>
          <w:p w14:paraId="49D572DF" w14:textId="77777777" w:rsidR="00D86431" w:rsidRDefault="002C4575">
            <w:pPr>
              <w:spacing w:after="0" w:line="259" w:lineRule="auto"/>
              <w:ind w:left="8" w:right="0" w:firstLine="0"/>
            </w:pPr>
            <w:r>
              <w:rPr>
                <w:b/>
                <w:sz w:val="22"/>
              </w:rPr>
              <w:t xml:space="preserve">50% </w:t>
            </w:r>
          </w:p>
        </w:tc>
      </w:tr>
      <w:tr w:rsidR="00D86431" w14:paraId="2A7B5623" w14:textId="77777777">
        <w:trPr>
          <w:trHeight w:val="875"/>
        </w:trPr>
        <w:tc>
          <w:tcPr>
            <w:tcW w:w="2094" w:type="dxa"/>
            <w:tcBorders>
              <w:top w:val="single" w:sz="4" w:space="0" w:color="000000"/>
              <w:left w:val="single" w:sz="4" w:space="0" w:color="000000"/>
              <w:bottom w:val="single" w:sz="4" w:space="0" w:color="000000"/>
              <w:right w:val="single" w:sz="4" w:space="0" w:color="000000"/>
            </w:tcBorders>
            <w:shd w:val="clear" w:color="auto" w:fill="D9D9D9"/>
          </w:tcPr>
          <w:p w14:paraId="73B81FAB" w14:textId="77777777" w:rsidR="00D86431" w:rsidRDefault="002C4575">
            <w:pPr>
              <w:spacing w:after="0" w:line="259" w:lineRule="auto"/>
              <w:ind w:left="5" w:right="0" w:firstLine="0"/>
            </w:pPr>
            <w:r>
              <w:rPr>
                <w:b/>
                <w:sz w:val="22"/>
              </w:rPr>
              <w:t xml:space="preserve">Lecturer: </w:t>
            </w:r>
          </w:p>
        </w:tc>
        <w:tc>
          <w:tcPr>
            <w:tcW w:w="3299" w:type="dxa"/>
            <w:tcBorders>
              <w:top w:val="single" w:sz="4" w:space="0" w:color="000000"/>
              <w:left w:val="single" w:sz="4" w:space="0" w:color="000000"/>
              <w:bottom w:val="single" w:sz="4" w:space="0" w:color="000000"/>
              <w:right w:val="single" w:sz="4" w:space="0" w:color="000000"/>
            </w:tcBorders>
            <w:vAlign w:val="center"/>
          </w:tcPr>
          <w:p w14:paraId="79A3D4DC" w14:textId="77777777" w:rsidR="00D86431" w:rsidRDefault="002C4575">
            <w:pPr>
              <w:spacing w:after="102" w:line="259" w:lineRule="auto"/>
              <w:ind w:left="8" w:right="0" w:firstLine="0"/>
            </w:pPr>
            <w:r>
              <w:rPr>
                <w:b/>
                <w:sz w:val="22"/>
              </w:rPr>
              <w:t xml:space="preserve">Laura Humphries </w:t>
            </w:r>
          </w:p>
          <w:p w14:paraId="1D29F1C9" w14:textId="77777777" w:rsidR="00D86431" w:rsidRDefault="002C4575">
            <w:pPr>
              <w:spacing w:after="0" w:line="259" w:lineRule="auto"/>
              <w:ind w:left="8" w:right="0" w:firstLine="0"/>
            </w:pPr>
            <w:r>
              <w:rPr>
                <w:b/>
                <w:sz w:val="22"/>
              </w:rP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6D2D7B37" w14:textId="77777777" w:rsidR="00D86431" w:rsidRDefault="002C4575">
            <w:pPr>
              <w:spacing w:after="0" w:line="259" w:lineRule="auto"/>
              <w:ind w:left="0" w:right="0" w:firstLine="0"/>
            </w:pPr>
            <w:r>
              <w:rPr>
                <w:b/>
                <w:sz w:val="22"/>
              </w:rPr>
              <w:t xml:space="preserve">Internal Verifier: </w:t>
            </w:r>
          </w:p>
        </w:tc>
        <w:tc>
          <w:tcPr>
            <w:tcW w:w="2272" w:type="dxa"/>
            <w:tcBorders>
              <w:top w:val="single" w:sz="4" w:space="0" w:color="000000"/>
              <w:left w:val="single" w:sz="4" w:space="0" w:color="000000"/>
              <w:bottom w:val="single" w:sz="4" w:space="0" w:color="000000"/>
              <w:right w:val="single" w:sz="4" w:space="0" w:color="000000"/>
            </w:tcBorders>
          </w:tcPr>
          <w:p w14:paraId="04DCECF6" w14:textId="77777777" w:rsidR="00D86431" w:rsidRDefault="002C4575">
            <w:pPr>
              <w:spacing w:after="0" w:line="259" w:lineRule="auto"/>
              <w:ind w:left="8" w:right="0" w:firstLine="0"/>
            </w:pPr>
            <w:r>
              <w:rPr>
                <w:b/>
                <w:sz w:val="22"/>
              </w:rPr>
              <w:t xml:space="preserve">Kelly Andrews </w:t>
            </w:r>
          </w:p>
        </w:tc>
      </w:tr>
      <w:tr w:rsidR="00D86431" w14:paraId="6249215F" w14:textId="77777777">
        <w:trPr>
          <w:trHeight w:val="760"/>
        </w:trPr>
        <w:tc>
          <w:tcPr>
            <w:tcW w:w="2094" w:type="dxa"/>
            <w:tcBorders>
              <w:top w:val="single" w:sz="4" w:space="0" w:color="000000"/>
              <w:left w:val="single" w:sz="4" w:space="0" w:color="000000"/>
              <w:bottom w:val="single" w:sz="4" w:space="0" w:color="000000"/>
              <w:right w:val="single" w:sz="4" w:space="0" w:color="000000"/>
            </w:tcBorders>
            <w:shd w:val="clear" w:color="auto" w:fill="D9D9D9"/>
          </w:tcPr>
          <w:p w14:paraId="58A43C1A" w14:textId="77777777" w:rsidR="00D86431" w:rsidRDefault="002C4575">
            <w:pPr>
              <w:spacing w:after="0" w:line="259" w:lineRule="auto"/>
              <w:ind w:left="5" w:right="0" w:firstLine="0"/>
            </w:pPr>
            <w:r>
              <w:rPr>
                <w:b/>
                <w:sz w:val="22"/>
              </w:rPr>
              <w:t xml:space="preserve">Assignment Title: </w:t>
            </w:r>
          </w:p>
        </w:tc>
        <w:tc>
          <w:tcPr>
            <w:tcW w:w="3299" w:type="dxa"/>
            <w:tcBorders>
              <w:top w:val="single" w:sz="4" w:space="0" w:color="000000"/>
              <w:left w:val="single" w:sz="4" w:space="0" w:color="000000"/>
              <w:bottom w:val="single" w:sz="4" w:space="0" w:color="000000"/>
              <w:right w:val="single" w:sz="4" w:space="0" w:color="000000"/>
            </w:tcBorders>
            <w:vAlign w:val="center"/>
          </w:tcPr>
          <w:p w14:paraId="2FA2A4E9" w14:textId="77777777" w:rsidR="00D86431" w:rsidRDefault="002C4575">
            <w:pPr>
              <w:spacing w:after="0" w:line="259" w:lineRule="auto"/>
              <w:ind w:left="8" w:right="0" w:firstLine="0"/>
              <w:jc w:val="both"/>
            </w:pPr>
            <w:r>
              <w:rPr>
                <w:b/>
                <w:sz w:val="22"/>
              </w:rPr>
              <w:t xml:space="preserve">Consent and its role in cases involving battery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9D54F7" w14:textId="77777777" w:rsidR="00D86431" w:rsidRDefault="002C4575">
            <w:pPr>
              <w:spacing w:after="0" w:line="259" w:lineRule="auto"/>
              <w:ind w:left="0" w:right="0" w:firstLine="0"/>
            </w:pPr>
            <w:r>
              <w:rPr>
                <w:b/>
                <w:sz w:val="22"/>
              </w:rPr>
              <w:t xml:space="preserve">Word </w:t>
            </w:r>
            <w:r>
              <w:rPr>
                <w:b/>
                <w:sz w:val="22"/>
              </w:rPr>
              <w:tab/>
              <w:t xml:space="preserve">count </w:t>
            </w:r>
            <w:r>
              <w:rPr>
                <w:b/>
                <w:sz w:val="22"/>
              </w:rPr>
              <w:tab/>
              <w:t xml:space="preserve">(or equivalent): </w:t>
            </w:r>
          </w:p>
        </w:tc>
        <w:tc>
          <w:tcPr>
            <w:tcW w:w="2272" w:type="dxa"/>
            <w:tcBorders>
              <w:top w:val="single" w:sz="4" w:space="0" w:color="000000"/>
              <w:left w:val="single" w:sz="4" w:space="0" w:color="000000"/>
              <w:bottom w:val="single" w:sz="4" w:space="0" w:color="000000"/>
              <w:right w:val="single" w:sz="4" w:space="0" w:color="000000"/>
            </w:tcBorders>
          </w:tcPr>
          <w:p w14:paraId="67D144CC" w14:textId="77777777" w:rsidR="00D86431" w:rsidRDefault="002C4575">
            <w:pPr>
              <w:spacing w:after="0" w:line="259" w:lineRule="auto"/>
              <w:ind w:left="8" w:right="0" w:firstLine="0"/>
            </w:pPr>
            <w:r>
              <w:rPr>
                <w:b/>
                <w:sz w:val="22"/>
              </w:rPr>
              <w:t xml:space="preserve">1500 words </w:t>
            </w:r>
          </w:p>
        </w:tc>
      </w:tr>
      <w:tr w:rsidR="00D86431" w14:paraId="0EB5D9EA" w14:textId="77777777">
        <w:trPr>
          <w:trHeight w:val="1005"/>
        </w:trPr>
        <w:tc>
          <w:tcPr>
            <w:tcW w:w="2094" w:type="dxa"/>
            <w:tcBorders>
              <w:top w:val="single" w:sz="4" w:space="0" w:color="000000"/>
              <w:left w:val="single" w:sz="4" w:space="0" w:color="000000"/>
              <w:bottom w:val="single" w:sz="4" w:space="0" w:color="000000"/>
              <w:right w:val="single" w:sz="4" w:space="0" w:color="000000"/>
            </w:tcBorders>
            <w:shd w:val="clear" w:color="auto" w:fill="D9D9D9"/>
          </w:tcPr>
          <w:p w14:paraId="2A921C7E" w14:textId="77777777" w:rsidR="00D86431" w:rsidRDefault="002C4575">
            <w:pPr>
              <w:spacing w:after="0" w:line="259" w:lineRule="auto"/>
              <w:ind w:left="5" w:right="0" w:firstLine="0"/>
            </w:pPr>
            <w:r>
              <w:rPr>
                <w:b/>
                <w:sz w:val="22"/>
              </w:rPr>
              <w:t xml:space="preserve">Submission deadline: </w:t>
            </w:r>
          </w:p>
        </w:tc>
        <w:tc>
          <w:tcPr>
            <w:tcW w:w="3299" w:type="dxa"/>
            <w:tcBorders>
              <w:top w:val="single" w:sz="4" w:space="0" w:color="000000"/>
              <w:left w:val="single" w:sz="4" w:space="0" w:color="000000"/>
              <w:bottom w:val="single" w:sz="4" w:space="0" w:color="000000"/>
              <w:right w:val="single" w:sz="4" w:space="0" w:color="000000"/>
            </w:tcBorders>
          </w:tcPr>
          <w:p w14:paraId="425BE597" w14:textId="77777777" w:rsidR="00D86431" w:rsidRDefault="002C4575">
            <w:pPr>
              <w:spacing w:after="0" w:line="259" w:lineRule="auto"/>
              <w:ind w:left="8" w:right="0" w:firstLine="0"/>
            </w:pPr>
            <w:r>
              <w:rPr>
                <w:b/>
                <w:sz w:val="22"/>
              </w:rPr>
              <w:t xml:space="preserve">Friday 10th November 2023 23:59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83A733" w14:textId="77777777" w:rsidR="00D86431" w:rsidRDefault="002C4575">
            <w:pPr>
              <w:spacing w:after="0" w:line="259" w:lineRule="auto"/>
              <w:ind w:left="0" w:right="108" w:firstLine="0"/>
              <w:jc w:val="both"/>
            </w:pPr>
            <w:r>
              <w:rPr>
                <w:b/>
                <w:sz w:val="22"/>
              </w:rPr>
              <w:t xml:space="preserve">Return date of provisional marks &amp; written feedback: </w:t>
            </w:r>
          </w:p>
        </w:tc>
        <w:tc>
          <w:tcPr>
            <w:tcW w:w="2272" w:type="dxa"/>
            <w:tcBorders>
              <w:top w:val="single" w:sz="4" w:space="0" w:color="000000"/>
              <w:left w:val="single" w:sz="4" w:space="0" w:color="000000"/>
              <w:bottom w:val="single" w:sz="4" w:space="0" w:color="000000"/>
              <w:right w:val="single" w:sz="4" w:space="0" w:color="000000"/>
            </w:tcBorders>
          </w:tcPr>
          <w:p w14:paraId="07B22519" w14:textId="77777777" w:rsidR="00D86431" w:rsidRDefault="002C4575">
            <w:pPr>
              <w:tabs>
                <w:tab w:val="right" w:pos="2168"/>
              </w:tabs>
              <w:spacing w:after="12" w:line="259" w:lineRule="auto"/>
              <w:ind w:left="0" w:right="0" w:firstLine="0"/>
            </w:pPr>
            <w:r>
              <w:rPr>
                <w:b/>
                <w:sz w:val="22"/>
              </w:rPr>
              <w:t xml:space="preserve">Monday </w:t>
            </w:r>
            <w:r>
              <w:rPr>
                <w:b/>
                <w:sz w:val="22"/>
              </w:rPr>
              <w:tab/>
              <w:t>11</w:t>
            </w:r>
            <w:r>
              <w:rPr>
                <w:b/>
                <w:sz w:val="22"/>
                <w:vertAlign w:val="superscript"/>
              </w:rPr>
              <w:t>th</w:t>
            </w:r>
            <w:r>
              <w:rPr>
                <w:b/>
                <w:sz w:val="22"/>
              </w:rPr>
              <w:t xml:space="preserve"> </w:t>
            </w:r>
          </w:p>
          <w:p w14:paraId="5845F431" w14:textId="77777777" w:rsidR="00D86431" w:rsidRDefault="002C4575">
            <w:pPr>
              <w:spacing w:after="0" w:line="259" w:lineRule="auto"/>
              <w:ind w:left="8" w:right="0" w:firstLine="0"/>
            </w:pPr>
            <w:r>
              <w:rPr>
                <w:b/>
                <w:sz w:val="22"/>
              </w:rPr>
              <w:t xml:space="preserve">December 2023 </w:t>
            </w:r>
          </w:p>
        </w:tc>
      </w:tr>
      <w:tr w:rsidR="00D86431" w14:paraId="7CD4137F" w14:textId="77777777">
        <w:trPr>
          <w:trHeight w:val="2651"/>
        </w:trPr>
        <w:tc>
          <w:tcPr>
            <w:tcW w:w="2094" w:type="dxa"/>
            <w:tcBorders>
              <w:top w:val="single" w:sz="4" w:space="0" w:color="000000"/>
              <w:left w:val="single" w:sz="4" w:space="0" w:color="000000"/>
              <w:bottom w:val="single" w:sz="4" w:space="0" w:color="000000"/>
              <w:right w:val="single" w:sz="4" w:space="0" w:color="000000"/>
            </w:tcBorders>
            <w:shd w:val="clear" w:color="auto" w:fill="D9D9D9"/>
          </w:tcPr>
          <w:p w14:paraId="71759EE0" w14:textId="77777777" w:rsidR="00D86431" w:rsidRDefault="002C4575">
            <w:pPr>
              <w:spacing w:after="0" w:line="259" w:lineRule="auto"/>
              <w:ind w:left="5" w:right="0" w:firstLine="0"/>
            </w:pPr>
            <w:r>
              <w:rPr>
                <w:b/>
                <w:sz w:val="22"/>
              </w:rPr>
              <w:t xml:space="preserve">Submission method: </w:t>
            </w:r>
          </w:p>
        </w:tc>
        <w:tc>
          <w:tcPr>
            <w:tcW w:w="7834" w:type="dxa"/>
            <w:gridSpan w:val="3"/>
            <w:tcBorders>
              <w:top w:val="single" w:sz="4" w:space="0" w:color="000000"/>
              <w:left w:val="single" w:sz="4" w:space="0" w:color="000000"/>
              <w:bottom w:val="single" w:sz="4" w:space="0" w:color="000000"/>
              <w:right w:val="single" w:sz="4" w:space="0" w:color="000000"/>
            </w:tcBorders>
          </w:tcPr>
          <w:p w14:paraId="485CF268" w14:textId="77777777" w:rsidR="00D86431" w:rsidRDefault="002C4575">
            <w:pPr>
              <w:spacing w:after="110" w:line="252" w:lineRule="auto"/>
              <w:ind w:left="8" w:right="0" w:firstLine="0"/>
            </w:pPr>
            <w:r>
              <w:rPr>
                <w:sz w:val="22"/>
              </w:rPr>
              <w:t xml:space="preserve">All written assessments, where practical and possible, must be submitted via </w:t>
            </w:r>
            <w:proofErr w:type="spellStart"/>
            <w:r>
              <w:rPr>
                <w:sz w:val="22"/>
              </w:rPr>
              <w:t>Turnitin</w:t>
            </w:r>
            <w:proofErr w:type="spellEnd"/>
            <w:r>
              <w:rPr>
                <w:sz w:val="22"/>
              </w:rPr>
              <w:t xml:space="preserve"> unless otherwise instructed by the Lecturer. (Please DO NOT put this assessment specification into </w:t>
            </w:r>
            <w:proofErr w:type="spellStart"/>
            <w:r>
              <w:rPr>
                <w:sz w:val="22"/>
              </w:rPr>
              <w:t>Turnitin</w:t>
            </w:r>
            <w:proofErr w:type="spellEnd"/>
            <w:r>
              <w:rPr>
                <w:sz w:val="22"/>
              </w:rPr>
              <w:t xml:space="preserve"> or it will match many similarities with other students’ submissions.) </w:t>
            </w:r>
          </w:p>
          <w:p w14:paraId="30CC635D" w14:textId="77777777" w:rsidR="00D86431" w:rsidRDefault="002C4575">
            <w:pPr>
              <w:spacing w:after="97" w:line="259" w:lineRule="auto"/>
              <w:ind w:left="8" w:right="0" w:firstLine="0"/>
            </w:pPr>
            <w:r>
              <w:rPr>
                <w:b/>
                <w:sz w:val="22"/>
              </w:rPr>
              <w:t xml:space="preserve">Alternative submission method (if applicable):  </w:t>
            </w:r>
          </w:p>
          <w:p w14:paraId="2C0CA99F" w14:textId="77777777" w:rsidR="00D86431" w:rsidRDefault="002C4575">
            <w:pPr>
              <w:spacing w:after="0" w:line="259" w:lineRule="auto"/>
              <w:ind w:left="8" w:right="104" w:firstLine="0"/>
              <w:jc w:val="both"/>
            </w:pPr>
            <w:r>
              <w:rPr>
                <w:b/>
                <w:sz w:val="22"/>
              </w:rPr>
              <w:t xml:space="preserve">Late submission of the assessment will result in a late penalty mark.  </w:t>
            </w:r>
            <w:r>
              <w:rPr>
                <w:sz w:val="22"/>
              </w:rPr>
              <w:t>Penalties for late submission: Up to one week late, maximum mark of 40%. Over one week late, 0%.  Only the Extenuating Circumstances Panel may approve a change to submission dates.</w:t>
            </w:r>
            <w:r>
              <w:rPr>
                <w:b/>
                <w:sz w:val="22"/>
              </w:rPr>
              <w:t xml:space="preserve"> </w:t>
            </w:r>
          </w:p>
        </w:tc>
      </w:tr>
      <w:tr w:rsidR="00D86431" w14:paraId="295BAB1E" w14:textId="77777777">
        <w:trPr>
          <w:trHeight w:val="1259"/>
        </w:trPr>
        <w:tc>
          <w:tcPr>
            <w:tcW w:w="2094" w:type="dxa"/>
            <w:tcBorders>
              <w:top w:val="single" w:sz="4" w:space="0" w:color="000000"/>
              <w:left w:val="single" w:sz="4" w:space="0" w:color="000000"/>
              <w:bottom w:val="single" w:sz="4" w:space="0" w:color="000000"/>
              <w:right w:val="single" w:sz="4" w:space="0" w:color="000000"/>
            </w:tcBorders>
            <w:shd w:val="clear" w:color="auto" w:fill="D9D9D9"/>
          </w:tcPr>
          <w:p w14:paraId="6EFCEE10" w14:textId="77777777" w:rsidR="00D86431" w:rsidRDefault="002C4575">
            <w:pPr>
              <w:spacing w:after="0" w:line="259" w:lineRule="auto"/>
              <w:ind w:left="5" w:right="33" w:firstLine="0"/>
            </w:pPr>
            <w:r>
              <w:rPr>
                <w:b/>
                <w:sz w:val="22"/>
              </w:rPr>
              <w:t xml:space="preserve">Academic honesty / referencing: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7845D079" w14:textId="77777777" w:rsidR="00D86431" w:rsidRDefault="002C4575">
            <w:pPr>
              <w:spacing w:after="0" w:line="259" w:lineRule="auto"/>
              <w:ind w:left="8" w:right="113" w:firstLine="0"/>
              <w:jc w:val="both"/>
            </w:pPr>
            <w:r>
              <w:rPr>
                <w:sz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CC06CCC" w14:textId="77777777" w:rsidR="00D86431" w:rsidRDefault="002C4575">
      <w:pPr>
        <w:spacing w:after="0" w:line="259" w:lineRule="auto"/>
        <w:ind w:left="0" w:right="0" w:firstLine="0"/>
      </w:pPr>
      <w:r>
        <w:rPr>
          <w:rFonts w:cs="Arial"/>
          <w:sz w:val="32"/>
        </w:rPr>
        <w:t xml:space="preserve"> </w:t>
      </w:r>
    </w:p>
    <w:p w14:paraId="3D1AB237" w14:textId="77777777" w:rsidR="00D86431" w:rsidRDefault="002C4575">
      <w:pPr>
        <w:spacing w:after="0" w:line="259" w:lineRule="auto"/>
        <w:ind w:left="0" w:right="0" w:firstLine="0"/>
      </w:pPr>
      <w:r>
        <w:rPr>
          <w:rFonts w:cs="Arial"/>
          <w:sz w:val="32"/>
        </w:rPr>
        <w:t xml:space="preserve"> </w:t>
      </w:r>
    </w:p>
    <w:p w14:paraId="4433B53B" w14:textId="77777777" w:rsidR="00D86431" w:rsidRDefault="002C4575">
      <w:pPr>
        <w:spacing w:after="0" w:line="259" w:lineRule="auto"/>
        <w:ind w:left="0" w:right="0" w:firstLine="0"/>
      </w:pPr>
      <w:r>
        <w:rPr>
          <w:rFonts w:cs="Arial"/>
          <w:sz w:val="32"/>
        </w:rPr>
        <w:t xml:space="preserve"> </w:t>
      </w:r>
    </w:p>
    <w:p w14:paraId="0EBC7CB1" w14:textId="77777777" w:rsidR="00D86431" w:rsidRDefault="002C4575">
      <w:pPr>
        <w:spacing w:after="0" w:line="259" w:lineRule="auto"/>
        <w:ind w:left="0" w:right="0" w:firstLine="0"/>
      </w:pPr>
      <w:r>
        <w:rPr>
          <w:rFonts w:cs="Arial"/>
          <w:sz w:val="32"/>
        </w:rPr>
        <w:t xml:space="preserve"> </w:t>
      </w:r>
    </w:p>
    <w:p w14:paraId="7008471F" w14:textId="77777777" w:rsidR="00D86431" w:rsidRDefault="002C4575">
      <w:pPr>
        <w:spacing w:after="0" w:line="259" w:lineRule="auto"/>
        <w:ind w:left="0" w:right="0" w:firstLine="0"/>
      </w:pPr>
      <w:r>
        <w:rPr>
          <w:rFonts w:cs="Arial"/>
          <w:sz w:val="32"/>
        </w:rPr>
        <w:t xml:space="preserve"> </w:t>
      </w:r>
    </w:p>
    <w:p w14:paraId="089D72A4" w14:textId="77777777" w:rsidR="00D86431" w:rsidRDefault="002C4575">
      <w:pPr>
        <w:spacing w:after="0" w:line="259" w:lineRule="auto"/>
        <w:ind w:left="0" w:right="0" w:firstLine="0"/>
      </w:pPr>
      <w:r>
        <w:rPr>
          <w:rFonts w:cs="Arial"/>
          <w:sz w:val="32"/>
        </w:rPr>
        <w:t xml:space="preserve"> </w:t>
      </w:r>
    </w:p>
    <w:p w14:paraId="1B43B328" w14:textId="77777777" w:rsidR="00D86431" w:rsidRDefault="002C4575">
      <w:pPr>
        <w:spacing w:after="0" w:line="259" w:lineRule="auto"/>
        <w:ind w:left="0" w:right="0" w:firstLine="0"/>
      </w:pPr>
      <w:r>
        <w:rPr>
          <w:rFonts w:cs="Arial"/>
          <w:sz w:val="32"/>
        </w:rPr>
        <w:t xml:space="preserve"> </w:t>
      </w:r>
    </w:p>
    <w:p w14:paraId="0F3CB424" w14:textId="77777777" w:rsidR="00D86431" w:rsidRDefault="002C4575">
      <w:pPr>
        <w:spacing w:after="0" w:line="259" w:lineRule="auto"/>
        <w:ind w:left="0" w:right="0" w:firstLine="0"/>
      </w:pPr>
      <w:r>
        <w:rPr>
          <w:rFonts w:cs="Arial"/>
          <w:sz w:val="32"/>
        </w:rPr>
        <w:t xml:space="preserve"> </w:t>
      </w:r>
    </w:p>
    <w:p w14:paraId="26D77BCE" w14:textId="77777777" w:rsidR="00D86431" w:rsidRDefault="002C4575">
      <w:pPr>
        <w:spacing w:after="0" w:line="259" w:lineRule="auto"/>
        <w:ind w:left="0" w:right="0" w:firstLine="0"/>
      </w:pPr>
      <w:r>
        <w:rPr>
          <w:rFonts w:cs="Arial"/>
          <w:sz w:val="32"/>
        </w:rPr>
        <w:t xml:space="preserve"> </w:t>
      </w:r>
    </w:p>
    <w:p w14:paraId="33B5668D" w14:textId="77777777" w:rsidR="00D86431" w:rsidRDefault="002C4575">
      <w:pPr>
        <w:spacing w:after="0" w:line="259" w:lineRule="auto"/>
        <w:ind w:left="0" w:right="0" w:firstLine="0"/>
      </w:pPr>
      <w:r>
        <w:rPr>
          <w:rFonts w:cs="Arial"/>
          <w:sz w:val="32"/>
        </w:rPr>
        <w:t xml:space="preserve"> </w:t>
      </w:r>
    </w:p>
    <w:p w14:paraId="512C0B75" w14:textId="77777777" w:rsidR="00D86431" w:rsidRDefault="002C4575">
      <w:pPr>
        <w:spacing w:after="83" w:line="259" w:lineRule="auto"/>
        <w:ind w:left="0" w:right="0" w:firstLine="0"/>
      </w:pPr>
      <w:r>
        <w:rPr>
          <w:rFonts w:cs="Arial"/>
          <w:sz w:val="32"/>
        </w:rPr>
        <w:t xml:space="preserve"> </w:t>
      </w:r>
    </w:p>
    <w:p w14:paraId="21C07859" w14:textId="77777777" w:rsidR="00D86431" w:rsidRDefault="002C4575">
      <w:pPr>
        <w:spacing w:after="0" w:line="259" w:lineRule="auto"/>
        <w:ind w:left="0" w:right="122" w:firstLine="0"/>
        <w:jc w:val="center"/>
      </w:pPr>
      <w:r>
        <w:rPr>
          <w:rFonts w:cs="Arial"/>
          <w:sz w:val="44"/>
        </w:rPr>
        <w:t xml:space="preserve">Consent and its role in cases involving battery  </w:t>
      </w:r>
    </w:p>
    <w:p w14:paraId="6FD5B6EF" w14:textId="77777777" w:rsidR="00D86431" w:rsidRDefault="002C4575">
      <w:pPr>
        <w:spacing w:after="0" w:line="259" w:lineRule="auto"/>
        <w:ind w:left="0" w:right="0" w:firstLine="0"/>
      </w:pPr>
      <w:r>
        <w:rPr>
          <w:rFonts w:cs="Arial"/>
          <w:sz w:val="44"/>
        </w:rPr>
        <w:t xml:space="preserve"> </w:t>
      </w:r>
    </w:p>
    <w:p w14:paraId="74D7EF66" w14:textId="77777777" w:rsidR="00D86431" w:rsidRDefault="002C4575">
      <w:pPr>
        <w:spacing w:after="59" w:line="259" w:lineRule="auto"/>
        <w:ind w:left="0" w:right="0" w:firstLine="0"/>
      </w:pPr>
      <w:r>
        <w:rPr>
          <w:rFonts w:cs="Arial"/>
          <w:sz w:val="19"/>
        </w:rPr>
        <w:t xml:space="preserve"> </w:t>
      </w:r>
    </w:p>
    <w:p w14:paraId="1B081092" w14:textId="3B8E305F" w:rsidR="00D86431" w:rsidRDefault="00A37143">
      <w:pPr>
        <w:spacing w:after="0" w:line="259" w:lineRule="auto"/>
        <w:ind w:left="0" w:right="0" w:firstLine="0"/>
      </w:pPr>
      <w:r>
        <w:t xml:space="preserve">Introduction </w:t>
      </w:r>
    </w:p>
    <w:p w14:paraId="1F7075E7" w14:textId="77777777" w:rsidR="00D86431" w:rsidRDefault="002C4575">
      <w:pPr>
        <w:spacing w:after="14" w:line="259" w:lineRule="auto"/>
        <w:ind w:left="0" w:right="52" w:firstLine="0"/>
        <w:jc w:val="center"/>
      </w:pPr>
      <w:r>
        <w:t xml:space="preserve"> </w:t>
      </w:r>
    </w:p>
    <w:p w14:paraId="3867CF9F" w14:textId="77777777" w:rsidR="00D86431" w:rsidRDefault="002C4575">
      <w:pPr>
        <w:ind w:left="-5" w:right="129"/>
      </w:pPr>
      <w:r>
        <w:rPr>
          <w:rFonts w:cs="Arial"/>
        </w:rPr>
        <w:t xml:space="preserve">      </w:t>
      </w:r>
      <w:r>
        <w:t xml:space="preserve">Within the realm of tort law, the legal definition of battery is the intentional act of inflicting harmful or offensive physical contact upon another individual, without their affirmative consent. The issue of consent carries considerable significance within the legal framework of the United Kingdom, particularly in matters pertaining to the determination of liability in instances of battery. As per Smith's (2010) research, the inclusion of consent, when provided willingly and with a thorough understanding of the potential outcomes, can function as a robust legal </w:t>
      </w:r>
      <w:proofErr w:type="spellStart"/>
      <w:r>
        <w:t>defence</w:t>
      </w:r>
      <w:proofErr w:type="spellEnd"/>
      <w:r>
        <w:t xml:space="preserve"> against allegations of battery. According to Jones et al. (2015), there exist various circumstances that can invalidate consent, such as coercion, incompetence, or a deficiency in understanding the nature and consequences of the activity. The matter of consent has been thorough scrutiny by the judicial system in the United Kingdom, with a special focus on medical procedures, athletic activities, and other contexts where the distinction between acceptable conduct and violation is often ambiguous. According to Taylor (2018). It is crucial to understand that the ethical and philosophical aspects of consent in the context of criminal law undergo continuous evolution and adjustment in light of societal changes. The legal system in the United Kingdom is distinguished by a deliberate balance between the preservation of individual rights, the maintenance of societal standards, and the safeguarding of vulnerable groups. The intricate equilibrium is apparent in the principles and precedents that have been developed via the body of case law. This essay undertakes an examination of the intricate relationship between consent and battery, with a focus on the analysis of notable legal decisions, key legal principles, and the evolving viewpoints on consent within the legal framework of the United Kingdom. </w:t>
      </w:r>
    </w:p>
    <w:p w14:paraId="0194E327" w14:textId="77777777" w:rsidR="00D86431" w:rsidRDefault="002C4575">
      <w:pPr>
        <w:spacing w:after="0" w:line="259" w:lineRule="auto"/>
        <w:ind w:left="0" w:right="0" w:firstLine="0"/>
      </w:pPr>
      <w:r>
        <w:t xml:space="preserve"> </w:t>
      </w:r>
    </w:p>
    <w:p w14:paraId="47DB0138" w14:textId="5CBE2C9F" w:rsidR="00D86431" w:rsidRDefault="002A4C79">
      <w:pPr>
        <w:ind w:left="-5" w:right="129"/>
      </w:pPr>
      <w:r>
        <w:t xml:space="preserve">Main body </w:t>
      </w:r>
    </w:p>
    <w:p w14:paraId="37CAA813" w14:textId="77777777" w:rsidR="00D86431" w:rsidRDefault="002C4575">
      <w:pPr>
        <w:spacing w:after="14" w:line="259" w:lineRule="auto"/>
        <w:ind w:left="0" w:right="0" w:firstLine="0"/>
      </w:pPr>
      <w:r>
        <w:t xml:space="preserve"> </w:t>
      </w:r>
    </w:p>
    <w:p w14:paraId="749EA0F7" w14:textId="77777777" w:rsidR="00D86431" w:rsidRDefault="002C4575">
      <w:pPr>
        <w:ind w:left="-5" w:right="129"/>
      </w:pPr>
      <w:r>
        <w:rPr>
          <w:rFonts w:cs="Arial"/>
        </w:rPr>
        <w:t xml:space="preserve">      </w:t>
      </w:r>
      <w:r>
        <w:t xml:space="preserve">Battery in the United Kingdom is legally defined as the intentional and immediate act of exerting physical force upon another individual without their explicit consent. The notion of consent plays a pivotal part in assessing the culpability or exoneration of a defendant in cases involving battery. In order to gain a comprehensive understanding of the intricate relationship between consent and assault, it is imperative to thoroughly examine the legal structure, ethical considerations, and broader societal implications within the jurisdiction of the United Kingdom. The legal framework encompasses the comprehensive set of laws, regulations, and principles that establish the governing structure within a certain jurisdiction. The document offers a framework and set of principles. The range of danger can span from minor physical contact to substantial bodily injury. The legal case of Collins v Wilcock [1984] 1 WLR 1172 established that an act of battery can be deemed as such, even if it involves a little physical touch, provided that it is executed without the consent of the party involved. In the aforementioned situation, a law enforcement official performed an act of physical restraint on a woman by firmly gripping her arm, while lacking any legal justification for such action. The aforementioned conduct has been formally </w:t>
      </w:r>
      <w:proofErr w:type="spellStart"/>
      <w:r>
        <w:t>categorised</w:t>
      </w:r>
      <w:proofErr w:type="spellEnd"/>
      <w:r>
        <w:t xml:space="preserve"> as a battery under legal classification. However, it is crucial to acknowledge that not all types of physical interaction or touch lead to the dissipation of energy contained within a battery. Within the context of modern culture, there is a prevailing tacit cultural approval of minor physical gestures, such as lightly tapping an individual on the shoulder as a means of capturing their attention. According to Smith et al. (2015), activities that do not satisfy the legal requirements for battery are frequently considered lawful. </w:t>
      </w:r>
    </w:p>
    <w:p w14:paraId="04920930" w14:textId="77777777" w:rsidR="00D86431" w:rsidRDefault="002C4575">
      <w:pPr>
        <w:ind w:left="-5" w:right="129"/>
      </w:pPr>
      <w:r>
        <w:t xml:space="preserve">The Criminal Justice Act of 1988 firmly establishes the legal framework that governs the offence of battery in the United Kingdom. Battery, which is </w:t>
      </w:r>
      <w:proofErr w:type="spellStart"/>
      <w:r>
        <w:t>categorised</w:t>
      </w:r>
      <w:proofErr w:type="spellEnd"/>
      <w:r>
        <w:t xml:space="preserve"> as a summary offence, entails the possibility of a maximum prison sentence of six months, a monetary punishment, or a combination of both. The notion of consent emerges as a potential legal justification for battery, although the court assesses the validity of consent on a </w:t>
      </w:r>
      <w:proofErr w:type="spellStart"/>
      <w:r>
        <w:t>personalised</w:t>
      </w:r>
      <w:proofErr w:type="spellEnd"/>
      <w:r>
        <w:t xml:space="preserve"> and contextual basis. In the particular legal matter of R v Brown (1993), a group of individuals who willingly engaged in </w:t>
      </w:r>
      <w:proofErr w:type="spellStart"/>
      <w:r>
        <w:t>sado</w:t>
      </w:r>
      <w:proofErr w:type="spellEnd"/>
      <w:r>
        <w:t xml:space="preserve">-masochistic activities were convicted of causing actual bodily harm, despite their claim of mutual consent. As per the findings of Smith (1995), the House of Lords concluded that while individuals can give consent to certain types of harm, there are limitations, particularly in situations involving violent or risky activity. </w:t>
      </w:r>
    </w:p>
    <w:p w14:paraId="717727AA" w14:textId="77777777" w:rsidR="00D86431" w:rsidRDefault="002C4575">
      <w:pPr>
        <w:spacing w:after="0" w:line="259" w:lineRule="auto"/>
        <w:ind w:left="0" w:right="0" w:firstLine="0"/>
      </w:pPr>
      <w:r>
        <w:t xml:space="preserve"> </w:t>
      </w:r>
    </w:p>
    <w:p w14:paraId="03398B90" w14:textId="77777777" w:rsidR="00D86431" w:rsidRDefault="002C4575">
      <w:pPr>
        <w:ind w:left="-5" w:right="129"/>
      </w:pPr>
      <w:r>
        <w:t xml:space="preserve">The principle of autonomy is of considerable ethical significance. Every person inherently has the right to exert autonomy over their own physical body. However, it is imperative to acknowledge that there is a nuanced equilibrium between the notion of autonomy and the possibility of adverse outcomes. While there may be arguments suggesting that individuals should have the autonomy to give consent for any action, irrespective of its potential harm, it is crucial for society to acknowledge its responsibility in mitigating harm. The ethical dilemma arises when the autonomy of an individual conflicts with the dominant societal norms and ideals. </w:t>
      </w:r>
    </w:p>
    <w:p w14:paraId="51ABCEE1" w14:textId="77777777" w:rsidR="00D86431" w:rsidRDefault="002C4575">
      <w:pPr>
        <w:spacing w:after="0" w:line="259" w:lineRule="auto"/>
        <w:ind w:left="0" w:right="0" w:firstLine="0"/>
      </w:pPr>
      <w:r>
        <w:t xml:space="preserve"> </w:t>
      </w:r>
    </w:p>
    <w:p w14:paraId="472C7717" w14:textId="77777777" w:rsidR="00D86431" w:rsidRDefault="002C4575">
      <w:pPr>
        <w:ind w:left="-5" w:right="129"/>
      </w:pPr>
      <w:r>
        <w:t xml:space="preserve">From an ethical perspective, the concept of consent surpasses the confines of traditional legal definitions. The concept of bodily autonomy asserts that individuals have the right to exercise </w:t>
      </w:r>
      <w:proofErr w:type="spellStart"/>
      <w:r>
        <w:t>selfgovernance</w:t>
      </w:r>
      <w:proofErr w:type="spellEnd"/>
      <w:r>
        <w:t xml:space="preserve"> and maintain authority over their own physical beings, without external intervention. Hence, Green (2020) argues that every occurrence of physical harm, regardless of its perceived triviality, can be construed as a violation of the core tenet of self-determination. Furthermore, the ethical discussion gets heightened in cases where the ability to provide informed consent is unknown, such as in the case of minors or individuals with cognitive impairments. White (2019) posits that the ethical dilemma arises due to the inherent conflict between the preservation of individual autonomy and the protection of their overall well-being and security. </w:t>
      </w:r>
    </w:p>
    <w:p w14:paraId="0FE186AC" w14:textId="77777777" w:rsidR="00D86431" w:rsidRDefault="002C4575">
      <w:pPr>
        <w:spacing w:after="0" w:line="259" w:lineRule="auto"/>
        <w:ind w:left="0" w:right="0" w:firstLine="0"/>
      </w:pPr>
      <w:r>
        <w:t xml:space="preserve"> </w:t>
      </w:r>
    </w:p>
    <w:p w14:paraId="59F83BBD" w14:textId="77777777" w:rsidR="00D86431" w:rsidRDefault="002C4575">
      <w:pPr>
        <w:ind w:left="-5" w:right="129"/>
      </w:pPr>
      <w:r>
        <w:t xml:space="preserve">In numerous athletic </w:t>
      </w:r>
      <w:proofErr w:type="spellStart"/>
      <w:r>
        <w:t>endeavours</w:t>
      </w:r>
      <w:proofErr w:type="spellEnd"/>
      <w:r>
        <w:t xml:space="preserve">, such as the sport of boxing, individuals willingly provide their agreement to engage in a predetermined degree of physical aggressiveness. However, there is a significant argument put forth by medical professionals advocating for the limitation of these games on account of their intrinsic potential to do harm. The study conducted by </w:t>
      </w:r>
      <w:proofErr w:type="spellStart"/>
      <w:r>
        <w:t>McCrory</w:t>
      </w:r>
      <w:proofErr w:type="spellEnd"/>
      <w:r>
        <w:t xml:space="preserve"> in 2001 investigated The aforementioned scenario necessitates an ethical inquiry into the delicate equilibrium between personal autonomy and the collective well-being of society. The sociological implications of a certain phenomena comprise the broader consequences and impacts it has on society. The prevailing concern within society pertains to the intricate balance between personal freedom and communal safety. The notion of permission functions as a legal mechanism to provide a </w:t>
      </w:r>
      <w:proofErr w:type="spellStart"/>
      <w:r>
        <w:t>defence</w:t>
      </w:r>
      <w:proofErr w:type="spellEnd"/>
      <w:r>
        <w:t xml:space="preserve"> against the criminal offence of battery. When an individual grants consent for a certain activity, they effectively </w:t>
      </w:r>
      <w:proofErr w:type="spellStart"/>
      <w:r>
        <w:t>authorise</w:t>
      </w:r>
      <w:proofErr w:type="spellEnd"/>
      <w:r>
        <w:t xml:space="preserve"> its occurrence, even in situations where it may be considered damaging or disagreeable. The importance of gaining informed permission from patients before to any medical procedure is particularly prominent within the healthcare domain. By </w:t>
      </w:r>
      <w:proofErr w:type="spellStart"/>
      <w:r>
        <w:t>analysing</w:t>
      </w:r>
      <w:proofErr w:type="spellEnd"/>
      <w:r>
        <w:t xml:space="preserve"> the legal precedent set by the case of Chatterton v Gerson [1981] QB 432, it is evident that the patient granted consent for a medical procedure after being informed of its general nature, albeit without being completely apprised of all the associated risks. The unforeseeable complications that arose from the execution of the medical procedure were evaluated by the court, which concluded that the absence of battery was justified based on the patient's valid consent. The study conducted by Green et al. (2018) </w:t>
      </w:r>
    </w:p>
    <w:p w14:paraId="2318B7E6" w14:textId="77777777" w:rsidR="00D86431" w:rsidRDefault="002C4575">
      <w:pPr>
        <w:spacing w:after="0" w:line="259" w:lineRule="auto"/>
        <w:ind w:left="0" w:right="0" w:firstLine="0"/>
      </w:pPr>
      <w:r>
        <w:t xml:space="preserve"> </w:t>
      </w:r>
    </w:p>
    <w:p w14:paraId="0653BE29" w14:textId="77777777" w:rsidR="00D86431" w:rsidRDefault="002C4575">
      <w:pPr>
        <w:ind w:left="-5" w:right="129"/>
      </w:pPr>
      <w:r>
        <w:t xml:space="preserve">The societal implications of a specific occurrence or topic refer to the repercussions and effects that it has on the broader social fabric. The notion of consent, under the context of battery, holds considerable implications for society. Instances of battery that do not possess clear agreement, particularly when they involve significant individuals or institutions, possess the capacity to provoke public outrage, undermine trust, and elicit demands for more regulatory actions. According to Brown (2017), </w:t>
      </w:r>
    </w:p>
    <w:p w14:paraId="55B2E8EF" w14:textId="77777777" w:rsidR="00D86431" w:rsidRDefault="002C4575">
      <w:pPr>
        <w:spacing w:after="0" w:line="259" w:lineRule="auto"/>
        <w:ind w:left="0" w:right="0" w:firstLine="0"/>
      </w:pPr>
      <w:r>
        <w:t xml:space="preserve"> </w:t>
      </w:r>
    </w:p>
    <w:p w14:paraId="4B9F01F3" w14:textId="77777777" w:rsidR="00D86431" w:rsidRDefault="002C4575">
      <w:pPr>
        <w:ind w:left="-5" w:right="129"/>
      </w:pPr>
      <w:r>
        <w:t xml:space="preserve">Furthermore, the impact of societal norms and perspectives is apparent in the manner in which consent is interpreted. The acceptability of some activities might exhibit variability across different historical periods or cultural contexts, as they are shaped by unique societal standards pertaining to permissibility. As a result, actions that were deemed acceptable within a specific setting may be seen as instances of battery inside a different one. The notion of consent is susceptible to ongoing development as a result of the ever-changing nature of societal norms. According to Taylor (2021), </w:t>
      </w:r>
    </w:p>
    <w:p w14:paraId="2E1A9B0C" w14:textId="77777777" w:rsidR="00D86431" w:rsidRDefault="002C4575">
      <w:pPr>
        <w:spacing w:after="0" w:line="259" w:lineRule="auto"/>
        <w:ind w:left="0" w:right="0" w:firstLine="0"/>
      </w:pPr>
      <w:r>
        <w:t xml:space="preserve"> </w:t>
      </w:r>
    </w:p>
    <w:p w14:paraId="4DBAF80C" w14:textId="77777777" w:rsidR="00D86431" w:rsidRDefault="002C4575">
      <w:pPr>
        <w:ind w:left="-5" w:right="129"/>
      </w:pPr>
      <w:r>
        <w:t xml:space="preserve">Conclusion  </w:t>
      </w:r>
    </w:p>
    <w:p w14:paraId="18CAB24A" w14:textId="77777777" w:rsidR="00D86431" w:rsidRDefault="002C4575">
      <w:pPr>
        <w:spacing w:after="0" w:line="259" w:lineRule="auto"/>
        <w:ind w:left="0" w:right="0" w:firstLine="0"/>
      </w:pPr>
      <w:r>
        <w:t xml:space="preserve"> </w:t>
      </w:r>
    </w:p>
    <w:p w14:paraId="332670C3" w14:textId="77777777" w:rsidR="00D86431" w:rsidRDefault="002C4575">
      <w:pPr>
        <w:ind w:left="-5" w:right="129"/>
      </w:pPr>
      <w:r>
        <w:t xml:space="preserve">Within the field of battery technology, it is imperative for society to also take into account the existing power dynamics. In circumstances when consent may have been obtained using forceful or manipulative tactics, it is crucial to do a thorough evaluation of the genuineness of the consent. The interconnection between battery and consent in the United Kingdom is significant, as these notions can be employed as a potential </w:t>
      </w:r>
      <w:proofErr w:type="spellStart"/>
      <w:r>
        <w:t>defence</w:t>
      </w:r>
      <w:proofErr w:type="spellEnd"/>
      <w:r>
        <w:t xml:space="preserve"> against each other. However, it is anticipated that the concept and interpretation of valid consent will undergo substantial modifications as societal norms continue to progress. Within the jurisdiction of the United Kingdom, the concept of permission in battery proceedings is not limited to a mere legal construct. Instead, it is a multifaceted issue that covers a range of elements, including ethical considerations and societal norms. The legal system provides a framework for the resolution of conflicts, however, the broader societal implications and ethical considerations play a crucial role in shaping the discourse around the concept of consent and its limitations. </w:t>
      </w:r>
    </w:p>
    <w:p w14:paraId="64C0C54D" w14:textId="77777777" w:rsidR="00D86431" w:rsidRDefault="002C4575">
      <w:pPr>
        <w:spacing w:after="202" w:line="259" w:lineRule="auto"/>
        <w:ind w:left="0" w:right="0" w:firstLine="0"/>
      </w:pPr>
      <w:r>
        <w:t xml:space="preserve"> </w:t>
      </w:r>
    </w:p>
    <w:p w14:paraId="525DFA5B" w14:textId="77777777" w:rsidR="00D86431" w:rsidRDefault="002C4575">
      <w:pPr>
        <w:ind w:left="-5" w:right="129"/>
      </w:pPr>
      <w:r>
        <w:t xml:space="preserve">Cases: </w:t>
      </w:r>
    </w:p>
    <w:p w14:paraId="7A5A57A9" w14:textId="77777777" w:rsidR="00D86431" w:rsidRDefault="002C4575">
      <w:pPr>
        <w:ind w:left="-5" w:right="129"/>
      </w:pPr>
      <w:r>
        <w:t xml:space="preserve">R v Brown [1994] 1 AC 212 </w:t>
      </w:r>
    </w:p>
    <w:p w14:paraId="76E1F018" w14:textId="77777777" w:rsidR="00D86431" w:rsidRDefault="002C4575">
      <w:pPr>
        <w:ind w:left="-5" w:right="129"/>
      </w:pPr>
      <w:r>
        <w:t xml:space="preserve">Chatterton v Gerson [1981] QB 432 </w:t>
      </w:r>
    </w:p>
    <w:p w14:paraId="54C4B2BE" w14:textId="77777777" w:rsidR="00D86431" w:rsidRDefault="002C4575">
      <w:pPr>
        <w:ind w:left="-5" w:right="129"/>
      </w:pPr>
      <w:r>
        <w:t xml:space="preserve">Collins v Wilcock [1984] 1 WLR 1172 </w:t>
      </w:r>
    </w:p>
    <w:p w14:paraId="1909FDC4" w14:textId="77777777" w:rsidR="00D86431" w:rsidRDefault="002C4575">
      <w:pPr>
        <w:spacing w:after="0" w:line="259" w:lineRule="auto"/>
        <w:ind w:left="0" w:right="0" w:firstLine="0"/>
      </w:pPr>
      <w:r>
        <w:t xml:space="preserve">  </w:t>
      </w:r>
    </w:p>
    <w:p w14:paraId="2F58FA68" w14:textId="77777777" w:rsidR="00D86431" w:rsidRDefault="002C4575">
      <w:pPr>
        <w:spacing w:after="0" w:line="259" w:lineRule="auto"/>
        <w:ind w:left="0" w:right="0" w:firstLine="0"/>
      </w:pPr>
      <w:r>
        <w:t xml:space="preserve">  </w:t>
      </w:r>
    </w:p>
    <w:p w14:paraId="038B3616" w14:textId="77777777" w:rsidR="00D86431" w:rsidRDefault="002C4575">
      <w:pPr>
        <w:ind w:left="-5" w:right="129"/>
      </w:pPr>
      <w:r>
        <w:t xml:space="preserve">References: </w:t>
      </w:r>
    </w:p>
    <w:p w14:paraId="0EA6965A" w14:textId="77777777" w:rsidR="00D86431" w:rsidRDefault="002C4575">
      <w:pPr>
        <w:ind w:left="-5" w:right="129"/>
      </w:pPr>
      <w:r>
        <w:t xml:space="preserve">Brown, M. (2017). Understanding Battery and Consent in the UK. Bristol: Law Publishers. </w:t>
      </w:r>
    </w:p>
    <w:p w14:paraId="27E2C28E" w14:textId="77777777" w:rsidR="00D86431" w:rsidRDefault="002C4575">
      <w:pPr>
        <w:spacing w:after="5" w:line="235" w:lineRule="auto"/>
        <w:ind w:left="0" w:right="527" w:firstLine="0"/>
        <w:jc w:val="both"/>
      </w:pPr>
      <w:r>
        <w:t xml:space="preserve">Green, L., &amp; Taylor, R. (2018). Consent in Medical Procedures. Cambridge: University Press. </w:t>
      </w:r>
      <w:proofErr w:type="spellStart"/>
      <w:r>
        <w:t>McCrory</w:t>
      </w:r>
      <w:proofErr w:type="spellEnd"/>
      <w:r>
        <w:t xml:space="preserve">, P. (2001). Boxing and the Risk of Chronic Brain Injury. British Journal of Sports Medicine, 35(6), pp 324-326. </w:t>
      </w:r>
    </w:p>
    <w:p w14:paraId="414E7C7B" w14:textId="77777777" w:rsidR="00D86431" w:rsidRDefault="002C4575">
      <w:pPr>
        <w:ind w:left="-5" w:right="129"/>
      </w:pPr>
      <w:r>
        <w:t xml:space="preserve">Mill, J.S. (1863). On Liberty. London: Parker, Son, and Bourn. </w:t>
      </w:r>
    </w:p>
    <w:p w14:paraId="7B0A4BAE" w14:textId="77777777" w:rsidR="00D86431" w:rsidRDefault="002C4575">
      <w:pPr>
        <w:ind w:left="-5" w:right="129"/>
      </w:pPr>
      <w:r>
        <w:t xml:space="preserve">Smith, A., &amp; Jones, B. (2015). Tort Law: Battery and Assault. London: Legal Press. </w:t>
      </w:r>
    </w:p>
    <w:p w14:paraId="5506399C" w14:textId="77777777" w:rsidR="00D86431" w:rsidRDefault="002C4575">
      <w:pPr>
        <w:ind w:left="-5" w:right="129"/>
      </w:pPr>
      <w:r>
        <w:t xml:space="preserve">Smith, J. (1995). The Boundaries of Consent in Criminal Law. Oxford: Oxford University Press. </w:t>
      </w:r>
    </w:p>
    <w:p w14:paraId="6ADD08FC" w14:textId="77777777" w:rsidR="00D86431" w:rsidRDefault="002C4575">
      <w:pPr>
        <w:ind w:left="-5" w:right="129"/>
      </w:pPr>
      <w:r>
        <w:t xml:space="preserve">White, N. (2019). The Evolution of Consent in Modern Society. Edinburgh: Scottish Law Review. </w:t>
      </w:r>
    </w:p>
    <w:p w14:paraId="3CAE9A4B" w14:textId="77777777" w:rsidR="00D86431" w:rsidRDefault="002C4575">
      <w:pPr>
        <w:spacing w:after="208" w:line="259" w:lineRule="auto"/>
        <w:ind w:left="0" w:right="0" w:firstLine="0"/>
      </w:pPr>
      <w:r>
        <w:t xml:space="preserve"> </w:t>
      </w:r>
    </w:p>
    <w:p w14:paraId="1161F48F" w14:textId="77777777" w:rsidR="00D86431" w:rsidRDefault="002C4575">
      <w:pPr>
        <w:spacing w:after="0" w:line="259" w:lineRule="auto"/>
        <w:ind w:left="0" w:right="0" w:firstLine="0"/>
      </w:pPr>
      <w:r>
        <w:t xml:space="preserve"> </w:t>
      </w:r>
    </w:p>
    <w:p w14:paraId="75EFC619" w14:textId="77777777" w:rsidR="00D86431" w:rsidRDefault="002C4575">
      <w:pPr>
        <w:spacing w:after="0" w:line="259" w:lineRule="auto"/>
        <w:ind w:left="0" w:right="0" w:firstLine="0"/>
        <w:jc w:val="both"/>
      </w:pPr>
      <w:r>
        <w:t xml:space="preserve"> </w:t>
      </w:r>
      <w:r>
        <w:br w:type="page"/>
      </w:r>
    </w:p>
    <w:p w14:paraId="0A8F971C" w14:textId="77777777" w:rsidR="00D86431" w:rsidRDefault="002C4575">
      <w:pPr>
        <w:spacing w:after="0" w:line="259" w:lineRule="auto"/>
        <w:ind w:left="0" w:right="0" w:firstLine="0"/>
        <w:jc w:val="both"/>
      </w:pPr>
      <w:r>
        <w:rPr>
          <w:rFonts w:cs="Arial"/>
          <w:b/>
        </w:rPr>
        <w:t xml:space="preserve"> </w:t>
      </w:r>
    </w:p>
    <w:sectPr w:rsidR="00D86431">
      <w:pgSz w:w="11900" w:h="16820"/>
      <w:pgMar w:top="705" w:right="609" w:bottom="731" w:left="72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431"/>
    <w:rsid w:val="002A4C79"/>
    <w:rsid w:val="002C4575"/>
    <w:rsid w:val="00747E14"/>
    <w:rsid w:val="007649A1"/>
    <w:rsid w:val="007854D5"/>
    <w:rsid w:val="00937708"/>
    <w:rsid w:val="00A37143"/>
    <w:rsid w:val="00BA7CC3"/>
    <w:rsid w:val="00C57F06"/>
    <w:rsid w:val="00D86431"/>
    <w:rsid w:val="00F60C5C"/>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4:docId w14:val="48A278A6"/>
  <w15:docId w15:val="{20FC5BAB-2CBE-4FAE-9EDE-3D6AFEA59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 w:eastAsia="ro-R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8" w:lineRule="auto"/>
      <w:ind w:left="10" w:right="128" w:hanging="10"/>
    </w:pPr>
    <w:rPr>
      <w:rFonts w:ascii="Arial" w:eastAsia="Arial" w:hAnsi="Arial" w:cs="Times New Roman"/>
      <w:color w:val="000000"/>
      <w:sz w:val="28"/>
      <w:lang w:val="en" w:eastAsia="en"/>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18"/>
      <w:ind w:left="146"/>
      <w:jc w:val="center"/>
      <w:outlineLvl w:val="0"/>
    </w:pPr>
    <w:rPr>
      <w:rFonts w:ascii="Arial" w:eastAsia="Arial" w:hAnsi="Arial" w:cs="Arial"/>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0"/>
    </w:rPr>
  </w:style>
  <w:style w:type="table" w:customStyle="1" w:styleId="TableGrid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1884</Words>
  <Characters>10739</Characters>
  <Application>Microsoft Office Word</Application>
  <DocSecurity>0</DocSecurity>
  <Lines>89</Lines>
  <Paragraphs>25</Paragraphs>
  <ScaleCrop>false</ScaleCrop>
  <Company/>
  <LinksUpToDate>false</LinksUpToDate>
  <CharactersWithSpaces>12598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Iana Britchi</cp:lastModifiedBy>
  <cp:revision>2</cp:revision>
  <dcterms:created xsi:type="dcterms:W3CDTF">2023-11-02T20:25:00Z</dcterms:created>
  <dcterms:modified xsi:type="dcterms:W3CDTF">2023-11-02T20:25:00Z</dcterms:modified>
</cp:coreProperties>
</file>