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25D3F" w14:textId="4D35C45F" w:rsidR="00E42DDC" w:rsidRDefault="005869FB" w:rsidP="00E42DDC">
      <w:r>
        <w:rPr>
          <w:noProof/>
        </w:rPr>
        <w:drawing>
          <wp:inline distT="0" distB="0" distL="0" distR="0" wp14:anchorId="22BB5631" wp14:editId="07E65BF0">
            <wp:extent cx="1699260" cy="940435"/>
            <wp:effectExtent l="0" t="0" r="0" b="0"/>
            <wp:docPr id="1" name="Picture 1" descr="Description: Description: university-of-wales-trinity-saint-david-logo-vector | ESRC Wales Doctoral  Training Partnership"/>
            <wp:cNvGraphicFramePr/>
            <a:graphic xmlns:a="http://schemas.openxmlformats.org/drawingml/2006/main">
              <a:graphicData uri="http://schemas.openxmlformats.org/drawingml/2006/picture">
                <pic:pic xmlns:pic="http://schemas.openxmlformats.org/drawingml/2006/picture">
                  <pic:nvPicPr>
                    <pic:cNvPr id="1" name="Picture 1" descr="Description: Description: university-of-wales-trinity-saint-david-logo-vector | ESRC Wales Doctoral  Training Partnership"/>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99260" cy="940435"/>
                    </a:xfrm>
                    <a:prstGeom prst="rect">
                      <a:avLst/>
                    </a:prstGeom>
                    <a:noFill/>
                    <a:ln>
                      <a:noFill/>
                    </a:ln>
                  </pic:spPr>
                </pic:pic>
              </a:graphicData>
            </a:graphic>
          </wp:inline>
        </w:drawing>
      </w:r>
    </w:p>
    <w:p w14:paraId="738D0978" w14:textId="77777777" w:rsidR="00E42DDC" w:rsidRDefault="00E42DDC" w:rsidP="00E42DDC"/>
    <w:p w14:paraId="1D355946" w14:textId="77777777" w:rsidR="00E42DDC" w:rsidRDefault="00E42DDC" w:rsidP="00E42DDC"/>
    <w:p w14:paraId="1CC401E9" w14:textId="77777777" w:rsidR="00E42DDC" w:rsidRDefault="00E42DDC" w:rsidP="00E42DDC"/>
    <w:p w14:paraId="5A0341A8" w14:textId="77777777" w:rsidR="00E42DDC" w:rsidRDefault="00E42DDC" w:rsidP="00E42DDC"/>
    <w:p w14:paraId="333907F9" w14:textId="77777777" w:rsidR="00E42DDC" w:rsidRDefault="00E42DDC" w:rsidP="00E42DDC"/>
    <w:p w14:paraId="77A78B7D" w14:textId="77777777" w:rsidR="00E42DDC" w:rsidRDefault="00E42DDC" w:rsidP="00E42DDC"/>
    <w:p w14:paraId="07798CEC" w14:textId="0E72D89E" w:rsidR="005E72E6" w:rsidRPr="00E42DDC" w:rsidRDefault="00E42DDC">
      <w:pPr>
        <w:rPr>
          <w:b/>
          <w:bCs/>
          <w:sz w:val="36"/>
          <w:szCs w:val="32"/>
        </w:rPr>
      </w:pPr>
      <w:r w:rsidRPr="00E42DDC">
        <w:rPr>
          <w:b/>
          <w:bCs/>
          <w:sz w:val="36"/>
          <w:szCs w:val="32"/>
        </w:rPr>
        <w:t>Module Code and Name:</w:t>
      </w:r>
      <w:r w:rsidR="00DA7E41">
        <w:rPr>
          <w:b/>
          <w:bCs/>
          <w:sz w:val="36"/>
          <w:szCs w:val="32"/>
        </w:rPr>
        <w:t xml:space="preserve"> </w:t>
      </w:r>
      <w:r w:rsidR="00DA7E41" w:rsidRPr="00DA7E41">
        <w:rPr>
          <w:b/>
          <w:bCs/>
          <w:sz w:val="36"/>
          <w:szCs w:val="32"/>
        </w:rPr>
        <w:t xml:space="preserve">ACHA 7028 </w:t>
      </w:r>
      <w:r w:rsidRPr="00E42DDC">
        <w:rPr>
          <w:b/>
          <w:bCs/>
          <w:sz w:val="36"/>
          <w:szCs w:val="32"/>
        </w:rPr>
        <w:t>Resourcing and Financial Management for Projects</w:t>
      </w:r>
    </w:p>
    <w:p w14:paraId="5CECD3C7" w14:textId="77777777" w:rsidR="00E42DDC" w:rsidRDefault="00E42DDC">
      <w:pPr>
        <w:rPr>
          <w:b/>
          <w:bCs/>
          <w:sz w:val="36"/>
          <w:szCs w:val="32"/>
        </w:rPr>
      </w:pPr>
    </w:p>
    <w:p w14:paraId="0253C4E9" w14:textId="77777777" w:rsidR="00E42DDC" w:rsidRPr="00E42DDC" w:rsidRDefault="00E42DDC">
      <w:pPr>
        <w:rPr>
          <w:b/>
          <w:bCs/>
          <w:sz w:val="36"/>
          <w:szCs w:val="32"/>
        </w:rPr>
      </w:pPr>
    </w:p>
    <w:p w14:paraId="095A5675" w14:textId="7888C1B9" w:rsidR="00E42DDC" w:rsidRPr="00E42DDC" w:rsidRDefault="00E42DDC" w:rsidP="00BA7453">
      <w:pPr>
        <w:jc w:val="center"/>
        <w:rPr>
          <w:b/>
          <w:bCs/>
          <w:sz w:val="36"/>
          <w:szCs w:val="32"/>
        </w:rPr>
      </w:pPr>
      <w:r w:rsidRPr="00E42DDC">
        <w:rPr>
          <w:b/>
          <w:bCs/>
          <w:sz w:val="36"/>
          <w:szCs w:val="32"/>
        </w:rPr>
        <w:t>Student Name:</w:t>
      </w:r>
      <w:r w:rsidR="00912B3F">
        <w:rPr>
          <w:b/>
          <w:bCs/>
          <w:sz w:val="36"/>
          <w:szCs w:val="32"/>
        </w:rPr>
        <w:t xml:space="preserve"> Balaji Muruganandham</w:t>
      </w:r>
    </w:p>
    <w:p w14:paraId="55AE43B6" w14:textId="30534B93" w:rsidR="00E42DDC" w:rsidRPr="00E42DDC" w:rsidRDefault="00E42DDC" w:rsidP="00BA7453">
      <w:pPr>
        <w:jc w:val="center"/>
        <w:rPr>
          <w:b/>
          <w:bCs/>
          <w:sz w:val="36"/>
          <w:szCs w:val="32"/>
        </w:rPr>
      </w:pPr>
      <w:r w:rsidRPr="00E42DDC">
        <w:rPr>
          <w:b/>
          <w:bCs/>
          <w:sz w:val="36"/>
          <w:szCs w:val="32"/>
        </w:rPr>
        <w:t>Student Number:</w:t>
      </w:r>
      <w:r w:rsidR="00912B3F">
        <w:rPr>
          <w:b/>
          <w:bCs/>
          <w:sz w:val="36"/>
          <w:szCs w:val="32"/>
        </w:rPr>
        <w:t>2513673</w:t>
      </w:r>
    </w:p>
    <w:p w14:paraId="391F1F71" w14:textId="77777777" w:rsidR="00BA7453" w:rsidRDefault="00BA7453" w:rsidP="00BA7453"/>
    <w:p w14:paraId="52EF336D" w14:textId="77777777" w:rsidR="00BA7453" w:rsidRDefault="00BA7453" w:rsidP="00BA7453"/>
    <w:p w14:paraId="19B2AA9C" w14:textId="7A05FE06" w:rsidR="00E42DDC" w:rsidRPr="00E42DDC" w:rsidRDefault="00E42DDC" w:rsidP="00BA7453">
      <w:r w:rsidRPr="00E42DDC">
        <w:t>Word Count: 2</w:t>
      </w:r>
      <w:r w:rsidR="00DA7E41">
        <w:t>7</w:t>
      </w:r>
      <w:r>
        <w:t>3</w:t>
      </w:r>
      <w:r w:rsidRPr="00E42DDC">
        <w:t>7</w:t>
      </w:r>
    </w:p>
    <w:p w14:paraId="32886FA8" w14:textId="77777777" w:rsidR="00F44318" w:rsidRDefault="00F44318"/>
    <w:p w14:paraId="51A777B4" w14:textId="77777777" w:rsidR="00F44318" w:rsidRDefault="00F44318"/>
    <w:p w14:paraId="6D7E1957" w14:textId="77777777" w:rsidR="00F44318" w:rsidRDefault="00F44318"/>
    <w:p w14:paraId="65E34614" w14:textId="77777777" w:rsidR="00DB2457" w:rsidRDefault="00F44318">
      <w:pPr>
        <w:spacing w:line="259" w:lineRule="auto"/>
        <w:jc w:val="left"/>
        <w:sectPr w:rsidR="00DB2457" w:rsidSect="00045A26">
          <w:pgSz w:w="12240" w:h="15840"/>
          <w:pgMar w:top="1440" w:right="1440" w:bottom="1440" w:left="1440" w:header="720" w:footer="720" w:gutter="0"/>
          <w:cols w:space="720"/>
          <w:docGrid w:linePitch="360"/>
        </w:sectPr>
      </w:pPr>
      <w:r>
        <w:lastRenderedPageBreak/>
        <w:br w:type="page"/>
      </w:r>
    </w:p>
    <w:sdt>
      <w:sdtPr>
        <w:rPr>
          <w:rFonts w:eastAsiaTheme="minorHAnsi" w:cstheme="minorBidi"/>
          <w:b w:val="0"/>
          <w:sz w:val="24"/>
          <w:szCs w:val="22"/>
          <w14:ligatures w14:val="standardContextual"/>
        </w:rPr>
        <w:id w:val="-1839985356"/>
        <w:docPartObj>
          <w:docPartGallery w:val="Table of Contents"/>
          <w:docPartUnique/>
        </w:docPartObj>
      </w:sdtPr>
      <w:sdtEndPr>
        <w:rPr>
          <w:bCs/>
          <w:noProof/>
        </w:rPr>
      </w:sdtEndPr>
      <w:sdtContent>
        <w:p w14:paraId="47055564" w14:textId="01D6245B" w:rsidR="00E42DDC" w:rsidRDefault="00E42DDC">
          <w:pPr>
            <w:pStyle w:val="TOCHeading"/>
          </w:pPr>
          <w:r>
            <w:t>Table of Contents</w:t>
          </w:r>
        </w:p>
        <w:p w14:paraId="09D9029A" w14:textId="4E68B854" w:rsidR="0067032F" w:rsidRDefault="00E42DDC">
          <w:pPr>
            <w:pStyle w:val="TOC1"/>
            <w:tabs>
              <w:tab w:val="left" w:pos="480"/>
              <w:tab w:val="right" w:leader="dot" w:pos="9350"/>
            </w:tabs>
            <w:rPr>
              <w:rFonts w:asciiTheme="minorHAnsi" w:eastAsiaTheme="minorEastAsia" w:hAnsiTheme="minorHAnsi"/>
              <w:noProof/>
              <w:kern w:val="2"/>
              <w:szCs w:val="24"/>
            </w:rPr>
          </w:pPr>
          <w:r>
            <w:fldChar w:fldCharType="begin"/>
          </w:r>
          <w:r>
            <w:instrText xml:space="preserve"> TOC \o "1-3" \h \z \u </w:instrText>
          </w:r>
          <w:r>
            <w:fldChar w:fldCharType="separate"/>
          </w:r>
          <w:hyperlink w:anchor="_Toc229979658" w:history="1">
            <w:r w:rsidR="0067032F" w:rsidRPr="00720F93">
              <w:rPr>
                <w:rStyle w:val="Hyperlink"/>
                <w:noProof/>
              </w:rPr>
              <w:t>1.</w:t>
            </w:r>
            <w:r w:rsidR="0067032F">
              <w:rPr>
                <w:rFonts w:asciiTheme="minorHAnsi" w:eastAsiaTheme="minorEastAsia" w:hAnsiTheme="minorHAnsi"/>
                <w:noProof/>
                <w:kern w:val="2"/>
                <w:szCs w:val="24"/>
              </w:rPr>
              <w:tab/>
            </w:r>
            <w:r w:rsidR="0067032F" w:rsidRPr="00720F93">
              <w:rPr>
                <w:rStyle w:val="Hyperlink"/>
                <w:noProof/>
              </w:rPr>
              <w:t>Introduction</w:t>
            </w:r>
            <w:r w:rsidR="0067032F">
              <w:rPr>
                <w:noProof/>
                <w:webHidden/>
              </w:rPr>
              <w:tab/>
            </w:r>
            <w:r w:rsidR="0067032F">
              <w:rPr>
                <w:noProof/>
                <w:webHidden/>
              </w:rPr>
              <w:fldChar w:fldCharType="begin"/>
            </w:r>
            <w:r w:rsidR="0067032F">
              <w:rPr>
                <w:noProof/>
                <w:webHidden/>
              </w:rPr>
              <w:instrText xml:space="preserve"> PAGEREF _Toc229979658 \h </w:instrText>
            </w:r>
            <w:r w:rsidR="0067032F">
              <w:rPr>
                <w:noProof/>
                <w:webHidden/>
              </w:rPr>
            </w:r>
            <w:r w:rsidR="0067032F">
              <w:rPr>
                <w:noProof/>
                <w:webHidden/>
              </w:rPr>
              <w:fldChar w:fldCharType="separate"/>
            </w:r>
            <w:r w:rsidR="0067032F">
              <w:rPr>
                <w:noProof/>
                <w:webHidden/>
              </w:rPr>
              <w:t>1</w:t>
            </w:r>
            <w:r w:rsidR="0067032F">
              <w:rPr>
                <w:noProof/>
                <w:webHidden/>
              </w:rPr>
              <w:fldChar w:fldCharType="end"/>
            </w:r>
          </w:hyperlink>
        </w:p>
        <w:p w14:paraId="6545847E" w14:textId="6159449E" w:rsidR="0067032F" w:rsidRDefault="0067032F">
          <w:pPr>
            <w:pStyle w:val="TOC1"/>
            <w:tabs>
              <w:tab w:val="left" w:pos="480"/>
              <w:tab w:val="right" w:leader="dot" w:pos="9350"/>
            </w:tabs>
            <w:rPr>
              <w:rFonts w:asciiTheme="minorHAnsi" w:eastAsiaTheme="minorEastAsia" w:hAnsiTheme="minorHAnsi"/>
              <w:noProof/>
              <w:kern w:val="2"/>
              <w:szCs w:val="24"/>
            </w:rPr>
          </w:pPr>
          <w:hyperlink w:anchor="_Toc229979659" w:history="1">
            <w:r w:rsidRPr="00720F93">
              <w:rPr>
                <w:rStyle w:val="Hyperlink"/>
                <w:noProof/>
              </w:rPr>
              <w:t>2.</w:t>
            </w:r>
            <w:r>
              <w:rPr>
                <w:rFonts w:asciiTheme="minorHAnsi" w:eastAsiaTheme="minorEastAsia" w:hAnsiTheme="minorHAnsi"/>
                <w:noProof/>
                <w:kern w:val="2"/>
                <w:szCs w:val="24"/>
              </w:rPr>
              <w:tab/>
            </w:r>
            <w:r w:rsidRPr="00720F93">
              <w:rPr>
                <w:rStyle w:val="Hyperlink"/>
                <w:noProof/>
              </w:rPr>
              <w:t>Scenario 1 – High</w:t>
            </w:r>
            <w:r w:rsidRPr="00720F93">
              <w:rPr>
                <w:rStyle w:val="Hyperlink"/>
                <w:noProof/>
              </w:rPr>
              <w:noBreakHyphen/>
              <w:t>Performing Workplaces</w:t>
            </w:r>
            <w:r>
              <w:rPr>
                <w:noProof/>
                <w:webHidden/>
              </w:rPr>
              <w:tab/>
            </w:r>
            <w:r>
              <w:rPr>
                <w:noProof/>
                <w:webHidden/>
              </w:rPr>
              <w:fldChar w:fldCharType="begin"/>
            </w:r>
            <w:r>
              <w:rPr>
                <w:noProof/>
                <w:webHidden/>
              </w:rPr>
              <w:instrText xml:space="preserve"> PAGEREF _Toc229979659 \h </w:instrText>
            </w:r>
            <w:r>
              <w:rPr>
                <w:noProof/>
                <w:webHidden/>
              </w:rPr>
            </w:r>
            <w:r>
              <w:rPr>
                <w:noProof/>
                <w:webHidden/>
              </w:rPr>
              <w:fldChar w:fldCharType="separate"/>
            </w:r>
            <w:r>
              <w:rPr>
                <w:noProof/>
                <w:webHidden/>
              </w:rPr>
              <w:t>2</w:t>
            </w:r>
            <w:r>
              <w:rPr>
                <w:noProof/>
                <w:webHidden/>
              </w:rPr>
              <w:fldChar w:fldCharType="end"/>
            </w:r>
          </w:hyperlink>
        </w:p>
        <w:p w14:paraId="36F8B89B" w14:textId="78CBA101"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60" w:history="1">
            <w:r w:rsidRPr="00720F93">
              <w:rPr>
                <w:rStyle w:val="Hyperlink"/>
                <w:noProof/>
              </w:rPr>
              <w:t>2.1</w:t>
            </w:r>
            <w:r>
              <w:rPr>
                <w:rFonts w:asciiTheme="minorHAnsi" w:eastAsiaTheme="minorEastAsia" w:hAnsiTheme="minorHAnsi"/>
                <w:noProof/>
                <w:kern w:val="2"/>
                <w:szCs w:val="24"/>
              </w:rPr>
              <w:tab/>
            </w:r>
            <w:r w:rsidRPr="00720F93">
              <w:rPr>
                <w:rStyle w:val="Hyperlink"/>
                <w:noProof/>
              </w:rPr>
              <w:t>Organisational practices and benefits that are widely used</w:t>
            </w:r>
            <w:r>
              <w:rPr>
                <w:noProof/>
                <w:webHidden/>
              </w:rPr>
              <w:tab/>
            </w:r>
            <w:r>
              <w:rPr>
                <w:noProof/>
                <w:webHidden/>
              </w:rPr>
              <w:fldChar w:fldCharType="begin"/>
            </w:r>
            <w:r>
              <w:rPr>
                <w:noProof/>
                <w:webHidden/>
              </w:rPr>
              <w:instrText xml:space="preserve"> PAGEREF _Toc229979660 \h </w:instrText>
            </w:r>
            <w:r>
              <w:rPr>
                <w:noProof/>
                <w:webHidden/>
              </w:rPr>
            </w:r>
            <w:r>
              <w:rPr>
                <w:noProof/>
                <w:webHidden/>
              </w:rPr>
              <w:fldChar w:fldCharType="separate"/>
            </w:r>
            <w:r>
              <w:rPr>
                <w:noProof/>
                <w:webHidden/>
              </w:rPr>
              <w:t>2</w:t>
            </w:r>
            <w:r>
              <w:rPr>
                <w:noProof/>
                <w:webHidden/>
              </w:rPr>
              <w:fldChar w:fldCharType="end"/>
            </w:r>
          </w:hyperlink>
        </w:p>
        <w:p w14:paraId="7ECEDC2F" w14:textId="30A1D41C"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61" w:history="1">
            <w:r w:rsidRPr="00720F93">
              <w:rPr>
                <w:rStyle w:val="Hyperlink"/>
                <w:noProof/>
              </w:rPr>
              <w:t>2.2</w:t>
            </w:r>
            <w:r>
              <w:rPr>
                <w:rFonts w:asciiTheme="minorHAnsi" w:eastAsiaTheme="minorEastAsia" w:hAnsiTheme="minorHAnsi"/>
                <w:noProof/>
                <w:kern w:val="2"/>
                <w:szCs w:val="24"/>
              </w:rPr>
              <w:tab/>
            </w:r>
            <w:r w:rsidRPr="00720F93">
              <w:rPr>
                <w:rStyle w:val="Hyperlink"/>
                <w:noProof/>
              </w:rPr>
              <w:t>Cultural features</w:t>
            </w:r>
            <w:r>
              <w:rPr>
                <w:noProof/>
                <w:webHidden/>
              </w:rPr>
              <w:tab/>
            </w:r>
            <w:r>
              <w:rPr>
                <w:noProof/>
                <w:webHidden/>
              </w:rPr>
              <w:fldChar w:fldCharType="begin"/>
            </w:r>
            <w:r>
              <w:rPr>
                <w:noProof/>
                <w:webHidden/>
              </w:rPr>
              <w:instrText xml:space="preserve"> PAGEREF _Toc229979661 \h </w:instrText>
            </w:r>
            <w:r>
              <w:rPr>
                <w:noProof/>
                <w:webHidden/>
              </w:rPr>
            </w:r>
            <w:r>
              <w:rPr>
                <w:noProof/>
                <w:webHidden/>
              </w:rPr>
              <w:fldChar w:fldCharType="separate"/>
            </w:r>
            <w:r>
              <w:rPr>
                <w:noProof/>
                <w:webHidden/>
              </w:rPr>
              <w:t>2</w:t>
            </w:r>
            <w:r>
              <w:rPr>
                <w:noProof/>
                <w:webHidden/>
              </w:rPr>
              <w:fldChar w:fldCharType="end"/>
            </w:r>
          </w:hyperlink>
        </w:p>
        <w:p w14:paraId="60E1FB05" w14:textId="4A1ED158"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62" w:history="1">
            <w:r w:rsidRPr="00720F93">
              <w:rPr>
                <w:rStyle w:val="Hyperlink"/>
                <w:noProof/>
              </w:rPr>
              <w:t>2.3</w:t>
            </w:r>
            <w:r>
              <w:rPr>
                <w:rFonts w:asciiTheme="minorHAnsi" w:eastAsiaTheme="minorEastAsia" w:hAnsiTheme="minorHAnsi"/>
                <w:noProof/>
                <w:kern w:val="2"/>
                <w:szCs w:val="24"/>
              </w:rPr>
              <w:tab/>
            </w:r>
            <w:r w:rsidRPr="00720F93">
              <w:rPr>
                <w:rStyle w:val="Hyperlink"/>
                <w:noProof/>
              </w:rPr>
              <w:t>Synthesis of findings</w:t>
            </w:r>
            <w:r>
              <w:rPr>
                <w:noProof/>
                <w:webHidden/>
              </w:rPr>
              <w:tab/>
            </w:r>
            <w:r>
              <w:rPr>
                <w:noProof/>
                <w:webHidden/>
              </w:rPr>
              <w:fldChar w:fldCharType="begin"/>
            </w:r>
            <w:r>
              <w:rPr>
                <w:noProof/>
                <w:webHidden/>
              </w:rPr>
              <w:instrText xml:space="preserve"> PAGEREF _Toc229979662 \h </w:instrText>
            </w:r>
            <w:r>
              <w:rPr>
                <w:noProof/>
                <w:webHidden/>
              </w:rPr>
            </w:r>
            <w:r>
              <w:rPr>
                <w:noProof/>
                <w:webHidden/>
              </w:rPr>
              <w:fldChar w:fldCharType="separate"/>
            </w:r>
            <w:r>
              <w:rPr>
                <w:noProof/>
                <w:webHidden/>
              </w:rPr>
              <w:t>2</w:t>
            </w:r>
            <w:r>
              <w:rPr>
                <w:noProof/>
                <w:webHidden/>
              </w:rPr>
              <w:fldChar w:fldCharType="end"/>
            </w:r>
          </w:hyperlink>
        </w:p>
        <w:p w14:paraId="5867EA13" w14:textId="30E6A6D9" w:rsidR="0067032F" w:rsidRDefault="0067032F">
          <w:pPr>
            <w:pStyle w:val="TOC1"/>
            <w:tabs>
              <w:tab w:val="left" w:pos="480"/>
              <w:tab w:val="right" w:leader="dot" w:pos="9350"/>
            </w:tabs>
            <w:rPr>
              <w:rFonts w:asciiTheme="minorHAnsi" w:eastAsiaTheme="minorEastAsia" w:hAnsiTheme="minorHAnsi"/>
              <w:noProof/>
              <w:kern w:val="2"/>
              <w:szCs w:val="24"/>
            </w:rPr>
          </w:pPr>
          <w:hyperlink w:anchor="_Toc229979663" w:history="1">
            <w:r w:rsidRPr="00720F93">
              <w:rPr>
                <w:rStyle w:val="Hyperlink"/>
                <w:noProof/>
              </w:rPr>
              <w:t>3.</w:t>
            </w:r>
            <w:r>
              <w:rPr>
                <w:rFonts w:asciiTheme="minorHAnsi" w:eastAsiaTheme="minorEastAsia" w:hAnsiTheme="minorHAnsi"/>
                <w:noProof/>
                <w:kern w:val="2"/>
                <w:szCs w:val="24"/>
              </w:rPr>
              <w:tab/>
            </w:r>
            <w:r w:rsidRPr="00720F93">
              <w:rPr>
                <w:rStyle w:val="Hyperlink"/>
                <w:noProof/>
              </w:rPr>
              <w:t>Scenario 2 – Employee Orientation Practices</w:t>
            </w:r>
            <w:r>
              <w:rPr>
                <w:noProof/>
                <w:webHidden/>
              </w:rPr>
              <w:tab/>
            </w:r>
            <w:r>
              <w:rPr>
                <w:noProof/>
                <w:webHidden/>
              </w:rPr>
              <w:fldChar w:fldCharType="begin"/>
            </w:r>
            <w:r>
              <w:rPr>
                <w:noProof/>
                <w:webHidden/>
              </w:rPr>
              <w:instrText xml:space="preserve"> PAGEREF _Toc229979663 \h </w:instrText>
            </w:r>
            <w:r>
              <w:rPr>
                <w:noProof/>
                <w:webHidden/>
              </w:rPr>
            </w:r>
            <w:r>
              <w:rPr>
                <w:noProof/>
                <w:webHidden/>
              </w:rPr>
              <w:fldChar w:fldCharType="separate"/>
            </w:r>
            <w:r>
              <w:rPr>
                <w:noProof/>
                <w:webHidden/>
              </w:rPr>
              <w:t>3</w:t>
            </w:r>
            <w:r>
              <w:rPr>
                <w:noProof/>
                <w:webHidden/>
              </w:rPr>
              <w:fldChar w:fldCharType="end"/>
            </w:r>
          </w:hyperlink>
        </w:p>
        <w:p w14:paraId="258BAD07" w14:textId="3DC63976"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64" w:history="1">
            <w:r w:rsidRPr="00720F93">
              <w:rPr>
                <w:rStyle w:val="Hyperlink"/>
                <w:noProof/>
              </w:rPr>
              <w:t>3.1</w:t>
            </w:r>
            <w:r>
              <w:rPr>
                <w:rFonts w:asciiTheme="minorHAnsi" w:eastAsiaTheme="minorEastAsia" w:hAnsiTheme="minorHAnsi"/>
                <w:noProof/>
                <w:kern w:val="2"/>
                <w:szCs w:val="24"/>
              </w:rPr>
              <w:tab/>
            </w:r>
            <w:r w:rsidRPr="00720F93">
              <w:rPr>
                <w:rStyle w:val="Hyperlink"/>
                <w:noProof/>
              </w:rPr>
              <w:t>Evaluation of a researched induction programme in a critical way</w:t>
            </w:r>
            <w:r>
              <w:rPr>
                <w:noProof/>
                <w:webHidden/>
              </w:rPr>
              <w:tab/>
            </w:r>
            <w:r>
              <w:rPr>
                <w:noProof/>
                <w:webHidden/>
              </w:rPr>
              <w:fldChar w:fldCharType="begin"/>
            </w:r>
            <w:r>
              <w:rPr>
                <w:noProof/>
                <w:webHidden/>
              </w:rPr>
              <w:instrText xml:space="preserve"> PAGEREF _Toc229979664 \h </w:instrText>
            </w:r>
            <w:r>
              <w:rPr>
                <w:noProof/>
                <w:webHidden/>
              </w:rPr>
            </w:r>
            <w:r>
              <w:rPr>
                <w:noProof/>
                <w:webHidden/>
              </w:rPr>
              <w:fldChar w:fldCharType="separate"/>
            </w:r>
            <w:r>
              <w:rPr>
                <w:noProof/>
                <w:webHidden/>
              </w:rPr>
              <w:t>3</w:t>
            </w:r>
            <w:r>
              <w:rPr>
                <w:noProof/>
                <w:webHidden/>
              </w:rPr>
              <w:fldChar w:fldCharType="end"/>
            </w:r>
          </w:hyperlink>
        </w:p>
        <w:p w14:paraId="7A799C03" w14:textId="59A922A5"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65" w:history="1">
            <w:r w:rsidRPr="00720F93">
              <w:rPr>
                <w:rStyle w:val="Hyperlink"/>
                <w:noProof/>
              </w:rPr>
              <w:t>3.2</w:t>
            </w:r>
            <w:r>
              <w:rPr>
                <w:rFonts w:asciiTheme="minorHAnsi" w:eastAsiaTheme="minorEastAsia" w:hAnsiTheme="minorHAnsi"/>
                <w:noProof/>
                <w:kern w:val="2"/>
                <w:szCs w:val="24"/>
              </w:rPr>
              <w:tab/>
            </w:r>
            <w:r w:rsidRPr="00720F93">
              <w:rPr>
                <w:rStyle w:val="Hyperlink"/>
                <w:noProof/>
              </w:rPr>
              <w:t>Proposed evidence</w:t>
            </w:r>
            <w:r w:rsidRPr="00720F93">
              <w:rPr>
                <w:rStyle w:val="Hyperlink"/>
                <w:rFonts w:ascii="Cambria Math" w:hAnsi="Cambria Math" w:cs="Cambria Math"/>
                <w:noProof/>
              </w:rPr>
              <w:t>‑</w:t>
            </w:r>
            <w:r w:rsidRPr="00720F93">
              <w:rPr>
                <w:rStyle w:val="Hyperlink"/>
                <w:noProof/>
              </w:rPr>
              <w:t>based improvements</w:t>
            </w:r>
            <w:r>
              <w:rPr>
                <w:noProof/>
                <w:webHidden/>
              </w:rPr>
              <w:tab/>
            </w:r>
            <w:r>
              <w:rPr>
                <w:noProof/>
                <w:webHidden/>
              </w:rPr>
              <w:fldChar w:fldCharType="begin"/>
            </w:r>
            <w:r>
              <w:rPr>
                <w:noProof/>
                <w:webHidden/>
              </w:rPr>
              <w:instrText xml:space="preserve"> PAGEREF _Toc229979665 \h </w:instrText>
            </w:r>
            <w:r>
              <w:rPr>
                <w:noProof/>
                <w:webHidden/>
              </w:rPr>
            </w:r>
            <w:r>
              <w:rPr>
                <w:noProof/>
                <w:webHidden/>
              </w:rPr>
              <w:fldChar w:fldCharType="separate"/>
            </w:r>
            <w:r>
              <w:rPr>
                <w:noProof/>
                <w:webHidden/>
              </w:rPr>
              <w:t>3</w:t>
            </w:r>
            <w:r>
              <w:rPr>
                <w:noProof/>
                <w:webHidden/>
              </w:rPr>
              <w:fldChar w:fldCharType="end"/>
            </w:r>
          </w:hyperlink>
        </w:p>
        <w:p w14:paraId="26632151" w14:textId="2FD348F2" w:rsidR="0067032F" w:rsidRDefault="0067032F">
          <w:pPr>
            <w:pStyle w:val="TOC1"/>
            <w:tabs>
              <w:tab w:val="left" w:pos="480"/>
              <w:tab w:val="right" w:leader="dot" w:pos="9350"/>
            </w:tabs>
            <w:rPr>
              <w:rFonts w:asciiTheme="minorHAnsi" w:eastAsiaTheme="minorEastAsia" w:hAnsiTheme="minorHAnsi"/>
              <w:noProof/>
              <w:kern w:val="2"/>
              <w:szCs w:val="24"/>
            </w:rPr>
          </w:pPr>
          <w:hyperlink w:anchor="_Toc229979666" w:history="1">
            <w:r w:rsidRPr="00720F93">
              <w:rPr>
                <w:rStyle w:val="Hyperlink"/>
                <w:noProof/>
              </w:rPr>
              <w:t>4.</w:t>
            </w:r>
            <w:r>
              <w:rPr>
                <w:rFonts w:asciiTheme="minorHAnsi" w:eastAsiaTheme="minorEastAsia" w:hAnsiTheme="minorHAnsi"/>
                <w:noProof/>
                <w:kern w:val="2"/>
                <w:szCs w:val="24"/>
              </w:rPr>
              <w:tab/>
            </w:r>
            <w:r w:rsidRPr="00720F93">
              <w:rPr>
                <w:rStyle w:val="Hyperlink"/>
                <w:noProof/>
              </w:rPr>
              <w:t>Scenario 3 – Modern Approaches to Succession Planning</w:t>
            </w:r>
            <w:r>
              <w:rPr>
                <w:noProof/>
                <w:webHidden/>
              </w:rPr>
              <w:tab/>
            </w:r>
            <w:r>
              <w:rPr>
                <w:noProof/>
                <w:webHidden/>
              </w:rPr>
              <w:fldChar w:fldCharType="begin"/>
            </w:r>
            <w:r>
              <w:rPr>
                <w:noProof/>
                <w:webHidden/>
              </w:rPr>
              <w:instrText xml:space="preserve"> PAGEREF _Toc229979666 \h </w:instrText>
            </w:r>
            <w:r>
              <w:rPr>
                <w:noProof/>
                <w:webHidden/>
              </w:rPr>
            </w:r>
            <w:r>
              <w:rPr>
                <w:noProof/>
                <w:webHidden/>
              </w:rPr>
              <w:fldChar w:fldCharType="separate"/>
            </w:r>
            <w:r>
              <w:rPr>
                <w:noProof/>
                <w:webHidden/>
              </w:rPr>
              <w:t>5</w:t>
            </w:r>
            <w:r>
              <w:rPr>
                <w:noProof/>
                <w:webHidden/>
              </w:rPr>
              <w:fldChar w:fldCharType="end"/>
            </w:r>
          </w:hyperlink>
        </w:p>
        <w:p w14:paraId="4401EE93" w14:textId="07C809E0"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67" w:history="1">
            <w:r w:rsidRPr="00720F93">
              <w:rPr>
                <w:rStyle w:val="Hyperlink"/>
                <w:noProof/>
              </w:rPr>
              <w:t>4.1</w:t>
            </w:r>
            <w:r>
              <w:rPr>
                <w:rFonts w:asciiTheme="minorHAnsi" w:eastAsiaTheme="minorEastAsia" w:hAnsiTheme="minorHAnsi"/>
                <w:noProof/>
                <w:kern w:val="2"/>
                <w:szCs w:val="24"/>
              </w:rPr>
              <w:tab/>
            </w:r>
            <w:r w:rsidRPr="00720F93">
              <w:rPr>
                <w:rStyle w:val="Hyperlink"/>
                <w:noProof/>
              </w:rPr>
              <w:t>Traditional vs. modern approaches</w:t>
            </w:r>
            <w:r>
              <w:rPr>
                <w:noProof/>
                <w:webHidden/>
              </w:rPr>
              <w:tab/>
            </w:r>
            <w:r>
              <w:rPr>
                <w:noProof/>
                <w:webHidden/>
              </w:rPr>
              <w:fldChar w:fldCharType="begin"/>
            </w:r>
            <w:r>
              <w:rPr>
                <w:noProof/>
                <w:webHidden/>
              </w:rPr>
              <w:instrText xml:space="preserve"> PAGEREF _Toc229979667 \h </w:instrText>
            </w:r>
            <w:r>
              <w:rPr>
                <w:noProof/>
                <w:webHidden/>
              </w:rPr>
            </w:r>
            <w:r>
              <w:rPr>
                <w:noProof/>
                <w:webHidden/>
              </w:rPr>
              <w:fldChar w:fldCharType="separate"/>
            </w:r>
            <w:r>
              <w:rPr>
                <w:noProof/>
                <w:webHidden/>
              </w:rPr>
              <w:t>5</w:t>
            </w:r>
            <w:r>
              <w:rPr>
                <w:noProof/>
                <w:webHidden/>
              </w:rPr>
              <w:fldChar w:fldCharType="end"/>
            </w:r>
          </w:hyperlink>
        </w:p>
        <w:p w14:paraId="192A688D" w14:textId="5A3E4813"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68" w:history="1">
            <w:r w:rsidRPr="00720F93">
              <w:rPr>
                <w:rStyle w:val="Hyperlink"/>
                <w:noProof/>
              </w:rPr>
              <w:t>4.2</w:t>
            </w:r>
            <w:r>
              <w:rPr>
                <w:rFonts w:asciiTheme="minorHAnsi" w:eastAsiaTheme="minorEastAsia" w:hAnsiTheme="minorHAnsi"/>
                <w:noProof/>
                <w:kern w:val="2"/>
                <w:szCs w:val="24"/>
              </w:rPr>
              <w:tab/>
            </w:r>
            <w:r w:rsidRPr="00720F93">
              <w:rPr>
                <w:rStyle w:val="Hyperlink"/>
                <w:noProof/>
              </w:rPr>
              <w:t>Effectiveness and limitations</w:t>
            </w:r>
            <w:r>
              <w:rPr>
                <w:noProof/>
                <w:webHidden/>
              </w:rPr>
              <w:tab/>
            </w:r>
            <w:r>
              <w:rPr>
                <w:noProof/>
                <w:webHidden/>
              </w:rPr>
              <w:fldChar w:fldCharType="begin"/>
            </w:r>
            <w:r>
              <w:rPr>
                <w:noProof/>
                <w:webHidden/>
              </w:rPr>
              <w:instrText xml:space="preserve"> PAGEREF _Toc229979668 \h </w:instrText>
            </w:r>
            <w:r>
              <w:rPr>
                <w:noProof/>
                <w:webHidden/>
              </w:rPr>
            </w:r>
            <w:r>
              <w:rPr>
                <w:noProof/>
                <w:webHidden/>
              </w:rPr>
              <w:fldChar w:fldCharType="separate"/>
            </w:r>
            <w:r>
              <w:rPr>
                <w:noProof/>
                <w:webHidden/>
              </w:rPr>
              <w:t>5</w:t>
            </w:r>
            <w:r>
              <w:rPr>
                <w:noProof/>
                <w:webHidden/>
              </w:rPr>
              <w:fldChar w:fldCharType="end"/>
            </w:r>
          </w:hyperlink>
        </w:p>
        <w:p w14:paraId="0AF9B953" w14:textId="532C3320"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69" w:history="1">
            <w:r w:rsidRPr="00720F93">
              <w:rPr>
                <w:rStyle w:val="Hyperlink"/>
                <w:noProof/>
              </w:rPr>
              <w:t>4.3</w:t>
            </w:r>
            <w:r>
              <w:rPr>
                <w:rFonts w:asciiTheme="minorHAnsi" w:eastAsiaTheme="minorEastAsia" w:hAnsiTheme="minorHAnsi"/>
                <w:noProof/>
                <w:kern w:val="2"/>
                <w:szCs w:val="24"/>
              </w:rPr>
              <w:tab/>
            </w:r>
            <w:r w:rsidRPr="00720F93">
              <w:rPr>
                <w:rStyle w:val="Hyperlink"/>
                <w:noProof/>
              </w:rPr>
              <w:t>Roles of workforce analytics</w:t>
            </w:r>
            <w:r>
              <w:rPr>
                <w:noProof/>
                <w:webHidden/>
              </w:rPr>
              <w:tab/>
            </w:r>
            <w:r>
              <w:rPr>
                <w:noProof/>
                <w:webHidden/>
              </w:rPr>
              <w:fldChar w:fldCharType="begin"/>
            </w:r>
            <w:r>
              <w:rPr>
                <w:noProof/>
                <w:webHidden/>
              </w:rPr>
              <w:instrText xml:space="preserve"> PAGEREF _Toc229979669 \h </w:instrText>
            </w:r>
            <w:r>
              <w:rPr>
                <w:noProof/>
                <w:webHidden/>
              </w:rPr>
            </w:r>
            <w:r>
              <w:rPr>
                <w:noProof/>
                <w:webHidden/>
              </w:rPr>
              <w:fldChar w:fldCharType="separate"/>
            </w:r>
            <w:r>
              <w:rPr>
                <w:noProof/>
                <w:webHidden/>
              </w:rPr>
              <w:t>5</w:t>
            </w:r>
            <w:r>
              <w:rPr>
                <w:noProof/>
                <w:webHidden/>
              </w:rPr>
              <w:fldChar w:fldCharType="end"/>
            </w:r>
          </w:hyperlink>
        </w:p>
        <w:p w14:paraId="29475F4C" w14:textId="0B9A2052" w:rsidR="0067032F" w:rsidRDefault="0067032F">
          <w:pPr>
            <w:pStyle w:val="TOC1"/>
            <w:tabs>
              <w:tab w:val="left" w:pos="480"/>
              <w:tab w:val="right" w:leader="dot" w:pos="9350"/>
            </w:tabs>
            <w:rPr>
              <w:rFonts w:asciiTheme="minorHAnsi" w:eastAsiaTheme="minorEastAsia" w:hAnsiTheme="minorHAnsi"/>
              <w:noProof/>
              <w:kern w:val="2"/>
              <w:szCs w:val="24"/>
            </w:rPr>
          </w:pPr>
          <w:hyperlink w:anchor="_Toc229979670" w:history="1">
            <w:r w:rsidRPr="00720F93">
              <w:rPr>
                <w:rStyle w:val="Hyperlink"/>
                <w:noProof/>
              </w:rPr>
              <w:t>5.</w:t>
            </w:r>
            <w:r>
              <w:rPr>
                <w:rFonts w:asciiTheme="minorHAnsi" w:eastAsiaTheme="minorEastAsia" w:hAnsiTheme="minorHAnsi"/>
                <w:noProof/>
                <w:kern w:val="2"/>
                <w:szCs w:val="24"/>
              </w:rPr>
              <w:tab/>
            </w:r>
            <w:r w:rsidRPr="00720F93">
              <w:rPr>
                <w:rStyle w:val="Hyperlink"/>
                <w:noProof/>
              </w:rPr>
              <w:t>Scenario 4 – Resourcing and Retention Strategies</w:t>
            </w:r>
            <w:r>
              <w:rPr>
                <w:noProof/>
                <w:webHidden/>
              </w:rPr>
              <w:tab/>
            </w:r>
            <w:r>
              <w:rPr>
                <w:noProof/>
                <w:webHidden/>
              </w:rPr>
              <w:fldChar w:fldCharType="begin"/>
            </w:r>
            <w:r>
              <w:rPr>
                <w:noProof/>
                <w:webHidden/>
              </w:rPr>
              <w:instrText xml:space="preserve"> PAGEREF _Toc229979670 \h </w:instrText>
            </w:r>
            <w:r>
              <w:rPr>
                <w:noProof/>
                <w:webHidden/>
              </w:rPr>
            </w:r>
            <w:r>
              <w:rPr>
                <w:noProof/>
                <w:webHidden/>
              </w:rPr>
              <w:fldChar w:fldCharType="separate"/>
            </w:r>
            <w:r>
              <w:rPr>
                <w:noProof/>
                <w:webHidden/>
              </w:rPr>
              <w:t>7</w:t>
            </w:r>
            <w:r>
              <w:rPr>
                <w:noProof/>
                <w:webHidden/>
              </w:rPr>
              <w:fldChar w:fldCharType="end"/>
            </w:r>
          </w:hyperlink>
        </w:p>
        <w:p w14:paraId="321FBEA7" w14:textId="6D7055FA"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71" w:history="1">
            <w:r w:rsidRPr="00720F93">
              <w:rPr>
                <w:rStyle w:val="Hyperlink"/>
                <w:noProof/>
              </w:rPr>
              <w:t>5.1</w:t>
            </w:r>
            <w:r>
              <w:rPr>
                <w:rFonts w:asciiTheme="minorHAnsi" w:eastAsiaTheme="minorEastAsia" w:hAnsiTheme="minorHAnsi"/>
                <w:noProof/>
                <w:kern w:val="2"/>
                <w:szCs w:val="24"/>
              </w:rPr>
              <w:tab/>
            </w:r>
            <w:r w:rsidRPr="00720F93">
              <w:rPr>
                <w:rStyle w:val="Hyperlink"/>
                <w:noProof/>
              </w:rPr>
              <w:t>Migrating talents in today's labour markets</w:t>
            </w:r>
            <w:r>
              <w:rPr>
                <w:noProof/>
                <w:webHidden/>
              </w:rPr>
              <w:tab/>
            </w:r>
            <w:r>
              <w:rPr>
                <w:noProof/>
                <w:webHidden/>
              </w:rPr>
              <w:fldChar w:fldCharType="begin"/>
            </w:r>
            <w:r>
              <w:rPr>
                <w:noProof/>
                <w:webHidden/>
              </w:rPr>
              <w:instrText xml:space="preserve"> PAGEREF _Toc229979671 \h </w:instrText>
            </w:r>
            <w:r>
              <w:rPr>
                <w:noProof/>
                <w:webHidden/>
              </w:rPr>
            </w:r>
            <w:r>
              <w:rPr>
                <w:noProof/>
                <w:webHidden/>
              </w:rPr>
              <w:fldChar w:fldCharType="separate"/>
            </w:r>
            <w:r>
              <w:rPr>
                <w:noProof/>
                <w:webHidden/>
              </w:rPr>
              <w:t>7</w:t>
            </w:r>
            <w:r>
              <w:rPr>
                <w:noProof/>
                <w:webHidden/>
              </w:rPr>
              <w:fldChar w:fldCharType="end"/>
            </w:r>
          </w:hyperlink>
        </w:p>
        <w:p w14:paraId="06E1D08F" w14:textId="3FD5BD60"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72" w:history="1">
            <w:r w:rsidRPr="00720F93">
              <w:rPr>
                <w:rStyle w:val="Hyperlink"/>
                <w:noProof/>
              </w:rPr>
              <w:t>5.2</w:t>
            </w:r>
            <w:r>
              <w:rPr>
                <w:rFonts w:asciiTheme="minorHAnsi" w:eastAsiaTheme="minorEastAsia" w:hAnsiTheme="minorHAnsi"/>
                <w:noProof/>
                <w:kern w:val="2"/>
                <w:szCs w:val="24"/>
              </w:rPr>
              <w:tab/>
            </w:r>
            <w:r w:rsidRPr="00720F93">
              <w:rPr>
                <w:rStyle w:val="Hyperlink"/>
                <w:noProof/>
              </w:rPr>
              <w:t>Retention and long</w:t>
            </w:r>
            <w:r w:rsidRPr="00720F93">
              <w:rPr>
                <w:rStyle w:val="Hyperlink"/>
                <w:rFonts w:ascii="Cambria Math" w:hAnsi="Cambria Math" w:cs="Cambria Math"/>
                <w:noProof/>
              </w:rPr>
              <w:t>‑</w:t>
            </w:r>
            <w:r w:rsidRPr="00720F93">
              <w:rPr>
                <w:rStyle w:val="Hyperlink"/>
                <w:noProof/>
              </w:rPr>
              <w:t>term engagement</w:t>
            </w:r>
            <w:r>
              <w:rPr>
                <w:noProof/>
                <w:webHidden/>
              </w:rPr>
              <w:tab/>
            </w:r>
            <w:r>
              <w:rPr>
                <w:noProof/>
                <w:webHidden/>
              </w:rPr>
              <w:fldChar w:fldCharType="begin"/>
            </w:r>
            <w:r>
              <w:rPr>
                <w:noProof/>
                <w:webHidden/>
              </w:rPr>
              <w:instrText xml:space="preserve"> PAGEREF _Toc229979672 \h </w:instrText>
            </w:r>
            <w:r>
              <w:rPr>
                <w:noProof/>
                <w:webHidden/>
              </w:rPr>
            </w:r>
            <w:r>
              <w:rPr>
                <w:noProof/>
                <w:webHidden/>
              </w:rPr>
              <w:fldChar w:fldCharType="separate"/>
            </w:r>
            <w:r>
              <w:rPr>
                <w:noProof/>
                <w:webHidden/>
              </w:rPr>
              <w:t>7</w:t>
            </w:r>
            <w:r>
              <w:rPr>
                <w:noProof/>
                <w:webHidden/>
              </w:rPr>
              <w:fldChar w:fldCharType="end"/>
            </w:r>
          </w:hyperlink>
        </w:p>
        <w:p w14:paraId="200AA0CB" w14:textId="6F467885" w:rsidR="0067032F" w:rsidRDefault="0067032F">
          <w:pPr>
            <w:pStyle w:val="TOC1"/>
            <w:tabs>
              <w:tab w:val="right" w:leader="dot" w:pos="9350"/>
            </w:tabs>
            <w:rPr>
              <w:rFonts w:asciiTheme="minorHAnsi" w:eastAsiaTheme="minorEastAsia" w:hAnsiTheme="minorHAnsi"/>
              <w:noProof/>
              <w:kern w:val="2"/>
              <w:szCs w:val="24"/>
            </w:rPr>
          </w:pPr>
          <w:hyperlink w:anchor="_Toc229979673" w:history="1">
            <w:r w:rsidRPr="00720F93">
              <w:rPr>
                <w:rStyle w:val="Hyperlink"/>
                <w:noProof/>
              </w:rPr>
              <w:t>6. Scenario 5 – Talent Insight and Strategic Retention</w:t>
            </w:r>
            <w:r>
              <w:rPr>
                <w:noProof/>
                <w:webHidden/>
              </w:rPr>
              <w:tab/>
            </w:r>
            <w:r>
              <w:rPr>
                <w:noProof/>
                <w:webHidden/>
              </w:rPr>
              <w:fldChar w:fldCharType="begin"/>
            </w:r>
            <w:r>
              <w:rPr>
                <w:noProof/>
                <w:webHidden/>
              </w:rPr>
              <w:instrText xml:space="preserve"> PAGEREF _Toc229979673 \h </w:instrText>
            </w:r>
            <w:r>
              <w:rPr>
                <w:noProof/>
                <w:webHidden/>
              </w:rPr>
            </w:r>
            <w:r>
              <w:rPr>
                <w:noProof/>
                <w:webHidden/>
              </w:rPr>
              <w:fldChar w:fldCharType="separate"/>
            </w:r>
            <w:r>
              <w:rPr>
                <w:noProof/>
                <w:webHidden/>
              </w:rPr>
              <w:t>9</w:t>
            </w:r>
            <w:r>
              <w:rPr>
                <w:noProof/>
                <w:webHidden/>
              </w:rPr>
              <w:fldChar w:fldCharType="end"/>
            </w:r>
          </w:hyperlink>
        </w:p>
        <w:p w14:paraId="52C750FB" w14:textId="41AE83A9"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74" w:history="1">
            <w:r w:rsidRPr="00720F93">
              <w:rPr>
                <w:rStyle w:val="Hyperlink"/>
                <w:noProof/>
              </w:rPr>
              <w:t>6.1</w:t>
            </w:r>
            <w:r>
              <w:rPr>
                <w:rFonts w:asciiTheme="minorHAnsi" w:eastAsiaTheme="minorEastAsia" w:hAnsiTheme="minorHAnsi"/>
                <w:noProof/>
                <w:kern w:val="2"/>
                <w:szCs w:val="24"/>
              </w:rPr>
              <w:tab/>
            </w:r>
            <w:r w:rsidRPr="00720F93">
              <w:rPr>
                <w:rStyle w:val="Hyperlink"/>
                <w:noProof/>
              </w:rPr>
              <w:t>Talent</w:t>
            </w:r>
            <w:r w:rsidRPr="00720F93">
              <w:rPr>
                <w:rStyle w:val="Hyperlink"/>
                <w:rFonts w:ascii="Cambria Math" w:hAnsi="Cambria Math" w:cs="Cambria Math"/>
                <w:noProof/>
              </w:rPr>
              <w:t>‑</w:t>
            </w:r>
            <w:r w:rsidRPr="00720F93">
              <w:rPr>
                <w:rStyle w:val="Hyperlink"/>
                <w:noProof/>
              </w:rPr>
              <w:t>insight tools and assessing</w:t>
            </w:r>
            <w:r>
              <w:rPr>
                <w:noProof/>
                <w:webHidden/>
              </w:rPr>
              <w:tab/>
            </w:r>
            <w:r>
              <w:rPr>
                <w:noProof/>
                <w:webHidden/>
              </w:rPr>
              <w:fldChar w:fldCharType="begin"/>
            </w:r>
            <w:r>
              <w:rPr>
                <w:noProof/>
                <w:webHidden/>
              </w:rPr>
              <w:instrText xml:space="preserve"> PAGEREF _Toc229979674 \h </w:instrText>
            </w:r>
            <w:r>
              <w:rPr>
                <w:noProof/>
                <w:webHidden/>
              </w:rPr>
            </w:r>
            <w:r>
              <w:rPr>
                <w:noProof/>
                <w:webHidden/>
              </w:rPr>
              <w:fldChar w:fldCharType="separate"/>
            </w:r>
            <w:r>
              <w:rPr>
                <w:noProof/>
                <w:webHidden/>
              </w:rPr>
              <w:t>9</w:t>
            </w:r>
            <w:r>
              <w:rPr>
                <w:noProof/>
                <w:webHidden/>
              </w:rPr>
              <w:fldChar w:fldCharType="end"/>
            </w:r>
          </w:hyperlink>
        </w:p>
        <w:p w14:paraId="437A80BB" w14:textId="45E59FEC" w:rsidR="0067032F" w:rsidRDefault="0067032F">
          <w:pPr>
            <w:pStyle w:val="TOC2"/>
            <w:tabs>
              <w:tab w:val="left" w:pos="960"/>
              <w:tab w:val="right" w:leader="dot" w:pos="9350"/>
            </w:tabs>
            <w:rPr>
              <w:rFonts w:asciiTheme="minorHAnsi" w:eastAsiaTheme="minorEastAsia" w:hAnsiTheme="minorHAnsi"/>
              <w:noProof/>
              <w:kern w:val="2"/>
              <w:szCs w:val="24"/>
            </w:rPr>
          </w:pPr>
          <w:hyperlink w:anchor="_Toc229979675" w:history="1">
            <w:r w:rsidRPr="00720F93">
              <w:rPr>
                <w:rStyle w:val="Hyperlink"/>
                <w:noProof/>
              </w:rPr>
              <w:t>6.2</w:t>
            </w:r>
            <w:r>
              <w:rPr>
                <w:rFonts w:asciiTheme="minorHAnsi" w:eastAsiaTheme="minorEastAsia" w:hAnsiTheme="minorHAnsi"/>
                <w:noProof/>
                <w:kern w:val="2"/>
                <w:szCs w:val="24"/>
              </w:rPr>
              <w:tab/>
            </w:r>
            <w:r w:rsidRPr="00720F93">
              <w:rPr>
                <w:rStyle w:val="Hyperlink"/>
                <w:noProof/>
              </w:rPr>
              <w:t>Personalised retention approaches</w:t>
            </w:r>
            <w:r>
              <w:rPr>
                <w:noProof/>
                <w:webHidden/>
              </w:rPr>
              <w:tab/>
            </w:r>
            <w:r>
              <w:rPr>
                <w:noProof/>
                <w:webHidden/>
              </w:rPr>
              <w:fldChar w:fldCharType="begin"/>
            </w:r>
            <w:r>
              <w:rPr>
                <w:noProof/>
                <w:webHidden/>
              </w:rPr>
              <w:instrText xml:space="preserve"> PAGEREF _Toc229979675 \h </w:instrText>
            </w:r>
            <w:r>
              <w:rPr>
                <w:noProof/>
                <w:webHidden/>
              </w:rPr>
            </w:r>
            <w:r>
              <w:rPr>
                <w:noProof/>
                <w:webHidden/>
              </w:rPr>
              <w:fldChar w:fldCharType="separate"/>
            </w:r>
            <w:r>
              <w:rPr>
                <w:noProof/>
                <w:webHidden/>
              </w:rPr>
              <w:t>9</w:t>
            </w:r>
            <w:r>
              <w:rPr>
                <w:noProof/>
                <w:webHidden/>
              </w:rPr>
              <w:fldChar w:fldCharType="end"/>
            </w:r>
          </w:hyperlink>
        </w:p>
        <w:p w14:paraId="4DA94DB7" w14:textId="2A50042A" w:rsidR="0067032F" w:rsidRDefault="0067032F">
          <w:pPr>
            <w:pStyle w:val="TOC1"/>
            <w:tabs>
              <w:tab w:val="left" w:pos="480"/>
              <w:tab w:val="right" w:leader="dot" w:pos="9350"/>
            </w:tabs>
            <w:rPr>
              <w:rFonts w:asciiTheme="minorHAnsi" w:eastAsiaTheme="minorEastAsia" w:hAnsiTheme="minorHAnsi"/>
              <w:noProof/>
              <w:kern w:val="2"/>
              <w:szCs w:val="24"/>
            </w:rPr>
          </w:pPr>
          <w:hyperlink w:anchor="_Toc229979676" w:history="1">
            <w:r w:rsidRPr="00720F93">
              <w:rPr>
                <w:rStyle w:val="Hyperlink"/>
                <w:noProof/>
              </w:rPr>
              <w:t>7.</w:t>
            </w:r>
            <w:r>
              <w:rPr>
                <w:rFonts w:asciiTheme="minorHAnsi" w:eastAsiaTheme="minorEastAsia" w:hAnsiTheme="minorHAnsi"/>
                <w:noProof/>
                <w:kern w:val="2"/>
                <w:szCs w:val="24"/>
              </w:rPr>
              <w:tab/>
            </w:r>
            <w:r w:rsidRPr="00720F93">
              <w:rPr>
                <w:rStyle w:val="Hyperlink"/>
                <w:noProof/>
              </w:rPr>
              <w:t>Conclusion</w:t>
            </w:r>
            <w:r>
              <w:rPr>
                <w:noProof/>
                <w:webHidden/>
              </w:rPr>
              <w:tab/>
            </w:r>
            <w:r>
              <w:rPr>
                <w:noProof/>
                <w:webHidden/>
              </w:rPr>
              <w:fldChar w:fldCharType="begin"/>
            </w:r>
            <w:r>
              <w:rPr>
                <w:noProof/>
                <w:webHidden/>
              </w:rPr>
              <w:instrText xml:space="preserve"> PAGEREF _Toc229979676 \h </w:instrText>
            </w:r>
            <w:r>
              <w:rPr>
                <w:noProof/>
                <w:webHidden/>
              </w:rPr>
            </w:r>
            <w:r>
              <w:rPr>
                <w:noProof/>
                <w:webHidden/>
              </w:rPr>
              <w:fldChar w:fldCharType="separate"/>
            </w:r>
            <w:r>
              <w:rPr>
                <w:noProof/>
                <w:webHidden/>
              </w:rPr>
              <w:t>11</w:t>
            </w:r>
            <w:r>
              <w:rPr>
                <w:noProof/>
                <w:webHidden/>
              </w:rPr>
              <w:fldChar w:fldCharType="end"/>
            </w:r>
          </w:hyperlink>
        </w:p>
        <w:p w14:paraId="73173FC4" w14:textId="0F4D3123" w:rsidR="0067032F" w:rsidRDefault="0067032F">
          <w:pPr>
            <w:pStyle w:val="TOC1"/>
            <w:tabs>
              <w:tab w:val="right" w:leader="dot" w:pos="9350"/>
            </w:tabs>
            <w:rPr>
              <w:rFonts w:asciiTheme="minorHAnsi" w:eastAsiaTheme="minorEastAsia" w:hAnsiTheme="minorHAnsi"/>
              <w:noProof/>
              <w:kern w:val="2"/>
              <w:szCs w:val="24"/>
            </w:rPr>
          </w:pPr>
          <w:hyperlink w:anchor="_Toc229979677" w:history="1">
            <w:r w:rsidRPr="00720F93">
              <w:rPr>
                <w:rStyle w:val="Hyperlink"/>
                <w:noProof/>
              </w:rPr>
              <w:t>References</w:t>
            </w:r>
            <w:r>
              <w:rPr>
                <w:noProof/>
                <w:webHidden/>
              </w:rPr>
              <w:tab/>
            </w:r>
            <w:r>
              <w:rPr>
                <w:noProof/>
                <w:webHidden/>
              </w:rPr>
              <w:fldChar w:fldCharType="begin"/>
            </w:r>
            <w:r>
              <w:rPr>
                <w:noProof/>
                <w:webHidden/>
              </w:rPr>
              <w:instrText xml:space="preserve"> PAGEREF _Toc229979677 \h </w:instrText>
            </w:r>
            <w:r>
              <w:rPr>
                <w:noProof/>
                <w:webHidden/>
              </w:rPr>
            </w:r>
            <w:r>
              <w:rPr>
                <w:noProof/>
                <w:webHidden/>
              </w:rPr>
              <w:fldChar w:fldCharType="separate"/>
            </w:r>
            <w:r>
              <w:rPr>
                <w:noProof/>
                <w:webHidden/>
              </w:rPr>
              <w:t>13</w:t>
            </w:r>
            <w:r>
              <w:rPr>
                <w:noProof/>
                <w:webHidden/>
              </w:rPr>
              <w:fldChar w:fldCharType="end"/>
            </w:r>
          </w:hyperlink>
        </w:p>
        <w:p w14:paraId="32A9A76F" w14:textId="5DF63DAF" w:rsidR="00E42DDC" w:rsidRDefault="00E42DDC">
          <w:r>
            <w:rPr>
              <w:b/>
              <w:bCs/>
              <w:noProof/>
            </w:rPr>
            <w:fldChar w:fldCharType="end"/>
          </w:r>
        </w:p>
      </w:sdtContent>
    </w:sdt>
    <w:p w14:paraId="3C86E31C" w14:textId="77777777" w:rsidR="00E42DDC" w:rsidRDefault="00E42DDC" w:rsidP="00E42DDC"/>
    <w:p w14:paraId="50566ED5" w14:textId="77777777" w:rsidR="0067032F" w:rsidRDefault="00E42DDC">
      <w:pPr>
        <w:spacing w:line="259" w:lineRule="auto"/>
        <w:jc w:val="left"/>
        <w:sectPr w:rsidR="0067032F" w:rsidSect="00DB2457">
          <w:footerReference w:type="default" r:id="rId9"/>
          <w:pgSz w:w="12240" w:h="15840"/>
          <w:pgMar w:top="1440" w:right="1440" w:bottom="1440" w:left="1440" w:header="720" w:footer="720" w:gutter="0"/>
          <w:pgNumType w:start="1"/>
          <w:cols w:space="720"/>
          <w:docGrid w:linePitch="360"/>
        </w:sectPr>
      </w:pPr>
      <w:r>
        <w:br w:type="page"/>
      </w:r>
    </w:p>
    <w:p w14:paraId="6D81A4E3" w14:textId="45637DCA" w:rsidR="00F44318" w:rsidRDefault="00F44318" w:rsidP="00F44318">
      <w:pPr>
        <w:pStyle w:val="Heading1"/>
      </w:pPr>
      <w:bookmarkStart w:id="0" w:name="_Toc229979658"/>
      <w:r>
        <w:lastRenderedPageBreak/>
        <w:t>1.</w:t>
      </w:r>
      <w:r>
        <w:tab/>
        <w:t>Introduction</w:t>
      </w:r>
      <w:bookmarkEnd w:id="0"/>
    </w:p>
    <w:p w14:paraId="219F98D2" w14:textId="1295882B" w:rsidR="00F44318" w:rsidRDefault="00F44318" w:rsidP="00F44318">
      <w:r>
        <w:t xml:space="preserve">Today's project-based </w:t>
      </w:r>
      <w:proofErr w:type="spellStart"/>
      <w:r>
        <w:t>organisations</w:t>
      </w:r>
      <w:proofErr w:type="spellEnd"/>
      <w:r>
        <w:t xml:space="preserve"> exist in an environment of accelerating technological change, a shortage of certain skills and constantly changing expectations from the workforce. While in traditional functional </w:t>
      </w:r>
      <w:proofErr w:type="spellStart"/>
      <w:r>
        <w:t>organisations</w:t>
      </w:r>
      <w:proofErr w:type="spellEnd"/>
      <w:r>
        <w:t xml:space="preserve"> there are different levels of hierarchy, in a project-based </w:t>
      </w:r>
      <w:proofErr w:type="spellStart"/>
      <w:r>
        <w:t>organisation</w:t>
      </w:r>
      <w:proofErr w:type="spellEnd"/>
      <w:r w:rsidR="00DA7E41">
        <w:t>,</w:t>
      </w:r>
      <w:r>
        <w:t xml:space="preserve"> there </w:t>
      </w:r>
      <w:r w:rsidR="00DA7E41">
        <w:t>is</w:t>
      </w:r>
      <w:r>
        <w:t xml:space="preserve"> no specific hierarchy, but rather temporary cross</w:t>
      </w:r>
      <w:r>
        <w:rPr>
          <w:rFonts w:ascii="Cambria Math" w:hAnsi="Cambria Math" w:cs="Cambria Math"/>
        </w:rPr>
        <w:t>‑</w:t>
      </w:r>
      <w:r>
        <w:t xml:space="preserve">functional teams that are created and disbanded based upon the project's life cycle. This fact of life requires </w:t>
      </w:r>
      <w:r w:rsidR="00E42DDC">
        <w:t xml:space="preserve">an </w:t>
      </w:r>
      <w:r>
        <w:t xml:space="preserve">agile, flexible and strategic approach to human resource management (HRM) practice that </w:t>
      </w:r>
      <w:r w:rsidR="00E42DDC">
        <w:t>is</w:t>
      </w:r>
      <w:r>
        <w:t xml:space="preserve"> aligned to the strategic objective(s) of the project. The role of HRM can no longer be a supporting function</w:t>
      </w:r>
      <w:r w:rsidR="00DA7E41">
        <w:t>;</w:t>
      </w:r>
      <w:r>
        <w:t xml:space="preserve"> it has to become a strategic partner that brings the right people, right skills</w:t>
      </w:r>
      <w:r w:rsidR="00E42DDC">
        <w:t>,</w:t>
      </w:r>
      <w:r>
        <w:t xml:space="preserve"> at </w:t>
      </w:r>
      <w:r w:rsidR="00E42DDC">
        <w:t xml:space="preserve">the </w:t>
      </w:r>
      <w:r>
        <w:t>right time.</w:t>
      </w:r>
    </w:p>
    <w:p w14:paraId="2AFE5DCA" w14:textId="45B707EA" w:rsidR="00F44318" w:rsidRDefault="00F44318" w:rsidP="00F44318">
      <w:r>
        <w:t xml:space="preserve">This report focuses on 5 </w:t>
      </w:r>
      <w:r w:rsidR="00114B31">
        <w:t xml:space="preserve">crucial areas of </w:t>
      </w:r>
      <w:proofErr w:type="spellStart"/>
      <w:r w:rsidR="00114B31">
        <w:t>HRM</w:t>
      </w:r>
      <w:proofErr w:type="spellEnd"/>
      <w:r w:rsidR="00114B31">
        <w:t xml:space="preserve"> in project</w:t>
      </w:r>
      <w:r w:rsidR="00114B31">
        <w:rPr>
          <w:rFonts w:ascii="Cambria Math" w:hAnsi="Cambria Math" w:cs="Cambria Math"/>
        </w:rPr>
        <w:t>‑</w:t>
      </w:r>
      <w:r w:rsidR="00114B31">
        <w:t xml:space="preserve">based </w:t>
      </w:r>
      <w:proofErr w:type="spellStart"/>
      <w:r w:rsidR="00114B31">
        <w:t>organisations</w:t>
      </w:r>
      <w:proofErr w:type="spellEnd"/>
      <w:r>
        <w:t>. In the first scenario, high</w:t>
      </w:r>
      <w:r>
        <w:rPr>
          <w:rFonts w:ascii="Cambria Math" w:hAnsi="Cambria Math" w:cs="Cambria Math"/>
        </w:rPr>
        <w:t>‑</w:t>
      </w:r>
      <w:r>
        <w:t xml:space="preserve">performing workplaces are </w:t>
      </w:r>
      <w:proofErr w:type="spellStart"/>
      <w:r>
        <w:t>analysed</w:t>
      </w:r>
      <w:proofErr w:type="spellEnd"/>
      <w:r>
        <w:t xml:space="preserve"> using reliable employer rankings to determine common practices, benefits, cultural characteristics and </w:t>
      </w:r>
      <w:proofErr w:type="spellStart"/>
      <w:r>
        <w:t>synthesised</w:t>
      </w:r>
      <w:proofErr w:type="spellEnd"/>
      <w:r>
        <w:t xml:space="preserve"> themes. The second one is the critique of the employee orientation practices</w:t>
      </w:r>
      <w:r w:rsidR="00E42DDC">
        <w:t>,</w:t>
      </w:r>
      <w:r>
        <w:t xml:space="preserve"> and a researched induction </w:t>
      </w:r>
      <w:proofErr w:type="spellStart"/>
      <w:r>
        <w:t>programme</w:t>
      </w:r>
      <w:proofErr w:type="spellEnd"/>
      <w:r>
        <w:t xml:space="preserve"> is presented</w:t>
      </w:r>
      <w:r w:rsidR="00E42DDC">
        <w:t>,</w:t>
      </w:r>
      <w:r>
        <w:t xml:space="preserve"> and improvements are recommended. The third scenario discusses </w:t>
      </w:r>
      <w:r w:rsidR="00114B31">
        <w:t xml:space="preserve">contemporary and traditional succession planning methods, </w:t>
      </w:r>
      <w:r>
        <w:t xml:space="preserve">then examines the role of workforce analytics. The fourth scenario deals with resourcing and retention; specifically, in the context of the current </w:t>
      </w:r>
      <w:proofErr w:type="spellStart"/>
      <w:r>
        <w:t>labour</w:t>
      </w:r>
      <w:proofErr w:type="spellEnd"/>
      <w:r>
        <w:rPr>
          <w:rFonts w:ascii="Cambria Math" w:hAnsi="Cambria Math" w:cs="Cambria Math"/>
        </w:rPr>
        <w:t>‐</w:t>
      </w:r>
      <w:r>
        <w:t>market trends, how diverse talent can be attracted and retained. The fifth scenario considers talent</w:t>
      </w:r>
      <w:r>
        <w:rPr>
          <w:rFonts w:ascii="Cambria Math" w:hAnsi="Cambria Math" w:cs="Cambria Math"/>
        </w:rPr>
        <w:t>‑</w:t>
      </w:r>
      <w:r>
        <w:t xml:space="preserve">insight tools and the continuous feedback systems in the context of strategic recruitment and </w:t>
      </w:r>
      <w:proofErr w:type="spellStart"/>
      <w:r>
        <w:t>personalised</w:t>
      </w:r>
      <w:proofErr w:type="spellEnd"/>
      <w:r>
        <w:t xml:space="preserve"> retention.</w:t>
      </w:r>
    </w:p>
    <w:p w14:paraId="2792DAC4" w14:textId="47DF6A25" w:rsidR="00E42DDC" w:rsidRDefault="00F44318" w:rsidP="00E42DDC">
      <w:r>
        <w:t xml:space="preserve">Each scenario is represented with reputable sources from the academic and industrial fields, mostly from the past five years. Proven through the report that there is a systematic understanding, critical awareness of current problems and practical application of </w:t>
      </w:r>
      <w:proofErr w:type="spellStart"/>
      <w:r>
        <w:t>HRM</w:t>
      </w:r>
      <w:proofErr w:type="spellEnd"/>
      <w:r>
        <w:t xml:space="preserve"> concepts to </w:t>
      </w:r>
      <w:proofErr w:type="spellStart"/>
      <w:r w:rsidR="00E42DDC">
        <w:t>organisational</w:t>
      </w:r>
      <w:proofErr w:type="spellEnd"/>
      <w:r>
        <w:t xml:space="preserve"> and project context. The overall purpose is to illustrate the HRM practices – based on the rating system developed in part of the project – that can contribute to achieving strategic objectives, to improving project results and to building resilient efforts in </w:t>
      </w:r>
      <w:r w:rsidR="00E42DDC">
        <w:t xml:space="preserve">the </w:t>
      </w:r>
      <w:r>
        <w:t>engineering project workplace.</w:t>
      </w:r>
      <w:r w:rsidR="00E42DDC">
        <w:br w:type="page"/>
      </w:r>
    </w:p>
    <w:p w14:paraId="40C8A2FE" w14:textId="01519742" w:rsidR="00F44318" w:rsidRPr="00F44318" w:rsidRDefault="00F44318" w:rsidP="00F44318">
      <w:pPr>
        <w:pStyle w:val="Heading1"/>
      </w:pPr>
      <w:bookmarkStart w:id="1" w:name="_Toc229979659"/>
      <w:r w:rsidRPr="00F44318">
        <w:lastRenderedPageBreak/>
        <w:t>2.</w:t>
      </w:r>
      <w:r>
        <w:tab/>
      </w:r>
      <w:r w:rsidRPr="00F44318">
        <w:t>Scenario 1 – High</w:t>
      </w:r>
      <w:r w:rsidRPr="00F44318">
        <w:noBreakHyphen/>
        <w:t>Performing Workplaces</w:t>
      </w:r>
      <w:bookmarkEnd w:id="1"/>
    </w:p>
    <w:p w14:paraId="08A32A94" w14:textId="513D3BB9" w:rsidR="00F44318" w:rsidRDefault="00F44318" w:rsidP="00F44318">
      <w:pPr>
        <w:pStyle w:val="Heading2"/>
      </w:pPr>
      <w:bookmarkStart w:id="2" w:name="_Toc229979660"/>
      <w:r>
        <w:t>2.1</w:t>
      </w:r>
      <w:r>
        <w:tab/>
      </w:r>
      <w:proofErr w:type="spellStart"/>
      <w:r>
        <w:t>Organisational</w:t>
      </w:r>
      <w:proofErr w:type="spellEnd"/>
      <w:r>
        <w:t xml:space="preserve"> practices and benefits that are widely used</w:t>
      </w:r>
      <w:bookmarkEnd w:id="2"/>
    </w:p>
    <w:p w14:paraId="76A51EF8" w14:textId="73DB4C9F" w:rsidR="00F44318" w:rsidRDefault="00114B31" w:rsidP="00F44318">
      <w:r>
        <w:t>The top-ranked global</w:t>
      </w:r>
      <w:r w:rsidR="00F44318">
        <w:t xml:space="preserve"> businesses value clarity and open leadership communication, developmental orientation, and consistent training and learning programs (</w:t>
      </w:r>
      <w:proofErr w:type="spellStart"/>
      <w:r w:rsidRPr="00A03A83">
        <w:t>Pathomphatthaphan</w:t>
      </w:r>
      <w:proofErr w:type="spellEnd"/>
      <w:r w:rsidRPr="00A03A83">
        <w:t xml:space="preserve">, Das and </w:t>
      </w:r>
      <w:proofErr w:type="spellStart"/>
      <w:r w:rsidRPr="00A03A83">
        <w:t>Keytapark</w:t>
      </w:r>
      <w:proofErr w:type="spellEnd"/>
      <w:r>
        <w:t xml:space="preserve">, </w:t>
      </w:r>
      <w:r w:rsidRPr="00A03A83">
        <w:t>2021</w:t>
      </w:r>
      <w:r w:rsidR="00F44318">
        <w:t xml:space="preserve">). For example, companies like Cisco and Salesforce have what's known as an agile feedback loop, </w:t>
      </w:r>
      <w:proofErr w:type="spellStart"/>
      <w:r w:rsidR="00E42DDC">
        <w:t>customised</w:t>
      </w:r>
      <w:proofErr w:type="spellEnd"/>
      <w:r w:rsidR="00F44318">
        <w:t xml:space="preserve"> learning programs, and weekly town hall sessions where company leaders </w:t>
      </w:r>
      <w:r w:rsidR="00E42DDC">
        <w:t>listen</w:t>
      </w:r>
      <w:r w:rsidR="00F44318">
        <w:t xml:space="preserve"> to employees directly. Further, a focus on training managers in high</w:t>
      </w:r>
      <w:r w:rsidR="00F44318">
        <w:rPr>
          <w:rFonts w:ascii="Cambria Math" w:hAnsi="Cambria Math" w:cs="Cambria Math"/>
        </w:rPr>
        <w:t>‑</w:t>
      </w:r>
      <w:r w:rsidR="00F44318">
        <w:t>performing workplaces has also increased the likelihood of high</w:t>
      </w:r>
      <w:r w:rsidR="00F44318">
        <w:rPr>
          <w:rFonts w:ascii="Cambria Math" w:hAnsi="Cambria Math" w:cs="Cambria Math"/>
        </w:rPr>
        <w:t>‑</w:t>
      </w:r>
      <w:r w:rsidR="00F44318">
        <w:t xml:space="preserve">performing leaders demonstrating both </w:t>
      </w:r>
      <w:r w:rsidR="00E42DDC">
        <w:t>empathy and</w:t>
      </w:r>
      <w:r w:rsidR="00F44318">
        <w:t xml:space="preserve"> accountability.</w:t>
      </w:r>
    </w:p>
    <w:p w14:paraId="398A7C2C" w14:textId="22A5C9FE" w:rsidR="00F44318" w:rsidRDefault="00F44318" w:rsidP="00F44318">
      <w:pPr>
        <w:pStyle w:val="Heading2"/>
      </w:pPr>
      <w:bookmarkStart w:id="3" w:name="_Toc229979661"/>
      <w:r>
        <w:t>2.2</w:t>
      </w:r>
      <w:r>
        <w:tab/>
        <w:t>Cultural features</w:t>
      </w:r>
      <w:bookmarkEnd w:id="3"/>
    </w:p>
    <w:p w14:paraId="10CA87F1" w14:textId="4F93BCBC" w:rsidR="00F44318" w:rsidRPr="00114B31" w:rsidRDefault="00F44318" w:rsidP="00F44318">
      <w:r>
        <w:t xml:space="preserve">The combination of trust, inclusion, recognition and strong values </w:t>
      </w:r>
      <w:r w:rsidR="00E42DDC">
        <w:t>is a sign</w:t>
      </w:r>
      <w:r>
        <w:t xml:space="preserve"> of a </w:t>
      </w:r>
      <w:r w:rsidR="00E42DDC">
        <w:t>high-performing</w:t>
      </w:r>
      <w:r>
        <w:t xml:space="preserve"> workplace. Empowerment of the employees is at the heart. Studies show that as decision</w:t>
      </w:r>
      <w:r>
        <w:rPr>
          <w:rFonts w:ascii="Cambria Math" w:hAnsi="Cambria Math" w:cs="Cambria Math"/>
        </w:rPr>
        <w:t>‑</w:t>
      </w:r>
      <w:r>
        <w:t>making autonomy is given and psychological safety is present, engagement and discretionary effort fly off the shelves. Recognition is commonplace and peer</w:t>
      </w:r>
      <w:r>
        <w:rPr>
          <w:rFonts w:ascii="Cambria Math" w:hAnsi="Cambria Math" w:cs="Cambria Math"/>
        </w:rPr>
        <w:t>‑</w:t>
      </w:r>
      <w:r>
        <w:t xml:space="preserve">based </w:t>
      </w:r>
      <w:r>
        <w:rPr>
          <w:rFonts w:cs="Arial"/>
        </w:rPr>
        <w:t>–</w:t>
      </w:r>
      <w:r>
        <w:t xml:space="preserve"> not just based on annual awards</w:t>
      </w:r>
      <w:r w:rsidR="00211103">
        <w:t xml:space="preserve"> </w:t>
      </w:r>
      <w:r w:rsidR="00211103" w:rsidRPr="00114B31">
        <w:t>(Wood et al., 2024)</w:t>
      </w:r>
      <w:r>
        <w:t xml:space="preserve">. Inclusion practices go beyond diversity quotas to ensure equitable access to challenging projects, mentorship and sponsorship, </w:t>
      </w:r>
      <w:r w:rsidRPr="00114B31">
        <w:t>and so on.</w:t>
      </w:r>
    </w:p>
    <w:p w14:paraId="2A44F5C8" w14:textId="2A32896F" w:rsidR="00F44318" w:rsidRDefault="00F44318" w:rsidP="00F44318">
      <w:pPr>
        <w:pStyle w:val="Heading2"/>
      </w:pPr>
      <w:bookmarkStart w:id="4" w:name="_Toc229979662"/>
      <w:r>
        <w:t>2.3</w:t>
      </w:r>
      <w:r>
        <w:tab/>
        <w:t>Synthesis of findings</w:t>
      </w:r>
      <w:bookmarkEnd w:id="4"/>
    </w:p>
    <w:p w14:paraId="3295D419" w14:textId="1D52F1EE" w:rsidR="00F44318" w:rsidRDefault="00F44318" w:rsidP="00F44318">
      <w:r>
        <w:t xml:space="preserve">These themes can be coupled with one another and distilled to identify three key drivers. The first is shared purpose: the employees will know how they fit into the purpose of the </w:t>
      </w:r>
      <w:proofErr w:type="spellStart"/>
      <w:r>
        <w:t>organisation</w:t>
      </w:r>
      <w:proofErr w:type="spellEnd"/>
      <w:r>
        <w:t>, and therefore, become more intrinsically motivated to do the work</w:t>
      </w:r>
      <w:r w:rsidR="00114B31">
        <w:t xml:space="preserve"> </w:t>
      </w:r>
      <w:r w:rsidR="00114B31" w:rsidRPr="00114B31">
        <w:t>(Wood et al., 2024)</w:t>
      </w:r>
      <w:r>
        <w:t>. Secondly, the proactive well</w:t>
      </w:r>
      <w:r>
        <w:rPr>
          <w:rFonts w:ascii="Cambria Math" w:hAnsi="Cambria Math" w:cs="Cambria Math"/>
        </w:rPr>
        <w:t>‑</w:t>
      </w:r>
      <w:r>
        <w:t xml:space="preserve">being mental and physical health support is not reactive. Third, growth infrastructure </w:t>
      </w:r>
      <w:r>
        <w:rPr>
          <w:rFonts w:cs="Arial"/>
        </w:rPr>
        <w:t>–</w:t>
      </w:r>
      <w:r>
        <w:t xml:space="preserve"> learning opportunities are integrated throughout work experiences, such as micro</w:t>
      </w:r>
      <w:r>
        <w:rPr>
          <w:rFonts w:ascii="Cambria Math" w:hAnsi="Cambria Math" w:cs="Cambria Math"/>
        </w:rPr>
        <w:t>‑</w:t>
      </w:r>
      <w:r>
        <w:t>learning, job rotations and tuition reimbursement.</w:t>
      </w:r>
    </w:p>
    <w:p w14:paraId="0124CD56" w14:textId="77777777" w:rsidR="00F44318" w:rsidRDefault="00F44318" w:rsidP="00F44318"/>
    <w:p w14:paraId="7DF29E44" w14:textId="5FAE9435" w:rsidR="00F44318" w:rsidRDefault="00F44318">
      <w:pPr>
        <w:spacing w:line="259" w:lineRule="auto"/>
        <w:jc w:val="left"/>
      </w:pPr>
      <w:r>
        <w:br w:type="page"/>
      </w:r>
    </w:p>
    <w:p w14:paraId="7BE61CD4" w14:textId="2242E11A" w:rsidR="00F44318" w:rsidRDefault="00F44318" w:rsidP="00F44318">
      <w:pPr>
        <w:pStyle w:val="Heading1"/>
      </w:pPr>
      <w:bookmarkStart w:id="5" w:name="_Toc229979663"/>
      <w:r>
        <w:lastRenderedPageBreak/>
        <w:t>3.</w:t>
      </w:r>
      <w:r>
        <w:tab/>
        <w:t>Scenario 2 – Employee Orientation Practices</w:t>
      </w:r>
      <w:bookmarkEnd w:id="5"/>
    </w:p>
    <w:p w14:paraId="45ECE0E2" w14:textId="5D767FC5" w:rsidR="00F44318" w:rsidRDefault="00F44318" w:rsidP="00F44318">
      <w:pPr>
        <w:pStyle w:val="Heading2"/>
      </w:pPr>
      <w:bookmarkStart w:id="6" w:name="_Toc229979664"/>
      <w:r>
        <w:t>3.1</w:t>
      </w:r>
      <w:r>
        <w:tab/>
        <w:t xml:space="preserve">Evaluation of a researched induction </w:t>
      </w:r>
      <w:proofErr w:type="spellStart"/>
      <w:r>
        <w:t>programme</w:t>
      </w:r>
      <w:proofErr w:type="spellEnd"/>
      <w:r>
        <w:t xml:space="preserve"> in a critical way</w:t>
      </w:r>
      <w:bookmarkEnd w:id="6"/>
    </w:p>
    <w:p w14:paraId="2B7C2AD3" w14:textId="15B1C736" w:rsidR="00F44318" w:rsidRDefault="00F44318" w:rsidP="00F44318">
      <w:r>
        <w:t xml:space="preserve">In an </w:t>
      </w:r>
      <w:proofErr w:type="spellStart"/>
      <w:r>
        <w:t>anonymised</w:t>
      </w:r>
      <w:proofErr w:type="spellEnd"/>
      <w:r>
        <w:t xml:space="preserve"> case study of a published induction </w:t>
      </w:r>
      <w:proofErr w:type="spellStart"/>
      <w:r>
        <w:t>programme</w:t>
      </w:r>
      <w:proofErr w:type="spellEnd"/>
      <w:r>
        <w:t xml:space="preserve"> in a large engineering consultancy, hereafter “Bauer” the induction was two days long. Day one was based on setting up IT, health &amp; safety and data protection compliance training, plus HR policy review. This was mostly passive, knowledge</w:t>
      </w:r>
      <w:r>
        <w:rPr>
          <w:rFonts w:ascii="Cambria Math" w:hAnsi="Cambria Math" w:cs="Cambria Math"/>
        </w:rPr>
        <w:t>‑</w:t>
      </w:r>
      <w:r>
        <w:t>based and lacked interactive features. The second day provided a safety briefing, office tour and team lunch. Clear administration and friendliness in social receptivity were strengths. But it was not very useful</w:t>
      </w:r>
      <w:r w:rsidR="00114B31">
        <w:t xml:space="preserve"> (</w:t>
      </w:r>
      <w:proofErr w:type="spellStart"/>
      <w:r w:rsidR="00114B31" w:rsidRPr="00A34A0F">
        <w:t>Runhaar</w:t>
      </w:r>
      <w:proofErr w:type="spellEnd"/>
      <w:r w:rsidR="00114B31" w:rsidRPr="00A34A0F">
        <w:t>, Gulikers and Biemans, 2024</w:t>
      </w:r>
      <w:r w:rsidR="00114B31">
        <w:t>)</w:t>
      </w:r>
      <w:r>
        <w:t xml:space="preserve">. As part of the induction, new employees were not provided any context to specific projects, any introduction to project management software tools (e.g., JIRA, MS Project, Asana) and any meaningful link to </w:t>
      </w:r>
      <w:proofErr w:type="spellStart"/>
      <w:r>
        <w:t>organisational</w:t>
      </w:r>
      <w:proofErr w:type="spellEnd"/>
      <w:r>
        <w:t xml:space="preserve"> strategy. Linkage to strategic goals was low as orientation focused on compliance as opposed to cultural integration and/or role readiness. Additionally, in the </w:t>
      </w:r>
      <w:proofErr w:type="spellStart"/>
      <w:r>
        <w:t>programme</w:t>
      </w:r>
      <w:proofErr w:type="spellEnd"/>
      <w:r>
        <w:t xml:space="preserve"> learning was assumed to occur in a short period of time, covering two days only, </w:t>
      </w:r>
      <w:r w:rsidR="00114B31">
        <w:t>although</w:t>
      </w:r>
      <w:r>
        <w:t xml:space="preserve"> </w:t>
      </w:r>
      <w:proofErr w:type="spellStart"/>
      <w:r>
        <w:t>socialisation</w:t>
      </w:r>
      <w:proofErr w:type="spellEnd"/>
      <w:r>
        <w:t xml:space="preserve"> </w:t>
      </w:r>
      <w:r w:rsidR="00114B31">
        <w:t>is</w:t>
      </w:r>
      <w:r>
        <w:t xml:space="preserve"> a continuous process.</w:t>
      </w:r>
    </w:p>
    <w:p w14:paraId="370F828B" w14:textId="1BD09B23" w:rsidR="00F44318" w:rsidRDefault="00F44318" w:rsidP="00F44318">
      <w:pPr>
        <w:pStyle w:val="Heading2"/>
      </w:pPr>
      <w:bookmarkStart w:id="7" w:name="_Toc229979665"/>
      <w:r>
        <w:t>3.2</w:t>
      </w:r>
      <w:r>
        <w:tab/>
        <w:t>Proposed evidence</w:t>
      </w:r>
      <w:r>
        <w:rPr>
          <w:rFonts w:ascii="Cambria Math" w:hAnsi="Cambria Math" w:cs="Cambria Math"/>
        </w:rPr>
        <w:t>‑</w:t>
      </w:r>
      <w:r>
        <w:t>based improvements</w:t>
      </w:r>
      <w:bookmarkEnd w:id="7"/>
    </w:p>
    <w:p w14:paraId="690FEE67" w14:textId="1010073C" w:rsidR="00F44318" w:rsidRDefault="00F44318" w:rsidP="00F44318">
      <w:r>
        <w:t>Studies show that orientation takes as long as 90 days, and is not a one</w:t>
      </w:r>
      <w:r>
        <w:rPr>
          <w:rFonts w:ascii="Cambria Math" w:hAnsi="Cambria Math" w:cs="Cambria Math"/>
        </w:rPr>
        <w:t>‑</w:t>
      </w:r>
      <w:r>
        <w:t>time thing. Specific recommendations include:</w:t>
      </w:r>
    </w:p>
    <w:p w14:paraId="7C4AF78A" w14:textId="51F23920" w:rsidR="00F44318" w:rsidRDefault="00F44318" w:rsidP="00F44318">
      <w:pPr>
        <w:pStyle w:val="ListParagraph"/>
        <w:numPr>
          <w:ilvl w:val="0"/>
          <w:numId w:val="1"/>
        </w:numPr>
      </w:pPr>
      <w:r w:rsidRPr="00F44318">
        <w:rPr>
          <w:b/>
          <w:bCs/>
        </w:rPr>
        <w:t>Time –</w:t>
      </w:r>
      <w:r>
        <w:t xml:space="preserve"> Design a 90-day onboarding roadmap that has optional weekly check</w:t>
      </w:r>
      <w:r w:rsidRPr="00F44318">
        <w:rPr>
          <w:rFonts w:ascii="Cambria Math" w:hAnsi="Cambria Math" w:cs="Cambria Math"/>
        </w:rPr>
        <w:t>‑</w:t>
      </w:r>
      <w:r>
        <w:t>in times, learning objectives based on the milestones, and a gradual increase in responsibilities.</w:t>
      </w:r>
    </w:p>
    <w:p w14:paraId="2B6FBBE0" w14:textId="637052C1" w:rsidR="00F44318" w:rsidRDefault="00F44318" w:rsidP="00F44318">
      <w:pPr>
        <w:pStyle w:val="ListParagraph"/>
        <w:numPr>
          <w:ilvl w:val="0"/>
          <w:numId w:val="1"/>
        </w:numPr>
      </w:pPr>
      <w:r w:rsidRPr="00F44318">
        <w:rPr>
          <w:b/>
          <w:bCs/>
        </w:rPr>
        <w:t>Project</w:t>
      </w:r>
      <w:r w:rsidRPr="00F44318">
        <w:rPr>
          <w:rFonts w:ascii="Cambria Math" w:hAnsi="Cambria Math" w:cs="Cambria Math"/>
          <w:b/>
          <w:bCs/>
        </w:rPr>
        <w:t>‑</w:t>
      </w:r>
      <w:r w:rsidRPr="00F44318">
        <w:rPr>
          <w:b/>
          <w:bCs/>
        </w:rPr>
        <w:t xml:space="preserve">based immersion </w:t>
      </w:r>
      <w:r w:rsidRPr="00F44318">
        <w:rPr>
          <w:rFonts w:cs="Arial"/>
          <w:b/>
          <w:bCs/>
        </w:rPr>
        <w:t>–</w:t>
      </w:r>
      <w:r>
        <w:t xml:space="preserve"> in week one</w:t>
      </w:r>
      <w:r w:rsidR="00114B31">
        <w:t>, hand out</w:t>
      </w:r>
      <w:r>
        <w:t xml:space="preserve"> a small task project </w:t>
      </w:r>
      <w:r w:rsidRPr="00F44318">
        <w:rPr>
          <w:rFonts w:cs="Arial"/>
        </w:rPr>
        <w:t>—</w:t>
      </w:r>
      <w:r>
        <w:t xml:space="preserve"> with an accompanying peer mentor that offers </w:t>
      </w:r>
      <w:r w:rsidRPr="00F44318">
        <w:rPr>
          <w:rFonts w:cs="Arial"/>
        </w:rPr>
        <w:t>“</w:t>
      </w:r>
      <w:r>
        <w:t>just</w:t>
      </w:r>
      <w:r w:rsidRPr="00F44318">
        <w:rPr>
          <w:rFonts w:ascii="Cambria Math" w:hAnsi="Cambria Math" w:cs="Cambria Math"/>
        </w:rPr>
        <w:t>‑</w:t>
      </w:r>
      <w:r>
        <w:t>in</w:t>
      </w:r>
      <w:r w:rsidRPr="00F44318">
        <w:rPr>
          <w:rFonts w:ascii="Cambria Math" w:hAnsi="Cambria Math" w:cs="Cambria Math"/>
        </w:rPr>
        <w:t>‑</w:t>
      </w:r>
      <w:r>
        <w:t>time</w:t>
      </w:r>
      <w:r w:rsidRPr="00F44318">
        <w:rPr>
          <w:rFonts w:cs="Arial"/>
        </w:rPr>
        <w:t>”</w:t>
      </w:r>
      <w:r>
        <w:t xml:space="preserve"> support.</w:t>
      </w:r>
    </w:p>
    <w:p w14:paraId="77ABCF0B" w14:textId="77777777" w:rsidR="00F44318" w:rsidRDefault="00F44318" w:rsidP="00F44318">
      <w:pPr>
        <w:pStyle w:val="ListParagraph"/>
        <w:numPr>
          <w:ilvl w:val="0"/>
          <w:numId w:val="1"/>
        </w:numPr>
      </w:pPr>
      <w:r w:rsidRPr="00F44318">
        <w:rPr>
          <w:b/>
          <w:bCs/>
        </w:rPr>
        <w:t>Strategic storytelling –</w:t>
      </w:r>
      <w:r>
        <w:t xml:space="preserve"> Provide brief stories from key stakeholders and project managers on the impact the new hire's position will have on key project metrics (on time delivery, within budget).</w:t>
      </w:r>
    </w:p>
    <w:p w14:paraId="5902DF73" w14:textId="77777777" w:rsidR="00F44318" w:rsidRDefault="00F44318" w:rsidP="00F44318">
      <w:pPr>
        <w:pStyle w:val="ListParagraph"/>
        <w:numPr>
          <w:ilvl w:val="0"/>
          <w:numId w:val="1"/>
        </w:numPr>
      </w:pPr>
      <w:r w:rsidRPr="00F44318">
        <w:rPr>
          <w:b/>
          <w:bCs/>
        </w:rPr>
        <w:t>Digital orientation hub –</w:t>
      </w:r>
      <w:r>
        <w:t xml:space="preserve"> make an interactive, self</w:t>
      </w:r>
      <w:r w:rsidRPr="00F44318">
        <w:rPr>
          <w:rFonts w:ascii="Cambria Math" w:hAnsi="Cambria Math" w:cs="Cambria Math"/>
        </w:rPr>
        <w:t>‑</w:t>
      </w:r>
      <w:r>
        <w:t>paced orientation to the project tools and then have the hands</w:t>
      </w:r>
      <w:r w:rsidRPr="00F44318">
        <w:rPr>
          <w:rFonts w:ascii="Cambria Math" w:hAnsi="Cambria Math" w:cs="Cambria Math"/>
        </w:rPr>
        <w:t>‑</w:t>
      </w:r>
      <w:r>
        <w:t>on simulations with immediate feedback.</w:t>
      </w:r>
    </w:p>
    <w:p w14:paraId="4EA9DBDB" w14:textId="0742BEE9" w:rsidR="00F44318" w:rsidRDefault="00F44318" w:rsidP="00F44318">
      <w:pPr>
        <w:pStyle w:val="ListParagraph"/>
        <w:numPr>
          <w:ilvl w:val="0"/>
          <w:numId w:val="1"/>
        </w:numPr>
      </w:pPr>
      <w:r w:rsidRPr="00F44318">
        <w:rPr>
          <w:b/>
          <w:bCs/>
        </w:rPr>
        <w:t>Feedback loops –</w:t>
      </w:r>
      <w:r>
        <w:t xml:space="preserve"> gather structured new hire feedback at 30, 60 and 90 days to continually evaluate and enhance orientation content and delivery.</w:t>
      </w:r>
    </w:p>
    <w:p w14:paraId="50EA8F2F" w14:textId="77777777" w:rsidR="00F44318" w:rsidRDefault="00F44318" w:rsidP="00F44318">
      <w:pPr>
        <w:pStyle w:val="ListParagraph"/>
        <w:numPr>
          <w:ilvl w:val="0"/>
          <w:numId w:val="1"/>
        </w:numPr>
      </w:pPr>
      <w:r w:rsidRPr="00F44318">
        <w:rPr>
          <w:b/>
          <w:bCs/>
        </w:rPr>
        <w:lastRenderedPageBreak/>
        <w:t>Manager training –</w:t>
      </w:r>
      <w:r>
        <w:t xml:space="preserve"> Train managers to assist new team members to welcome, integrate and set expectations during the first month.</w:t>
      </w:r>
    </w:p>
    <w:p w14:paraId="4A2A1BBD" w14:textId="248194BE" w:rsidR="00F44318" w:rsidRDefault="00F44318" w:rsidP="00F44318">
      <w:r>
        <w:t>The adoption of those changes would place orientation in a new timeframe – one that supports early engagement, quick time-to-productivity and improved retention – instead of just having it as an administrative challenge. In this project context, where fast integration and quick learning is the key, these enhancements directly translate to reducing project slowdowns from learning curve.</w:t>
      </w:r>
    </w:p>
    <w:p w14:paraId="4C7709F6" w14:textId="77777777" w:rsidR="00F44318" w:rsidRDefault="00F44318" w:rsidP="00F44318"/>
    <w:p w14:paraId="2B27DE0F" w14:textId="337EB998" w:rsidR="00F44318" w:rsidRDefault="00F44318">
      <w:pPr>
        <w:spacing w:line="259" w:lineRule="auto"/>
        <w:jc w:val="left"/>
      </w:pPr>
      <w:r>
        <w:br w:type="page"/>
      </w:r>
    </w:p>
    <w:p w14:paraId="0DC5F637" w14:textId="64EC7F8F" w:rsidR="00F44318" w:rsidRDefault="00F44318" w:rsidP="00F44318">
      <w:pPr>
        <w:pStyle w:val="Heading1"/>
      </w:pPr>
      <w:bookmarkStart w:id="8" w:name="_Toc229979666"/>
      <w:r>
        <w:lastRenderedPageBreak/>
        <w:t>4.</w:t>
      </w:r>
      <w:r>
        <w:tab/>
        <w:t>Scenario 3 – Modern Approaches to Succession Planning</w:t>
      </w:r>
      <w:bookmarkEnd w:id="8"/>
    </w:p>
    <w:p w14:paraId="7E835945" w14:textId="0EB30D7D" w:rsidR="00F44318" w:rsidRDefault="00F44318" w:rsidP="00F44318">
      <w:pPr>
        <w:pStyle w:val="Heading2"/>
      </w:pPr>
      <w:bookmarkStart w:id="9" w:name="_Toc229979667"/>
      <w:r>
        <w:t>4.1</w:t>
      </w:r>
      <w:r>
        <w:tab/>
      </w:r>
      <w:r w:rsidRPr="00F44318">
        <w:t>Traditional vs. modern approaches</w:t>
      </w:r>
      <w:bookmarkEnd w:id="9"/>
    </w:p>
    <w:p w14:paraId="10049C3D" w14:textId="7A7A4533" w:rsidR="00F44318" w:rsidRDefault="00F44318" w:rsidP="00F44318">
      <w:r>
        <w:t xml:space="preserve">The traditional way of succession planning was a linear and secret process, targeting a few senior executive positions. It became </w:t>
      </w:r>
      <w:proofErr w:type="spellStart"/>
      <w:r>
        <w:t>organised</w:t>
      </w:r>
      <w:proofErr w:type="spellEnd"/>
      <w:r>
        <w:t xml:space="preserve"> in stable </w:t>
      </w:r>
      <w:proofErr w:type="spellStart"/>
      <w:r>
        <w:t>organisations</w:t>
      </w:r>
      <w:proofErr w:type="spellEnd"/>
      <w:r>
        <w:t xml:space="preserve">, set stable career ladders and long tenures. Replacement charts were used by identifying one successor in each role, who was most likely to take on the role in the manager's opinion, not by objective data. In </w:t>
      </w:r>
      <w:proofErr w:type="spellStart"/>
      <w:r>
        <w:t>organisations</w:t>
      </w:r>
      <w:proofErr w:type="spellEnd"/>
      <w:r>
        <w:t xml:space="preserve"> that are agile and project-based, typically serving as teams that </w:t>
      </w:r>
      <w:r w:rsidRPr="00114B31">
        <w:t>are often re-combined and re-configured regularly, these assumptions are no longer valid (</w:t>
      </w:r>
      <w:r w:rsidR="00114B31" w:rsidRPr="00114B31">
        <w:t>Jadesola et al., 2023</w:t>
      </w:r>
      <w:r w:rsidRPr="00114B31">
        <w:t>). Modern approaches are talent</w:t>
      </w:r>
      <w:r w:rsidRPr="00114B31">
        <w:rPr>
          <w:rFonts w:ascii="Cambria Math" w:hAnsi="Cambria Math" w:cs="Cambria Math"/>
        </w:rPr>
        <w:t>‑</w:t>
      </w:r>
      <w:r w:rsidRPr="00114B31">
        <w:t>pool, transparent and fluid. Firms do not appoint</w:t>
      </w:r>
      <w:r>
        <w:t xml:space="preserve"> one initial CEO, but multiple </w:t>
      </w:r>
      <w:r>
        <w:rPr>
          <w:rFonts w:cs="Arial"/>
        </w:rPr>
        <w:t>“</w:t>
      </w:r>
      <w:r>
        <w:t>succession pools</w:t>
      </w:r>
      <w:r>
        <w:rPr>
          <w:rFonts w:cs="Arial"/>
        </w:rPr>
        <w:t>”–</w:t>
      </w:r>
      <w:r>
        <w:t xml:space="preserve"> for one technical role, one project manager, one </w:t>
      </w:r>
      <w:proofErr w:type="spellStart"/>
      <w:r>
        <w:t>programme</w:t>
      </w:r>
      <w:proofErr w:type="spellEnd"/>
      <w:r>
        <w:t xml:space="preserve"> director </w:t>
      </w:r>
      <w:r>
        <w:rPr>
          <w:rFonts w:cs="Arial"/>
        </w:rPr>
        <w:t>–</w:t>
      </w:r>
      <w:r>
        <w:t xml:space="preserve"> to allow </w:t>
      </w:r>
      <w:proofErr w:type="spellStart"/>
      <w:r>
        <w:t>organisational</w:t>
      </w:r>
      <w:proofErr w:type="spellEnd"/>
      <w:r>
        <w:t xml:space="preserve"> leadership to combine in a way that is more effective at meeting needs.</w:t>
      </w:r>
    </w:p>
    <w:p w14:paraId="0E501B52" w14:textId="32ADBDA0" w:rsidR="00F44318" w:rsidRDefault="00F44318" w:rsidP="00F44318">
      <w:pPr>
        <w:pStyle w:val="Heading2"/>
      </w:pPr>
      <w:bookmarkStart w:id="10" w:name="_Toc229979668"/>
      <w:r>
        <w:t>4.2</w:t>
      </w:r>
      <w:r>
        <w:tab/>
        <w:t>Effectiveness and limitations</w:t>
      </w:r>
      <w:bookmarkEnd w:id="10"/>
    </w:p>
    <w:p w14:paraId="3234DF73" w14:textId="56AFEB89" w:rsidR="00F44318" w:rsidRDefault="00F44318" w:rsidP="00F44318">
      <w:r>
        <w:t xml:space="preserve">Traditional approaches often </w:t>
      </w:r>
      <w:proofErr w:type="spellStart"/>
      <w:r>
        <w:t>prioritised</w:t>
      </w:r>
      <w:proofErr w:type="spellEnd"/>
      <w:r>
        <w:t xml:space="preserve"> people who looked and acted in the same way – creating succession “silos” – and ignored diverse talent since the managers were usually similar to themselves. More modern frameworks are inclusive and adaptable to changing dynamics in the workplace, like hybrid working, changing jobs sideways and portfolio careers (</w:t>
      </w:r>
      <w:r w:rsidR="00184E74" w:rsidRPr="009E6946">
        <w:t>Patra, Datta and Bose, 2024</w:t>
      </w:r>
      <w:r>
        <w:t xml:space="preserve">). However, limitations remain. Most </w:t>
      </w:r>
      <w:proofErr w:type="spellStart"/>
      <w:r>
        <w:t>organisations</w:t>
      </w:r>
      <w:proofErr w:type="spellEnd"/>
      <w:r>
        <w:t xml:space="preserve"> do not have formal succession plans for projects at middle management levels. Another aspect of the phenomenon is when managers want to hang onto talent, scared they will otherwise lose a key team member, which is not conducive to </w:t>
      </w:r>
      <w:proofErr w:type="spellStart"/>
      <w:r>
        <w:t>organisational</w:t>
      </w:r>
      <w:proofErr w:type="spellEnd"/>
      <w:r>
        <w:t xml:space="preserve"> resilience. One downside is that it can be too much these days because of the scope that modern pools have created, which helps spread thin the development efforts to focus on.</w:t>
      </w:r>
    </w:p>
    <w:p w14:paraId="3D3D0646" w14:textId="3B5F2257" w:rsidR="00F44318" w:rsidRDefault="00F44318" w:rsidP="00F44318">
      <w:pPr>
        <w:pStyle w:val="Heading2"/>
      </w:pPr>
      <w:bookmarkStart w:id="11" w:name="_Toc229979669"/>
      <w:r>
        <w:t>4.3</w:t>
      </w:r>
      <w:r>
        <w:tab/>
        <w:t>Roles of workforce analytics</w:t>
      </w:r>
      <w:bookmarkEnd w:id="11"/>
    </w:p>
    <w:p w14:paraId="69268CD6" w14:textId="13CD2208" w:rsidR="00F44318" w:rsidRDefault="00F44318" w:rsidP="00F44318">
      <w:r>
        <w:t>There are a number of ways to leverage workforce analytics to enhance succession planning. Defining flight risks or identifying high</w:t>
      </w:r>
      <w:r>
        <w:rPr>
          <w:rFonts w:ascii="Cambria Math" w:hAnsi="Cambria Math" w:cs="Cambria Math"/>
        </w:rPr>
        <w:t>‑</w:t>
      </w:r>
      <w:r>
        <w:t>potential employees is the first step in predictive modelling, which involves the combination of data on employee performance, project co</w:t>
      </w:r>
      <w:r w:rsidRPr="00184E74">
        <w:t xml:space="preserve">ntribution, engagement, and external signals from the </w:t>
      </w:r>
      <w:proofErr w:type="spellStart"/>
      <w:r w:rsidRPr="00184E74">
        <w:t>labour</w:t>
      </w:r>
      <w:proofErr w:type="spellEnd"/>
      <w:r w:rsidRPr="00184E74">
        <w:t xml:space="preserve"> market (</w:t>
      </w:r>
      <w:r w:rsidR="00184E74" w:rsidRPr="00184E74">
        <w:t>Coolen et al., 2023)</w:t>
      </w:r>
      <w:r>
        <w:t xml:space="preserve">. Second, a skills gap analysis helps to identify </w:t>
      </w:r>
      <w:r w:rsidR="00184E74">
        <w:t>the</w:t>
      </w:r>
      <w:r>
        <w:t xml:space="preserve"> current </w:t>
      </w:r>
      <w:r w:rsidR="00184E74">
        <w:t>skill</w:t>
      </w:r>
      <w:r>
        <w:t xml:space="preserve"> set and how it can be aligned with the needs of future projects for targeted development </w:t>
      </w:r>
      <w:proofErr w:type="spellStart"/>
      <w:r>
        <w:t>programmes</w:t>
      </w:r>
      <w:proofErr w:type="spellEnd"/>
      <w:r>
        <w:t xml:space="preserve">. Thirdly, network analysis can </w:t>
      </w:r>
      <w:r>
        <w:lastRenderedPageBreak/>
        <w:t>identify informal leaders who affect project outcomes but have no formal authority over the project. Using HR measures like project management information systems and 360</w:t>
      </w:r>
      <w:r>
        <w:rPr>
          <w:rFonts w:ascii="Cambria Math" w:hAnsi="Cambria Math" w:cs="Cambria Math"/>
        </w:rPr>
        <w:t>‐</w:t>
      </w:r>
      <w:r>
        <w:t xml:space="preserve">degree feedback, a company can predict, for instance, who the technical leads </w:t>
      </w:r>
      <w:r w:rsidR="00184E74">
        <w:t xml:space="preserve">are </w:t>
      </w:r>
      <w:r>
        <w:t>that are likely to resign over the next 12 months and ensure replacements are ready.</w:t>
      </w:r>
    </w:p>
    <w:p w14:paraId="58FAD74C" w14:textId="77777777" w:rsidR="00F44318" w:rsidRDefault="00F44318" w:rsidP="00F44318"/>
    <w:p w14:paraId="2E56124C" w14:textId="3708A97A" w:rsidR="00F44318" w:rsidRDefault="00F44318">
      <w:pPr>
        <w:spacing w:line="259" w:lineRule="auto"/>
        <w:jc w:val="left"/>
      </w:pPr>
      <w:r>
        <w:br w:type="page"/>
      </w:r>
    </w:p>
    <w:p w14:paraId="2A226770" w14:textId="12304619" w:rsidR="00F44318" w:rsidRDefault="00F44318" w:rsidP="00F44318">
      <w:pPr>
        <w:pStyle w:val="Heading1"/>
      </w:pPr>
      <w:bookmarkStart w:id="12" w:name="_Toc229979670"/>
      <w:r>
        <w:lastRenderedPageBreak/>
        <w:t>5.</w:t>
      </w:r>
      <w:r>
        <w:tab/>
        <w:t>Scenario 4 – Resourcing and Retention Strategies</w:t>
      </w:r>
      <w:bookmarkEnd w:id="12"/>
    </w:p>
    <w:p w14:paraId="04E6EB97" w14:textId="6A2874FA" w:rsidR="00F44318" w:rsidRDefault="00F44318" w:rsidP="00F44318">
      <w:pPr>
        <w:pStyle w:val="Heading2"/>
      </w:pPr>
      <w:bookmarkStart w:id="13" w:name="_Toc229979671"/>
      <w:r>
        <w:t>5.1</w:t>
      </w:r>
      <w:r>
        <w:tab/>
        <w:t xml:space="preserve">Migrating talents in today's </w:t>
      </w:r>
      <w:proofErr w:type="spellStart"/>
      <w:r>
        <w:t>labour</w:t>
      </w:r>
      <w:proofErr w:type="spellEnd"/>
      <w:r>
        <w:t xml:space="preserve"> markets</w:t>
      </w:r>
      <w:bookmarkEnd w:id="13"/>
    </w:p>
    <w:p w14:paraId="29E8A04D" w14:textId="66E769AC" w:rsidR="00F44318" w:rsidRDefault="00F44318" w:rsidP="00F44318">
      <w:proofErr w:type="spellStart"/>
      <w:r>
        <w:t>Labour</w:t>
      </w:r>
      <w:proofErr w:type="spellEnd"/>
      <w:r>
        <w:t xml:space="preserve"> market conditions, such as a shortage of project managers and engineers, a higher number of jobs that can be performed remotely and hybrid work, and a growing focus on values</w:t>
      </w:r>
      <w:r>
        <w:rPr>
          <w:rFonts w:ascii="Cambria Math" w:hAnsi="Cambria Math" w:cs="Cambria Math"/>
        </w:rPr>
        <w:t>‑</w:t>
      </w:r>
      <w:r>
        <w:t>based jobs, are prevailing (ManpowerGroup, 2024). When it comes to project leadership positions, diverse talent such as women, ethnic minorities, those with caring res</w:t>
      </w:r>
      <w:r w:rsidRPr="001448DB">
        <w:t>ponsibilities and neurodiverse people are underrepresented (</w:t>
      </w:r>
      <w:r w:rsidR="001448DB" w:rsidRPr="001448DB">
        <w:t>Martínez-Morán et al. 2024</w:t>
      </w:r>
      <w:r>
        <w:t>). This is not enough by just posting simple job ads on a website or using old-fashioned recruitment methods. Evidence</w:t>
      </w:r>
      <w:r>
        <w:rPr>
          <w:rFonts w:ascii="Cambria Math" w:hAnsi="Cambria Math" w:cs="Cambria Math"/>
        </w:rPr>
        <w:t>‑</w:t>
      </w:r>
      <w:r>
        <w:t>based practices for attracting students to science are:</w:t>
      </w:r>
    </w:p>
    <w:p w14:paraId="157D0B63" w14:textId="2A620DE4" w:rsidR="00F44318" w:rsidRDefault="00F44318" w:rsidP="00F44318">
      <w:pPr>
        <w:pStyle w:val="ListParagraph"/>
        <w:numPr>
          <w:ilvl w:val="0"/>
          <w:numId w:val="2"/>
        </w:numPr>
        <w:ind w:left="360"/>
      </w:pPr>
      <w:r>
        <w:t xml:space="preserve">Gender-neutral job descriptions that do not include gender-specific targets, Marie, and a </w:t>
      </w:r>
      <w:proofErr w:type="spellStart"/>
      <w:r>
        <w:t>wishlist</w:t>
      </w:r>
      <w:proofErr w:type="spellEnd"/>
      <w:r>
        <w:t xml:space="preserve"> of desired candidates, and make it clear that they are interested in recruiting a diverse workforce.</w:t>
      </w:r>
    </w:p>
    <w:p w14:paraId="71003A5D" w14:textId="3C378060" w:rsidR="00F44318" w:rsidRDefault="00F44318" w:rsidP="00F44318">
      <w:pPr>
        <w:pStyle w:val="ListParagraph"/>
        <w:numPr>
          <w:ilvl w:val="0"/>
          <w:numId w:val="2"/>
        </w:numPr>
        <w:ind w:left="360"/>
      </w:pPr>
      <w:r>
        <w:t>Outreach efforts focused on professional networking groups like Women in Engineering, Society of Hispanic Professional Engineers and Neurodiversity employment groups.</w:t>
      </w:r>
    </w:p>
    <w:p w14:paraId="1DD6D443" w14:textId="05ED6EBA" w:rsidR="00F44318" w:rsidRDefault="00F44318" w:rsidP="00F44318">
      <w:pPr>
        <w:pStyle w:val="ListParagraph"/>
        <w:numPr>
          <w:ilvl w:val="0"/>
          <w:numId w:val="2"/>
        </w:numPr>
        <w:ind w:left="360"/>
      </w:pPr>
      <w:r>
        <w:t xml:space="preserve">Hiring blind to prevent unconscious bias with </w:t>
      </w:r>
      <w:r w:rsidR="001448DB">
        <w:t xml:space="preserve">the </w:t>
      </w:r>
      <w:r>
        <w:t xml:space="preserve">support of structured interviews with </w:t>
      </w:r>
      <w:proofErr w:type="spellStart"/>
      <w:r>
        <w:t>standardised</w:t>
      </w:r>
      <w:proofErr w:type="spellEnd"/>
      <w:r>
        <w:t xml:space="preserve"> questions.</w:t>
      </w:r>
    </w:p>
    <w:p w14:paraId="09A6FE54" w14:textId="77777777" w:rsidR="00F44318" w:rsidRDefault="00F44318" w:rsidP="00F44318">
      <w:pPr>
        <w:pStyle w:val="ListParagraph"/>
        <w:numPr>
          <w:ilvl w:val="0"/>
          <w:numId w:val="2"/>
        </w:numPr>
        <w:ind w:left="360"/>
      </w:pPr>
      <w:r>
        <w:t>Alternative credential recognition – for certain disciplines, accepting skills assessment, portfolio evidence, and/or relevant work experience or training for formal degrees of study.</w:t>
      </w:r>
    </w:p>
    <w:p w14:paraId="16DB526B" w14:textId="428FFB22" w:rsidR="00F44318" w:rsidRDefault="00FD06C4" w:rsidP="00F44318">
      <w:pPr>
        <w:pStyle w:val="Heading2"/>
      </w:pPr>
      <w:bookmarkStart w:id="14" w:name="_Toc229979672"/>
      <w:r>
        <w:t>5.2</w:t>
      </w:r>
      <w:r>
        <w:tab/>
      </w:r>
      <w:r w:rsidR="00F44318">
        <w:t>Retention and long</w:t>
      </w:r>
      <w:r w:rsidR="00F44318">
        <w:rPr>
          <w:rFonts w:ascii="Cambria Math" w:hAnsi="Cambria Math" w:cs="Cambria Math"/>
        </w:rPr>
        <w:t>‑</w:t>
      </w:r>
      <w:r w:rsidR="00F44318">
        <w:t>term engagement</w:t>
      </w:r>
      <w:bookmarkEnd w:id="14"/>
    </w:p>
    <w:p w14:paraId="76F5921C" w14:textId="2ACF6078" w:rsidR="00F44318" w:rsidRDefault="00F44318" w:rsidP="00F44318">
      <w:r>
        <w:t>“</w:t>
      </w:r>
      <w:r w:rsidR="001448DB">
        <w:t>To</w:t>
      </w:r>
      <w:r>
        <w:t xml:space="preserve"> retain a range of talent, there needs to be deliberate </w:t>
      </w:r>
      <w:proofErr w:type="spellStart"/>
      <w:r>
        <w:t>endeavours</w:t>
      </w:r>
      <w:proofErr w:type="spellEnd"/>
      <w:r>
        <w:t xml:space="preserve"> beyond personnel Hiring.” Studies have clearly demonstrated that a sense of belonging, along with feeling psychologically safe</w:t>
      </w:r>
      <w:r w:rsidR="001448DB">
        <w:t>,</w:t>
      </w:r>
      <w:r>
        <w:t xml:space="preserve"> will predict retention far beyond compensation alone (</w:t>
      </w:r>
      <w:r w:rsidR="001448DB" w:rsidRPr="00C24DD8">
        <w:t>Hasan, Hasnat and Khandakar, 2026</w:t>
      </w:r>
      <w:r>
        <w:t>). Effective strategies include:</w:t>
      </w:r>
    </w:p>
    <w:p w14:paraId="1B60AEAA" w14:textId="0B1DFC4A" w:rsidR="00F44318" w:rsidRDefault="00F44318" w:rsidP="00FD06C4">
      <w:pPr>
        <w:pStyle w:val="ListParagraph"/>
        <w:numPr>
          <w:ilvl w:val="0"/>
          <w:numId w:val="3"/>
        </w:numPr>
      </w:pPr>
      <w:r>
        <w:t xml:space="preserve">Executive supported </w:t>
      </w:r>
      <w:r w:rsidR="00FD06C4">
        <w:t>E</w:t>
      </w:r>
      <w:r>
        <w:t xml:space="preserve">mployee </w:t>
      </w:r>
      <w:r w:rsidR="00FD06C4">
        <w:t>R</w:t>
      </w:r>
      <w:r>
        <w:t xml:space="preserve">esource </w:t>
      </w:r>
      <w:r w:rsidR="00FD06C4">
        <w:t>G</w:t>
      </w:r>
      <w:r>
        <w:t>roups (ERGs) that have budgets and strong connections to the business.</w:t>
      </w:r>
    </w:p>
    <w:p w14:paraId="565F4B2E" w14:textId="349D527E" w:rsidR="00F44318" w:rsidRDefault="00F44318" w:rsidP="00FD06C4">
      <w:pPr>
        <w:pStyle w:val="ListParagraph"/>
        <w:numPr>
          <w:ilvl w:val="0"/>
          <w:numId w:val="3"/>
        </w:numPr>
      </w:pPr>
      <w:r>
        <w:t>Flexible career options – not all high</w:t>
      </w:r>
      <w:r w:rsidRPr="00FD06C4">
        <w:rPr>
          <w:rFonts w:ascii="Cambria Math" w:hAnsi="Cambria Math" w:cs="Cambria Math"/>
        </w:rPr>
        <w:t>‑</w:t>
      </w:r>
      <w:r>
        <w:t>performers want to be managers. Fellow tracks to a project, technical ladders, and rotations can all be effective alternatives.</w:t>
      </w:r>
    </w:p>
    <w:p w14:paraId="018D268F" w14:textId="77777777" w:rsidR="00F44318" w:rsidRDefault="00F44318" w:rsidP="00FD06C4">
      <w:pPr>
        <w:pStyle w:val="ListParagraph"/>
        <w:numPr>
          <w:ilvl w:val="0"/>
          <w:numId w:val="3"/>
        </w:numPr>
      </w:pPr>
      <w:r>
        <w:t>Publishing transparent pay equity audits internally to help foster trust and commitment to pay equity.</w:t>
      </w:r>
    </w:p>
    <w:p w14:paraId="4FCE08D0" w14:textId="60B90A63" w:rsidR="00F44318" w:rsidRDefault="00F44318" w:rsidP="00FD06C4">
      <w:pPr>
        <w:pStyle w:val="ListParagraph"/>
        <w:numPr>
          <w:ilvl w:val="0"/>
          <w:numId w:val="3"/>
        </w:numPr>
      </w:pPr>
      <w:r>
        <w:lastRenderedPageBreak/>
        <w:t>Proactive advocacy and mentorship from older leaders for the promotion of diverse employees, including by nominating them for high</w:t>
      </w:r>
      <w:r w:rsidRPr="00FD06C4">
        <w:rPr>
          <w:rFonts w:ascii="Cambria Math" w:hAnsi="Cambria Math" w:cs="Cambria Math"/>
        </w:rPr>
        <w:t>‑</w:t>
      </w:r>
      <w:r>
        <w:t>visibility projects.</w:t>
      </w:r>
    </w:p>
    <w:p w14:paraId="3E499837" w14:textId="030F54CC" w:rsidR="00F44318" w:rsidRDefault="00F44318" w:rsidP="00FD06C4">
      <w:pPr>
        <w:pStyle w:val="ListParagraph"/>
        <w:numPr>
          <w:ilvl w:val="0"/>
          <w:numId w:val="3"/>
        </w:numPr>
      </w:pPr>
      <w:r>
        <w:t xml:space="preserve">Proactive conversations about “What keeps you here” – Stay interviews (quarterly, as opposed to reactively done off the back </w:t>
      </w:r>
      <w:r w:rsidR="001448DB">
        <w:t>of</w:t>
      </w:r>
      <w:r>
        <w:t xml:space="preserve"> an outgoing interview).</w:t>
      </w:r>
    </w:p>
    <w:p w14:paraId="364BD377" w14:textId="615540EC" w:rsidR="00F44318" w:rsidRDefault="00F44318" w:rsidP="00F44318">
      <w:r>
        <w:t>In project</w:t>
      </w:r>
      <w:r>
        <w:rPr>
          <w:rFonts w:ascii="Cambria Math" w:hAnsi="Cambria Math" w:cs="Cambria Math"/>
        </w:rPr>
        <w:t>‑</w:t>
      </w:r>
      <w:r>
        <w:t xml:space="preserve">based </w:t>
      </w:r>
      <w:proofErr w:type="spellStart"/>
      <w:r>
        <w:t>organisations</w:t>
      </w:r>
      <w:proofErr w:type="spellEnd"/>
      <w:r>
        <w:t xml:space="preserve">, where team composition often fluctuates, </w:t>
      </w:r>
      <w:r w:rsidR="001448DB">
        <w:t xml:space="preserve">the </w:t>
      </w:r>
      <w:r>
        <w:t xml:space="preserve">incorporation of inclusion into project </w:t>
      </w:r>
      <w:r w:rsidR="001448DB">
        <w:t>rituals</w:t>
      </w:r>
      <w:r>
        <w:t xml:space="preserve"> is key. Some examples include sharing facilitation responsibilities of meetings, providing confidential methods for ideas to be shared, and allocating project tasks that people don't want. Having a variety of perspectives is beneficial as it decreases attrition, increases innovation, and improves the results of the project (</w:t>
      </w:r>
      <w:r w:rsidR="001448DB" w:rsidRPr="00C24DD8">
        <w:t>Hasan, Hasnat and Khandakar, 2026</w:t>
      </w:r>
      <w:r>
        <w:t>). Those who see the issue of diversity and inclusion as a strategic question – rather than a compliance one – will be able to outperform competitors in talent</w:t>
      </w:r>
      <w:r>
        <w:rPr>
          <w:rFonts w:ascii="Cambria Math" w:hAnsi="Cambria Math" w:cs="Cambria Math"/>
        </w:rPr>
        <w:t>‑</w:t>
      </w:r>
      <w:r>
        <w:t>scarce markets.</w:t>
      </w:r>
    </w:p>
    <w:p w14:paraId="15FC49C9" w14:textId="77777777" w:rsidR="00F44318" w:rsidRDefault="00F44318" w:rsidP="00F44318"/>
    <w:p w14:paraId="31D32FFF" w14:textId="0DE51B9D" w:rsidR="00FD06C4" w:rsidRDefault="00FD06C4">
      <w:pPr>
        <w:spacing w:line="259" w:lineRule="auto"/>
        <w:jc w:val="left"/>
      </w:pPr>
      <w:r>
        <w:br w:type="page"/>
      </w:r>
    </w:p>
    <w:p w14:paraId="0AA7576D" w14:textId="1AA83955" w:rsidR="00F44318" w:rsidRDefault="00F44318" w:rsidP="00FD06C4">
      <w:pPr>
        <w:pStyle w:val="Heading1"/>
      </w:pPr>
      <w:bookmarkStart w:id="15" w:name="_Toc229979673"/>
      <w:r>
        <w:lastRenderedPageBreak/>
        <w:t>6. Scenario 5 – Talent Insight and Strategic Retention</w:t>
      </w:r>
      <w:bookmarkEnd w:id="15"/>
    </w:p>
    <w:p w14:paraId="50D194F0" w14:textId="6BE55090" w:rsidR="00F44318" w:rsidRDefault="00FD06C4" w:rsidP="00FD06C4">
      <w:pPr>
        <w:pStyle w:val="Heading2"/>
      </w:pPr>
      <w:bookmarkStart w:id="16" w:name="_Toc229979674"/>
      <w:r>
        <w:t>6.1</w:t>
      </w:r>
      <w:r>
        <w:tab/>
      </w:r>
      <w:r w:rsidR="00F44318">
        <w:t>Talent</w:t>
      </w:r>
      <w:r w:rsidR="00F44318">
        <w:rPr>
          <w:rFonts w:ascii="Cambria Math" w:hAnsi="Cambria Math" w:cs="Cambria Math"/>
        </w:rPr>
        <w:t>‑</w:t>
      </w:r>
      <w:r w:rsidR="00F44318">
        <w:t>insight tools and assessing</w:t>
      </w:r>
      <w:bookmarkEnd w:id="16"/>
    </w:p>
    <w:p w14:paraId="562DD8E0" w14:textId="5EC31E82" w:rsidR="00F44318" w:rsidRDefault="00F44318" w:rsidP="00F44318">
      <w:r>
        <w:t>Talent</w:t>
      </w:r>
      <w:r>
        <w:rPr>
          <w:rFonts w:ascii="Cambria Math" w:hAnsi="Cambria Math" w:cs="Cambria Math"/>
        </w:rPr>
        <w:t>‑</w:t>
      </w:r>
      <w:r>
        <w:t>insight tools are not just traditional resumes and unstructured interviews. They include:</w:t>
      </w:r>
    </w:p>
    <w:p w14:paraId="37E5FF03" w14:textId="2A41DFA0" w:rsidR="00F44318" w:rsidRDefault="00F44318" w:rsidP="001D7447">
      <w:pPr>
        <w:pStyle w:val="ListParagraph"/>
        <w:numPr>
          <w:ilvl w:val="0"/>
          <w:numId w:val="4"/>
        </w:numPr>
      </w:pPr>
      <w:r>
        <w:t>Psychometric tests (Hogan, MBTI Step II, SHL, etc.) that measure cultural priorities, collaborative and working style in challenging situations. These assessments promote person</w:t>
      </w:r>
      <w:r w:rsidRPr="001D7447">
        <w:rPr>
          <w:rFonts w:ascii="Cambria Math" w:hAnsi="Cambria Math" w:cs="Cambria Math"/>
        </w:rPr>
        <w:t>‑</w:t>
      </w:r>
      <w:r>
        <w:t>job fit and person</w:t>
      </w:r>
      <w:r w:rsidRPr="001D7447">
        <w:rPr>
          <w:rFonts w:ascii="Cambria Math" w:hAnsi="Cambria Math" w:cs="Cambria Math"/>
        </w:rPr>
        <w:t>‑</w:t>
      </w:r>
      <w:r>
        <w:t>team fit</w:t>
      </w:r>
      <w:r w:rsidR="001D7447">
        <w:t>,</w:t>
      </w:r>
      <w:r>
        <w:t xml:space="preserve"> and when properly validated, curb turnover.</w:t>
      </w:r>
    </w:p>
    <w:p w14:paraId="5B28037E" w14:textId="71221973" w:rsidR="00F44318" w:rsidRDefault="00F44318" w:rsidP="001D7447">
      <w:pPr>
        <w:pStyle w:val="ListParagraph"/>
        <w:numPr>
          <w:ilvl w:val="0"/>
          <w:numId w:val="4"/>
        </w:numPr>
      </w:pPr>
      <w:r>
        <w:t>Skills validation sites (</w:t>
      </w:r>
      <w:proofErr w:type="spellStart"/>
      <w:r>
        <w:t>Pymetrics</w:t>
      </w:r>
      <w:proofErr w:type="spellEnd"/>
      <w:r>
        <w:t xml:space="preserve">, </w:t>
      </w:r>
      <w:proofErr w:type="spellStart"/>
      <w:r>
        <w:t>Codility</w:t>
      </w:r>
      <w:proofErr w:type="spellEnd"/>
      <w:r>
        <w:t xml:space="preserve">, </w:t>
      </w:r>
      <w:proofErr w:type="spellStart"/>
      <w:r>
        <w:t>HackerRank</w:t>
      </w:r>
      <w:proofErr w:type="spellEnd"/>
      <w:r>
        <w:t xml:space="preserve">) that gamify and objectively check </w:t>
      </w:r>
      <w:r w:rsidR="001D7447">
        <w:t>problem-solving</w:t>
      </w:r>
      <w:r>
        <w:t>, collaboration and technical skills.</w:t>
      </w:r>
    </w:p>
    <w:p w14:paraId="06E60D80" w14:textId="47E46B6C" w:rsidR="00F44318" w:rsidRDefault="00F44318" w:rsidP="001D7447">
      <w:pPr>
        <w:pStyle w:val="ListParagraph"/>
        <w:numPr>
          <w:ilvl w:val="0"/>
          <w:numId w:val="4"/>
        </w:numPr>
      </w:pPr>
      <w:r>
        <w:t>Internal talent marketplaces (e.g., Gloat, Fuel50) that enable connections between employees and short-term project opportunities, stretch assignments or mentorship roles from skills, aspirations, and availability.</w:t>
      </w:r>
    </w:p>
    <w:p w14:paraId="288861EC" w14:textId="562F7A84" w:rsidR="00F44318" w:rsidRDefault="00F44318" w:rsidP="00F44318">
      <w:r>
        <w:t xml:space="preserve">Bias reduction (if used as one of multiple inputs to hiring decisions) and more robust data than </w:t>
      </w:r>
      <w:r w:rsidR="00FD06C4">
        <w:t>intuition</w:t>
      </w:r>
      <w:r>
        <w:t xml:space="preserve"> are supported by these tools</w:t>
      </w:r>
      <w:r w:rsidR="00211103">
        <w:t xml:space="preserve"> </w:t>
      </w:r>
      <w:r w:rsidR="00211103" w:rsidRPr="001D7447">
        <w:t>(P.et al., 2023)</w:t>
      </w:r>
      <w:r>
        <w:t>. The literature suggests that multi</w:t>
      </w:r>
      <w:r>
        <w:rPr>
          <w:rFonts w:ascii="Cambria Math" w:hAnsi="Cambria Math" w:cs="Cambria Math"/>
        </w:rPr>
        <w:t>‑</w:t>
      </w:r>
      <w:r>
        <w:t>method assessment batteries have a much stronger impact on long</w:t>
      </w:r>
      <w:r>
        <w:rPr>
          <w:rFonts w:ascii="Cambria Math" w:hAnsi="Cambria Math" w:cs="Cambria Math"/>
        </w:rPr>
        <w:t>‑</w:t>
      </w:r>
      <w:r>
        <w:t>term retention than do unstructu</w:t>
      </w:r>
      <w:r w:rsidRPr="001D7447">
        <w:t>red interviews.</w:t>
      </w:r>
    </w:p>
    <w:p w14:paraId="03151903" w14:textId="7B5D8E07" w:rsidR="00F44318" w:rsidRDefault="00FD06C4" w:rsidP="00FD06C4">
      <w:pPr>
        <w:pStyle w:val="Heading2"/>
      </w:pPr>
      <w:bookmarkStart w:id="17" w:name="_Toc229979675"/>
      <w:r>
        <w:t>6.2</w:t>
      </w:r>
      <w:r>
        <w:tab/>
      </w:r>
      <w:proofErr w:type="spellStart"/>
      <w:r w:rsidR="00F44318">
        <w:t>Personalised</w:t>
      </w:r>
      <w:proofErr w:type="spellEnd"/>
      <w:r w:rsidR="00F44318">
        <w:t xml:space="preserve"> retention approaches</w:t>
      </w:r>
      <w:bookmarkEnd w:id="17"/>
    </w:p>
    <w:p w14:paraId="5B6D42E8" w14:textId="119067E2" w:rsidR="00F44318" w:rsidRDefault="00F44318" w:rsidP="00F44318">
      <w:r>
        <w:t>Retention doesn't work one size fits all</w:t>
      </w:r>
      <w:r w:rsidR="00FD06C4">
        <w:t>,</w:t>
      </w:r>
      <w:r>
        <w:t xml:space="preserve"> as every employee is at a different stage in their career, has various motivators and has a unique situation. </w:t>
      </w:r>
      <w:proofErr w:type="spellStart"/>
      <w:r>
        <w:t>Organisations</w:t>
      </w:r>
      <w:proofErr w:type="spellEnd"/>
      <w:r>
        <w:t xml:space="preserve"> can leverage talent insights to divide employees into groups, based on their characteristics (such as early career learners, </w:t>
      </w:r>
      <w:r w:rsidR="001D7447">
        <w:t>mid-career cutters,</w:t>
      </w:r>
      <w:r w:rsidRPr="001D7447">
        <w:t xml:space="preserve"> and </w:t>
      </w:r>
      <w:r w:rsidR="00FD06C4" w:rsidRPr="001D7447">
        <w:t>late-career</w:t>
      </w:r>
      <w:r w:rsidRPr="001D7447">
        <w:t xml:space="preserve"> prods) and target retention deals accordingly (</w:t>
      </w:r>
      <w:r w:rsidR="001D7447" w:rsidRPr="001D7447">
        <w:t>He et al., 2021</w:t>
      </w:r>
      <w:r>
        <w:t>). For instance, while early career project engineers might appreciate a fast-track program that will help them build a new set of skills, tuition reimbursement, and mentorship, mid-career professionals might seek work/life balance, flexible work hours, and hard assignments.</w:t>
      </w:r>
    </w:p>
    <w:p w14:paraId="40B5FF02" w14:textId="4F3B6BA8" w:rsidR="00F44318" w:rsidRDefault="00F44318" w:rsidP="00F44318">
      <w:r>
        <w:t xml:space="preserve">Continuous employee feedback systems play a key role in driving growth and innovation within an </w:t>
      </w:r>
      <w:proofErr w:type="spellStart"/>
      <w:r w:rsidR="00FD06C4">
        <w:t>organisation</w:t>
      </w:r>
      <w:proofErr w:type="spellEnd"/>
      <w:r>
        <w:t>.</w:t>
      </w:r>
    </w:p>
    <w:p w14:paraId="2104D99A" w14:textId="4D7B9CC0" w:rsidR="00F44318" w:rsidRDefault="00F44318" w:rsidP="00F44318">
      <w:r>
        <w:t>Retention Surveys</w:t>
      </w:r>
      <w:r w:rsidR="00FD06C4">
        <w:t>,</w:t>
      </w:r>
      <w:r>
        <w:t xml:space="preserve"> when properly designed and acted upon, are a powerful instrument. Engagement surveys conducted annually are not frequent enough in today's dynamic project environment. Pulse surveys (e.g. every 2–4 weeks) with a limited number of targeted questions on </w:t>
      </w:r>
      <w:r>
        <w:lastRenderedPageBreak/>
        <w:t xml:space="preserve">Workload, Recognition, Psychological safety, </w:t>
      </w:r>
      <w:r w:rsidR="00FD06C4">
        <w:t>team,</w:t>
      </w:r>
      <w:r>
        <w:t xml:space="preserve"> and Intent to stay are prevalent in leading </w:t>
      </w:r>
      <w:proofErr w:type="spellStart"/>
      <w:r w:rsidRPr="004742B0">
        <w:t>organisations</w:t>
      </w:r>
      <w:proofErr w:type="spellEnd"/>
      <w:r w:rsidRPr="004742B0">
        <w:t xml:space="preserve"> (</w:t>
      </w:r>
      <w:r w:rsidR="004742B0" w:rsidRPr="004742B0">
        <w:t>Hassan et al., 2023)</w:t>
      </w:r>
      <w:r w:rsidRPr="004742B0">
        <w:t>.</w:t>
      </w:r>
      <w:r>
        <w:t xml:space="preserve"> Feedback is </w:t>
      </w:r>
      <w:r w:rsidR="00FD06C4">
        <w:t>all-important</w:t>
      </w:r>
      <w:r>
        <w:t>, and cannot be remembered but must be seen; it is important that employees know that their feedback gets acted upon. For example, HR can work with the project manager to extend deadlines, allocate more resources, or offer mental health resources, should insights from pulse survey data indicate that burnout is present in a particular project team.</w:t>
      </w:r>
    </w:p>
    <w:p w14:paraId="32726153" w14:textId="01BB35AA" w:rsidR="00F44318" w:rsidRDefault="00F44318" w:rsidP="00F44318">
      <w:r>
        <w:t>Real</w:t>
      </w:r>
      <w:r>
        <w:rPr>
          <w:rFonts w:ascii="Cambria Math" w:hAnsi="Cambria Math" w:cs="Cambria Math"/>
        </w:rPr>
        <w:t>‑</w:t>
      </w:r>
      <w:r>
        <w:t xml:space="preserve">time feedback platforms (such as Culture Amp, Qualtrics, and </w:t>
      </w:r>
      <w:proofErr w:type="spellStart"/>
      <w:r>
        <w:t>Officevibe</w:t>
      </w:r>
      <w:proofErr w:type="spellEnd"/>
      <w:r>
        <w:t xml:space="preserve">) offer dashboards to see if teams are on red, yellow, or green, and assist project managers to catch </w:t>
      </w:r>
      <w:r w:rsidR="00FD06C4">
        <w:t>at-risk</w:t>
      </w:r>
      <w:r>
        <w:t xml:space="preserve"> teams in time, often before they start to leave. Coupled with agile feedback systems, talent data from assessments will allow for a real</w:t>
      </w:r>
      <w:r>
        <w:rPr>
          <w:rFonts w:ascii="Cambria Math" w:hAnsi="Cambria Math" w:cs="Cambria Math"/>
        </w:rPr>
        <w:t>‑</w:t>
      </w:r>
      <w:r>
        <w:t>time or near</w:t>
      </w:r>
      <w:r>
        <w:rPr>
          <w:rFonts w:ascii="Cambria Math" w:hAnsi="Cambria Math" w:cs="Cambria Math"/>
        </w:rPr>
        <w:t>‑</w:t>
      </w:r>
      <w:r>
        <w:t xml:space="preserve">time responsive HRM system. This helps to lower the incidence of involuntary turnover, boost engagement and create a culture of continuous improvement. In </w:t>
      </w:r>
      <w:r w:rsidR="00FD06C4">
        <w:t>project-based</w:t>
      </w:r>
      <w:r>
        <w:t xml:space="preserve"> </w:t>
      </w:r>
      <w:proofErr w:type="spellStart"/>
      <w:r>
        <w:t>organisations</w:t>
      </w:r>
      <w:proofErr w:type="spellEnd"/>
      <w:r>
        <w:t xml:space="preserve"> where team dynamics can mean the difference between delivering the project or not</w:t>
      </w:r>
      <w:r w:rsidR="00FD06C4">
        <w:t>,</w:t>
      </w:r>
      <w:r>
        <w:t xml:space="preserve"> such systems cannot be considered as options but necessities.</w:t>
      </w:r>
    </w:p>
    <w:p w14:paraId="69FCD8C8" w14:textId="77777777" w:rsidR="00FD06C4" w:rsidRDefault="00FD06C4" w:rsidP="00F44318"/>
    <w:p w14:paraId="690C7ED2" w14:textId="6CF96F54" w:rsidR="00FD06C4" w:rsidRDefault="00FD06C4">
      <w:pPr>
        <w:spacing w:line="259" w:lineRule="auto"/>
        <w:jc w:val="left"/>
      </w:pPr>
      <w:r>
        <w:br w:type="page"/>
      </w:r>
    </w:p>
    <w:p w14:paraId="3830CF58" w14:textId="77777777" w:rsidR="00F44318" w:rsidRDefault="00F44318" w:rsidP="00F44318"/>
    <w:p w14:paraId="1F6A3E0B" w14:textId="080D6F60" w:rsidR="00F44318" w:rsidRDefault="00F44318" w:rsidP="00FD06C4">
      <w:pPr>
        <w:pStyle w:val="Heading1"/>
      </w:pPr>
      <w:bookmarkStart w:id="18" w:name="_Toc229979676"/>
      <w:r>
        <w:t>7.</w:t>
      </w:r>
      <w:r w:rsidR="00FD06C4">
        <w:tab/>
      </w:r>
      <w:r>
        <w:t>Conclusion</w:t>
      </w:r>
      <w:bookmarkEnd w:id="18"/>
    </w:p>
    <w:p w14:paraId="4A2302D8" w14:textId="4A7F9167" w:rsidR="00F44318" w:rsidRDefault="00F44318" w:rsidP="00F44318">
      <w:r>
        <w:t>This report has covered all five areas of HRM practice vital to the current project</w:t>
      </w:r>
      <w:r>
        <w:rPr>
          <w:rFonts w:ascii="Cambria Math" w:hAnsi="Cambria Math" w:cs="Cambria Math"/>
        </w:rPr>
        <w:t>‑</w:t>
      </w:r>
      <w:r>
        <w:t xml:space="preserve">based </w:t>
      </w:r>
      <w:proofErr w:type="spellStart"/>
      <w:r>
        <w:t>organisations</w:t>
      </w:r>
      <w:proofErr w:type="spellEnd"/>
      <w:r>
        <w:t xml:space="preserve"> on a systematic basis. For the </w:t>
      </w:r>
      <w:proofErr w:type="spellStart"/>
      <w:r w:rsidR="00FD06C4">
        <w:t>behaviour</w:t>
      </w:r>
      <w:proofErr w:type="spellEnd"/>
      <w:r>
        <w:t xml:space="preserve"> to change, it revealed that high</w:t>
      </w:r>
      <w:r>
        <w:rPr>
          <w:rFonts w:ascii="Cambria Math" w:hAnsi="Cambria Math" w:cs="Cambria Math"/>
        </w:rPr>
        <w:t>‑</w:t>
      </w:r>
      <w:r>
        <w:t xml:space="preserve">performing workplaces must have the following elements: Transparent leadership, </w:t>
      </w:r>
      <w:r w:rsidR="00FD06C4">
        <w:t xml:space="preserve">an </w:t>
      </w:r>
      <w:r>
        <w:t>inclusive culture, a proactive workplace wellbeing strategy, and a system of growth infrastructure. These practices help diminish turnover and enhance project results. In scenario two, they discovered that the traditional approach to orientation (one</w:t>
      </w:r>
      <w:r>
        <w:rPr>
          <w:rFonts w:ascii="Cambria Math" w:hAnsi="Cambria Math" w:cs="Cambria Math"/>
        </w:rPr>
        <w:t>‑</w:t>
      </w:r>
      <w:r>
        <w:t>off event) is not sufficient, and that effective orientation actually takes 90 days to be project</w:t>
      </w:r>
      <w:r>
        <w:rPr>
          <w:rFonts w:ascii="Cambria Math" w:hAnsi="Cambria Math" w:cs="Cambria Math"/>
        </w:rPr>
        <w:t>‑</w:t>
      </w:r>
      <w:r>
        <w:t>based, immersive, digital and incorporate structured feedback loops and subsequent conversation patterns, resulting in speedier time to productivity.</w:t>
      </w:r>
      <w:r w:rsidR="00E42DDC">
        <w:t xml:space="preserve"> </w:t>
      </w:r>
      <w:r>
        <w:t xml:space="preserve">Scenario three illustrated how succession planning is no longer a simple replacement chart but rather a flexible talent pool, bolstered by predictive workforce analytics, to identify who may be at risk and </w:t>
      </w:r>
      <w:r w:rsidR="00FD06C4">
        <w:t>point</w:t>
      </w:r>
      <w:r>
        <w:t xml:space="preserve"> out skills gaps. But there needs to be ethical use</w:t>
      </w:r>
      <w:r w:rsidR="00FD06C4">
        <w:t>,</w:t>
      </w:r>
      <w:r>
        <w:t xml:space="preserve"> and transparency is important for employees' trust. Blind recruitment, ERGs, flexible career options</w:t>
      </w:r>
      <w:r w:rsidR="00FD06C4">
        <w:t>,</w:t>
      </w:r>
      <w:r>
        <w:t xml:space="preserve"> and stay interviews are the focus</w:t>
      </w:r>
      <w:r w:rsidR="00FD06C4">
        <w:t>,</w:t>
      </w:r>
      <w:r>
        <w:t xml:space="preserve"> and inclusive job design is the starting position for attracting and retaining diverse talent, with a strong emphasis on tight </w:t>
      </w:r>
      <w:proofErr w:type="spellStart"/>
      <w:r>
        <w:t>labour</w:t>
      </w:r>
      <w:proofErr w:type="spellEnd"/>
      <w:r>
        <w:t xml:space="preserve"> markets that involve netting out skills shortages in scenario four. Scenario 5 also found that talent</w:t>
      </w:r>
      <w:r>
        <w:rPr>
          <w:rFonts w:ascii="Cambria Math" w:hAnsi="Cambria Math" w:cs="Cambria Math"/>
        </w:rPr>
        <w:t>‑</w:t>
      </w:r>
      <w:r>
        <w:t>insight tools like psychometrics and skills validation</w:t>
      </w:r>
      <w:r w:rsidR="00FD06C4">
        <w:t>,</w:t>
      </w:r>
      <w:r>
        <w:t xml:space="preserve"> and continuous feedback channels such as pulse surveys and real</w:t>
      </w:r>
      <w:r>
        <w:rPr>
          <w:rFonts w:ascii="Cambria Math" w:hAnsi="Cambria Math" w:cs="Cambria Math"/>
        </w:rPr>
        <w:t>‑</w:t>
      </w:r>
      <w:r>
        <w:t xml:space="preserve">time platforms can help to support </w:t>
      </w:r>
      <w:proofErr w:type="spellStart"/>
      <w:r>
        <w:t>personalised</w:t>
      </w:r>
      <w:proofErr w:type="spellEnd"/>
      <w:r>
        <w:t xml:space="preserve"> retention and strategic recruitment.</w:t>
      </w:r>
    </w:p>
    <w:p w14:paraId="2D693033" w14:textId="6458D134" w:rsidR="00F44318" w:rsidRDefault="00F44318" w:rsidP="00F44318">
      <w:r>
        <w:t>Looking at the findings in totality, it is clear that proactive, data</w:t>
      </w:r>
      <w:r>
        <w:rPr>
          <w:rFonts w:ascii="Cambria Math" w:hAnsi="Cambria Math" w:cs="Cambria Math"/>
        </w:rPr>
        <w:t>‑</w:t>
      </w:r>
      <w:r>
        <w:t>driven, and human</w:t>
      </w:r>
      <w:r>
        <w:rPr>
          <w:rFonts w:ascii="Cambria Math" w:hAnsi="Cambria Math" w:cs="Cambria Math"/>
        </w:rPr>
        <w:t>‑</w:t>
      </w:r>
      <w:proofErr w:type="spellStart"/>
      <w:r>
        <w:t>centredness</w:t>
      </w:r>
      <w:proofErr w:type="spellEnd"/>
      <w:r>
        <w:t xml:space="preserve"> are key aspects to take into account when it comes to </w:t>
      </w:r>
      <w:proofErr w:type="spellStart"/>
      <w:r>
        <w:t>HRM</w:t>
      </w:r>
      <w:proofErr w:type="spellEnd"/>
      <w:r>
        <w:t xml:space="preserve"> in project</w:t>
      </w:r>
      <w:r>
        <w:rPr>
          <w:rFonts w:ascii="Cambria Math" w:hAnsi="Cambria Math" w:cs="Cambria Math"/>
        </w:rPr>
        <w:t>‑</w:t>
      </w:r>
      <w:r>
        <w:t xml:space="preserve">based </w:t>
      </w:r>
      <w:proofErr w:type="spellStart"/>
      <w:r>
        <w:t>organisations</w:t>
      </w:r>
      <w:proofErr w:type="spellEnd"/>
      <w:r>
        <w:t xml:space="preserve">. HRM cannot be solely </w:t>
      </w:r>
      <w:r w:rsidR="00FD06C4">
        <w:t>compliance-driven</w:t>
      </w:r>
      <w:r>
        <w:t xml:space="preserve"> and reactive. The difference between individuals and companies that make smart investments and achieve sustainable competitive advantage and those that don't is as follows: Engineering project firms that invest in strategic orientation, </w:t>
      </w:r>
      <w:r w:rsidR="00E42DDC">
        <w:t>analytics-driven</w:t>
      </w:r>
      <w:r>
        <w:t xml:space="preserve"> succession planning, inclusive retention practices, and continuous feedback systems will achieve a sustainable competitive advantage. Potential research areas include further development of AI</w:t>
      </w:r>
      <w:r>
        <w:rPr>
          <w:rFonts w:ascii="Cambria Math" w:hAnsi="Cambria Math" w:cs="Cambria Math"/>
        </w:rPr>
        <w:t>‑</w:t>
      </w:r>
      <w:r>
        <w:t>based talent analytics and methodological linkages with project management information systems, and over</w:t>
      </w:r>
      <w:r>
        <w:rPr>
          <w:rFonts w:ascii="Cambria Math" w:hAnsi="Cambria Math" w:cs="Cambria Math"/>
        </w:rPr>
        <w:t>‑</w:t>
      </w:r>
      <w:r>
        <w:t>time research on the ROI of project</w:t>
      </w:r>
      <w:r>
        <w:rPr>
          <w:rFonts w:ascii="Cambria Math" w:hAnsi="Cambria Math" w:cs="Cambria Math"/>
        </w:rPr>
        <w:t>‑</w:t>
      </w:r>
      <w:r>
        <w:t xml:space="preserve">specific HRM interventions. The </w:t>
      </w:r>
      <w:r>
        <w:lastRenderedPageBreak/>
        <w:t>evidence</w:t>
      </w:r>
      <w:r>
        <w:rPr>
          <w:rFonts w:ascii="Cambria Math" w:hAnsi="Cambria Math" w:cs="Cambria Math"/>
        </w:rPr>
        <w:t>‑</w:t>
      </w:r>
      <w:r>
        <w:t xml:space="preserve">based recommendations outlined here can be used by </w:t>
      </w:r>
      <w:proofErr w:type="spellStart"/>
      <w:r>
        <w:t>organisations</w:t>
      </w:r>
      <w:proofErr w:type="spellEnd"/>
      <w:r>
        <w:t xml:space="preserve"> to create resilient, engaged and </w:t>
      </w:r>
      <w:r w:rsidR="00FD06C4">
        <w:t>high-performing</w:t>
      </w:r>
      <w:r>
        <w:t xml:space="preserve"> project workforces.</w:t>
      </w:r>
    </w:p>
    <w:p w14:paraId="078A2EE7" w14:textId="77777777" w:rsidR="00DA7E41" w:rsidRDefault="00DA7E41" w:rsidP="00F44318"/>
    <w:p w14:paraId="438716B3" w14:textId="307EA2DA" w:rsidR="00DA7E41" w:rsidRDefault="00DA7E41">
      <w:pPr>
        <w:spacing w:line="259" w:lineRule="auto"/>
        <w:jc w:val="left"/>
      </w:pPr>
      <w:r>
        <w:br w:type="page"/>
      </w:r>
    </w:p>
    <w:p w14:paraId="053A4629" w14:textId="7D94E12F" w:rsidR="00DA7E41" w:rsidRDefault="00DA7E41" w:rsidP="00DA7E41">
      <w:pPr>
        <w:pStyle w:val="Heading1"/>
      </w:pPr>
      <w:bookmarkStart w:id="19" w:name="_Toc229979677"/>
      <w:r>
        <w:lastRenderedPageBreak/>
        <w:t>References</w:t>
      </w:r>
      <w:bookmarkEnd w:id="19"/>
    </w:p>
    <w:p w14:paraId="3BBA2E73" w14:textId="77777777" w:rsidR="00211103" w:rsidRDefault="00211103" w:rsidP="004742B0">
      <w:pPr>
        <w:spacing w:line="240" w:lineRule="auto"/>
        <w:ind w:left="720" w:hanging="720"/>
      </w:pPr>
      <w:r w:rsidRPr="009E6946">
        <w:t xml:space="preserve">Coolen, </w:t>
      </w:r>
      <w:proofErr w:type="gramStart"/>
      <w:r w:rsidRPr="009E6946">
        <w:t>Patrick ;</w:t>
      </w:r>
      <w:proofErr w:type="gramEnd"/>
      <w:r w:rsidRPr="009E6946">
        <w:t xml:space="preserve"> van den Heuvel, </w:t>
      </w:r>
      <w:proofErr w:type="gramStart"/>
      <w:r w:rsidRPr="009E6946">
        <w:t>Sjoerd ;</w:t>
      </w:r>
      <w:proofErr w:type="gramEnd"/>
      <w:r w:rsidRPr="009E6946">
        <w:t xml:space="preserve"> Van De Voorde, Karina; Paauwe, Jaap</w:t>
      </w:r>
      <w:r w:rsidRPr="009E6946">
        <w:rPr>
          <w:i/>
          <w:iCs/>
        </w:rPr>
        <w:t>.</w:t>
      </w:r>
      <w:r w:rsidRPr="009E6946">
        <w:t> (2023) “Understanding the adoption and institutionalization of workforce analytics: A systematic literature review and research agenda,” </w:t>
      </w:r>
      <w:r w:rsidRPr="009E6946">
        <w:rPr>
          <w:i/>
          <w:iCs/>
        </w:rPr>
        <w:t>Human resource management review</w:t>
      </w:r>
      <w:r w:rsidRPr="009E6946">
        <w:t xml:space="preserve">, 33(4). Available at: </w:t>
      </w:r>
      <w:hyperlink r:id="rId10" w:history="1">
        <w:r w:rsidRPr="009329C0">
          <w:rPr>
            <w:rStyle w:val="Hyperlink"/>
          </w:rPr>
          <w:t>https://doi.org/10.1016/j.hrmr.2023.100985</w:t>
        </w:r>
      </w:hyperlink>
      <w:r w:rsidRPr="009E6946">
        <w:t>.</w:t>
      </w:r>
    </w:p>
    <w:p w14:paraId="7094BEF3" w14:textId="77777777" w:rsidR="00211103" w:rsidRDefault="00211103" w:rsidP="004742B0">
      <w:pPr>
        <w:spacing w:line="240" w:lineRule="auto"/>
        <w:ind w:left="720" w:hanging="720"/>
      </w:pPr>
      <w:r w:rsidRPr="00C24DD8">
        <w:t xml:space="preserve">Hasan, K.K., Hasnat, </w:t>
      </w:r>
      <w:proofErr w:type="spellStart"/>
      <w:r w:rsidRPr="00C24DD8">
        <w:t>Md.A</w:t>
      </w:r>
      <w:proofErr w:type="spellEnd"/>
      <w:r w:rsidRPr="00C24DD8">
        <w:t>. and Khandakar, H. (2026) “Boardroom communication networks and AI driven HRM in Cyber-FinTech: A theory building framework for employee retention,” </w:t>
      </w:r>
      <w:r w:rsidRPr="00C24DD8">
        <w:rPr>
          <w:i/>
          <w:iCs/>
        </w:rPr>
        <w:t>Telematics and Informatics Reports</w:t>
      </w:r>
      <w:r w:rsidRPr="00C24DD8">
        <w:t xml:space="preserve">, 21. Available at: </w:t>
      </w:r>
      <w:hyperlink r:id="rId11" w:history="1">
        <w:r w:rsidRPr="009329C0">
          <w:rPr>
            <w:rStyle w:val="Hyperlink"/>
          </w:rPr>
          <w:t>https://doi.org/10.1016/j.teler.2025.100280</w:t>
        </w:r>
      </w:hyperlink>
      <w:r w:rsidRPr="00C24DD8">
        <w:t>.</w:t>
      </w:r>
    </w:p>
    <w:p w14:paraId="156E73EE" w14:textId="77777777" w:rsidR="00211103" w:rsidRDefault="00211103" w:rsidP="004742B0">
      <w:pPr>
        <w:spacing w:line="240" w:lineRule="auto"/>
        <w:ind w:left="720" w:hanging="720"/>
      </w:pPr>
      <w:r w:rsidRPr="004007E9">
        <w:t xml:space="preserve">Hassan, MD Mahamudul; </w:t>
      </w:r>
      <w:proofErr w:type="spellStart"/>
      <w:r w:rsidRPr="004007E9">
        <w:t>Jambulingam</w:t>
      </w:r>
      <w:proofErr w:type="spellEnd"/>
      <w:r w:rsidRPr="004007E9">
        <w:t xml:space="preserve">, Manimekalai; </w:t>
      </w:r>
      <w:proofErr w:type="spellStart"/>
      <w:r w:rsidRPr="004007E9">
        <w:t>Alagas</w:t>
      </w:r>
      <w:proofErr w:type="spellEnd"/>
      <w:r w:rsidRPr="004007E9">
        <w:t xml:space="preserve">, </w:t>
      </w:r>
      <w:proofErr w:type="spellStart"/>
      <w:r w:rsidRPr="004007E9">
        <w:t>Elangkovan</w:t>
      </w:r>
      <w:proofErr w:type="spellEnd"/>
      <w:r w:rsidRPr="004007E9">
        <w:t xml:space="preserve"> Narayanan; </w:t>
      </w:r>
      <w:proofErr w:type="spellStart"/>
      <w:r w:rsidRPr="004007E9">
        <w:t>Uzir</w:t>
      </w:r>
      <w:proofErr w:type="spellEnd"/>
      <w:r w:rsidRPr="004007E9">
        <w:t xml:space="preserve">, Md. </w:t>
      </w:r>
      <w:proofErr w:type="spellStart"/>
      <w:r w:rsidRPr="004007E9">
        <w:t>Uzir</w:t>
      </w:r>
      <w:proofErr w:type="spellEnd"/>
      <w:r w:rsidRPr="004007E9">
        <w:t xml:space="preserve"> Hossain; </w:t>
      </w:r>
      <w:proofErr w:type="spellStart"/>
      <w:r w:rsidRPr="004007E9">
        <w:t>Halbusi</w:t>
      </w:r>
      <w:proofErr w:type="spellEnd"/>
      <w:r w:rsidRPr="004007E9">
        <w:t>, Hussam Al</w:t>
      </w:r>
      <w:r w:rsidRPr="004007E9">
        <w:rPr>
          <w:i/>
          <w:iCs/>
        </w:rPr>
        <w:t>.</w:t>
      </w:r>
      <w:r w:rsidRPr="004007E9">
        <w:t> (2023) “Necessities and Ways of Combating Dissatisfactions at Workplaces Against the Job-Hopping Generation Y Employees,” </w:t>
      </w:r>
      <w:r w:rsidRPr="004007E9">
        <w:rPr>
          <w:i/>
          <w:iCs/>
        </w:rPr>
        <w:t>Global business review</w:t>
      </w:r>
      <w:r w:rsidRPr="004007E9">
        <w:t xml:space="preserve">, 24(6), pp. 1276–1301. Available at: </w:t>
      </w:r>
      <w:hyperlink r:id="rId12" w:history="1">
        <w:r w:rsidRPr="009329C0">
          <w:rPr>
            <w:rStyle w:val="Hyperlink"/>
          </w:rPr>
          <w:t>https://doi.org/10.1177/0972150920926966</w:t>
        </w:r>
      </w:hyperlink>
      <w:r w:rsidRPr="004007E9">
        <w:t>.</w:t>
      </w:r>
    </w:p>
    <w:p w14:paraId="49622A7B" w14:textId="77777777" w:rsidR="00211103" w:rsidRDefault="00211103" w:rsidP="004742B0">
      <w:pPr>
        <w:spacing w:line="240" w:lineRule="auto"/>
        <w:ind w:left="720" w:hanging="720"/>
      </w:pPr>
      <w:r w:rsidRPr="0079794D">
        <w:t>He, Ying</w:t>
      </w:r>
      <w:r w:rsidRPr="0079794D">
        <w:rPr>
          <w:rFonts w:ascii="Cambria Math" w:hAnsi="Cambria Math" w:cs="Cambria Math"/>
        </w:rPr>
        <w:t>‐</w:t>
      </w:r>
      <w:r w:rsidRPr="0079794D">
        <w:t>Jie; Zhou, Ying; Qin, Yan; Zhou, Zhong</w:t>
      </w:r>
      <w:r w:rsidRPr="0079794D">
        <w:rPr>
          <w:rFonts w:ascii="Cambria Math" w:hAnsi="Cambria Math" w:cs="Cambria Math"/>
        </w:rPr>
        <w:t>‐</w:t>
      </w:r>
      <w:r w:rsidRPr="0079794D">
        <w:t>Shun; Zhu, Meng; Zhu, Yan</w:t>
      </w:r>
      <w:r w:rsidRPr="0079794D">
        <w:rPr>
          <w:rFonts w:ascii="Cambria Math" w:hAnsi="Cambria Math" w:cs="Cambria Math"/>
        </w:rPr>
        <w:t>‐</w:t>
      </w:r>
      <w:r w:rsidRPr="0079794D">
        <w:t>Yan; Wang, Zhao</w:t>
      </w:r>
      <w:r w:rsidRPr="0079794D">
        <w:rPr>
          <w:rFonts w:ascii="Cambria Math" w:hAnsi="Cambria Math" w:cs="Cambria Math"/>
        </w:rPr>
        <w:t>‐</w:t>
      </w:r>
      <w:r w:rsidRPr="0079794D">
        <w:t>Jie; Xie, Tian</w:t>
      </w:r>
      <w:r w:rsidRPr="0079794D">
        <w:rPr>
          <w:rFonts w:ascii="Cambria Math" w:hAnsi="Cambria Math" w:cs="Cambria Math"/>
        </w:rPr>
        <w:t>‐</w:t>
      </w:r>
      <w:r w:rsidRPr="0079794D">
        <w:t>Zhen; Zhao, Li</w:t>
      </w:r>
      <w:r w:rsidRPr="0079794D">
        <w:rPr>
          <w:rFonts w:ascii="Cambria Math" w:hAnsi="Cambria Math" w:cs="Cambria Math"/>
        </w:rPr>
        <w:t>‐</w:t>
      </w:r>
      <w:r w:rsidRPr="0079794D">
        <w:t>Xing; Luo, Xiao</w:t>
      </w:r>
      <w:r w:rsidRPr="0079794D">
        <w:rPr>
          <w:rFonts w:ascii="Cambria Math" w:hAnsi="Cambria Math" w:cs="Cambria Math"/>
        </w:rPr>
        <w:t>‐</w:t>
      </w:r>
      <w:r w:rsidRPr="0079794D">
        <w:t>Dong</w:t>
      </w:r>
      <w:r w:rsidRPr="0079794D">
        <w:rPr>
          <w:i/>
          <w:iCs/>
        </w:rPr>
        <w:t>.</w:t>
      </w:r>
      <w:r w:rsidRPr="0079794D">
        <w:t> (2021) “Development of a LC–HRMS based approach to boost structural annotation of isomeric citrus flavanones,” </w:t>
      </w:r>
      <w:r w:rsidRPr="0079794D">
        <w:rPr>
          <w:i/>
          <w:iCs/>
        </w:rPr>
        <w:t>Phytochemical analysis</w:t>
      </w:r>
      <w:r w:rsidRPr="0079794D">
        <w:t xml:space="preserve">, 32(5), pp. 749–756. Available at: </w:t>
      </w:r>
      <w:hyperlink r:id="rId13" w:history="1">
        <w:r w:rsidRPr="009329C0">
          <w:rPr>
            <w:rStyle w:val="Hyperlink"/>
          </w:rPr>
          <w:t>https://doi.org/10.1002/pca.3020</w:t>
        </w:r>
      </w:hyperlink>
      <w:r w:rsidRPr="0079794D">
        <w:t>.</w:t>
      </w:r>
    </w:p>
    <w:p w14:paraId="5604934A" w14:textId="77777777" w:rsidR="00211103" w:rsidRDefault="00211103" w:rsidP="004742B0">
      <w:pPr>
        <w:spacing w:line="240" w:lineRule="auto"/>
        <w:ind w:left="720" w:hanging="720"/>
      </w:pPr>
      <w:r w:rsidRPr="00A34A0F">
        <w:t xml:space="preserve">Jadesola Ololade, </w:t>
      </w:r>
      <w:proofErr w:type="spellStart"/>
      <w:r w:rsidRPr="00A34A0F">
        <w:t>Alebiosu</w:t>
      </w:r>
      <w:proofErr w:type="spellEnd"/>
      <w:r w:rsidRPr="00A34A0F">
        <w:t xml:space="preserve">; Odunayo Paul, Salau; Tolulope Morenike, </w:t>
      </w:r>
      <w:proofErr w:type="spellStart"/>
      <w:r w:rsidRPr="00A34A0F">
        <w:t>Atolagbe</w:t>
      </w:r>
      <w:proofErr w:type="spellEnd"/>
      <w:r w:rsidRPr="00A34A0F">
        <w:t xml:space="preserve">; Augustina </w:t>
      </w:r>
      <w:proofErr w:type="spellStart"/>
      <w:r w:rsidRPr="00A34A0F">
        <w:t>Esitse</w:t>
      </w:r>
      <w:proofErr w:type="spellEnd"/>
      <w:r w:rsidRPr="00A34A0F">
        <w:t xml:space="preserve">, Dada (2023) “Bolstering the role of human resource information system on employees’ </w:t>
      </w:r>
      <w:proofErr w:type="spellStart"/>
      <w:r w:rsidRPr="00A34A0F">
        <w:t>behavioural</w:t>
      </w:r>
      <w:proofErr w:type="spellEnd"/>
      <w:r w:rsidRPr="00A34A0F">
        <w:t xml:space="preserve"> outcomes of selected manufacturing firms in Nigeria,” </w:t>
      </w:r>
      <w:proofErr w:type="spellStart"/>
      <w:r w:rsidRPr="00A34A0F">
        <w:rPr>
          <w:i/>
          <w:iCs/>
        </w:rPr>
        <w:t>Heliyon</w:t>
      </w:r>
      <w:proofErr w:type="spellEnd"/>
      <w:r w:rsidRPr="00A34A0F">
        <w:t xml:space="preserve">, 9(1). Available at: </w:t>
      </w:r>
      <w:hyperlink r:id="rId14" w:history="1">
        <w:r w:rsidRPr="009329C0">
          <w:rPr>
            <w:rStyle w:val="Hyperlink"/>
          </w:rPr>
          <w:t>https://doi.org/10.1016/j.heliyon.2022.e12785</w:t>
        </w:r>
      </w:hyperlink>
      <w:r w:rsidRPr="00A34A0F">
        <w:t>.</w:t>
      </w:r>
    </w:p>
    <w:p w14:paraId="08935939" w14:textId="77777777" w:rsidR="00211103" w:rsidRDefault="00211103" w:rsidP="004742B0">
      <w:pPr>
        <w:spacing w:line="240" w:lineRule="auto"/>
        <w:ind w:left="720" w:hanging="720"/>
      </w:pPr>
      <w:r w:rsidRPr="009E6946">
        <w:t xml:space="preserve">Martínez-Morán, Pedro César; Díez, Fernando; </w:t>
      </w:r>
      <w:proofErr w:type="spellStart"/>
      <w:r w:rsidRPr="009E6946">
        <w:t>Solabarrieta</w:t>
      </w:r>
      <w:proofErr w:type="spellEnd"/>
      <w:r w:rsidRPr="009E6946">
        <w:t xml:space="preserve">, Josu; Fernández-Rico, José María; </w:t>
      </w:r>
      <w:proofErr w:type="spellStart"/>
      <w:r w:rsidRPr="009E6946">
        <w:t>Igoa</w:t>
      </w:r>
      <w:proofErr w:type="spellEnd"/>
      <w:r w:rsidRPr="009E6946">
        <w:t>-Iraola, Elene (2024) “Talent Management Digitalization and Company Size as a Catalyst,” </w:t>
      </w:r>
      <w:r w:rsidRPr="009E6946">
        <w:rPr>
          <w:i/>
          <w:iCs/>
        </w:rPr>
        <w:t>Systems (Basel)</w:t>
      </w:r>
      <w:r w:rsidRPr="009E6946">
        <w:t xml:space="preserve">, 12(5), p. 168. Available at: </w:t>
      </w:r>
      <w:hyperlink r:id="rId15" w:history="1">
        <w:r w:rsidRPr="009329C0">
          <w:rPr>
            <w:rStyle w:val="Hyperlink"/>
          </w:rPr>
          <w:t>https://doi.org/10.3390/systems12050168</w:t>
        </w:r>
      </w:hyperlink>
      <w:r w:rsidRPr="009E6946">
        <w:t>.</w:t>
      </w:r>
    </w:p>
    <w:p w14:paraId="4AB08780" w14:textId="39BB8EFF" w:rsidR="00BF2879" w:rsidRPr="0079794D" w:rsidRDefault="00211103" w:rsidP="00BF2879">
      <w:pPr>
        <w:spacing w:line="240" w:lineRule="auto"/>
        <w:ind w:left="720" w:hanging="720"/>
      </w:pPr>
      <w:r w:rsidRPr="0079794D">
        <w:t>P., Arunprasad; Dey, Chitra; Santhanam, Nivethitha; Bin Ahmad, Kamarul Zaman</w:t>
      </w:r>
      <w:r w:rsidRPr="0079794D">
        <w:rPr>
          <w:i/>
          <w:iCs/>
        </w:rPr>
        <w:t>.</w:t>
      </w:r>
      <w:r w:rsidRPr="0079794D">
        <w:t> (2023) “Strategic HRM practices, learning orientation and learning competence: study from retail industry,” </w:t>
      </w:r>
      <w:r w:rsidRPr="0079794D">
        <w:rPr>
          <w:i/>
          <w:iCs/>
        </w:rPr>
        <w:t>The learning organization</w:t>
      </w:r>
      <w:r w:rsidRPr="0079794D">
        <w:t xml:space="preserve">, 30(4), pp. 406–425. Available at: </w:t>
      </w:r>
      <w:hyperlink r:id="rId16" w:history="1">
        <w:r w:rsidR="00BF2879" w:rsidRPr="004A65DB">
          <w:rPr>
            <w:rStyle w:val="Hyperlink"/>
          </w:rPr>
          <w:t>https://doi.org/10.1108/TLO-05-2022-0066</w:t>
        </w:r>
      </w:hyperlink>
      <w:r w:rsidRPr="0079794D">
        <w:t>.</w:t>
      </w:r>
    </w:p>
    <w:p w14:paraId="06CF47F2" w14:textId="77777777" w:rsidR="00211103" w:rsidRDefault="00211103" w:rsidP="004742B0">
      <w:pPr>
        <w:spacing w:line="240" w:lineRule="auto"/>
        <w:ind w:left="720" w:hanging="720"/>
      </w:pPr>
      <w:proofErr w:type="spellStart"/>
      <w:r w:rsidRPr="00A03A83">
        <w:t>Pathomphatthaphan</w:t>
      </w:r>
      <w:proofErr w:type="spellEnd"/>
      <w:r w:rsidRPr="00A03A83">
        <w:t xml:space="preserve">, S., Das, S. and </w:t>
      </w:r>
      <w:proofErr w:type="spellStart"/>
      <w:r w:rsidRPr="00A03A83">
        <w:t>Keytapark</w:t>
      </w:r>
      <w:proofErr w:type="spellEnd"/>
      <w:r w:rsidRPr="00A03A83">
        <w:t xml:space="preserve"> Virat (2021) “A Conceptual Approach to HRM Practices: The Mediating Role of Employee Outcomes and Organizational Culture,” </w:t>
      </w:r>
      <w:r w:rsidRPr="00A03A83">
        <w:rPr>
          <w:i/>
          <w:iCs/>
        </w:rPr>
        <w:t>Organizational cultures (Champaign, Ill. Online)</w:t>
      </w:r>
      <w:r w:rsidRPr="00A03A83">
        <w:t xml:space="preserve">, 21(2), p. 19. Available at: </w:t>
      </w:r>
      <w:hyperlink r:id="rId17" w:history="1">
        <w:r w:rsidRPr="009329C0">
          <w:rPr>
            <w:rStyle w:val="Hyperlink"/>
          </w:rPr>
          <w:t>https://doi.org/10.18848/2327-8013/CGP/v21i02/19-33</w:t>
        </w:r>
      </w:hyperlink>
      <w:r w:rsidRPr="00A03A83">
        <w:t>.</w:t>
      </w:r>
    </w:p>
    <w:p w14:paraId="5907BE44" w14:textId="77777777" w:rsidR="00211103" w:rsidRDefault="00211103" w:rsidP="004742B0">
      <w:pPr>
        <w:spacing w:line="240" w:lineRule="auto"/>
        <w:ind w:left="720" w:hanging="720"/>
      </w:pPr>
      <w:r w:rsidRPr="009E6946">
        <w:t>Patra, G., Datta, S. and Bose, I. (2024) “Managing talent and branding in learning organization,” </w:t>
      </w:r>
      <w:r w:rsidRPr="009E6946">
        <w:rPr>
          <w:i/>
          <w:iCs/>
        </w:rPr>
        <w:t>The learning organization</w:t>
      </w:r>
      <w:r w:rsidRPr="009E6946">
        <w:t xml:space="preserve">, 31(4), pp. 465–483. Available at: </w:t>
      </w:r>
      <w:hyperlink r:id="rId18" w:history="1">
        <w:r w:rsidRPr="009329C0">
          <w:rPr>
            <w:rStyle w:val="Hyperlink"/>
          </w:rPr>
          <w:t>https://doi.org/10.1108/TLO-04-2023-0067</w:t>
        </w:r>
      </w:hyperlink>
      <w:r w:rsidRPr="009E6946">
        <w:t>.</w:t>
      </w:r>
    </w:p>
    <w:p w14:paraId="191B2F1E" w14:textId="77777777" w:rsidR="00211103" w:rsidRDefault="00211103" w:rsidP="004742B0">
      <w:pPr>
        <w:spacing w:line="240" w:lineRule="auto"/>
        <w:ind w:left="720" w:hanging="720"/>
      </w:pPr>
      <w:proofErr w:type="spellStart"/>
      <w:r w:rsidRPr="00A34A0F">
        <w:lastRenderedPageBreak/>
        <w:t>Runhaar</w:t>
      </w:r>
      <w:proofErr w:type="spellEnd"/>
      <w:r w:rsidRPr="00A34A0F">
        <w:t>, P., Gulikers, J. and Biemans, H. (2024) “Ensuring a smooth landing for starting VET teachers: integrating induction and HRM practices,” </w:t>
      </w:r>
      <w:r w:rsidRPr="00A34A0F">
        <w:rPr>
          <w:i/>
          <w:iCs/>
        </w:rPr>
        <w:t>Education &amp; training (London)</w:t>
      </w:r>
      <w:r w:rsidRPr="00A34A0F">
        <w:t xml:space="preserve">, 66(5), pp. 572–588. Available at: </w:t>
      </w:r>
      <w:hyperlink r:id="rId19" w:history="1">
        <w:r w:rsidRPr="009329C0">
          <w:rPr>
            <w:rStyle w:val="Hyperlink"/>
          </w:rPr>
          <w:t>https://doi.org/10.1108/ET-09-2023-0385</w:t>
        </w:r>
      </w:hyperlink>
      <w:r w:rsidRPr="00A34A0F">
        <w:t>.</w:t>
      </w:r>
    </w:p>
    <w:p w14:paraId="42EB4167" w14:textId="49044888" w:rsidR="00211103" w:rsidRDefault="00211103" w:rsidP="004742B0">
      <w:pPr>
        <w:spacing w:line="240" w:lineRule="auto"/>
        <w:ind w:left="720" w:hanging="720"/>
      </w:pPr>
      <w:r w:rsidRPr="00A03A83">
        <w:t xml:space="preserve">Wood, Geoffrey; Cooke, Fang Lee; Brou, Daniel; Wang, </w:t>
      </w:r>
      <w:proofErr w:type="spellStart"/>
      <w:r w:rsidRPr="00A03A83">
        <w:t>Jingtian</w:t>
      </w:r>
      <w:proofErr w:type="spellEnd"/>
      <w:r w:rsidRPr="00A03A83">
        <w:t xml:space="preserve">; Ghauri, </w:t>
      </w:r>
      <w:proofErr w:type="gramStart"/>
      <w:r w:rsidRPr="00A03A83">
        <w:t>Pervez</w:t>
      </w:r>
      <w:r>
        <w:t>.</w:t>
      </w:r>
      <w:r w:rsidRPr="00A03A83">
        <w:rPr>
          <w:i/>
          <w:iCs/>
        </w:rPr>
        <w:t>.</w:t>
      </w:r>
      <w:proofErr w:type="gramEnd"/>
      <w:r w:rsidRPr="00A03A83">
        <w:t xml:space="preserve"> (2024) “Rethinking contexts and institutions for research on human resource management in multinational enterprises in an age of </w:t>
      </w:r>
      <w:proofErr w:type="spellStart"/>
      <w:r w:rsidRPr="00A03A83">
        <w:t>polycrisis</w:t>
      </w:r>
      <w:proofErr w:type="spellEnd"/>
      <w:r w:rsidRPr="00A03A83">
        <w:t>: reflections and suggestions,” </w:t>
      </w:r>
      <w:r w:rsidRPr="00A03A83">
        <w:rPr>
          <w:i/>
          <w:iCs/>
        </w:rPr>
        <w:t>International journal of human resource management</w:t>
      </w:r>
      <w:r w:rsidRPr="00A03A83">
        <w:t xml:space="preserve">, 35(19), pp. 3173–3206. Available at: </w:t>
      </w:r>
      <w:hyperlink r:id="rId20" w:history="1">
        <w:r w:rsidR="00BF2879" w:rsidRPr="004A65DB">
          <w:rPr>
            <w:rStyle w:val="Hyperlink"/>
          </w:rPr>
          <w:t>https://doi.org/10.1080/09585192.2024.2401021</w:t>
        </w:r>
      </w:hyperlink>
      <w:r w:rsidRPr="00A03A83">
        <w:t>.</w:t>
      </w:r>
    </w:p>
    <w:p w14:paraId="4EEAEA94" w14:textId="77777777" w:rsidR="00BF2879" w:rsidRDefault="00BF2879" w:rsidP="004742B0">
      <w:pPr>
        <w:spacing w:line="240" w:lineRule="auto"/>
        <w:ind w:left="720" w:hanging="720"/>
      </w:pPr>
    </w:p>
    <w:sectPr w:rsidR="00BF2879" w:rsidSect="00DB2457">
      <w:footerReference w:type="default" r:id="rId2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026E5" w14:textId="77777777" w:rsidR="00A50D6C" w:rsidRDefault="00A50D6C" w:rsidP="00DB2457">
      <w:pPr>
        <w:spacing w:after="0" w:line="240" w:lineRule="auto"/>
      </w:pPr>
      <w:r>
        <w:separator/>
      </w:r>
    </w:p>
  </w:endnote>
  <w:endnote w:type="continuationSeparator" w:id="0">
    <w:p w14:paraId="23D88E54" w14:textId="77777777" w:rsidR="00A50D6C" w:rsidRDefault="00A50D6C" w:rsidP="00DB2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5C9E91" w14:textId="33864E30" w:rsidR="00DB2457" w:rsidRPr="0067032F" w:rsidRDefault="00DB2457" w:rsidP="0067032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4892550"/>
      <w:docPartObj>
        <w:docPartGallery w:val="Page Numbers (Bottom of Page)"/>
        <w:docPartUnique/>
      </w:docPartObj>
    </w:sdtPr>
    <w:sdtEndPr>
      <w:rPr>
        <w:noProof/>
      </w:rPr>
    </w:sdtEndPr>
    <w:sdtContent>
      <w:p w14:paraId="0DCD904A" w14:textId="77777777" w:rsidR="0067032F" w:rsidRDefault="0067032F" w:rsidP="00DB24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AFB4F0" w14:textId="77777777" w:rsidR="00A50D6C" w:rsidRDefault="00A50D6C" w:rsidP="00DB2457">
      <w:pPr>
        <w:spacing w:after="0" w:line="240" w:lineRule="auto"/>
      </w:pPr>
      <w:r>
        <w:separator/>
      </w:r>
    </w:p>
  </w:footnote>
  <w:footnote w:type="continuationSeparator" w:id="0">
    <w:p w14:paraId="77024043" w14:textId="77777777" w:rsidR="00A50D6C" w:rsidRDefault="00A50D6C" w:rsidP="00DB24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10F4C"/>
    <w:multiLevelType w:val="hybridMultilevel"/>
    <w:tmpl w:val="0A8E57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C026715"/>
    <w:multiLevelType w:val="hybridMultilevel"/>
    <w:tmpl w:val="CD8E6C5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00730AD"/>
    <w:multiLevelType w:val="hybridMultilevel"/>
    <w:tmpl w:val="476A1F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E9B746B"/>
    <w:multiLevelType w:val="hybridMultilevel"/>
    <w:tmpl w:val="FA16C0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477839761">
    <w:abstractNumId w:val="1"/>
  </w:num>
  <w:num w:numId="2" w16cid:durableId="1980651391">
    <w:abstractNumId w:val="2"/>
  </w:num>
  <w:num w:numId="3" w16cid:durableId="1396661947">
    <w:abstractNumId w:val="3"/>
  </w:num>
  <w:num w:numId="4" w16cid:durableId="16583402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318"/>
    <w:rsid w:val="00045A26"/>
    <w:rsid w:val="000D3DA9"/>
    <w:rsid w:val="000F0037"/>
    <w:rsid w:val="00114B31"/>
    <w:rsid w:val="001448DB"/>
    <w:rsid w:val="001656F1"/>
    <w:rsid w:val="00184E74"/>
    <w:rsid w:val="001B50AB"/>
    <w:rsid w:val="001D7447"/>
    <w:rsid w:val="00211103"/>
    <w:rsid w:val="00283A2C"/>
    <w:rsid w:val="003078BC"/>
    <w:rsid w:val="0033517F"/>
    <w:rsid w:val="00355967"/>
    <w:rsid w:val="00445BA9"/>
    <w:rsid w:val="004742B0"/>
    <w:rsid w:val="005869FB"/>
    <w:rsid w:val="005E72E6"/>
    <w:rsid w:val="006528DF"/>
    <w:rsid w:val="0067032F"/>
    <w:rsid w:val="00837C57"/>
    <w:rsid w:val="008943E4"/>
    <w:rsid w:val="00912B3F"/>
    <w:rsid w:val="00A50D6C"/>
    <w:rsid w:val="00B76730"/>
    <w:rsid w:val="00BA7453"/>
    <w:rsid w:val="00BF2879"/>
    <w:rsid w:val="00DA7E41"/>
    <w:rsid w:val="00DB2457"/>
    <w:rsid w:val="00DB6036"/>
    <w:rsid w:val="00E42DDC"/>
    <w:rsid w:val="00EA0C7B"/>
    <w:rsid w:val="00EB65D2"/>
    <w:rsid w:val="00F44318"/>
    <w:rsid w:val="00FD06C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81B561"/>
  <w15:chartTrackingRefBased/>
  <w15:docId w15:val="{112799DD-98C3-486E-A145-75BB4EC749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87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44318"/>
    <w:pPr>
      <w:keepNext/>
      <w:keepLines/>
      <w:spacing w:after="24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F44318"/>
    <w:pPr>
      <w:keepNext/>
      <w:keepLines/>
      <w:spacing w:after="0"/>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F44318"/>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4431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4431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4431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4431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4431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4431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4318"/>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F44318"/>
    <w:rPr>
      <w:rFonts w:ascii="Arial" w:eastAsiaTheme="majorEastAsia" w:hAnsi="Arial" w:cstheme="majorBidi"/>
      <w:b/>
      <w:i/>
      <w:sz w:val="24"/>
      <w:szCs w:val="32"/>
    </w:rPr>
  </w:style>
  <w:style w:type="character" w:customStyle="1" w:styleId="Heading3Char">
    <w:name w:val="Heading 3 Char"/>
    <w:basedOn w:val="DefaultParagraphFont"/>
    <w:link w:val="Heading3"/>
    <w:uiPriority w:val="9"/>
    <w:semiHidden/>
    <w:rsid w:val="00F4431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44318"/>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F44318"/>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F44318"/>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F44318"/>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F44318"/>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F44318"/>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F443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43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431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43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4318"/>
    <w:pPr>
      <w:spacing w:before="160"/>
      <w:jc w:val="center"/>
    </w:pPr>
    <w:rPr>
      <w:i/>
      <w:iCs/>
      <w:color w:val="404040" w:themeColor="text1" w:themeTint="BF"/>
    </w:rPr>
  </w:style>
  <w:style w:type="character" w:customStyle="1" w:styleId="QuoteChar">
    <w:name w:val="Quote Char"/>
    <w:basedOn w:val="DefaultParagraphFont"/>
    <w:link w:val="Quote"/>
    <w:uiPriority w:val="29"/>
    <w:rsid w:val="00F44318"/>
    <w:rPr>
      <w:rFonts w:ascii="Times New Roman" w:hAnsi="Times New Roman"/>
      <w:i/>
      <w:iCs/>
      <w:color w:val="404040" w:themeColor="text1" w:themeTint="BF"/>
      <w:sz w:val="24"/>
    </w:rPr>
  </w:style>
  <w:style w:type="paragraph" w:styleId="ListParagraph">
    <w:name w:val="List Paragraph"/>
    <w:basedOn w:val="Normal"/>
    <w:uiPriority w:val="34"/>
    <w:qFormat/>
    <w:rsid w:val="00F44318"/>
    <w:pPr>
      <w:ind w:left="720"/>
      <w:contextualSpacing/>
    </w:pPr>
  </w:style>
  <w:style w:type="character" w:styleId="IntenseEmphasis">
    <w:name w:val="Intense Emphasis"/>
    <w:basedOn w:val="DefaultParagraphFont"/>
    <w:uiPriority w:val="21"/>
    <w:qFormat/>
    <w:rsid w:val="00F44318"/>
    <w:rPr>
      <w:i/>
      <w:iCs/>
      <w:color w:val="2F5496" w:themeColor="accent1" w:themeShade="BF"/>
    </w:rPr>
  </w:style>
  <w:style w:type="paragraph" w:styleId="IntenseQuote">
    <w:name w:val="Intense Quote"/>
    <w:basedOn w:val="Normal"/>
    <w:next w:val="Normal"/>
    <w:link w:val="IntenseQuoteChar"/>
    <w:uiPriority w:val="30"/>
    <w:qFormat/>
    <w:rsid w:val="00F443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44318"/>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F44318"/>
    <w:rPr>
      <w:b/>
      <w:bCs/>
      <w:smallCaps/>
      <w:color w:val="2F5496" w:themeColor="accent1" w:themeShade="BF"/>
      <w:spacing w:val="5"/>
    </w:rPr>
  </w:style>
  <w:style w:type="paragraph" w:styleId="TOCHeading">
    <w:name w:val="TOC Heading"/>
    <w:basedOn w:val="Heading1"/>
    <w:next w:val="Normal"/>
    <w:uiPriority w:val="39"/>
    <w:unhideWhenUsed/>
    <w:qFormat/>
    <w:rsid w:val="00E42DDC"/>
    <w:pPr>
      <w:jc w:val="center"/>
      <w:outlineLvl w:val="9"/>
    </w:pPr>
    <w:rPr>
      <w:szCs w:val="32"/>
      <w14:ligatures w14:val="none"/>
    </w:rPr>
  </w:style>
  <w:style w:type="paragraph" w:styleId="TOC1">
    <w:name w:val="toc 1"/>
    <w:basedOn w:val="Normal"/>
    <w:next w:val="Normal"/>
    <w:autoRedefine/>
    <w:uiPriority w:val="39"/>
    <w:unhideWhenUsed/>
    <w:rsid w:val="00E42DDC"/>
    <w:pPr>
      <w:spacing w:after="100"/>
    </w:pPr>
  </w:style>
  <w:style w:type="paragraph" w:styleId="TOC2">
    <w:name w:val="toc 2"/>
    <w:basedOn w:val="Normal"/>
    <w:next w:val="Normal"/>
    <w:autoRedefine/>
    <w:uiPriority w:val="39"/>
    <w:unhideWhenUsed/>
    <w:rsid w:val="00E42DDC"/>
    <w:pPr>
      <w:spacing w:after="100"/>
      <w:ind w:left="240"/>
    </w:pPr>
  </w:style>
  <w:style w:type="character" w:styleId="Hyperlink">
    <w:name w:val="Hyperlink"/>
    <w:basedOn w:val="DefaultParagraphFont"/>
    <w:uiPriority w:val="99"/>
    <w:unhideWhenUsed/>
    <w:rsid w:val="00E42DDC"/>
    <w:rPr>
      <w:color w:val="0563C1" w:themeColor="hyperlink"/>
      <w:u w:val="single"/>
    </w:rPr>
  </w:style>
  <w:style w:type="paragraph" w:styleId="Header">
    <w:name w:val="header"/>
    <w:basedOn w:val="Normal"/>
    <w:link w:val="HeaderChar"/>
    <w:uiPriority w:val="99"/>
    <w:unhideWhenUsed/>
    <w:rsid w:val="00DB24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2457"/>
    <w:rPr>
      <w:rFonts w:ascii="Arial" w:hAnsi="Arial"/>
      <w:sz w:val="24"/>
    </w:rPr>
  </w:style>
  <w:style w:type="paragraph" w:styleId="Footer">
    <w:name w:val="footer"/>
    <w:basedOn w:val="Normal"/>
    <w:link w:val="FooterChar"/>
    <w:uiPriority w:val="99"/>
    <w:unhideWhenUsed/>
    <w:rsid w:val="00DB24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2457"/>
    <w:rPr>
      <w:rFonts w:ascii="Arial" w:hAnsi="Arial"/>
      <w:sz w:val="24"/>
    </w:rPr>
  </w:style>
  <w:style w:type="character" w:styleId="UnresolvedMention">
    <w:name w:val="Unresolved Mention"/>
    <w:basedOn w:val="DefaultParagraphFont"/>
    <w:uiPriority w:val="99"/>
    <w:semiHidden/>
    <w:unhideWhenUsed/>
    <w:rsid w:val="00DA7E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2/pca.3020" TargetMode="External"/><Relationship Id="rId18" Type="http://schemas.openxmlformats.org/officeDocument/2006/relationships/hyperlink" Target="https://doi.org/10.1108/TLO-04-2023-0067"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177/0972150920926966" TargetMode="External"/><Relationship Id="rId17" Type="http://schemas.openxmlformats.org/officeDocument/2006/relationships/hyperlink" Target="https://doi.org/10.18848/2327-8013/CGP/v21i02/19-33" TargetMode="External"/><Relationship Id="rId2" Type="http://schemas.openxmlformats.org/officeDocument/2006/relationships/numbering" Target="numbering.xml"/><Relationship Id="rId16" Type="http://schemas.openxmlformats.org/officeDocument/2006/relationships/hyperlink" Target="https://doi.org/10.1108/TLO-05-2022-0066" TargetMode="External"/><Relationship Id="rId20" Type="http://schemas.openxmlformats.org/officeDocument/2006/relationships/hyperlink" Target="https://doi.org/10.1080/09585192.2024.24010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teler.2025.100280" TargetMode="External"/><Relationship Id="rId5" Type="http://schemas.openxmlformats.org/officeDocument/2006/relationships/webSettings" Target="webSettings.xml"/><Relationship Id="rId15" Type="http://schemas.openxmlformats.org/officeDocument/2006/relationships/hyperlink" Target="https://doi.org/10.3390/systems12050168" TargetMode="External"/><Relationship Id="rId23" Type="http://schemas.openxmlformats.org/officeDocument/2006/relationships/theme" Target="theme/theme1.xml"/><Relationship Id="rId10" Type="http://schemas.openxmlformats.org/officeDocument/2006/relationships/hyperlink" Target="https://doi.org/10.1016/j.hrmr.2023.100985" TargetMode="External"/><Relationship Id="rId19" Type="http://schemas.openxmlformats.org/officeDocument/2006/relationships/hyperlink" Target="https://doi.org/10.1108/ET-09-2023-038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016/j.heliyon.2022.e12785"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D21B24-5245-4676-81E9-78F2FC99B3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3704</Words>
  <Characters>21115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MUZIB T. (2537256)</cp:lastModifiedBy>
  <cp:revision>2</cp:revision>
  <dcterms:created xsi:type="dcterms:W3CDTF">2026-05-18T22:46:00Z</dcterms:created>
  <dcterms:modified xsi:type="dcterms:W3CDTF">2026-05-18T22:46:00Z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da3c250b-351d-4923-9e0d-9cb5563bd29a</vt:lpwstr>
  </property>
</Properties>
</file>