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2"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3"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4"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5"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6"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7"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8"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9"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A"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B" w14:textId="77777777" w:rsidR="006F7C6F" w:rsidRPr="00903726" w:rsidRDefault="006F7C6F">
      <w:pPr>
        <w:pBdr>
          <w:top w:val="nil"/>
          <w:left w:val="nil"/>
          <w:bottom w:val="nil"/>
          <w:right w:val="nil"/>
          <w:between w:val="nil"/>
        </w:pBdr>
        <w:spacing w:line="360" w:lineRule="auto"/>
        <w:jc w:val="center"/>
        <w:rPr>
          <w:rFonts w:eastAsia="Times New Roman"/>
          <w:b/>
          <w:color w:val="000000" w:themeColor="text1"/>
          <w:sz w:val="32"/>
          <w:szCs w:val="32"/>
          <w:lang w:val="en-GB"/>
        </w:rPr>
      </w:pPr>
    </w:p>
    <w:p w14:paraId="0000000C" w14:textId="77777777" w:rsidR="006F7C6F" w:rsidRPr="00903726" w:rsidRDefault="00BF7E13">
      <w:pPr>
        <w:pBdr>
          <w:top w:val="nil"/>
          <w:left w:val="nil"/>
          <w:bottom w:val="nil"/>
          <w:right w:val="nil"/>
          <w:between w:val="nil"/>
        </w:pBdr>
        <w:spacing w:line="360" w:lineRule="auto"/>
        <w:jc w:val="center"/>
        <w:rPr>
          <w:rFonts w:eastAsia="Times New Roman"/>
          <w:b/>
          <w:color w:val="000000" w:themeColor="text1"/>
          <w:sz w:val="32"/>
          <w:szCs w:val="32"/>
          <w:lang w:val="en-GB"/>
        </w:rPr>
      </w:pPr>
      <w:r w:rsidRPr="00903726">
        <w:rPr>
          <w:rFonts w:eastAsia="Times New Roman"/>
          <w:b/>
          <w:color w:val="000000" w:themeColor="text1"/>
          <w:sz w:val="32"/>
          <w:szCs w:val="32"/>
          <w:lang w:val="en-GB"/>
        </w:rPr>
        <w:t>COMMON LAW</w:t>
      </w:r>
    </w:p>
    <w:p w14:paraId="0000000D" w14:textId="77777777" w:rsidR="006F7C6F" w:rsidRPr="00903726" w:rsidRDefault="00BF7E13">
      <w:pPr>
        <w:pStyle w:val="Heading1"/>
        <w:spacing w:line="360" w:lineRule="auto"/>
        <w:jc w:val="both"/>
        <w:rPr>
          <w:rFonts w:ascii="Arial" w:hAnsi="Arial" w:cs="Arial"/>
          <w:b w:val="0"/>
          <w:color w:val="000000" w:themeColor="text1"/>
          <w:sz w:val="28"/>
          <w:szCs w:val="28"/>
          <w:lang w:val="en-GB"/>
        </w:rPr>
      </w:pPr>
      <w:bookmarkStart w:id="0" w:name="_gjdgxs" w:colFirst="0" w:colLast="0"/>
      <w:bookmarkEnd w:id="0"/>
      <w:r w:rsidRPr="00903726">
        <w:rPr>
          <w:rFonts w:ascii="Arial" w:hAnsi="Arial" w:cs="Arial"/>
          <w:color w:val="000000" w:themeColor="text1"/>
          <w:lang w:val="en-GB"/>
        </w:rPr>
        <w:br w:type="page"/>
      </w:r>
    </w:p>
    <w:bookmarkStart w:id="1" w:name="_30j0zll" w:colFirst="0" w:colLast="0" w:displacedByCustomXml="next"/>
    <w:bookmarkEnd w:id="1" w:displacedByCustomXml="next"/>
    <w:sdt>
      <w:sdtPr>
        <w:rPr>
          <w:rFonts w:ascii="Arial" w:eastAsia="Arial" w:hAnsi="Arial" w:cs="Arial"/>
          <w:b w:val="0"/>
          <w:bCs w:val="0"/>
          <w:color w:val="000000" w:themeColor="text1"/>
          <w:sz w:val="22"/>
          <w:szCs w:val="22"/>
          <w:lang w:val="en-GB" w:eastAsia="zh-CN"/>
        </w:rPr>
        <w:id w:val="-1251043794"/>
        <w:docPartObj>
          <w:docPartGallery w:val="Table of Contents"/>
          <w:docPartUnique/>
        </w:docPartObj>
      </w:sdtPr>
      <w:sdtEndPr>
        <w:rPr>
          <w:noProof/>
        </w:rPr>
      </w:sdtEndPr>
      <w:sdtContent>
        <w:p w14:paraId="7B8BA0D3" w14:textId="4F506820" w:rsidR="006446C8" w:rsidRPr="00903726" w:rsidRDefault="006446C8" w:rsidP="006446C8">
          <w:pPr>
            <w:pStyle w:val="TOCHeading"/>
            <w:spacing w:line="360" w:lineRule="auto"/>
            <w:jc w:val="center"/>
            <w:rPr>
              <w:rFonts w:ascii="Arial" w:hAnsi="Arial" w:cs="Arial"/>
              <w:color w:val="000000" w:themeColor="text1"/>
              <w:szCs w:val="24"/>
              <w:lang w:val="en-GB"/>
            </w:rPr>
          </w:pPr>
          <w:r w:rsidRPr="00903726">
            <w:rPr>
              <w:rFonts w:ascii="Arial" w:hAnsi="Arial" w:cs="Arial"/>
              <w:color w:val="000000" w:themeColor="text1"/>
              <w:szCs w:val="24"/>
              <w:lang w:val="en-GB"/>
            </w:rPr>
            <w:t>Table of Contents</w:t>
          </w:r>
        </w:p>
        <w:p w14:paraId="63F8F04C" w14:textId="77777777" w:rsidR="00873476" w:rsidRPr="00903726" w:rsidRDefault="006446C8" w:rsidP="008734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r w:rsidRPr="00903726">
            <w:rPr>
              <w:color w:val="000000" w:themeColor="text1"/>
              <w:sz w:val="24"/>
              <w:szCs w:val="24"/>
              <w:lang w:val="en-GB"/>
            </w:rPr>
            <w:fldChar w:fldCharType="begin"/>
          </w:r>
          <w:r w:rsidRPr="00903726">
            <w:rPr>
              <w:color w:val="000000" w:themeColor="text1"/>
              <w:sz w:val="24"/>
              <w:szCs w:val="24"/>
              <w:lang w:val="en-GB"/>
            </w:rPr>
            <w:instrText xml:space="preserve"> TOC \o "1-3" \h \z \u </w:instrText>
          </w:r>
          <w:r w:rsidRPr="00903726">
            <w:rPr>
              <w:color w:val="000000" w:themeColor="text1"/>
              <w:sz w:val="24"/>
              <w:szCs w:val="24"/>
              <w:lang w:val="en-GB"/>
            </w:rPr>
            <w:fldChar w:fldCharType="separate"/>
          </w:r>
          <w:hyperlink w:anchor="_Toc129198773" w:history="1">
            <w:r w:rsidR="00873476" w:rsidRPr="00903726">
              <w:rPr>
                <w:rStyle w:val="Hyperlink"/>
                <w:noProof/>
                <w:sz w:val="24"/>
                <w:lang w:val="en-GB"/>
              </w:rPr>
              <w:t>Introduction</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_Toc129198773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2</w:t>
            </w:r>
            <w:r w:rsidR="00873476" w:rsidRPr="00903726">
              <w:rPr>
                <w:noProof/>
                <w:webHidden/>
                <w:sz w:val="24"/>
                <w:lang w:val="en-GB"/>
              </w:rPr>
              <w:fldChar w:fldCharType="end"/>
            </w:r>
          </w:hyperlink>
        </w:p>
        <w:p w14:paraId="60277FBB" w14:textId="77777777" w:rsidR="00873476" w:rsidRPr="00903726" w:rsidRDefault="0078342B" w:rsidP="008734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74" w:history="1">
            <w:r w:rsidR="00873476" w:rsidRPr="00903726">
              <w:rPr>
                <w:rStyle w:val="Hyperlink"/>
                <w:noProof/>
                <w:sz w:val="24"/>
                <w:lang w:val="en-GB"/>
              </w:rPr>
              <w:t>Discussion</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_Toc129198774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2</w:t>
            </w:r>
            <w:r w:rsidR="00873476" w:rsidRPr="00903726">
              <w:rPr>
                <w:noProof/>
                <w:webHidden/>
                <w:sz w:val="24"/>
                <w:lang w:val="en-GB"/>
              </w:rPr>
              <w:fldChar w:fldCharType="end"/>
            </w:r>
          </w:hyperlink>
        </w:p>
        <w:p w14:paraId="665C06E4" w14:textId="77777777" w:rsidR="00873476" w:rsidRPr="00903726" w:rsidRDefault="0078342B" w:rsidP="008734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75" w:history="1">
            <w:r w:rsidR="00873476" w:rsidRPr="00903726">
              <w:rPr>
                <w:rStyle w:val="Hyperlink"/>
                <w:noProof/>
                <w:sz w:val="24"/>
                <w:lang w:val="en-GB"/>
              </w:rPr>
              <w:t>Analysis</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_Toc129198775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2</w:t>
            </w:r>
            <w:r w:rsidR="00873476" w:rsidRPr="00903726">
              <w:rPr>
                <w:noProof/>
                <w:webHidden/>
                <w:sz w:val="24"/>
                <w:lang w:val="en-GB"/>
              </w:rPr>
              <w:fldChar w:fldCharType="end"/>
            </w:r>
          </w:hyperlink>
        </w:p>
        <w:p w14:paraId="7381507C" w14:textId="77777777" w:rsidR="00873476" w:rsidRPr="00903726" w:rsidRDefault="0078342B" w:rsidP="008734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76" w:history="1">
            <w:r w:rsidR="00873476" w:rsidRPr="00903726">
              <w:rPr>
                <w:rStyle w:val="Hyperlink"/>
                <w:noProof/>
                <w:sz w:val="24"/>
                <w:lang w:val="en-GB"/>
              </w:rPr>
              <w:t>Common law</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_Toc129198776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2</w:t>
            </w:r>
            <w:r w:rsidR="00873476" w:rsidRPr="00903726">
              <w:rPr>
                <w:noProof/>
                <w:webHidden/>
                <w:sz w:val="24"/>
                <w:lang w:val="en-GB"/>
              </w:rPr>
              <w:fldChar w:fldCharType="end"/>
            </w:r>
          </w:hyperlink>
        </w:p>
        <w:p w14:paraId="42F9A852" w14:textId="77777777" w:rsidR="00873476" w:rsidRPr="00903726" w:rsidRDefault="0078342B" w:rsidP="008734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77" w:history="1">
            <w:r w:rsidR="00873476" w:rsidRPr="00903726">
              <w:rPr>
                <w:rStyle w:val="Hyperlink"/>
                <w:noProof/>
                <w:sz w:val="24"/>
                <w:lang w:val="en-GB"/>
              </w:rPr>
              <w:t>Civil law</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_Toc129198777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3</w:t>
            </w:r>
            <w:r w:rsidR="00873476" w:rsidRPr="00903726">
              <w:rPr>
                <w:noProof/>
                <w:webHidden/>
                <w:sz w:val="24"/>
                <w:lang w:val="en-GB"/>
              </w:rPr>
              <w:fldChar w:fldCharType="end"/>
            </w:r>
          </w:hyperlink>
        </w:p>
        <w:p w14:paraId="7EBB349E" w14:textId="77777777" w:rsidR="00873476" w:rsidRPr="00903726" w:rsidRDefault="0078342B" w:rsidP="008734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78" w:history="1">
            <w:r w:rsidR="00873476" w:rsidRPr="00903726">
              <w:rPr>
                <w:rStyle w:val="Hyperlink"/>
                <w:noProof/>
                <w:sz w:val="24"/>
                <w:lang w:val="en-GB"/>
              </w:rPr>
              <w:t>Thesis</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_Toc129198778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4</w:t>
            </w:r>
            <w:r w:rsidR="00873476" w:rsidRPr="00903726">
              <w:rPr>
                <w:noProof/>
                <w:webHidden/>
                <w:sz w:val="24"/>
                <w:lang w:val="en-GB"/>
              </w:rPr>
              <w:fldChar w:fldCharType="end"/>
            </w:r>
          </w:hyperlink>
        </w:p>
        <w:p w14:paraId="6EDE81A3" w14:textId="77777777" w:rsidR="00873476" w:rsidRPr="00903726" w:rsidRDefault="0078342B" w:rsidP="008734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79" w:history="1">
            <w:r w:rsidR="00873476" w:rsidRPr="00903726">
              <w:rPr>
                <w:rStyle w:val="Hyperlink"/>
                <w:noProof/>
                <w:sz w:val="24"/>
                <w:lang w:val="en-GB"/>
              </w:rPr>
              <w:t>Contrast</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_Toc129198779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4</w:t>
            </w:r>
            <w:r w:rsidR="00873476" w:rsidRPr="00903726">
              <w:rPr>
                <w:noProof/>
                <w:webHidden/>
                <w:sz w:val="24"/>
                <w:lang w:val="en-GB"/>
              </w:rPr>
              <w:fldChar w:fldCharType="end"/>
            </w:r>
          </w:hyperlink>
        </w:p>
        <w:p w14:paraId="69204E50" w14:textId="77777777" w:rsidR="00873476" w:rsidRPr="00903726" w:rsidRDefault="0078342B" w:rsidP="00873476">
          <w:pPr>
            <w:pStyle w:val="TOC2"/>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80" w:history="1">
            <w:r w:rsidR="00873476" w:rsidRPr="00903726">
              <w:rPr>
                <w:rStyle w:val="Hyperlink"/>
                <w:noProof/>
                <w:sz w:val="24"/>
                <w:lang w:val="en-GB"/>
              </w:rPr>
              <w:t>The history of common law</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_Toc129198780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4</w:t>
            </w:r>
            <w:r w:rsidR="00873476" w:rsidRPr="00903726">
              <w:rPr>
                <w:noProof/>
                <w:webHidden/>
                <w:sz w:val="24"/>
                <w:lang w:val="en-GB"/>
              </w:rPr>
              <w:fldChar w:fldCharType="end"/>
            </w:r>
          </w:hyperlink>
        </w:p>
        <w:p w14:paraId="176935E5" w14:textId="77777777" w:rsidR="00873476" w:rsidRPr="00903726" w:rsidRDefault="0078342B" w:rsidP="008734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81" w:history="1">
            <w:r w:rsidR="00873476" w:rsidRPr="00903726">
              <w:rPr>
                <w:rStyle w:val="Hyperlink"/>
                <w:noProof/>
                <w:sz w:val="24"/>
                <w:lang w:val="en-GB"/>
              </w:rPr>
              <w:t>Example</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_Toc129198781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5</w:t>
            </w:r>
            <w:r w:rsidR="00873476" w:rsidRPr="00903726">
              <w:rPr>
                <w:noProof/>
                <w:webHidden/>
                <w:sz w:val="24"/>
                <w:lang w:val="en-GB"/>
              </w:rPr>
              <w:fldChar w:fldCharType="end"/>
            </w:r>
          </w:hyperlink>
        </w:p>
        <w:p w14:paraId="3A455C12" w14:textId="77777777" w:rsidR="00873476" w:rsidRPr="00903726" w:rsidRDefault="0078342B" w:rsidP="00873476">
          <w:pPr>
            <w:pStyle w:val="TOC1"/>
            <w:tabs>
              <w:tab w:val="right" w:leader="dot" w:pos="9350"/>
            </w:tabs>
            <w:spacing w:line="360" w:lineRule="auto"/>
            <w:jc w:val="both"/>
            <w:rPr>
              <w:rFonts w:asciiTheme="minorHAnsi" w:eastAsiaTheme="minorEastAsia" w:hAnsiTheme="minorHAnsi" w:cstheme="minorBidi"/>
              <w:noProof/>
              <w:sz w:val="24"/>
              <w:lang w:val="en-GB" w:eastAsia="en-US"/>
            </w:rPr>
          </w:pPr>
          <w:hyperlink w:anchor="_Toc129198782" w:history="1">
            <w:r w:rsidR="00873476" w:rsidRPr="00903726">
              <w:rPr>
                <w:rStyle w:val="Hyperlink"/>
                <w:noProof/>
                <w:sz w:val="24"/>
                <w:lang w:val="en-GB"/>
              </w:rPr>
              <w:t>Conclusion</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_Toc129198782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6</w:t>
            </w:r>
            <w:r w:rsidR="00873476" w:rsidRPr="00903726">
              <w:rPr>
                <w:noProof/>
                <w:webHidden/>
                <w:sz w:val="24"/>
                <w:lang w:val="en-GB"/>
              </w:rPr>
              <w:fldChar w:fldCharType="end"/>
            </w:r>
          </w:hyperlink>
        </w:p>
        <w:p w14:paraId="11E9FC21" w14:textId="77777777" w:rsidR="00873476" w:rsidRPr="00903726" w:rsidRDefault="0078342B" w:rsidP="00873476">
          <w:pPr>
            <w:pStyle w:val="TOC1"/>
            <w:tabs>
              <w:tab w:val="right" w:leader="dot" w:pos="9350"/>
            </w:tabs>
            <w:spacing w:line="360" w:lineRule="auto"/>
            <w:jc w:val="both"/>
            <w:rPr>
              <w:rFonts w:asciiTheme="minorHAnsi" w:eastAsiaTheme="minorEastAsia" w:hAnsiTheme="minorHAnsi" w:cstheme="minorBidi"/>
              <w:noProof/>
              <w:lang w:val="en-GB" w:eastAsia="en-US"/>
            </w:rPr>
          </w:pPr>
          <w:hyperlink w:anchor="_Toc129198783" w:history="1">
            <w:r w:rsidR="00873476" w:rsidRPr="00903726">
              <w:rPr>
                <w:rStyle w:val="Hyperlink"/>
                <w:noProof/>
                <w:sz w:val="24"/>
                <w:lang w:val="en-GB"/>
              </w:rPr>
              <w:t>References list</w:t>
            </w:r>
            <w:r w:rsidR="00873476" w:rsidRPr="00903726">
              <w:rPr>
                <w:noProof/>
                <w:webHidden/>
                <w:sz w:val="24"/>
                <w:lang w:val="en-GB"/>
              </w:rPr>
              <w:tab/>
            </w:r>
            <w:r w:rsidR="00873476" w:rsidRPr="00903726">
              <w:rPr>
                <w:noProof/>
                <w:webHidden/>
                <w:sz w:val="24"/>
                <w:lang w:val="en-GB"/>
              </w:rPr>
              <w:fldChar w:fldCharType="begin"/>
            </w:r>
            <w:r w:rsidR="00873476" w:rsidRPr="00903726">
              <w:rPr>
                <w:noProof/>
                <w:webHidden/>
                <w:sz w:val="24"/>
                <w:lang w:val="en-GB"/>
              </w:rPr>
              <w:instrText xml:space="preserve"> PAGEREF _Toc129198783 \h </w:instrText>
            </w:r>
            <w:r w:rsidR="00873476" w:rsidRPr="00903726">
              <w:rPr>
                <w:noProof/>
                <w:webHidden/>
                <w:sz w:val="24"/>
                <w:lang w:val="en-GB"/>
              </w:rPr>
            </w:r>
            <w:r w:rsidR="00873476" w:rsidRPr="00903726">
              <w:rPr>
                <w:noProof/>
                <w:webHidden/>
                <w:sz w:val="24"/>
                <w:lang w:val="en-GB"/>
              </w:rPr>
              <w:fldChar w:fldCharType="separate"/>
            </w:r>
            <w:r w:rsidR="00873476" w:rsidRPr="00903726">
              <w:rPr>
                <w:noProof/>
                <w:webHidden/>
                <w:sz w:val="24"/>
                <w:lang w:val="en-GB"/>
              </w:rPr>
              <w:t>7</w:t>
            </w:r>
            <w:r w:rsidR="00873476" w:rsidRPr="00903726">
              <w:rPr>
                <w:noProof/>
                <w:webHidden/>
                <w:sz w:val="24"/>
                <w:lang w:val="en-GB"/>
              </w:rPr>
              <w:fldChar w:fldCharType="end"/>
            </w:r>
          </w:hyperlink>
        </w:p>
        <w:p w14:paraId="36A5C274" w14:textId="2E60B6C5" w:rsidR="006446C8" w:rsidRPr="00903726" w:rsidRDefault="006446C8" w:rsidP="006446C8">
          <w:pPr>
            <w:spacing w:line="360" w:lineRule="auto"/>
            <w:jc w:val="both"/>
            <w:rPr>
              <w:color w:val="000000" w:themeColor="text1"/>
              <w:lang w:val="en-GB"/>
            </w:rPr>
          </w:pPr>
          <w:r w:rsidRPr="00903726">
            <w:rPr>
              <w:b/>
              <w:bCs/>
              <w:noProof/>
              <w:color w:val="000000" w:themeColor="text1"/>
              <w:sz w:val="24"/>
              <w:szCs w:val="24"/>
              <w:lang w:val="en-GB"/>
            </w:rPr>
            <w:fldChar w:fldCharType="end"/>
          </w:r>
        </w:p>
      </w:sdtContent>
    </w:sdt>
    <w:p w14:paraId="0000001B" w14:textId="77777777" w:rsidR="006F7C6F" w:rsidRPr="00903726" w:rsidRDefault="00BF7E13">
      <w:pPr>
        <w:rPr>
          <w:rFonts w:eastAsia="Times New Roman"/>
          <w:b/>
          <w:color w:val="000000" w:themeColor="text1"/>
          <w:sz w:val="28"/>
          <w:szCs w:val="28"/>
          <w:lang w:val="en-GB"/>
        </w:rPr>
      </w:pPr>
      <w:r w:rsidRPr="00903726">
        <w:rPr>
          <w:color w:val="000000" w:themeColor="text1"/>
          <w:lang w:val="en-GB"/>
        </w:rPr>
        <w:br w:type="page"/>
      </w:r>
    </w:p>
    <w:p w14:paraId="0000001C" w14:textId="77777777" w:rsidR="006F7C6F" w:rsidRPr="00903726" w:rsidRDefault="00BF7E13">
      <w:pPr>
        <w:pStyle w:val="Heading1"/>
        <w:spacing w:line="360" w:lineRule="auto"/>
        <w:jc w:val="both"/>
        <w:rPr>
          <w:rFonts w:ascii="Arial" w:hAnsi="Arial" w:cs="Arial"/>
          <w:color w:val="000000" w:themeColor="text1"/>
          <w:lang w:val="en-GB"/>
        </w:rPr>
      </w:pPr>
      <w:bookmarkStart w:id="2" w:name="_Toc129198773"/>
      <w:r w:rsidRPr="00903726">
        <w:rPr>
          <w:rFonts w:ascii="Arial" w:hAnsi="Arial" w:cs="Arial"/>
          <w:color w:val="000000" w:themeColor="text1"/>
          <w:sz w:val="28"/>
          <w:szCs w:val="28"/>
          <w:lang w:val="en-GB"/>
        </w:rPr>
        <w:t>Introduction</w:t>
      </w:r>
      <w:bookmarkEnd w:id="2"/>
    </w:p>
    <w:p w14:paraId="0000001D" w14:textId="12D20D7C"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 xml:space="preserve">The study has highlighted the differentiation between civil and common law relates to the argumentative approaches and techniques other than the content related to the standards of legalization. Both common and civil law possess the same objective but differences in methods and conclusions can be identified through frequently used alternative segments of reasoning. The fact regarding the answer related to the common and civil law have the same solution but use different methods. The following assessment takes into account a brief explanation of both common and civil law and also explains the differentiation of both the laws related to each other with the help of given examples it has been made easily understandable. Hence, </w:t>
      </w:r>
      <w:r w:rsidR="006446C8" w:rsidRPr="00903726">
        <w:rPr>
          <w:rFonts w:eastAsia="Times New Roman"/>
          <w:color w:val="000000" w:themeColor="text1"/>
          <w:sz w:val="24"/>
          <w:szCs w:val="24"/>
          <w:lang w:val="en-GB"/>
        </w:rPr>
        <w:t>the</w:t>
      </w:r>
      <w:r w:rsidRPr="00903726">
        <w:rPr>
          <w:rFonts w:eastAsia="Times New Roman"/>
          <w:color w:val="000000" w:themeColor="text1"/>
          <w:sz w:val="24"/>
          <w:szCs w:val="24"/>
          <w:lang w:val="en-GB"/>
        </w:rPr>
        <w:t xml:space="preserve"> main goal of this assessment is to briefly study the facts regarding the laws and discuss both the laws briefly taken into consideration respectively. </w:t>
      </w:r>
    </w:p>
    <w:p w14:paraId="0000001E" w14:textId="77777777" w:rsidR="006F7C6F" w:rsidRPr="00903726" w:rsidRDefault="00BF7E13">
      <w:pPr>
        <w:pStyle w:val="Heading1"/>
        <w:spacing w:line="360" w:lineRule="auto"/>
        <w:jc w:val="both"/>
        <w:rPr>
          <w:rFonts w:ascii="Arial" w:hAnsi="Arial" w:cs="Arial"/>
          <w:b w:val="0"/>
          <w:color w:val="000000" w:themeColor="text1"/>
          <w:sz w:val="28"/>
          <w:szCs w:val="28"/>
          <w:lang w:val="en-GB"/>
        </w:rPr>
      </w:pPr>
      <w:bookmarkStart w:id="3" w:name="_Toc129198774"/>
      <w:r w:rsidRPr="00903726">
        <w:rPr>
          <w:rFonts w:ascii="Arial" w:hAnsi="Arial" w:cs="Arial"/>
          <w:color w:val="000000" w:themeColor="text1"/>
          <w:sz w:val="28"/>
          <w:szCs w:val="28"/>
          <w:lang w:val="en-GB"/>
        </w:rPr>
        <w:t>Discussion</w:t>
      </w:r>
      <w:bookmarkEnd w:id="3"/>
      <w:r w:rsidRPr="00903726">
        <w:rPr>
          <w:rFonts w:ascii="Arial" w:hAnsi="Arial" w:cs="Arial"/>
          <w:color w:val="000000" w:themeColor="text1"/>
          <w:sz w:val="28"/>
          <w:szCs w:val="28"/>
          <w:lang w:val="en-GB"/>
        </w:rPr>
        <w:t xml:space="preserve">  </w:t>
      </w:r>
    </w:p>
    <w:p w14:paraId="0000001F" w14:textId="77777777" w:rsidR="006F7C6F" w:rsidRPr="00903726" w:rsidRDefault="00BF7E13">
      <w:pPr>
        <w:pStyle w:val="Heading1"/>
        <w:spacing w:line="360" w:lineRule="auto"/>
        <w:jc w:val="both"/>
        <w:rPr>
          <w:rFonts w:ascii="Arial" w:hAnsi="Arial" w:cs="Arial"/>
          <w:b w:val="0"/>
          <w:color w:val="000000" w:themeColor="text1"/>
          <w:sz w:val="28"/>
          <w:szCs w:val="28"/>
          <w:lang w:val="en-GB"/>
        </w:rPr>
      </w:pPr>
      <w:bookmarkStart w:id="4" w:name="_Toc129198775"/>
      <w:r w:rsidRPr="00903726">
        <w:rPr>
          <w:rFonts w:ascii="Arial" w:hAnsi="Arial" w:cs="Arial"/>
          <w:color w:val="000000" w:themeColor="text1"/>
          <w:sz w:val="28"/>
          <w:szCs w:val="28"/>
          <w:lang w:val="en-GB"/>
        </w:rPr>
        <w:t>Analysis</w:t>
      </w:r>
      <w:bookmarkEnd w:id="4"/>
    </w:p>
    <w:p w14:paraId="00000020" w14:textId="77777777" w:rsidR="006F7C6F" w:rsidRPr="00903726" w:rsidRDefault="00BF7E13">
      <w:pPr>
        <w:pStyle w:val="Heading2"/>
        <w:spacing w:line="360" w:lineRule="auto"/>
        <w:jc w:val="both"/>
        <w:rPr>
          <w:rFonts w:ascii="Arial" w:hAnsi="Arial" w:cs="Arial"/>
          <w:b w:val="0"/>
          <w:color w:val="000000" w:themeColor="text1"/>
          <w:lang w:val="en-GB"/>
        </w:rPr>
      </w:pPr>
      <w:bookmarkStart w:id="5" w:name="_Toc129198776"/>
      <w:r w:rsidRPr="00903726">
        <w:rPr>
          <w:rFonts w:ascii="Arial" w:hAnsi="Arial" w:cs="Arial"/>
          <w:color w:val="000000" w:themeColor="text1"/>
          <w:lang w:val="en-GB"/>
        </w:rPr>
        <w:t>Common law</w:t>
      </w:r>
      <w:bookmarkEnd w:id="5"/>
    </w:p>
    <w:p w14:paraId="00000021" w14:textId="2F32F4A0"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 xml:space="preserve">Common law is the invention of the British courts to ensure the remaining case that was suspect of the lesser courts. Common law has been declared by judges that derive from precedent and custom. Additionally, it is called “Common” as it has implicated equality across the country in a particular way. Moreover, common law rules have been replaced by the legislations that have been taken in precedence over the common law. However, the offenses in the case of theft are now governed by the </w:t>
      </w:r>
      <w:r w:rsidRPr="00903726">
        <w:rPr>
          <w:rFonts w:eastAsia="Times New Roman"/>
          <w:b/>
          <w:i/>
          <w:color w:val="000000" w:themeColor="text1"/>
          <w:sz w:val="24"/>
          <w:szCs w:val="24"/>
          <w:lang w:val="en-GB"/>
        </w:rPr>
        <w:t>Theft Acts 1968</w:t>
      </w:r>
      <w:r w:rsidRPr="00903726">
        <w:rPr>
          <w:rFonts w:eastAsia="Times New Roman"/>
          <w:color w:val="000000" w:themeColor="text1"/>
          <w:sz w:val="24"/>
          <w:szCs w:val="24"/>
          <w:lang w:val="en-GB"/>
        </w:rPr>
        <w:t>,</w:t>
      </w:r>
      <w:r w:rsidR="006446C8" w:rsidRPr="00903726">
        <w:rPr>
          <w:rFonts w:eastAsia="Times New Roman"/>
          <w:color w:val="000000" w:themeColor="text1"/>
          <w:sz w:val="24"/>
          <w:szCs w:val="24"/>
          <w:lang w:val="en-GB"/>
        </w:rPr>
        <w:t xml:space="preserve"> </w:t>
      </w:r>
      <w:r w:rsidRPr="00903726">
        <w:rPr>
          <w:rFonts w:eastAsia="Times New Roman"/>
          <w:color w:val="000000" w:themeColor="text1"/>
          <w:sz w:val="24"/>
          <w:szCs w:val="24"/>
          <w:lang w:val="en-GB"/>
        </w:rPr>
        <w:t xml:space="preserve">whereas the original penalties for serious crimes such as murder have been substituted by the </w:t>
      </w:r>
      <w:r w:rsidRPr="00903726">
        <w:rPr>
          <w:rFonts w:eastAsia="Times New Roman"/>
          <w:b/>
          <w:i/>
          <w:color w:val="000000" w:themeColor="text1"/>
          <w:sz w:val="24"/>
          <w:szCs w:val="24"/>
          <w:lang w:val="en-GB"/>
        </w:rPr>
        <w:t>Homicide Act 1957</w:t>
      </w:r>
      <w:r w:rsidRPr="00903726">
        <w:rPr>
          <w:rFonts w:eastAsia="Times New Roman"/>
          <w:color w:val="000000" w:themeColor="text1"/>
          <w:sz w:val="24"/>
          <w:szCs w:val="24"/>
          <w:lang w:val="en-GB"/>
        </w:rPr>
        <w:t>. The limited extent of common law is judges with “Activist” that can be reformed an outdated law that is particularly derived from the statute. However, the circumstances of the serious conditions can be changed by the law. The need for change has been followed by a period of research that is consulted by the Law Commission which has been set up to review and propose the inadequate laws. A common law system is important for the oral debate and in-court presentations of the case with an active lawyer approach in court that is lessened. However, the non-litigated legal actions that are written and the contracting draft are to be delegated to the quasi-legal professionals that have the potential to assist corporations and private persons. It has the post-university laws and legal degrees to operate the cases before the court in a particular way.</w:t>
      </w:r>
    </w:p>
    <w:p w14:paraId="00000022" w14:textId="77777777" w:rsidR="006F7C6F" w:rsidRPr="00903726" w:rsidRDefault="00BF7E13">
      <w:pPr>
        <w:pStyle w:val="Heading2"/>
        <w:spacing w:line="360" w:lineRule="auto"/>
        <w:jc w:val="both"/>
        <w:rPr>
          <w:rFonts w:ascii="Arial" w:hAnsi="Arial" w:cs="Arial"/>
          <w:color w:val="000000" w:themeColor="text1"/>
          <w:lang w:val="en-GB"/>
        </w:rPr>
      </w:pPr>
      <w:bookmarkStart w:id="6" w:name="_Toc129198777"/>
      <w:r w:rsidRPr="00903726">
        <w:rPr>
          <w:rFonts w:ascii="Arial" w:hAnsi="Arial" w:cs="Arial"/>
          <w:color w:val="000000" w:themeColor="text1"/>
          <w:lang w:val="en-GB"/>
        </w:rPr>
        <w:t>Civil law</w:t>
      </w:r>
      <w:bookmarkEnd w:id="6"/>
      <w:r w:rsidRPr="00903726">
        <w:rPr>
          <w:rFonts w:ascii="Arial" w:hAnsi="Arial" w:cs="Arial"/>
          <w:color w:val="000000" w:themeColor="text1"/>
          <w:lang w:val="en-GB"/>
        </w:rPr>
        <w:t xml:space="preserve"> </w:t>
      </w:r>
    </w:p>
    <w:p w14:paraId="00000023" w14:textId="62120A74" w:rsidR="006F7C6F" w:rsidRPr="00903726" w:rsidRDefault="00BF7E13">
      <w:pPr>
        <w:pBdr>
          <w:top w:val="nil"/>
          <w:left w:val="nil"/>
          <w:bottom w:val="nil"/>
          <w:right w:val="nil"/>
          <w:between w:val="nil"/>
        </w:pBdr>
        <w:spacing w:line="360" w:lineRule="auto"/>
        <w:jc w:val="both"/>
        <w:rPr>
          <w:color w:val="000000" w:themeColor="text1"/>
          <w:lang w:val="en-GB"/>
        </w:rPr>
      </w:pPr>
      <w:r w:rsidRPr="00903726">
        <w:rPr>
          <w:rFonts w:eastAsia="Times New Roman"/>
          <w:color w:val="000000" w:themeColor="text1"/>
          <w:sz w:val="24"/>
          <w:szCs w:val="24"/>
          <w:lang w:val="en-GB"/>
        </w:rPr>
        <w:t>The civil law system has codified law on its origins from the Roman law and rules. It has features that are included with general constitutions that are based on the service codes such as “codes covering corporate law”, “civil law”, and “administrative law”, which are usually used for conducting administrative court cases to behave more commonly than judges in an effective way. However, the legislative attachment is considered binding with a very minimal scope for judge-made law in the realm of civil, commercial, and criminal law (</w:t>
      </w:r>
      <w:r w:rsidRPr="00903726">
        <w:rPr>
          <w:rFonts w:eastAsia="Times New Roman"/>
          <w:color w:val="000000" w:themeColor="text1"/>
          <w:sz w:val="24"/>
          <w:szCs w:val="24"/>
          <w:highlight w:val="white"/>
          <w:lang w:val="en-GB"/>
        </w:rPr>
        <w:t>Rogers, and Maloney, 2022)</w:t>
      </w:r>
      <w:r w:rsidRPr="00903726">
        <w:rPr>
          <w:rFonts w:eastAsia="Times New Roman"/>
          <w:color w:val="000000" w:themeColor="text1"/>
          <w:sz w:val="24"/>
          <w:szCs w:val="24"/>
          <w:lang w:val="en-GB"/>
        </w:rPr>
        <w:t>. In addition to this, the practicing judges' law in civil law tends to follow the previous judicial decisions and constitutional counter that can nullify rules, regulations, and laws with the decisions in the cases of binding all in a particular way. Civil law is generally written on specific codes with a system that is associated with German writing of scholars that are related to legal regulations. Therefore, the courts are specific to the codes that are separated by constitutional courts and administrative count systems (</w:t>
      </w:r>
      <w:proofErr w:type="spellStart"/>
      <w:r w:rsidRPr="00903726">
        <w:rPr>
          <w:rFonts w:eastAsia="Times New Roman"/>
          <w:color w:val="000000" w:themeColor="text1"/>
          <w:sz w:val="24"/>
          <w:szCs w:val="24"/>
          <w:highlight w:val="white"/>
          <w:lang w:val="en-GB"/>
        </w:rPr>
        <w:t>Balganesh</w:t>
      </w:r>
      <w:proofErr w:type="spellEnd"/>
      <w:r w:rsidRPr="00903726">
        <w:rPr>
          <w:rFonts w:eastAsia="Times New Roman"/>
          <w:color w:val="000000" w:themeColor="text1"/>
          <w:sz w:val="24"/>
          <w:szCs w:val="24"/>
          <w:highlight w:val="white"/>
          <w:lang w:val="en-GB"/>
        </w:rPr>
        <w:t>, 2023)</w:t>
      </w:r>
      <w:r w:rsidRPr="00903726">
        <w:rPr>
          <w:rFonts w:eastAsia="Times New Roman"/>
          <w:color w:val="000000" w:themeColor="text1"/>
          <w:sz w:val="24"/>
          <w:szCs w:val="24"/>
          <w:lang w:val="en-GB"/>
        </w:rPr>
        <w:t xml:space="preserve">. Moreover, the civil court system is </w:t>
      </w:r>
      <w:r w:rsidR="006446C8" w:rsidRPr="00903726">
        <w:rPr>
          <w:rFonts w:eastAsia="Times New Roman"/>
          <w:color w:val="000000" w:themeColor="text1"/>
          <w:sz w:val="24"/>
          <w:szCs w:val="24"/>
          <w:lang w:val="en-GB"/>
        </w:rPr>
        <w:t>opined</w:t>
      </w:r>
      <w:r w:rsidRPr="00903726">
        <w:rPr>
          <w:rFonts w:eastAsia="Times New Roman"/>
          <w:color w:val="000000" w:themeColor="text1"/>
          <w:sz w:val="24"/>
          <w:szCs w:val="24"/>
          <w:lang w:val="en-GB"/>
        </w:rPr>
        <w:t xml:space="preserve"> of the consistency of legislations and administrative acts to interpret the specific codes in an effective way. However, less “Freedom of the contract” is implied in a contract by law and parties that </w:t>
      </w:r>
      <w:r w:rsidR="006446C8" w:rsidRPr="00903726">
        <w:rPr>
          <w:rFonts w:eastAsia="Times New Roman"/>
          <w:color w:val="000000" w:themeColor="text1"/>
          <w:sz w:val="24"/>
          <w:szCs w:val="24"/>
          <w:lang w:val="en-GB"/>
        </w:rPr>
        <w:t>cannot</w:t>
      </w:r>
      <w:r w:rsidRPr="00903726">
        <w:rPr>
          <w:rFonts w:eastAsia="Times New Roman"/>
          <w:color w:val="000000" w:themeColor="text1"/>
          <w:sz w:val="24"/>
          <w:szCs w:val="24"/>
          <w:lang w:val="en-GB"/>
        </w:rPr>
        <w:t xml:space="preserve"> contract the provisions in the civil laws. However, civil law is generally opposed to criminal law and it has the “Sense of Secular law” to the ecclesiastical form of “Religious law” (</w:t>
      </w:r>
      <w:r w:rsidRPr="00903726">
        <w:rPr>
          <w:rFonts w:eastAsia="Times New Roman"/>
          <w:color w:val="000000" w:themeColor="text1"/>
          <w:sz w:val="24"/>
          <w:szCs w:val="24"/>
          <w:highlight w:val="white"/>
          <w:lang w:val="en-GB"/>
        </w:rPr>
        <w:t>Christie, 2023)</w:t>
      </w:r>
      <w:r w:rsidRPr="00903726">
        <w:rPr>
          <w:rFonts w:eastAsia="Times New Roman"/>
          <w:color w:val="000000" w:themeColor="text1"/>
          <w:sz w:val="24"/>
          <w:szCs w:val="24"/>
          <w:lang w:val="en-GB"/>
        </w:rPr>
        <w:t>. Therefore, civil law is considered a legal system of the court based on the codes of laws as it was in the “code of Napoleon” development in France.</w:t>
      </w:r>
    </w:p>
    <w:p w14:paraId="00000024" w14:textId="77777777" w:rsidR="006F7C6F" w:rsidRPr="00903726" w:rsidRDefault="00BF7E13">
      <w:pPr>
        <w:pStyle w:val="Heading1"/>
        <w:spacing w:line="360" w:lineRule="auto"/>
        <w:jc w:val="both"/>
        <w:rPr>
          <w:rFonts w:ascii="Arial" w:hAnsi="Arial" w:cs="Arial"/>
          <w:b w:val="0"/>
          <w:color w:val="000000" w:themeColor="text1"/>
          <w:sz w:val="28"/>
          <w:szCs w:val="28"/>
          <w:lang w:val="en-GB"/>
        </w:rPr>
      </w:pPr>
      <w:bookmarkStart w:id="7" w:name="_Toc129198778"/>
      <w:r w:rsidRPr="00903726">
        <w:rPr>
          <w:rFonts w:ascii="Arial" w:hAnsi="Arial" w:cs="Arial"/>
          <w:color w:val="000000" w:themeColor="text1"/>
          <w:sz w:val="28"/>
          <w:szCs w:val="28"/>
          <w:lang w:val="en-GB"/>
        </w:rPr>
        <w:t>Thesis</w:t>
      </w:r>
      <w:bookmarkEnd w:id="7"/>
    </w:p>
    <w:p w14:paraId="00000025" w14:textId="77777777" w:rsidR="006F7C6F" w:rsidRPr="00903726" w:rsidRDefault="00BF7E13">
      <w:pPr>
        <w:pStyle w:val="Heading2"/>
        <w:spacing w:line="360" w:lineRule="auto"/>
        <w:jc w:val="both"/>
        <w:rPr>
          <w:rFonts w:ascii="Arial" w:hAnsi="Arial" w:cs="Arial"/>
          <w:b w:val="0"/>
          <w:color w:val="000000" w:themeColor="text1"/>
          <w:lang w:val="en-GB"/>
        </w:rPr>
      </w:pPr>
      <w:bookmarkStart w:id="8" w:name="_Toc129198779"/>
      <w:r w:rsidRPr="00903726">
        <w:rPr>
          <w:rFonts w:ascii="Arial" w:hAnsi="Arial" w:cs="Arial"/>
          <w:color w:val="000000" w:themeColor="text1"/>
          <w:lang w:val="en-GB"/>
        </w:rPr>
        <w:t>Contrast</w:t>
      </w:r>
      <w:bookmarkEnd w:id="8"/>
      <w:r w:rsidRPr="00903726">
        <w:rPr>
          <w:rFonts w:ascii="Arial" w:hAnsi="Arial" w:cs="Arial"/>
          <w:color w:val="000000" w:themeColor="text1"/>
          <w:lang w:val="en-GB"/>
        </w:rPr>
        <w:t xml:space="preserve"> </w:t>
      </w:r>
    </w:p>
    <w:p w14:paraId="00000026" w14:textId="77777777"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The civil law system usually seems to be more vividly prescriptive than the common law of the UK. In addition to this, the administration is required to consider the specific legislations that are intrinsically needed to provide a limited scope of certain restrictions to allow a successful infrastructure project. Moreover, the specific legislations in a sector can go beyond the legislations and regulations for a section to get more information on this. The legal systems of civil law generated in Europe to the most prevalent feature that is a core principle codified into the referable systems (</w:t>
      </w:r>
      <w:proofErr w:type="spellStart"/>
      <w:r w:rsidRPr="00903726">
        <w:rPr>
          <w:rFonts w:eastAsia="Times New Roman"/>
          <w:color w:val="000000" w:themeColor="text1"/>
          <w:sz w:val="24"/>
          <w:szCs w:val="24"/>
          <w:highlight w:val="white"/>
          <w:lang w:val="en-GB"/>
        </w:rPr>
        <w:t>Seabourne</w:t>
      </w:r>
      <w:proofErr w:type="spellEnd"/>
      <w:r w:rsidRPr="00903726">
        <w:rPr>
          <w:rFonts w:eastAsia="Times New Roman"/>
          <w:color w:val="000000" w:themeColor="text1"/>
          <w:sz w:val="24"/>
          <w:szCs w:val="24"/>
          <w:highlight w:val="white"/>
          <w:lang w:val="en-GB"/>
        </w:rPr>
        <w:t>, 2021)</w:t>
      </w:r>
      <w:r w:rsidRPr="00903726">
        <w:rPr>
          <w:rFonts w:eastAsia="Times New Roman"/>
          <w:color w:val="000000" w:themeColor="text1"/>
          <w:sz w:val="24"/>
          <w:szCs w:val="24"/>
          <w:lang w:val="en-GB"/>
        </w:rPr>
        <w:t>. It serves as the primary resource of the law in a particular way. On the other hand, common law has been characterized by the case law that is developed by the judges through the decision of the courts. The role of the judges in the case of common law and civil laws are different as the chief investors in civil laws are generally not-binding to 3rd parties (</w:t>
      </w:r>
      <w:r w:rsidRPr="00903726">
        <w:rPr>
          <w:rFonts w:eastAsia="Times New Roman"/>
          <w:color w:val="000000" w:themeColor="text1"/>
          <w:sz w:val="24"/>
          <w:szCs w:val="24"/>
          <w:highlight w:val="white"/>
          <w:lang w:val="en-GB"/>
        </w:rPr>
        <w:t>Sharkey, 2023)</w:t>
      </w:r>
      <w:r w:rsidRPr="00903726">
        <w:rPr>
          <w:rFonts w:eastAsia="Times New Roman"/>
          <w:color w:val="000000" w:themeColor="text1"/>
          <w:sz w:val="24"/>
          <w:szCs w:val="24"/>
          <w:lang w:val="en-GB"/>
        </w:rPr>
        <w:t>. Moreover, in a civil law system, the function of the judges is considered to dominantly establish the facts of the cases that need to be applied to the provisions of the applicable coffee through the judges to bring the formal changes in the cases. However, in common law, the sets of precedents between the judges, and lawyers have the positions to take decisions on the law where the jury is absent (</w:t>
      </w:r>
      <w:proofErr w:type="spellStart"/>
      <w:r w:rsidRPr="00903726">
        <w:rPr>
          <w:rFonts w:eastAsia="Times New Roman"/>
          <w:color w:val="000000" w:themeColor="text1"/>
          <w:sz w:val="24"/>
          <w:szCs w:val="24"/>
          <w:highlight w:val="white"/>
          <w:lang w:val="en-GB"/>
        </w:rPr>
        <w:t>Bussani</w:t>
      </w:r>
      <w:proofErr w:type="spellEnd"/>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 xml:space="preserve">et al. </w:t>
      </w:r>
      <w:r w:rsidRPr="00903726">
        <w:rPr>
          <w:rFonts w:eastAsia="Times New Roman"/>
          <w:color w:val="000000" w:themeColor="text1"/>
          <w:sz w:val="24"/>
          <w:szCs w:val="24"/>
          <w:highlight w:val="white"/>
          <w:lang w:val="en-GB"/>
        </w:rPr>
        <w:t>2022)</w:t>
      </w:r>
      <w:r w:rsidRPr="00903726">
        <w:rPr>
          <w:rFonts w:eastAsia="Times New Roman"/>
          <w:color w:val="000000" w:themeColor="text1"/>
          <w:sz w:val="24"/>
          <w:szCs w:val="24"/>
          <w:lang w:val="en-GB"/>
        </w:rPr>
        <w:t xml:space="preserve">. Therefore, the judges rarely inquire extensively into matters before processing the cases. Civil determines the administration of constitutional court matters whereas the use of the common law is associated with future and present cases in society. </w:t>
      </w:r>
    </w:p>
    <w:p w14:paraId="00000027" w14:textId="77777777" w:rsidR="006F7C6F" w:rsidRPr="00903726" w:rsidRDefault="00BF7E13">
      <w:pPr>
        <w:pStyle w:val="Heading2"/>
        <w:rPr>
          <w:rFonts w:ascii="Arial" w:hAnsi="Arial" w:cs="Arial"/>
          <w:b w:val="0"/>
          <w:color w:val="000000" w:themeColor="text1"/>
          <w:lang w:val="en-GB"/>
        </w:rPr>
      </w:pPr>
      <w:bookmarkStart w:id="9" w:name="_Toc129198780"/>
      <w:r w:rsidRPr="00903726">
        <w:rPr>
          <w:rFonts w:ascii="Arial" w:hAnsi="Arial" w:cs="Arial"/>
          <w:color w:val="000000" w:themeColor="text1"/>
          <w:lang w:val="en-GB"/>
        </w:rPr>
        <w:t>The history of common law</w:t>
      </w:r>
      <w:bookmarkEnd w:id="9"/>
    </w:p>
    <w:p w14:paraId="00000028" w14:textId="6099AAF6"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The specific law of common has been the king’s court and equity that has developed as separate system of common law of mainly some remedy in administered through the Lord Chancellor’s way of ameliorating in the injustice that has been completed by inflexible regulations of the common law. The equitable concepts in common laws of trust are usually dealt with business purposes of “chancery division” in the high court’s (</w:t>
      </w:r>
      <w:proofErr w:type="spellStart"/>
      <w:r w:rsidRPr="00903726">
        <w:rPr>
          <w:rFonts w:eastAsia="Times New Roman"/>
          <w:color w:val="000000" w:themeColor="text1"/>
          <w:sz w:val="24"/>
          <w:szCs w:val="24"/>
          <w:highlight w:val="white"/>
          <w:lang w:val="en-GB"/>
        </w:rPr>
        <w:t>Hessick</w:t>
      </w:r>
      <w:proofErr w:type="spellEnd"/>
      <w:r w:rsidRPr="00903726">
        <w:rPr>
          <w:rFonts w:eastAsia="Times New Roman"/>
          <w:color w:val="000000" w:themeColor="text1"/>
          <w:sz w:val="24"/>
          <w:szCs w:val="24"/>
          <w:highlight w:val="white"/>
          <w:lang w:val="en-GB"/>
        </w:rPr>
        <w:t>, 2019)</w:t>
      </w:r>
      <w:r w:rsidRPr="00903726">
        <w:rPr>
          <w:rFonts w:eastAsia="Times New Roman"/>
          <w:color w:val="000000" w:themeColor="text1"/>
          <w:sz w:val="24"/>
          <w:szCs w:val="24"/>
          <w:lang w:val="en-GB"/>
        </w:rPr>
        <w:t xml:space="preserve">. </w:t>
      </w:r>
      <w:r w:rsidRPr="00903726">
        <w:rPr>
          <w:rFonts w:eastAsia="Times New Roman"/>
          <w:b/>
          <w:i/>
          <w:color w:val="000000" w:themeColor="text1"/>
          <w:sz w:val="24"/>
          <w:szCs w:val="24"/>
          <w:lang w:val="en-GB"/>
        </w:rPr>
        <w:t>“The judicature Acts of 1873-75”</w:t>
      </w:r>
      <w:r w:rsidRPr="00903726">
        <w:rPr>
          <w:rFonts w:eastAsia="Times New Roman"/>
          <w:color w:val="000000" w:themeColor="text1"/>
          <w:sz w:val="24"/>
          <w:szCs w:val="24"/>
          <w:lang w:val="en-GB"/>
        </w:rPr>
        <w:t xml:space="preserve">  of the common law to enhance the equity that was fused and has got treated as separate jurisdictions in the case of both equivalent and legal remedies that have been suggested in all common law (</w:t>
      </w:r>
      <w:proofErr w:type="spellStart"/>
      <w:r w:rsidRPr="00903726">
        <w:rPr>
          <w:rFonts w:eastAsia="Times New Roman"/>
          <w:color w:val="000000" w:themeColor="text1"/>
          <w:sz w:val="24"/>
          <w:szCs w:val="24"/>
          <w:highlight w:val="white"/>
          <w:lang w:val="en-GB"/>
        </w:rPr>
        <w:t>Chouaibi</w:t>
      </w:r>
      <w:proofErr w:type="spellEnd"/>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 xml:space="preserve">et al. </w:t>
      </w:r>
      <w:r w:rsidRPr="00903726">
        <w:rPr>
          <w:rFonts w:eastAsia="Times New Roman"/>
          <w:color w:val="000000" w:themeColor="text1"/>
          <w:sz w:val="24"/>
          <w:szCs w:val="24"/>
          <w:highlight w:val="white"/>
          <w:lang w:val="en-GB"/>
        </w:rPr>
        <w:t>2022)</w:t>
      </w:r>
      <w:r w:rsidRPr="00903726">
        <w:rPr>
          <w:rFonts w:eastAsia="Times New Roman"/>
          <w:color w:val="000000" w:themeColor="text1"/>
          <w:sz w:val="24"/>
          <w:szCs w:val="24"/>
          <w:lang w:val="en-GB"/>
        </w:rPr>
        <w:t xml:space="preserve">. However, these peculiar laws in England in origin were different conquests that were supported by the regions of the country. In addition to this, the European rulers and common law was issued by the emperor </w:t>
      </w:r>
      <w:r w:rsidR="006446C8" w:rsidRPr="00903726">
        <w:rPr>
          <w:rFonts w:eastAsia="Times New Roman"/>
          <w:color w:val="000000" w:themeColor="text1"/>
          <w:sz w:val="24"/>
          <w:szCs w:val="24"/>
          <w:lang w:val="en-GB"/>
        </w:rPr>
        <w:t xml:space="preserve">Justinian in the advent of the </w:t>
      </w:r>
      <w:r w:rsidRPr="00903726">
        <w:rPr>
          <w:rFonts w:eastAsia="Times New Roman"/>
          <w:color w:val="000000" w:themeColor="text1"/>
          <w:sz w:val="24"/>
          <w:szCs w:val="24"/>
          <w:lang w:val="en-GB"/>
        </w:rPr>
        <w:t>6th century and that was again discovered in the 11th century (</w:t>
      </w:r>
      <w:proofErr w:type="spellStart"/>
      <w:r w:rsidRPr="00903726">
        <w:rPr>
          <w:rFonts w:eastAsia="Times New Roman"/>
          <w:color w:val="000000" w:themeColor="text1"/>
          <w:sz w:val="24"/>
          <w:szCs w:val="24"/>
          <w:highlight w:val="white"/>
          <w:lang w:val="en-GB"/>
        </w:rPr>
        <w:t>Krishnakumar</w:t>
      </w:r>
      <w:proofErr w:type="spellEnd"/>
      <w:r w:rsidRPr="00903726">
        <w:rPr>
          <w:rFonts w:eastAsia="Times New Roman"/>
          <w:color w:val="000000" w:themeColor="text1"/>
          <w:sz w:val="24"/>
          <w:szCs w:val="24"/>
          <w:highlight w:val="white"/>
          <w:lang w:val="en-GB"/>
        </w:rPr>
        <w:t>, 2022)</w:t>
      </w:r>
      <w:r w:rsidRPr="00903726">
        <w:rPr>
          <w:rFonts w:eastAsia="Times New Roman"/>
          <w:color w:val="000000" w:themeColor="text1"/>
          <w:sz w:val="24"/>
          <w:szCs w:val="24"/>
          <w:lang w:val="en-GB"/>
        </w:rPr>
        <w:t xml:space="preserve">. In the meantime in the 18th century, the alignment has been covered by the rulers from the different continental countries that have taken a comprehensive legal code. </w:t>
      </w:r>
    </w:p>
    <w:p w14:paraId="00000029" w14:textId="77777777" w:rsidR="006F7C6F" w:rsidRPr="00903726" w:rsidRDefault="00BF7E13">
      <w:pPr>
        <w:pStyle w:val="Heading1"/>
        <w:spacing w:line="360" w:lineRule="auto"/>
        <w:jc w:val="both"/>
        <w:rPr>
          <w:rFonts w:ascii="Arial" w:hAnsi="Arial" w:cs="Arial"/>
          <w:color w:val="000000" w:themeColor="text1"/>
          <w:sz w:val="28"/>
          <w:szCs w:val="28"/>
          <w:lang w:val="en-GB"/>
        </w:rPr>
      </w:pPr>
      <w:bookmarkStart w:id="10" w:name="_Toc129198781"/>
      <w:r w:rsidRPr="00903726">
        <w:rPr>
          <w:rFonts w:ascii="Arial" w:hAnsi="Arial" w:cs="Arial"/>
          <w:color w:val="000000" w:themeColor="text1"/>
          <w:sz w:val="28"/>
          <w:szCs w:val="28"/>
          <w:lang w:val="en-GB"/>
        </w:rPr>
        <w:t>Example</w:t>
      </w:r>
      <w:bookmarkEnd w:id="10"/>
    </w:p>
    <w:p w14:paraId="0000002A" w14:textId="77777777"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According to</w:t>
      </w:r>
      <w:r w:rsidRPr="00903726">
        <w:rPr>
          <w:rFonts w:eastAsia="Times New Roman"/>
          <w:b/>
          <w:i/>
          <w:color w:val="000000" w:themeColor="text1"/>
          <w:sz w:val="24"/>
          <w:szCs w:val="24"/>
          <w:lang w:val="en-GB"/>
        </w:rPr>
        <w:t xml:space="preserve"> the "R v R case of 1991"</w:t>
      </w:r>
      <w:r w:rsidRPr="00903726">
        <w:rPr>
          <w:rFonts w:eastAsia="Times New Roman"/>
          <w:color w:val="000000" w:themeColor="text1"/>
          <w:sz w:val="24"/>
          <w:szCs w:val="24"/>
          <w:lang w:val="en-GB"/>
        </w:rPr>
        <w:t xml:space="preserve"> relates to the case that marriage does not pave the way to a man to rape his wife though they are legally married but doing sexual intercourse without the wife's consent can be termed as rape as marriage does not grant permission to the husband to freely access sexual intercourse over his wife at any time he wants without waiting for her permission (</w:t>
      </w:r>
      <w:proofErr w:type="spellStart"/>
      <w:r w:rsidRPr="00903726">
        <w:rPr>
          <w:rFonts w:eastAsia="Times New Roman"/>
          <w:color w:val="000000" w:themeColor="text1"/>
          <w:sz w:val="24"/>
          <w:szCs w:val="24"/>
          <w:highlight w:val="white"/>
          <w:lang w:val="en-GB"/>
        </w:rPr>
        <w:t>Sokol</w:t>
      </w:r>
      <w:proofErr w:type="spellEnd"/>
      <w:r w:rsidRPr="00903726">
        <w:rPr>
          <w:rFonts w:eastAsia="Times New Roman"/>
          <w:color w:val="000000" w:themeColor="text1"/>
          <w:sz w:val="24"/>
          <w:szCs w:val="24"/>
          <w:highlight w:val="white"/>
          <w:lang w:val="en-GB"/>
        </w:rPr>
        <w:t>, 2019)</w:t>
      </w:r>
      <w:r w:rsidRPr="00903726">
        <w:rPr>
          <w:rFonts w:eastAsia="Times New Roman"/>
          <w:color w:val="000000" w:themeColor="text1"/>
          <w:sz w:val="24"/>
          <w:szCs w:val="24"/>
          <w:lang w:val="en-GB"/>
        </w:rPr>
        <w:t xml:space="preserve">. The case has made it mostly memorable and termed as a shock factor based on it. According to the modern-day supporters related to </w:t>
      </w:r>
      <w:r w:rsidRPr="00903726">
        <w:rPr>
          <w:rFonts w:eastAsia="Times New Roman"/>
          <w:b/>
          <w:i/>
          <w:color w:val="000000" w:themeColor="text1"/>
          <w:sz w:val="24"/>
          <w:szCs w:val="24"/>
          <w:lang w:val="en-GB"/>
        </w:rPr>
        <w:t>#MeToo</w:t>
      </w:r>
      <w:r w:rsidRPr="00903726">
        <w:rPr>
          <w:rFonts w:eastAsia="Times New Roman"/>
          <w:color w:val="000000" w:themeColor="text1"/>
          <w:sz w:val="24"/>
          <w:szCs w:val="24"/>
          <w:lang w:val="en-GB"/>
        </w:rPr>
        <w:t xml:space="preserve"> which provides support to the survivors of sexual crime makes it is not possible to believe that not less than the early 90s the exception of the related to matrimonial access to rape has been removed from the law which means that from the year 1991, the law does not defend the rapist and termed it as a crime committed by a husband without taking wife's permission while having sexual relation with her (</w:t>
      </w:r>
      <w:proofErr w:type="spellStart"/>
      <w:r w:rsidRPr="00903726">
        <w:rPr>
          <w:rFonts w:eastAsia="Times New Roman"/>
          <w:color w:val="000000" w:themeColor="text1"/>
          <w:sz w:val="24"/>
          <w:szCs w:val="24"/>
          <w:highlight w:val="white"/>
          <w:lang w:val="en-GB"/>
        </w:rPr>
        <w:t>Grecksch</w:t>
      </w:r>
      <w:proofErr w:type="spellEnd"/>
      <w:r w:rsidRPr="00903726">
        <w:rPr>
          <w:rFonts w:eastAsia="Times New Roman"/>
          <w:color w:val="000000" w:themeColor="text1"/>
          <w:sz w:val="24"/>
          <w:szCs w:val="24"/>
          <w:highlight w:val="white"/>
          <w:lang w:val="en-GB"/>
        </w:rPr>
        <w:t>, 2023)</w:t>
      </w:r>
      <w:r w:rsidRPr="00903726">
        <w:rPr>
          <w:rFonts w:eastAsia="Times New Roman"/>
          <w:color w:val="000000" w:themeColor="text1"/>
          <w:sz w:val="24"/>
          <w:szCs w:val="24"/>
          <w:lang w:val="en-GB"/>
        </w:rPr>
        <w:t>.</w:t>
      </w:r>
    </w:p>
    <w:p w14:paraId="0000002B" w14:textId="6927E40B"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 xml:space="preserve">Another example of common law is </w:t>
      </w:r>
      <w:r w:rsidRPr="00903726">
        <w:rPr>
          <w:rFonts w:eastAsia="Times New Roman"/>
          <w:b/>
          <w:i/>
          <w:color w:val="000000" w:themeColor="text1"/>
          <w:sz w:val="24"/>
          <w:szCs w:val="24"/>
          <w:lang w:val="en-GB"/>
        </w:rPr>
        <w:t xml:space="preserve">"A v Secretary of State for the Home Department" </w:t>
      </w:r>
      <w:r w:rsidRPr="00903726">
        <w:rPr>
          <w:rFonts w:eastAsia="Times New Roman"/>
          <w:color w:val="000000" w:themeColor="text1"/>
          <w:sz w:val="24"/>
          <w:szCs w:val="24"/>
          <w:lang w:val="en-GB"/>
        </w:rPr>
        <w:t>which</w:t>
      </w:r>
      <w:r w:rsidRPr="00903726">
        <w:rPr>
          <w:rFonts w:eastAsia="Times New Roman"/>
          <w:b/>
          <w:i/>
          <w:color w:val="000000" w:themeColor="text1"/>
          <w:sz w:val="24"/>
          <w:szCs w:val="24"/>
          <w:lang w:val="en-GB"/>
        </w:rPr>
        <w:t xml:space="preserve"> </w:t>
      </w:r>
      <w:r w:rsidRPr="00903726">
        <w:rPr>
          <w:rFonts w:eastAsia="Times New Roman"/>
          <w:color w:val="000000" w:themeColor="text1"/>
          <w:sz w:val="24"/>
          <w:szCs w:val="24"/>
          <w:lang w:val="en-GB"/>
        </w:rPr>
        <w:t>is begun by the challenging approaches of a decision of special appeals for the immigration commission. It has ejected from the country that is on the basis of what were indices by the threat to national security in a particular way. Additionally, the nine planets that were expected were detained in December 2001 as it was detained in February and April (</w:t>
      </w:r>
      <w:proofErr w:type="spellStart"/>
      <w:r w:rsidRPr="00903726">
        <w:rPr>
          <w:rFonts w:eastAsia="Times New Roman"/>
          <w:color w:val="000000" w:themeColor="text1"/>
          <w:sz w:val="24"/>
          <w:szCs w:val="24"/>
          <w:highlight w:val="white"/>
          <w:lang w:val="en-GB"/>
        </w:rPr>
        <w:t>Pfander</w:t>
      </w:r>
      <w:proofErr w:type="spellEnd"/>
      <w:r w:rsidRPr="00903726">
        <w:rPr>
          <w:rFonts w:eastAsia="Times New Roman"/>
          <w:color w:val="000000" w:themeColor="text1"/>
          <w:sz w:val="24"/>
          <w:szCs w:val="24"/>
          <w:highlight w:val="white"/>
          <w:lang w:val="en-GB"/>
        </w:rPr>
        <w:t xml:space="preserve">, and </w:t>
      </w:r>
      <w:proofErr w:type="spellStart"/>
      <w:r w:rsidRPr="00903726">
        <w:rPr>
          <w:rFonts w:eastAsia="Times New Roman"/>
          <w:color w:val="000000" w:themeColor="text1"/>
          <w:sz w:val="24"/>
          <w:szCs w:val="24"/>
          <w:highlight w:val="white"/>
          <w:lang w:val="en-GB"/>
        </w:rPr>
        <w:t>Wentzel</w:t>
      </w:r>
      <w:proofErr w:type="spellEnd"/>
      <w:r w:rsidRPr="00903726">
        <w:rPr>
          <w:rFonts w:eastAsia="Times New Roman"/>
          <w:color w:val="000000" w:themeColor="text1"/>
          <w:sz w:val="24"/>
          <w:szCs w:val="24"/>
          <w:highlight w:val="white"/>
          <w:lang w:val="en-GB"/>
        </w:rPr>
        <w:t>,</w:t>
      </w:r>
      <w:r w:rsidR="006446C8" w:rsidRPr="00903726">
        <w:rPr>
          <w:rFonts w:eastAsia="Times New Roman"/>
          <w:color w:val="000000" w:themeColor="text1"/>
          <w:sz w:val="24"/>
          <w:szCs w:val="24"/>
          <w:highlight w:val="white"/>
          <w:lang w:val="en-GB"/>
        </w:rPr>
        <w:t xml:space="preserve"> </w:t>
      </w:r>
      <w:r w:rsidRPr="00903726">
        <w:rPr>
          <w:rFonts w:eastAsia="Times New Roman"/>
          <w:color w:val="000000" w:themeColor="text1"/>
          <w:sz w:val="24"/>
          <w:szCs w:val="24"/>
          <w:highlight w:val="white"/>
          <w:lang w:val="en-GB"/>
        </w:rPr>
        <w:t>2019)</w:t>
      </w:r>
      <w:r w:rsidRPr="00903726">
        <w:rPr>
          <w:rFonts w:eastAsia="Times New Roman"/>
          <w:color w:val="000000" w:themeColor="text1"/>
          <w:sz w:val="24"/>
          <w:szCs w:val="24"/>
          <w:lang w:val="en-GB"/>
        </w:rPr>
        <w:t xml:space="preserve">. </w:t>
      </w:r>
      <w:r w:rsidRPr="00903726">
        <w:rPr>
          <w:rFonts w:eastAsia="Times New Roman"/>
          <w:b/>
          <w:i/>
          <w:color w:val="000000" w:themeColor="text1"/>
          <w:sz w:val="24"/>
          <w:szCs w:val="24"/>
          <w:lang w:val="en-GB"/>
        </w:rPr>
        <w:t>“Anti-terrorism, crime, and security Act 2001”</w:t>
      </w:r>
      <w:r w:rsidRPr="00903726">
        <w:rPr>
          <w:rFonts w:eastAsia="Times New Roman"/>
          <w:color w:val="000000" w:themeColor="text1"/>
          <w:sz w:val="24"/>
          <w:szCs w:val="24"/>
          <w:lang w:val="en-GB"/>
        </w:rPr>
        <w:t xml:space="preserve"> has been depicted to indefinite detention in their deposition and trial of the cases. Therefore, the replacement of ATCSA 2001 with the </w:t>
      </w:r>
      <w:r w:rsidRPr="00903726">
        <w:rPr>
          <w:rFonts w:eastAsia="Times New Roman"/>
          <w:b/>
          <w:i/>
          <w:color w:val="000000" w:themeColor="text1"/>
          <w:sz w:val="24"/>
          <w:szCs w:val="24"/>
          <w:lang w:val="en-GB"/>
        </w:rPr>
        <w:t xml:space="preserve">“Prevention of Terrorism Act 2005” </w:t>
      </w:r>
      <w:r w:rsidRPr="00903726">
        <w:rPr>
          <w:rFonts w:eastAsia="Times New Roman"/>
          <w:color w:val="000000" w:themeColor="text1"/>
          <w:sz w:val="24"/>
          <w:szCs w:val="24"/>
          <w:lang w:val="en-GB"/>
        </w:rPr>
        <w:t>allows anyone nationally subjected to a control order.</w:t>
      </w:r>
    </w:p>
    <w:p w14:paraId="0000002C" w14:textId="77777777" w:rsidR="006F7C6F" w:rsidRPr="00903726" w:rsidRDefault="00BF7E13">
      <w:pPr>
        <w:pStyle w:val="Heading1"/>
        <w:spacing w:line="360" w:lineRule="auto"/>
        <w:jc w:val="both"/>
        <w:rPr>
          <w:rFonts w:ascii="Arial" w:hAnsi="Arial" w:cs="Arial"/>
          <w:b w:val="0"/>
          <w:color w:val="000000" w:themeColor="text1"/>
          <w:sz w:val="28"/>
          <w:szCs w:val="28"/>
          <w:lang w:val="en-GB"/>
        </w:rPr>
      </w:pPr>
      <w:bookmarkStart w:id="11" w:name="_Toc129198782"/>
      <w:r w:rsidRPr="00903726">
        <w:rPr>
          <w:rFonts w:ascii="Arial" w:hAnsi="Arial" w:cs="Arial"/>
          <w:color w:val="000000" w:themeColor="text1"/>
          <w:sz w:val="28"/>
          <w:szCs w:val="28"/>
          <w:lang w:val="en-GB"/>
        </w:rPr>
        <w:t>Conclusion</w:t>
      </w:r>
      <w:bookmarkEnd w:id="11"/>
    </w:p>
    <w:p w14:paraId="0000002D" w14:textId="77777777" w:rsidR="006F7C6F" w:rsidRPr="00903726" w:rsidRDefault="00BF7E13">
      <w:pPr>
        <w:pBdr>
          <w:top w:val="nil"/>
          <w:left w:val="nil"/>
          <w:bottom w:val="nil"/>
          <w:right w:val="nil"/>
          <w:between w:val="nil"/>
        </w:pBdr>
        <w:spacing w:line="360" w:lineRule="auto"/>
        <w:jc w:val="both"/>
        <w:rPr>
          <w:rFonts w:eastAsia="Times New Roman"/>
          <w:color w:val="000000" w:themeColor="text1"/>
          <w:sz w:val="24"/>
          <w:szCs w:val="24"/>
          <w:lang w:val="en-GB"/>
        </w:rPr>
      </w:pPr>
      <w:r w:rsidRPr="00903726">
        <w:rPr>
          <w:rFonts w:eastAsia="Times New Roman"/>
          <w:color w:val="000000" w:themeColor="text1"/>
          <w:sz w:val="24"/>
          <w:szCs w:val="24"/>
          <w:lang w:val="en-GB"/>
        </w:rPr>
        <w:t>The analytical report has extensively evaluated the common law and civil law as prescribed in the constitution of the UK. Moreover, the interrelationship has undergone intense introspection throughout the report. The historical background of the common law of the UK constitution has also been discussed with particular reference to some of the cases in the UK courts. Therefore, in conclusion, it can be said that both the common law and civil laws have not only immense significance in the legal and constitutional framework of the UK, but these have poignant practical implications in the lives of the common populace of the UK. The report has appropriately depicted the importance of the laws across the nation in the macrocosm.</w:t>
      </w:r>
      <w:r w:rsidRPr="00903726">
        <w:rPr>
          <w:color w:val="000000" w:themeColor="text1"/>
          <w:lang w:val="en-GB"/>
        </w:rPr>
        <w:br w:type="page"/>
      </w:r>
    </w:p>
    <w:p w14:paraId="0000002E" w14:textId="77777777" w:rsidR="006F7C6F" w:rsidRPr="00903726" w:rsidRDefault="00BF7E13">
      <w:pPr>
        <w:pStyle w:val="Heading1"/>
        <w:spacing w:line="360" w:lineRule="auto"/>
        <w:jc w:val="center"/>
        <w:rPr>
          <w:rFonts w:ascii="Arial" w:hAnsi="Arial" w:cs="Arial"/>
          <w:b w:val="0"/>
          <w:color w:val="000000" w:themeColor="text1"/>
          <w:sz w:val="28"/>
          <w:szCs w:val="28"/>
          <w:lang w:val="en-GB"/>
        </w:rPr>
      </w:pPr>
      <w:bookmarkStart w:id="12" w:name="_Toc129198783"/>
      <w:r w:rsidRPr="00903726">
        <w:rPr>
          <w:rFonts w:ascii="Arial" w:hAnsi="Arial" w:cs="Arial"/>
          <w:color w:val="000000" w:themeColor="text1"/>
          <w:sz w:val="28"/>
          <w:szCs w:val="28"/>
          <w:lang w:val="en-GB"/>
        </w:rPr>
        <w:t>References list</w:t>
      </w:r>
      <w:bookmarkEnd w:id="12"/>
      <w:r w:rsidRPr="00903726">
        <w:rPr>
          <w:rFonts w:ascii="Arial" w:hAnsi="Arial" w:cs="Arial"/>
          <w:color w:val="000000" w:themeColor="text1"/>
          <w:sz w:val="28"/>
          <w:szCs w:val="28"/>
          <w:lang w:val="en-GB"/>
        </w:rPr>
        <w:t xml:space="preserve"> </w:t>
      </w:r>
    </w:p>
    <w:p w14:paraId="6DED00E3"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Balganesh</w:t>
      </w:r>
      <w:proofErr w:type="spellEnd"/>
      <w:r w:rsidRPr="00903726">
        <w:rPr>
          <w:rFonts w:eastAsia="Times New Roman"/>
          <w:color w:val="000000" w:themeColor="text1"/>
          <w:sz w:val="24"/>
          <w:szCs w:val="24"/>
          <w:highlight w:val="white"/>
          <w:lang w:val="en-GB"/>
        </w:rPr>
        <w:t xml:space="preserve">, S., 2023. Cardozo and Uncertainty in the Common Law. </w:t>
      </w:r>
      <w:r w:rsidRPr="00903726">
        <w:rPr>
          <w:rFonts w:eastAsia="Times New Roman"/>
          <w:i/>
          <w:color w:val="000000" w:themeColor="text1"/>
          <w:sz w:val="24"/>
          <w:szCs w:val="24"/>
          <w:highlight w:val="white"/>
          <w:lang w:val="en-GB"/>
        </w:rPr>
        <w:t>Yale Journal of Law and the Humanities</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34</w:t>
      </w:r>
      <w:r w:rsidRPr="00903726">
        <w:rPr>
          <w:rFonts w:eastAsia="Times New Roman"/>
          <w:color w:val="000000" w:themeColor="text1"/>
          <w:sz w:val="24"/>
          <w:szCs w:val="24"/>
          <w:highlight w:val="white"/>
          <w:lang w:val="en-GB"/>
        </w:rPr>
        <w:t>.</w:t>
      </w:r>
    </w:p>
    <w:p w14:paraId="3847E533"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Bussani</w:t>
      </w:r>
      <w:proofErr w:type="spellEnd"/>
      <w:r w:rsidRPr="00903726">
        <w:rPr>
          <w:rFonts w:eastAsia="Times New Roman"/>
          <w:color w:val="000000" w:themeColor="text1"/>
          <w:sz w:val="24"/>
          <w:szCs w:val="24"/>
          <w:highlight w:val="white"/>
          <w:lang w:val="en-GB"/>
        </w:rPr>
        <w:t xml:space="preserve">, M., </w:t>
      </w:r>
      <w:proofErr w:type="spellStart"/>
      <w:r w:rsidRPr="00903726">
        <w:rPr>
          <w:rFonts w:eastAsia="Times New Roman"/>
          <w:color w:val="000000" w:themeColor="text1"/>
          <w:sz w:val="24"/>
          <w:szCs w:val="24"/>
          <w:highlight w:val="white"/>
          <w:lang w:val="en-GB"/>
        </w:rPr>
        <w:t>Sebok</w:t>
      </w:r>
      <w:proofErr w:type="spellEnd"/>
      <w:r w:rsidRPr="00903726">
        <w:rPr>
          <w:rFonts w:eastAsia="Times New Roman"/>
          <w:color w:val="000000" w:themeColor="text1"/>
          <w:sz w:val="24"/>
          <w:szCs w:val="24"/>
          <w:highlight w:val="white"/>
          <w:lang w:val="en-GB"/>
        </w:rPr>
        <w:t xml:space="preserve">, A. and </w:t>
      </w:r>
      <w:proofErr w:type="spellStart"/>
      <w:r w:rsidRPr="00903726">
        <w:rPr>
          <w:rFonts w:eastAsia="Times New Roman"/>
          <w:color w:val="000000" w:themeColor="text1"/>
          <w:sz w:val="24"/>
          <w:szCs w:val="24"/>
          <w:highlight w:val="white"/>
          <w:lang w:val="en-GB"/>
        </w:rPr>
        <w:t>Infantino</w:t>
      </w:r>
      <w:proofErr w:type="spellEnd"/>
      <w:r w:rsidRPr="00903726">
        <w:rPr>
          <w:rFonts w:eastAsia="Times New Roman"/>
          <w:color w:val="000000" w:themeColor="text1"/>
          <w:sz w:val="24"/>
          <w:szCs w:val="24"/>
          <w:highlight w:val="white"/>
          <w:lang w:val="en-GB"/>
        </w:rPr>
        <w:t>, M., 2022. Common Law and Civil Law Perspectives on Tort Law. Oxford University Press.</w:t>
      </w:r>
    </w:p>
    <w:p w14:paraId="39309C2F"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Chouaibi</w:t>
      </w:r>
      <w:proofErr w:type="spellEnd"/>
      <w:r w:rsidRPr="00903726">
        <w:rPr>
          <w:rFonts w:eastAsia="Times New Roman"/>
          <w:color w:val="000000" w:themeColor="text1"/>
          <w:sz w:val="24"/>
          <w:szCs w:val="24"/>
          <w:highlight w:val="white"/>
          <w:lang w:val="en-GB"/>
        </w:rPr>
        <w:t xml:space="preserve">, S., </w:t>
      </w:r>
      <w:proofErr w:type="spellStart"/>
      <w:r w:rsidRPr="00903726">
        <w:rPr>
          <w:rFonts w:eastAsia="Times New Roman"/>
          <w:color w:val="000000" w:themeColor="text1"/>
          <w:sz w:val="24"/>
          <w:szCs w:val="24"/>
          <w:highlight w:val="white"/>
          <w:lang w:val="en-GB"/>
        </w:rPr>
        <w:t>Chouaibi</w:t>
      </w:r>
      <w:proofErr w:type="spellEnd"/>
      <w:r w:rsidRPr="00903726">
        <w:rPr>
          <w:rFonts w:eastAsia="Times New Roman"/>
          <w:color w:val="000000" w:themeColor="text1"/>
          <w:sz w:val="24"/>
          <w:szCs w:val="24"/>
          <w:highlight w:val="white"/>
          <w:lang w:val="en-GB"/>
        </w:rPr>
        <w:t xml:space="preserve">, J. and Rossi, M., 2022. ESG and corporate financial performance: The mediating role of green innovation: UK common law versus Germany civil law. </w:t>
      </w:r>
      <w:proofErr w:type="spellStart"/>
      <w:r w:rsidRPr="00903726">
        <w:rPr>
          <w:rFonts w:eastAsia="Times New Roman"/>
          <w:i/>
          <w:color w:val="000000" w:themeColor="text1"/>
          <w:sz w:val="24"/>
          <w:szCs w:val="24"/>
          <w:highlight w:val="white"/>
          <w:lang w:val="en-GB"/>
        </w:rPr>
        <w:t>EuroMed</w:t>
      </w:r>
      <w:proofErr w:type="spellEnd"/>
      <w:r w:rsidRPr="00903726">
        <w:rPr>
          <w:rFonts w:eastAsia="Times New Roman"/>
          <w:i/>
          <w:color w:val="000000" w:themeColor="text1"/>
          <w:sz w:val="24"/>
          <w:szCs w:val="24"/>
          <w:highlight w:val="white"/>
          <w:lang w:val="en-GB"/>
        </w:rPr>
        <w:t xml:space="preserve"> Journal of Business</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17</w:t>
      </w:r>
      <w:r w:rsidRPr="00903726">
        <w:rPr>
          <w:rFonts w:eastAsia="Times New Roman"/>
          <w:color w:val="000000" w:themeColor="text1"/>
          <w:sz w:val="24"/>
          <w:szCs w:val="24"/>
          <w:highlight w:val="white"/>
          <w:lang w:val="en-GB"/>
        </w:rPr>
        <w:t>(1), pp.46-71.</w:t>
      </w:r>
    </w:p>
    <w:p w14:paraId="18E49BEE"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r w:rsidRPr="00903726">
        <w:rPr>
          <w:rFonts w:eastAsia="Times New Roman"/>
          <w:color w:val="000000" w:themeColor="text1"/>
          <w:sz w:val="24"/>
          <w:szCs w:val="24"/>
          <w:highlight w:val="white"/>
          <w:lang w:val="en-GB"/>
        </w:rPr>
        <w:t xml:space="preserve">Christie, M., 2023. The jewel in the crown of the common law. </w:t>
      </w:r>
      <w:r w:rsidRPr="00903726">
        <w:rPr>
          <w:rFonts w:eastAsia="Times New Roman"/>
          <w:i/>
          <w:color w:val="000000" w:themeColor="text1"/>
          <w:sz w:val="24"/>
          <w:szCs w:val="24"/>
          <w:highlight w:val="white"/>
          <w:lang w:val="en-GB"/>
        </w:rPr>
        <w:t>BUILDING AND CONSTRUCTION LAW JOURNAL</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38</w:t>
      </w:r>
      <w:r w:rsidRPr="00903726">
        <w:rPr>
          <w:rFonts w:eastAsia="Times New Roman"/>
          <w:color w:val="000000" w:themeColor="text1"/>
          <w:sz w:val="24"/>
          <w:szCs w:val="24"/>
          <w:highlight w:val="white"/>
          <w:lang w:val="en-GB"/>
        </w:rPr>
        <w:t>(2), pp.69-69.</w:t>
      </w:r>
    </w:p>
    <w:p w14:paraId="153EBFAC"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Grecksch</w:t>
      </w:r>
      <w:proofErr w:type="spellEnd"/>
      <w:r w:rsidRPr="00903726">
        <w:rPr>
          <w:rFonts w:eastAsia="Times New Roman"/>
          <w:color w:val="000000" w:themeColor="text1"/>
          <w:sz w:val="24"/>
          <w:szCs w:val="24"/>
          <w:highlight w:val="white"/>
          <w:lang w:val="en-GB"/>
        </w:rPr>
        <w:t xml:space="preserve">, K., 2023. Common law. In </w:t>
      </w:r>
      <w:r w:rsidRPr="00903726">
        <w:rPr>
          <w:rFonts w:eastAsia="Times New Roman"/>
          <w:i/>
          <w:color w:val="000000" w:themeColor="text1"/>
          <w:sz w:val="24"/>
          <w:szCs w:val="24"/>
          <w:highlight w:val="white"/>
          <w:lang w:val="en-GB"/>
        </w:rPr>
        <w:t>Dictionary of Ecological Economics</w:t>
      </w:r>
      <w:r w:rsidRPr="00903726">
        <w:rPr>
          <w:rFonts w:eastAsia="Times New Roman"/>
          <w:color w:val="000000" w:themeColor="text1"/>
          <w:sz w:val="24"/>
          <w:szCs w:val="24"/>
          <w:highlight w:val="white"/>
          <w:lang w:val="en-GB"/>
        </w:rPr>
        <w:t xml:space="preserve"> (pp. 78-79).Edward Elgar Publishing.</w:t>
      </w:r>
    </w:p>
    <w:p w14:paraId="234BE488"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Hessick</w:t>
      </w:r>
      <w:proofErr w:type="spellEnd"/>
      <w:r w:rsidRPr="00903726">
        <w:rPr>
          <w:rFonts w:eastAsia="Times New Roman"/>
          <w:color w:val="000000" w:themeColor="text1"/>
          <w:sz w:val="24"/>
          <w:szCs w:val="24"/>
          <w:highlight w:val="white"/>
          <w:lang w:val="en-GB"/>
        </w:rPr>
        <w:t xml:space="preserve">, C.B., 2019. The Myth of Common Law Crimes. </w:t>
      </w:r>
      <w:r w:rsidRPr="00903726">
        <w:rPr>
          <w:rFonts w:eastAsia="Times New Roman"/>
          <w:i/>
          <w:color w:val="000000" w:themeColor="text1"/>
          <w:sz w:val="24"/>
          <w:szCs w:val="24"/>
          <w:highlight w:val="white"/>
          <w:lang w:val="en-GB"/>
        </w:rPr>
        <w:t>Virginia Law Review</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105</w:t>
      </w:r>
      <w:r w:rsidRPr="00903726">
        <w:rPr>
          <w:rFonts w:eastAsia="Times New Roman"/>
          <w:color w:val="000000" w:themeColor="text1"/>
          <w:sz w:val="24"/>
          <w:szCs w:val="24"/>
          <w:highlight w:val="white"/>
          <w:lang w:val="en-GB"/>
        </w:rPr>
        <w:t>(5), pp.965-1024.</w:t>
      </w:r>
    </w:p>
    <w:p w14:paraId="318AEDFA"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Krishnakumar</w:t>
      </w:r>
      <w:proofErr w:type="spellEnd"/>
      <w:r w:rsidRPr="00903726">
        <w:rPr>
          <w:rFonts w:eastAsia="Times New Roman"/>
          <w:color w:val="000000" w:themeColor="text1"/>
          <w:sz w:val="24"/>
          <w:szCs w:val="24"/>
          <w:highlight w:val="white"/>
          <w:lang w:val="en-GB"/>
        </w:rPr>
        <w:t xml:space="preserve">, A.S., 2022. The Common Law as Statutory Backdrop. </w:t>
      </w:r>
      <w:proofErr w:type="spellStart"/>
      <w:r w:rsidRPr="00903726">
        <w:rPr>
          <w:rFonts w:eastAsia="Times New Roman"/>
          <w:i/>
          <w:color w:val="000000" w:themeColor="text1"/>
          <w:sz w:val="24"/>
          <w:szCs w:val="24"/>
          <w:highlight w:val="white"/>
          <w:lang w:val="en-GB"/>
        </w:rPr>
        <w:t>Harv</w:t>
      </w:r>
      <w:proofErr w:type="spellEnd"/>
      <w:r w:rsidRPr="00903726">
        <w:rPr>
          <w:rFonts w:eastAsia="Times New Roman"/>
          <w:i/>
          <w:color w:val="000000" w:themeColor="text1"/>
          <w:sz w:val="24"/>
          <w:szCs w:val="24"/>
          <w:highlight w:val="white"/>
          <w:lang w:val="en-GB"/>
        </w:rPr>
        <w:t>. L. Rev.</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136</w:t>
      </w:r>
      <w:r w:rsidRPr="00903726">
        <w:rPr>
          <w:rFonts w:eastAsia="Times New Roman"/>
          <w:color w:val="000000" w:themeColor="text1"/>
          <w:sz w:val="24"/>
          <w:szCs w:val="24"/>
          <w:highlight w:val="white"/>
          <w:lang w:val="en-GB"/>
        </w:rPr>
        <w:t>, p.608.</w:t>
      </w:r>
    </w:p>
    <w:p w14:paraId="39D86EFB"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Pfander</w:t>
      </w:r>
      <w:proofErr w:type="spellEnd"/>
      <w:r w:rsidRPr="00903726">
        <w:rPr>
          <w:rFonts w:eastAsia="Times New Roman"/>
          <w:color w:val="000000" w:themeColor="text1"/>
          <w:sz w:val="24"/>
          <w:szCs w:val="24"/>
          <w:highlight w:val="white"/>
          <w:lang w:val="en-GB"/>
        </w:rPr>
        <w:t xml:space="preserve">, J.E. and </w:t>
      </w:r>
      <w:proofErr w:type="spellStart"/>
      <w:r w:rsidRPr="00903726">
        <w:rPr>
          <w:rFonts w:eastAsia="Times New Roman"/>
          <w:color w:val="000000" w:themeColor="text1"/>
          <w:sz w:val="24"/>
          <w:szCs w:val="24"/>
          <w:highlight w:val="white"/>
          <w:lang w:val="en-GB"/>
        </w:rPr>
        <w:t>Wentzel</w:t>
      </w:r>
      <w:proofErr w:type="spellEnd"/>
      <w:r w:rsidRPr="00903726">
        <w:rPr>
          <w:rFonts w:eastAsia="Times New Roman"/>
          <w:color w:val="000000" w:themeColor="text1"/>
          <w:sz w:val="24"/>
          <w:szCs w:val="24"/>
          <w:highlight w:val="white"/>
          <w:lang w:val="en-GB"/>
        </w:rPr>
        <w:t xml:space="preserve">, J., 2019. The Common Law Origins of Ex parte Young. </w:t>
      </w:r>
      <w:r w:rsidRPr="00903726">
        <w:rPr>
          <w:rFonts w:eastAsia="Times New Roman"/>
          <w:i/>
          <w:color w:val="000000" w:themeColor="text1"/>
          <w:sz w:val="24"/>
          <w:szCs w:val="24"/>
          <w:highlight w:val="white"/>
          <w:lang w:val="en-GB"/>
        </w:rPr>
        <w:t xml:space="preserve">Stanford Law Review, Forthcoming, </w:t>
      </w:r>
      <w:proofErr w:type="spellStart"/>
      <w:r w:rsidRPr="00903726">
        <w:rPr>
          <w:rFonts w:eastAsia="Times New Roman"/>
          <w:i/>
          <w:color w:val="000000" w:themeColor="text1"/>
          <w:sz w:val="24"/>
          <w:szCs w:val="24"/>
          <w:highlight w:val="white"/>
          <w:lang w:val="en-GB"/>
        </w:rPr>
        <w:t>Northwestern</w:t>
      </w:r>
      <w:proofErr w:type="spellEnd"/>
      <w:r w:rsidRPr="00903726">
        <w:rPr>
          <w:rFonts w:eastAsia="Times New Roman"/>
          <w:i/>
          <w:color w:val="000000" w:themeColor="text1"/>
          <w:sz w:val="24"/>
          <w:szCs w:val="24"/>
          <w:highlight w:val="white"/>
          <w:lang w:val="en-GB"/>
        </w:rPr>
        <w:t xml:space="preserve"> Public Law Research Paper</w:t>
      </w:r>
      <w:r w:rsidRPr="00903726">
        <w:rPr>
          <w:rFonts w:eastAsia="Times New Roman"/>
          <w:color w:val="000000" w:themeColor="text1"/>
          <w:sz w:val="24"/>
          <w:szCs w:val="24"/>
          <w:highlight w:val="white"/>
          <w:lang w:val="en-GB"/>
        </w:rPr>
        <w:t>, (19-20).</w:t>
      </w:r>
    </w:p>
    <w:p w14:paraId="3F2660E2"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r w:rsidRPr="00903726">
        <w:rPr>
          <w:rFonts w:eastAsia="Times New Roman"/>
          <w:color w:val="000000" w:themeColor="text1"/>
          <w:sz w:val="24"/>
          <w:szCs w:val="24"/>
          <w:highlight w:val="white"/>
          <w:lang w:val="en-GB"/>
        </w:rPr>
        <w:t xml:space="preserve">Rogers, N. and Maloney, M., 2022. The Anthropocene Judgments project: A thought experiment in futureproofing the common law. </w:t>
      </w:r>
      <w:r w:rsidRPr="00903726">
        <w:rPr>
          <w:rFonts w:eastAsia="Times New Roman"/>
          <w:i/>
          <w:color w:val="000000" w:themeColor="text1"/>
          <w:sz w:val="24"/>
          <w:szCs w:val="24"/>
          <w:highlight w:val="white"/>
          <w:lang w:val="en-GB"/>
        </w:rPr>
        <w:t>Alternative Law Journal</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47</w:t>
      </w:r>
      <w:r w:rsidRPr="00903726">
        <w:rPr>
          <w:rFonts w:eastAsia="Times New Roman"/>
          <w:color w:val="000000" w:themeColor="text1"/>
          <w:sz w:val="24"/>
          <w:szCs w:val="24"/>
          <w:highlight w:val="white"/>
          <w:lang w:val="en-GB"/>
        </w:rPr>
        <w:t>(3), pp.173-178.</w:t>
      </w:r>
    </w:p>
    <w:p w14:paraId="3E5FA5CE"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Seabourne</w:t>
      </w:r>
      <w:proofErr w:type="spellEnd"/>
      <w:r w:rsidRPr="00903726">
        <w:rPr>
          <w:rFonts w:eastAsia="Times New Roman"/>
          <w:color w:val="000000" w:themeColor="text1"/>
          <w:sz w:val="24"/>
          <w:szCs w:val="24"/>
          <w:highlight w:val="white"/>
          <w:lang w:val="en-GB"/>
        </w:rPr>
        <w:t xml:space="preserve">, G., 2021. </w:t>
      </w:r>
      <w:r w:rsidRPr="00903726">
        <w:rPr>
          <w:rFonts w:eastAsia="Times New Roman"/>
          <w:i/>
          <w:color w:val="000000" w:themeColor="text1"/>
          <w:sz w:val="24"/>
          <w:szCs w:val="24"/>
          <w:highlight w:val="white"/>
          <w:lang w:val="en-GB"/>
        </w:rPr>
        <w:t>Women in the Medieval Common Law c. 1200–1500</w:t>
      </w:r>
      <w:r w:rsidRPr="00903726">
        <w:rPr>
          <w:rFonts w:eastAsia="Times New Roman"/>
          <w:color w:val="000000" w:themeColor="text1"/>
          <w:sz w:val="24"/>
          <w:szCs w:val="24"/>
          <w:highlight w:val="white"/>
          <w:lang w:val="en-GB"/>
        </w:rPr>
        <w:t>. Routledge.</w:t>
      </w:r>
    </w:p>
    <w:p w14:paraId="7668924B"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r w:rsidRPr="00903726">
        <w:rPr>
          <w:rFonts w:eastAsia="Times New Roman"/>
          <w:color w:val="000000" w:themeColor="text1"/>
          <w:sz w:val="24"/>
          <w:szCs w:val="24"/>
          <w:highlight w:val="white"/>
          <w:lang w:val="en-GB"/>
        </w:rPr>
        <w:t xml:space="preserve">Sharkey, C.M., 2023. Common Law Tort as a Transitional Regulatory Regime: A New Perspective on Climate Change Litigation. In </w:t>
      </w:r>
      <w:r w:rsidRPr="00903726">
        <w:rPr>
          <w:rFonts w:eastAsia="Times New Roman"/>
          <w:i/>
          <w:color w:val="000000" w:themeColor="text1"/>
          <w:sz w:val="24"/>
          <w:szCs w:val="24"/>
          <w:highlight w:val="white"/>
          <w:lang w:val="en-GB"/>
        </w:rPr>
        <w:t>Climate Liberalism: Perspectives on Liberty, Property and Pollution</w:t>
      </w:r>
      <w:r w:rsidRPr="00903726">
        <w:rPr>
          <w:rFonts w:eastAsia="Times New Roman"/>
          <w:color w:val="000000" w:themeColor="text1"/>
          <w:sz w:val="24"/>
          <w:szCs w:val="24"/>
          <w:highlight w:val="white"/>
          <w:lang w:val="en-GB"/>
        </w:rPr>
        <w:t xml:space="preserve"> (pp. 103-127). Cham: Springer International Publishing.</w:t>
      </w:r>
    </w:p>
    <w:p w14:paraId="24C14BDF" w14:textId="77777777" w:rsidR="0059030C" w:rsidRPr="00903726" w:rsidRDefault="0059030C" w:rsidP="0059030C">
      <w:pPr>
        <w:pBdr>
          <w:top w:val="nil"/>
          <w:left w:val="nil"/>
          <w:bottom w:val="nil"/>
          <w:right w:val="nil"/>
          <w:between w:val="nil"/>
        </w:pBdr>
        <w:spacing w:line="360" w:lineRule="auto"/>
        <w:jc w:val="both"/>
        <w:rPr>
          <w:rFonts w:eastAsia="Times New Roman"/>
          <w:color w:val="000000" w:themeColor="text1"/>
          <w:sz w:val="24"/>
          <w:szCs w:val="24"/>
          <w:highlight w:val="white"/>
          <w:lang w:val="en-GB"/>
        </w:rPr>
      </w:pPr>
      <w:proofErr w:type="spellStart"/>
      <w:r w:rsidRPr="00903726">
        <w:rPr>
          <w:rFonts w:eastAsia="Times New Roman"/>
          <w:color w:val="000000" w:themeColor="text1"/>
          <w:sz w:val="24"/>
          <w:szCs w:val="24"/>
          <w:highlight w:val="white"/>
          <w:lang w:val="en-GB"/>
        </w:rPr>
        <w:t>Sokol</w:t>
      </w:r>
      <w:proofErr w:type="spellEnd"/>
      <w:r w:rsidRPr="00903726">
        <w:rPr>
          <w:rFonts w:eastAsia="Times New Roman"/>
          <w:color w:val="000000" w:themeColor="text1"/>
          <w:sz w:val="24"/>
          <w:szCs w:val="24"/>
          <w:highlight w:val="white"/>
          <w:lang w:val="en-GB"/>
        </w:rPr>
        <w:t xml:space="preserve">, D.D., 2019. Rethinking the efficiency of the common law. </w:t>
      </w:r>
      <w:r w:rsidRPr="00903726">
        <w:rPr>
          <w:rFonts w:eastAsia="Times New Roman"/>
          <w:i/>
          <w:color w:val="000000" w:themeColor="text1"/>
          <w:sz w:val="24"/>
          <w:szCs w:val="24"/>
          <w:highlight w:val="white"/>
          <w:lang w:val="en-GB"/>
        </w:rPr>
        <w:t>Notre Dame L. Rev.</w:t>
      </w:r>
      <w:r w:rsidRPr="00903726">
        <w:rPr>
          <w:rFonts w:eastAsia="Times New Roman"/>
          <w:color w:val="000000" w:themeColor="text1"/>
          <w:sz w:val="24"/>
          <w:szCs w:val="24"/>
          <w:highlight w:val="white"/>
          <w:lang w:val="en-GB"/>
        </w:rPr>
        <w:t xml:space="preserve">, </w:t>
      </w:r>
      <w:r w:rsidRPr="00903726">
        <w:rPr>
          <w:rFonts w:eastAsia="Times New Roman"/>
          <w:i/>
          <w:color w:val="000000" w:themeColor="text1"/>
          <w:sz w:val="24"/>
          <w:szCs w:val="24"/>
          <w:highlight w:val="white"/>
          <w:lang w:val="en-GB"/>
        </w:rPr>
        <w:t>95</w:t>
      </w:r>
      <w:r w:rsidRPr="00903726">
        <w:rPr>
          <w:rFonts w:eastAsia="Times New Roman"/>
          <w:color w:val="000000" w:themeColor="text1"/>
          <w:sz w:val="24"/>
          <w:szCs w:val="24"/>
          <w:highlight w:val="white"/>
          <w:lang w:val="en-GB"/>
        </w:rPr>
        <w:t>, p.795.</w:t>
      </w:r>
    </w:p>
    <w:p w14:paraId="0000003B" w14:textId="77777777" w:rsidR="006F7C6F" w:rsidRPr="00903726" w:rsidRDefault="006F7C6F">
      <w:pPr>
        <w:pBdr>
          <w:top w:val="nil"/>
          <w:left w:val="nil"/>
          <w:bottom w:val="nil"/>
          <w:right w:val="nil"/>
          <w:between w:val="nil"/>
        </w:pBdr>
        <w:spacing w:line="360" w:lineRule="auto"/>
        <w:jc w:val="both"/>
        <w:rPr>
          <w:rFonts w:eastAsia="Times New Roman"/>
          <w:b/>
          <w:color w:val="000000" w:themeColor="text1"/>
          <w:sz w:val="24"/>
          <w:szCs w:val="24"/>
          <w:lang w:val="en-GB"/>
        </w:rPr>
      </w:pPr>
    </w:p>
    <w:sectPr w:rsidR="006F7C6F" w:rsidRPr="00903726" w:rsidSect="006446C8">
      <w:footerReference w:type="default" r:id="rId6"/>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E6297" w14:textId="77777777" w:rsidR="00B0518F" w:rsidRDefault="00B0518F">
      <w:pPr>
        <w:spacing w:line="240" w:lineRule="auto"/>
      </w:pPr>
      <w:r>
        <w:separator/>
      </w:r>
    </w:p>
  </w:endnote>
  <w:endnote w:type="continuationSeparator" w:id="0">
    <w:p w14:paraId="032779A3" w14:textId="77777777" w:rsidR="00B0518F" w:rsidRDefault="00B051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C" w14:textId="77777777" w:rsidR="006F7C6F" w:rsidRDefault="00BF7E13">
    <w:pPr>
      <w:pBdr>
        <w:top w:val="nil"/>
        <w:left w:val="nil"/>
        <w:bottom w:val="nil"/>
        <w:right w:val="nil"/>
        <w:between w:val="nil"/>
      </w:pBdr>
      <w:tabs>
        <w:tab w:val="center" w:pos="4680"/>
        <w:tab w:val="right" w:pos="9360"/>
      </w:tabs>
      <w:spacing w:line="240" w:lineRule="auto"/>
      <w:jc w:val="right"/>
      <w:rPr>
        <w:color w:val="000000"/>
      </w:rPr>
    </w:pPr>
    <w:r>
      <w:rPr>
        <w:rFonts w:ascii="Times New Roman" w:eastAsia="Times New Roman" w:hAnsi="Times New Roman" w:cs="Times New Roman"/>
        <w:color w:val="000000"/>
      </w:rPr>
      <w:t xml:space="preserve">Page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PAGE</w:instrText>
    </w:r>
    <w:r>
      <w:rPr>
        <w:rFonts w:ascii="Times New Roman" w:eastAsia="Times New Roman" w:hAnsi="Times New Roman" w:cs="Times New Roman"/>
        <w:b/>
        <w:color w:val="000000"/>
        <w:sz w:val="24"/>
        <w:szCs w:val="24"/>
      </w:rPr>
      <w:fldChar w:fldCharType="separate"/>
    </w:r>
    <w:r w:rsidR="00903726">
      <w:rPr>
        <w:rFonts w:ascii="Times New Roman" w:eastAsia="Times New Roman" w:hAnsi="Times New Roman" w:cs="Times New Roman"/>
        <w:b/>
        <w:noProof/>
        <w:color w:val="000000"/>
        <w:sz w:val="24"/>
        <w:szCs w:val="24"/>
      </w:rPr>
      <w:t>3</w:t>
    </w:r>
    <w:r>
      <w:rPr>
        <w:rFonts w:ascii="Times New Roman" w:eastAsia="Times New Roman" w:hAnsi="Times New Roman" w:cs="Times New Roman"/>
        <w:b/>
        <w:color w:val="000000"/>
        <w:sz w:val="24"/>
        <w:szCs w:val="24"/>
      </w:rPr>
      <w:fldChar w:fldCharType="end"/>
    </w:r>
    <w:r>
      <w:rPr>
        <w:rFonts w:ascii="Times New Roman" w:eastAsia="Times New Roman" w:hAnsi="Times New Roman" w:cs="Times New Roman"/>
        <w:color w:val="000000"/>
      </w:rPr>
      <w:t xml:space="preserve"> of </w:t>
    </w:r>
    <w:r>
      <w:rPr>
        <w:rFonts w:ascii="Times New Roman" w:eastAsia="Times New Roman" w:hAnsi="Times New Roman" w:cs="Times New Roman"/>
        <w:b/>
        <w:color w:val="000000"/>
        <w:sz w:val="24"/>
        <w:szCs w:val="24"/>
      </w:rPr>
      <w:fldChar w:fldCharType="begin"/>
    </w:r>
    <w:r>
      <w:rPr>
        <w:rFonts w:ascii="Times New Roman" w:eastAsia="Times New Roman" w:hAnsi="Times New Roman" w:cs="Times New Roman"/>
        <w:b/>
        <w:color w:val="000000"/>
        <w:sz w:val="24"/>
        <w:szCs w:val="24"/>
      </w:rPr>
      <w:instrText>NUMPAGES</w:instrText>
    </w:r>
    <w:r>
      <w:rPr>
        <w:rFonts w:ascii="Times New Roman" w:eastAsia="Times New Roman" w:hAnsi="Times New Roman" w:cs="Times New Roman"/>
        <w:b/>
        <w:color w:val="000000"/>
        <w:sz w:val="24"/>
        <w:szCs w:val="24"/>
      </w:rPr>
      <w:fldChar w:fldCharType="separate"/>
    </w:r>
    <w:r w:rsidR="00903726">
      <w:rPr>
        <w:rFonts w:ascii="Times New Roman" w:eastAsia="Times New Roman" w:hAnsi="Times New Roman" w:cs="Times New Roman"/>
        <w:b/>
        <w:noProof/>
        <w:color w:val="000000"/>
        <w:sz w:val="24"/>
        <w:szCs w:val="24"/>
      </w:rPr>
      <w:t>8</w:t>
    </w:r>
    <w:r>
      <w:rPr>
        <w:rFonts w:ascii="Times New Roman" w:eastAsia="Times New Roman" w:hAnsi="Times New Roman" w:cs="Times New Roman"/>
        <w:b/>
        <w:color w:val="000000"/>
        <w:sz w:val="24"/>
        <w:szCs w:val="24"/>
      </w:rPr>
      <w:fldChar w:fldCharType="end"/>
    </w:r>
  </w:p>
  <w:p w14:paraId="0000003D" w14:textId="77777777" w:rsidR="006F7C6F" w:rsidRDefault="006F7C6F">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CC5F0" w14:textId="77777777" w:rsidR="00B0518F" w:rsidRDefault="00B0518F">
      <w:pPr>
        <w:spacing w:line="240" w:lineRule="auto"/>
      </w:pPr>
      <w:r>
        <w:separator/>
      </w:r>
    </w:p>
  </w:footnote>
  <w:footnote w:type="continuationSeparator" w:id="0">
    <w:p w14:paraId="26A95F54" w14:textId="77777777" w:rsidR="00B0518F" w:rsidRDefault="00B0518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F7C6F"/>
    <w:rsid w:val="0059030C"/>
    <w:rsid w:val="006446C8"/>
    <w:rsid w:val="006F7C6F"/>
    <w:rsid w:val="00873476"/>
    <w:rsid w:val="00903726"/>
    <w:rsid w:val="00B0518F"/>
    <w:rsid w:val="00B455A0"/>
    <w:rsid w:val="00BF7E13"/>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1EA1A24-EF5D-7649-BA04-F94B9950D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pBdr>
        <w:top w:val="nil"/>
        <w:left w:val="nil"/>
        <w:bottom w:val="nil"/>
        <w:right w:val="nil"/>
        <w:between w:val="nil"/>
      </w:pBdr>
      <w:spacing w:before="400" w:after="120"/>
      <w:outlineLvl w:val="0"/>
    </w:pPr>
    <w:rPr>
      <w:rFonts w:ascii="Times New Roman" w:eastAsia="Times New Roman" w:hAnsi="Times New Roman" w:cs="Times New Roman"/>
      <w:b/>
      <w:color w:val="000000"/>
      <w:sz w:val="26"/>
      <w:szCs w:val="26"/>
    </w:rPr>
  </w:style>
  <w:style w:type="paragraph" w:styleId="Heading2">
    <w:name w:val="heading 2"/>
    <w:basedOn w:val="Normal"/>
    <w:next w:val="Normal"/>
    <w:pPr>
      <w:keepNext/>
      <w:keepLines/>
      <w:pBdr>
        <w:top w:val="nil"/>
        <w:left w:val="nil"/>
        <w:bottom w:val="nil"/>
        <w:right w:val="nil"/>
        <w:between w:val="nil"/>
      </w:pBdr>
      <w:spacing w:before="360" w:after="120"/>
      <w:outlineLvl w:val="1"/>
    </w:pPr>
    <w:rPr>
      <w:rFonts w:ascii="Times New Roman" w:eastAsia="Times New Roman" w:hAnsi="Times New Roman" w:cs="Times New Roman"/>
      <w:b/>
      <w:color w:val="000000"/>
      <w:sz w:val="26"/>
      <w:szCs w:val="26"/>
    </w:rPr>
  </w:style>
  <w:style w:type="paragraph" w:styleId="Heading3">
    <w:name w:val="heading 3"/>
    <w:basedOn w:val="Normal"/>
    <w:next w:val="Normal"/>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5903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9030C"/>
    <w:rPr>
      <w:rFonts w:ascii="Tahoma" w:hAnsi="Tahoma" w:cs="Tahoma"/>
      <w:sz w:val="16"/>
      <w:szCs w:val="16"/>
    </w:rPr>
  </w:style>
  <w:style w:type="paragraph" w:styleId="Header">
    <w:name w:val="header"/>
    <w:basedOn w:val="Normal"/>
    <w:link w:val="HeaderChar"/>
    <w:uiPriority w:val="99"/>
    <w:unhideWhenUsed/>
    <w:rsid w:val="006446C8"/>
    <w:pPr>
      <w:tabs>
        <w:tab w:val="center" w:pos="4680"/>
        <w:tab w:val="right" w:pos="9360"/>
      </w:tabs>
      <w:spacing w:line="240" w:lineRule="auto"/>
    </w:pPr>
  </w:style>
  <w:style w:type="character" w:customStyle="1" w:styleId="HeaderChar">
    <w:name w:val="Header Char"/>
    <w:basedOn w:val="DefaultParagraphFont"/>
    <w:link w:val="Header"/>
    <w:uiPriority w:val="99"/>
    <w:rsid w:val="006446C8"/>
  </w:style>
  <w:style w:type="paragraph" w:styleId="Footer">
    <w:name w:val="footer"/>
    <w:basedOn w:val="Normal"/>
    <w:link w:val="FooterChar"/>
    <w:uiPriority w:val="99"/>
    <w:unhideWhenUsed/>
    <w:rsid w:val="006446C8"/>
    <w:pPr>
      <w:tabs>
        <w:tab w:val="center" w:pos="4680"/>
        <w:tab w:val="right" w:pos="9360"/>
      </w:tabs>
      <w:spacing w:line="240" w:lineRule="auto"/>
    </w:pPr>
  </w:style>
  <w:style w:type="character" w:customStyle="1" w:styleId="FooterChar">
    <w:name w:val="Footer Char"/>
    <w:basedOn w:val="DefaultParagraphFont"/>
    <w:link w:val="Footer"/>
    <w:uiPriority w:val="99"/>
    <w:rsid w:val="006446C8"/>
  </w:style>
  <w:style w:type="paragraph" w:styleId="TOCHeading">
    <w:name w:val="TOC Heading"/>
    <w:basedOn w:val="Heading1"/>
    <w:next w:val="Normal"/>
    <w:uiPriority w:val="39"/>
    <w:semiHidden/>
    <w:unhideWhenUsed/>
    <w:qFormat/>
    <w:rsid w:val="006446C8"/>
    <w:pPr>
      <w:pBdr>
        <w:top w:val="none" w:sz="0" w:space="0" w:color="auto"/>
        <w:left w:val="none" w:sz="0" w:space="0" w:color="auto"/>
        <w:bottom w:val="none" w:sz="0" w:space="0" w:color="auto"/>
        <w:right w:val="none" w:sz="0" w:space="0" w:color="auto"/>
        <w:between w:val="none" w:sz="0" w:space="0" w:color="auto"/>
      </w:pBdr>
      <w:spacing w:before="480" w:after="0"/>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6446C8"/>
    <w:pPr>
      <w:spacing w:after="100"/>
    </w:pPr>
  </w:style>
  <w:style w:type="paragraph" w:styleId="TOC2">
    <w:name w:val="toc 2"/>
    <w:basedOn w:val="Normal"/>
    <w:next w:val="Normal"/>
    <w:autoRedefine/>
    <w:uiPriority w:val="39"/>
    <w:unhideWhenUsed/>
    <w:rsid w:val="006446C8"/>
    <w:pPr>
      <w:spacing w:after="100"/>
      <w:ind w:left="220"/>
    </w:pPr>
  </w:style>
  <w:style w:type="character" w:styleId="Hyperlink">
    <w:name w:val="Hyperlink"/>
    <w:basedOn w:val="DefaultParagraphFont"/>
    <w:uiPriority w:val="99"/>
    <w:unhideWhenUsed/>
    <w:rsid w:val="006446C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1795</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Marius Rusu</cp:lastModifiedBy>
  <cp:revision>2</cp:revision>
  <dcterms:created xsi:type="dcterms:W3CDTF">2023-03-09T18:15:00Z</dcterms:created>
  <dcterms:modified xsi:type="dcterms:W3CDTF">2023-03-09T18:15:00Z</dcterms:modified>
</cp:coreProperties>
</file>