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538E7" w14:textId="55BA5AFE" w:rsidR="00640D71" w:rsidRPr="00CE53D1" w:rsidRDefault="005D5C25">
      <w:pPr>
        <w:jc w:val="center"/>
        <w:rPr>
          <w:rFonts w:ascii="Times New Roman" w:eastAsia="Times New Roman" w:hAnsi="Times New Roman" w:cs="Times New Roman"/>
          <w:b/>
          <w:bCs/>
          <w:sz w:val="32"/>
          <w:szCs w:val="32"/>
          <w:lang w:val="en-GB"/>
        </w:rPr>
      </w:pPr>
      <w:r w:rsidRPr="00CE53D1">
        <w:rPr>
          <w:rFonts w:ascii="Times New Roman"/>
          <w:noProof/>
          <w:sz w:val="20"/>
          <w:lang w:val="en-GB"/>
        </w:rPr>
        <w:drawing>
          <wp:inline distT="0" distB="0" distL="0" distR="0" wp14:anchorId="6941961E" wp14:editId="17E2F694">
            <wp:extent cx="2425148" cy="858741"/>
            <wp:effectExtent l="152400" t="152400" r="280035" b="34163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6" cstate="print"/>
                    <a:stretch>
                      <a:fillRect/>
                    </a:stretch>
                  </pic:blipFill>
                  <pic:spPr>
                    <a:xfrm>
                      <a:off x="0" y="0"/>
                      <a:ext cx="2438156" cy="863347"/>
                    </a:xfrm>
                    <a:prstGeom prst="rect">
                      <a:avLst/>
                    </a:prstGeom>
                    <a:ln>
                      <a:noFill/>
                    </a:ln>
                    <a:effectLst>
                      <a:outerShdw blurRad="292100" dist="139700" dir="2700000" algn="tl" rotWithShape="0">
                        <a:srgbClr val="333333">
                          <a:alpha val="65000"/>
                        </a:srgbClr>
                      </a:outerShdw>
                    </a:effectLst>
                  </pic:spPr>
                </pic:pic>
              </a:graphicData>
            </a:graphic>
          </wp:inline>
        </w:drawing>
      </w:r>
    </w:p>
    <w:p w14:paraId="5623D655" w14:textId="77777777" w:rsidR="005D5C25" w:rsidRPr="00CE53D1" w:rsidRDefault="005D5C25">
      <w:pPr>
        <w:jc w:val="center"/>
        <w:rPr>
          <w:rFonts w:ascii="Times New Roman" w:eastAsia="Times New Roman" w:hAnsi="Times New Roman" w:cs="Times New Roman"/>
          <w:b/>
          <w:bCs/>
          <w:sz w:val="32"/>
          <w:szCs w:val="32"/>
          <w:lang w:val="en-GB"/>
        </w:rPr>
      </w:pPr>
    </w:p>
    <w:p w14:paraId="031D8E65" w14:textId="3975421D" w:rsidR="005D5C25" w:rsidRPr="00CE53D1" w:rsidRDefault="00031DE8" w:rsidP="00016D4A">
      <w:pPr>
        <w:spacing w:line="480" w:lineRule="auto"/>
        <w:jc w:val="center"/>
        <w:rPr>
          <w:rFonts w:ascii="Times New Roman" w:hAnsi="Times New Roman" w:cs="Times New Roman"/>
          <w:b/>
          <w:spacing w:val="-2"/>
          <w:sz w:val="32"/>
          <w:szCs w:val="32"/>
          <w:lang w:val="en-GB"/>
        </w:rPr>
      </w:pPr>
      <w:r w:rsidRPr="00CE53D1">
        <w:rPr>
          <w:rFonts w:ascii="Times New Roman" w:hAnsi="Times New Roman" w:cs="Times New Roman"/>
          <w:b/>
          <w:spacing w:val="-2"/>
          <w:sz w:val="32"/>
          <w:szCs w:val="32"/>
          <w:lang w:val="en-GB"/>
        </w:rPr>
        <w:t>Module</w:t>
      </w:r>
      <w:r w:rsidR="00596DCE">
        <w:rPr>
          <w:rFonts w:ascii="Times New Roman" w:hAnsi="Times New Roman" w:cs="Times New Roman"/>
          <w:b/>
          <w:spacing w:val="-2"/>
          <w:sz w:val="32"/>
          <w:szCs w:val="32"/>
          <w:lang w:val="en-GB"/>
        </w:rPr>
        <w:t xml:space="preserve"> Name</w:t>
      </w:r>
      <w:r w:rsidRPr="00CE53D1">
        <w:rPr>
          <w:rFonts w:ascii="Times New Roman" w:hAnsi="Times New Roman" w:cs="Times New Roman"/>
          <w:b/>
          <w:spacing w:val="-2"/>
          <w:sz w:val="32"/>
          <w:szCs w:val="32"/>
          <w:lang w:val="en-GB"/>
        </w:rPr>
        <w:t>:</w:t>
      </w:r>
      <w:r w:rsidR="003D5633" w:rsidRPr="00CE53D1">
        <w:rPr>
          <w:rFonts w:ascii="Times New Roman" w:hAnsi="Times New Roman" w:cs="Times New Roman"/>
          <w:b/>
          <w:spacing w:val="-2"/>
          <w:sz w:val="32"/>
          <w:szCs w:val="32"/>
          <w:lang w:val="en-GB"/>
        </w:rPr>
        <w:t xml:space="preserve"> </w:t>
      </w:r>
      <w:r w:rsidR="003D5633" w:rsidRPr="00CE53D1">
        <w:rPr>
          <w:rFonts w:ascii="Times New Roman" w:hAnsi="Times New Roman" w:cs="Times New Roman"/>
          <w:bCs/>
          <w:sz w:val="32"/>
          <w:szCs w:val="32"/>
          <w:lang w:val="en-GB"/>
        </w:rPr>
        <w:t>Global</w:t>
      </w:r>
      <w:r w:rsidR="003D5633" w:rsidRPr="00CE53D1">
        <w:rPr>
          <w:rFonts w:ascii="Times New Roman" w:hAnsi="Times New Roman" w:cs="Times New Roman"/>
          <w:bCs/>
          <w:spacing w:val="-6"/>
          <w:sz w:val="32"/>
          <w:szCs w:val="32"/>
          <w:lang w:val="en-GB"/>
        </w:rPr>
        <w:t xml:space="preserve"> </w:t>
      </w:r>
      <w:r w:rsidR="003D5633" w:rsidRPr="00CE53D1">
        <w:rPr>
          <w:rFonts w:ascii="Times New Roman" w:hAnsi="Times New Roman" w:cs="Times New Roman"/>
          <w:bCs/>
          <w:sz w:val="32"/>
          <w:szCs w:val="32"/>
          <w:lang w:val="en-GB"/>
        </w:rPr>
        <w:t>Business</w:t>
      </w:r>
      <w:r w:rsidR="003D5633" w:rsidRPr="00CE53D1">
        <w:rPr>
          <w:rFonts w:ascii="Times New Roman" w:hAnsi="Times New Roman" w:cs="Times New Roman"/>
          <w:bCs/>
          <w:spacing w:val="-7"/>
          <w:sz w:val="32"/>
          <w:szCs w:val="32"/>
          <w:lang w:val="en-GB"/>
        </w:rPr>
        <w:t xml:space="preserve"> </w:t>
      </w:r>
      <w:r w:rsidR="003D5633" w:rsidRPr="00CE53D1">
        <w:rPr>
          <w:rFonts w:ascii="Times New Roman" w:hAnsi="Times New Roman" w:cs="Times New Roman"/>
          <w:bCs/>
          <w:spacing w:val="-2"/>
          <w:sz w:val="32"/>
          <w:szCs w:val="32"/>
          <w:lang w:val="en-GB"/>
        </w:rPr>
        <w:t>Environment</w:t>
      </w:r>
    </w:p>
    <w:p w14:paraId="357227F8" w14:textId="4986E70F" w:rsidR="004B390E" w:rsidRPr="00CE53D1" w:rsidRDefault="004B390E" w:rsidP="00016D4A">
      <w:pPr>
        <w:spacing w:line="480" w:lineRule="auto"/>
        <w:jc w:val="center"/>
        <w:rPr>
          <w:rFonts w:ascii="Times New Roman" w:hAnsi="Times New Roman" w:cs="Times New Roman"/>
          <w:b/>
          <w:spacing w:val="-2"/>
          <w:sz w:val="32"/>
          <w:szCs w:val="32"/>
          <w:lang w:val="en-GB"/>
        </w:rPr>
      </w:pPr>
      <w:r w:rsidRPr="00CE53D1">
        <w:rPr>
          <w:rFonts w:ascii="Times New Roman" w:hAnsi="Times New Roman" w:cs="Times New Roman"/>
          <w:b/>
          <w:sz w:val="32"/>
          <w:szCs w:val="32"/>
          <w:lang w:val="en-GB"/>
        </w:rPr>
        <w:t>Module</w:t>
      </w:r>
      <w:r w:rsidRPr="00CE53D1">
        <w:rPr>
          <w:rFonts w:ascii="Times New Roman" w:hAnsi="Times New Roman" w:cs="Times New Roman"/>
          <w:b/>
          <w:spacing w:val="-8"/>
          <w:sz w:val="32"/>
          <w:szCs w:val="32"/>
          <w:lang w:val="en-GB"/>
        </w:rPr>
        <w:t xml:space="preserve"> </w:t>
      </w:r>
      <w:r w:rsidRPr="00CE53D1">
        <w:rPr>
          <w:rFonts w:ascii="Times New Roman" w:hAnsi="Times New Roman" w:cs="Times New Roman"/>
          <w:b/>
          <w:spacing w:val="-2"/>
          <w:sz w:val="32"/>
          <w:szCs w:val="32"/>
          <w:lang w:val="en-GB"/>
        </w:rPr>
        <w:t>code:</w:t>
      </w:r>
      <w:r w:rsidR="00263DE5" w:rsidRPr="00CE53D1">
        <w:rPr>
          <w:rFonts w:ascii="Times New Roman" w:hAnsi="Times New Roman" w:cs="Times New Roman"/>
          <w:b/>
          <w:spacing w:val="-2"/>
          <w:sz w:val="32"/>
          <w:szCs w:val="32"/>
          <w:lang w:val="en-GB"/>
        </w:rPr>
        <w:t xml:space="preserve"> </w:t>
      </w:r>
      <w:r w:rsidR="00263DE5" w:rsidRPr="00CE53D1">
        <w:rPr>
          <w:rFonts w:ascii="Times New Roman" w:hAnsi="Times New Roman" w:cs="Times New Roman"/>
          <w:bCs/>
          <w:spacing w:val="-2"/>
          <w:sz w:val="32"/>
          <w:szCs w:val="32"/>
          <w:lang w:val="en-GB"/>
        </w:rPr>
        <w:t>LCBB4016</w:t>
      </w:r>
    </w:p>
    <w:p w14:paraId="318B213A" w14:textId="77777777" w:rsidR="00016D4A" w:rsidRPr="00CE53D1" w:rsidRDefault="00016D4A" w:rsidP="00016D4A">
      <w:pPr>
        <w:spacing w:line="480" w:lineRule="auto"/>
        <w:rPr>
          <w:rFonts w:ascii="Times New Roman" w:hAnsi="Times New Roman" w:cs="Times New Roman"/>
          <w:b/>
          <w:spacing w:val="-2"/>
          <w:sz w:val="32"/>
          <w:szCs w:val="32"/>
          <w:lang w:val="en-GB"/>
        </w:rPr>
      </w:pPr>
    </w:p>
    <w:p w14:paraId="4C9F995A" w14:textId="3BB533A5" w:rsidR="000C2C7B" w:rsidRPr="00CE53D1" w:rsidRDefault="000C2C7B" w:rsidP="00016D4A">
      <w:pPr>
        <w:spacing w:line="480" w:lineRule="auto"/>
        <w:jc w:val="center"/>
        <w:rPr>
          <w:rFonts w:ascii="Times New Roman" w:hAnsi="Times New Roman" w:cs="Times New Roman"/>
          <w:b/>
          <w:spacing w:val="-2"/>
          <w:sz w:val="32"/>
          <w:szCs w:val="32"/>
          <w:lang w:val="en-GB"/>
        </w:rPr>
      </w:pPr>
      <w:r w:rsidRPr="00CE53D1">
        <w:rPr>
          <w:rFonts w:ascii="Times New Roman" w:hAnsi="Times New Roman" w:cs="Times New Roman"/>
          <w:b/>
          <w:spacing w:val="-2"/>
          <w:sz w:val="32"/>
          <w:szCs w:val="32"/>
          <w:lang w:val="en-GB"/>
        </w:rPr>
        <w:t xml:space="preserve">Lecturer: </w:t>
      </w:r>
      <w:r w:rsidR="006312F0" w:rsidRPr="00CE53D1">
        <w:rPr>
          <w:rFonts w:ascii="Times New Roman" w:hAnsi="Times New Roman" w:cs="Times New Roman"/>
          <w:bCs/>
          <w:sz w:val="32"/>
          <w:szCs w:val="32"/>
          <w:lang w:val="en-GB"/>
        </w:rPr>
        <w:t>Dr</w:t>
      </w:r>
      <w:r w:rsidR="006312F0" w:rsidRPr="00CE53D1">
        <w:rPr>
          <w:rFonts w:ascii="Times New Roman" w:hAnsi="Times New Roman" w:cs="Times New Roman"/>
          <w:bCs/>
          <w:spacing w:val="-3"/>
          <w:sz w:val="32"/>
          <w:szCs w:val="32"/>
          <w:lang w:val="en-GB"/>
        </w:rPr>
        <w:t xml:space="preserve"> </w:t>
      </w:r>
      <w:proofErr w:type="spellStart"/>
      <w:r w:rsidR="006312F0" w:rsidRPr="00CE53D1">
        <w:rPr>
          <w:rFonts w:ascii="Times New Roman" w:hAnsi="Times New Roman" w:cs="Times New Roman"/>
          <w:bCs/>
          <w:sz w:val="32"/>
          <w:szCs w:val="32"/>
          <w:lang w:val="en-GB"/>
        </w:rPr>
        <w:t>Prithwa</w:t>
      </w:r>
      <w:proofErr w:type="spellEnd"/>
      <w:r w:rsidR="006312F0" w:rsidRPr="00CE53D1">
        <w:rPr>
          <w:rFonts w:ascii="Times New Roman" w:hAnsi="Times New Roman" w:cs="Times New Roman"/>
          <w:bCs/>
          <w:spacing w:val="-3"/>
          <w:sz w:val="32"/>
          <w:szCs w:val="32"/>
          <w:lang w:val="en-GB"/>
        </w:rPr>
        <w:t xml:space="preserve"> </w:t>
      </w:r>
      <w:proofErr w:type="spellStart"/>
      <w:r w:rsidR="006312F0" w:rsidRPr="00CE53D1">
        <w:rPr>
          <w:rFonts w:ascii="Times New Roman" w:hAnsi="Times New Roman" w:cs="Times New Roman"/>
          <w:bCs/>
          <w:spacing w:val="-2"/>
          <w:sz w:val="32"/>
          <w:szCs w:val="32"/>
          <w:lang w:val="en-GB"/>
        </w:rPr>
        <w:t>Bhattacharya</w:t>
      </w:r>
      <w:proofErr w:type="spellEnd"/>
    </w:p>
    <w:p w14:paraId="2BEF9AA1" w14:textId="77777777" w:rsidR="006312F0" w:rsidRPr="00CE53D1" w:rsidRDefault="006312F0" w:rsidP="00016D4A">
      <w:pPr>
        <w:spacing w:line="480" w:lineRule="auto"/>
        <w:jc w:val="center"/>
        <w:rPr>
          <w:rFonts w:ascii="Times New Roman" w:hAnsi="Times New Roman" w:cs="Times New Roman"/>
          <w:b/>
          <w:spacing w:val="-2"/>
          <w:sz w:val="32"/>
          <w:szCs w:val="32"/>
          <w:lang w:val="en-GB"/>
        </w:rPr>
      </w:pPr>
    </w:p>
    <w:p w14:paraId="62DDEF78" w14:textId="03BE9633" w:rsidR="006312F0" w:rsidRPr="00CE53D1" w:rsidRDefault="00681F15" w:rsidP="00016D4A">
      <w:pPr>
        <w:spacing w:line="480" w:lineRule="auto"/>
        <w:jc w:val="center"/>
        <w:rPr>
          <w:rFonts w:ascii="Times New Roman" w:eastAsia="Times New Roman" w:hAnsi="Times New Roman" w:cs="Times New Roman"/>
          <w:b/>
          <w:bCs/>
          <w:sz w:val="32"/>
          <w:szCs w:val="32"/>
          <w:lang w:val="en-GB"/>
        </w:rPr>
      </w:pPr>
      <w:r w:rsidRPr="00CE53D1">
        <w:rPr>
          <w:rFonts w:ascii="Times New Roman" w:hAnsi="Times New Roman" w:cs="Times New Roman"/>
          <w:b/>
          <w:sz w:val="32"/>
          <w:szCs w:val="32"/>
          <w:lang w:val="en-GB"/>
        </w:rPr>
        <w:t>Assignment</w:t>
      </w:r>
      <w:r w:rsidRPr="00CE53D1">
        <w:rPr>
          <w:rFonts w:ascii="Times New Roman" w:hAnsi="Times New Roman" w:cs="Times New Roman"/>
          <w:b/>
          <w:spacing w:val="-9"/>
          <w:sz w:val="32"/>
          <w:szCs w:val="32"/>
          <w:lang w:val="en-GB"/>
        </w:rPr>
        <w:t xml:space="preserve"> </w:t>
      </w:r>
      <w:r w:rsidRPr="00CE53D1">
        <w:rPr>
          <w:rFonts w:ascii="Times New Roman" w:hAnsi="Times New Roman" w:cs="Times New Roman"/>
          <w:b/>
          <w:spacing w:val="-2"/>
          <w:sz w:val="32"/>
          <w:szCs w:val="32"/>
          <w:lang w:val="en-GB"/>
        </w:rPr>
        <w:t xml:space="preserve">Title: </w:t>
      </w:r>
      <w:r w:rsidR="004A0309" w:rsidRPr="00CE53D1">
        <w:rPr>
          <w:rFonts w:ascii="Times New Roman" w:hAnsi="Times New Roman" w:cs="Times New Roman"/>
          <w:bCs/>
          <w:sz w:val="32"/>
          <w:szCs w:val="32"/>
          <w:lang w:val="en-GB"/>
        </w:rPr>
        <w:t>Component</w:t>
      </w:r>
      <w:r w:rsidR="004A0309" w:rsidRPr="00CE53D1">
        <w:rPr>
          <w:rFonts w:ascii="Times New Roman" w:hAnsi="Times New Roman" w:cs="Times New Roman"/>
          <w:bCs/>
          <w:spacing w:val="77"/>
          <w:sz w:val="32"/>
          <w:szCs w:val="32"/>
          <w:lang w:val="en-GB"/>
        </w:rPr>
        <w:t xml:space="preserve"> </w:t>
      </w:r>
      <w:r w:rsidR="004A0309" w:rsidRPr="00CE53D1">
        <w:rPr>
          <w:rFonts w:ascii="Times New Roman" w:hAnsi="Times New Roman" w:cs="Times New Roman"/>
          <w:bCs/>
          <w:sz w:val="32"/>
          <w:szCs w:val="32"/>
          <w:lang w:val="en-GB"/>
        </w:rPr>
        <w:t>2:</w:t>
      </w:r>
      <w:r w:rsidR="004A0309" w:rsidRPr="00CE53D1">
        <w:rPr>
          <w:rFonts w:ascii="Times New Roman" w:hAnsi="Times New Roman" w:cs="Times New Roman"/>
          <w:bCs/>
          <w:spacing w:val="77"/>
          <w:sz w:val="32"/>
          <w:szCs w:val="32"/>
          <w:lang w:val="en-GB"/>
        </w:rPr>
        <w:t xml:space="preserve"> </w:t>
      </w:r>
      <w:r w:rsidR="004A0309" w:rsidRPr="00CE53D1">
        <w:rPr>
          <w:rFonts w:ascii="Times New Roman" w:hAnsi="Times New Roman" w:cs="Times New Roman"/>
          <w:bCs/>
          <w:sz w:val="32"/>
          <w:szCs w:val="32"/>
          <w:lang w:val="en-GB"/>
        </w:rPr>
        <w:t xml:space="preserve">Coursework: </w:t>
      </w:r>
      <w:r w:rsidR="004A0309" w:rsidRPr="00CE53D1">
        <w:rPr>
          <w:rFonts w:ascii="Times New Roman" w:hAnsi="Times New Roman" w:cs="Times New Roman"/>
          <w:bCs/>
          <w:spacing w:val="-2"/>
          <w:sz w:val="32"/>
          <w:szCs w:val="32"/>
          <w:lang w:val="en-GB"/>
        </w:rPr>
        <w:t>Essay</w:t>
      </w:r>
    </w:p>
    <w:p w14:paraId="050538EB" w14:textId="77777777" w:rsidR="00640D71" w:rsidRPr="00CE53D1" w:rsidRDefault="00CE53D1" w:rsidP="003F07F4">
      <w:pPr>
        <w:spacing w:line="480" w:lineRule="auto"/>
        <w:jc w:val="center"/>
        <w:rPr>
          <w:rFonts w:ascii="Times New Roman" w:eastAsia="Times New Roman" w:hAnsi="Times New Roman" w:cs="Times New Roman"/>
          <w:b/>
          <w:bCs/>
          <w:sz w:val="32"/>
          <w:szCs w:val="32"/>
          <w:lang w:val="en-GB"/>
        </w:rPr>
      </w:pPr>
      <w:r w:rsidRPr="00CE53D1">
        <w:rPr>
          <w:rFonts w:ascii="Times New Roman" w:eastAsia="Times New Roman" w:hAnsi="Times New Roman" w:cs="Times New Roman"/>
          <w:b/>
          <w:bCs/>
          <w:sz w:val="32"/>
          <w:szCs w:val="32"/>
          <w:lang w:val="en-GB"/>
        </w:rPr>
        <w:t xml:space="preserve">Essay Title: </w:t>
      </w:r>
      <w:r w:rsidRPr="00CE53D1">
        <w:rPr>
          <w:rFonts w:ascii="Times New Roman" w:eastAsia="Times New Roman" w:hAnsi="Times New Roman" w:cs="Times New Roman"/>
          <w:i/>
          <w:iCs/>
          <w:sz w:val="32"/>
          <w:szCs w:val="32"/>
          <w:lang w:val="en-GB"/>
        </w:rPr>
        <w:t>An Essay on Global Forces Reshaping Multinational Strategy by Evaluating the Impact of AI, Geopolitical Tensions, and Sustainability Regulations on a UK-Based Multinational Organisation</w:t>
      </w:r>
    </w:p>
    <w:p w14:paraId="696401B7" w14:textId="77777777" w:rsidR="00254E91" w:rsidRPr="00CE53D1" w:rsidRDefault="00254E91" w:rsidP="00016D4A">
      <w:pPr>
        <w:spacing w:line="480" w:lineRule="auto"/>
        <w:jc w:val="center"/>
        <w:rPr>
          <w:rFonts w:ascii="Times New Roman" w:eastAsia="Times New Roman" w:hAnsi="Times New Roman" w:cs="Times New Roman"/>
          <w:b/>
          <w:bCs/>
          <w:sz w:val="32"/>
          <w:szCs w:val="32"/>
          <w:lang w:val="en-GB"/>
        </w:rPr>
      </w:pPr>
    </w:p>
    <w:p w14:paraId="218C3408" w14:textId="2DE874EE" w:rsidR="00254E91" w:rsidRPr="00CE53D1" w:rsidRDefault="00F32900" w:rsidP="003F07F4">
      <w:pPr>
        <w:spacing w:line="480" w:lineRule="auto"/>
        <w:jc w:val="center"/>
        <w:rPr>
          <w:rFonts w:ascii="Times New Roman" w:eastAsia="Times New Roman" w:hAnsi="Times New Roman" w:cs="Times New Roman"/>
          <w:b/>
          <w:bCs/>
          <w:sz w:val="32"/>
          <w:szCs w:val="32"/>
          <w:lang w:val="en-GB"/>
        </w:rPr>
      </w:pPr>
      <w:r w:rsidRPr="00CE53D1">
        <w:rPr>
          <w:rFonts w:ascii="Times New Roman" w:eastAsia="Times New Roman" w:hAnsi="Times New Roman" w:cs="Times New Roman"/>
          <w:b/>
          <w:bCs/>
          <w:sz w:val="32"/>
          <w:szCs w:val="32"/>
          <w:lang w:val="en-GB"/>
        </w:rPr>
        <w:t xml:space="preserve">Student Name: </w:t>
      </w:r>
      <w:r w:rsidRPr="00CE53D1">
        <w:rPr>
          <w:rFonts w:ascii="Times New Roman" w:eastAsia="Times New Roman" w:hAnsi="Times New Roman" w:cs="Times New Roman"/>
          <w:sz w:val="32"/>
          <w:szCs w:val="32"/>
          <w:lang w:val="en-GB"/>
        </w:rPr>
        <w:t>Du</w:t>
      </w:r>
      <w:r w:rsidR="00016D4A" w:rsidRPr="00CE53D1">
        <w:rPr>
          <w:rFonts w:ascii="Times New Roman" w:eastAsia="Times New Roman" w:hAnsi="Times New Roman" w:cs="Times New Roman"/>
          <w:sz w:val="32"/>
          <w:szCs w:val="32"/>
          <w:lang w:val="en-GB"/>
        </w:rPr>
        <w:t>mitru Bogdan Stroe</w:t>
      </w:r>
    </w:p>
    <w:p w14:paraId="6BD2FA60" w14:textId="415586F3" w:rsidR="00F32900" w:rsidRPr="00C45B7F" w:rsidRDefault="00F32900" w:rsidP="00016D4A">
      <w:pPr>
        <w:spacing w:line="480" w:lineRule="auto"/>
        <w:jc w:val="center"/>
        <w:rPr>
          <w:rFonts w:ascii="Times New Roman" w:eastAsia="Times New Roman" w:hAnsi="Times New Roman" w:cs="Times New Roman"/>
          <w:sz w:val="32"/>
          <w:szCs w:val="32"/>
          <w:lang w:val="en-GB"/>
        </w:rPr>
      </w:pPr>
      <w:r w:rsidRPr="00CE53D1">
        <w:rPr>
          <w:rFonts w:ascii="Times New Roman" w:eastAsia="Times New Roman" w:hAnsi="Times New Roman" w:cs="Times New Roman"/>
          <w:b/>
          <w:bCs/>
          <w:sz w:val="32"/>
          <w:szCs w:val="32"/>
          <w:lang w:val="en-GB"/>
        </w:rPr>
        <w:t>Student ID:</w:t>
      </w:r>
      <w:r w:rsidR="00C45B7F">
        <w:rPr>
          <w:rFonts w:ascii="Times New Roman" w:eastAsia="Times New Roman" w:hAnsi="Times New Roman" w:cs="Times New Roman"/>
          <w:sz w:val="32"/>
          <w:szCs w:val="32"/>
          <w:lang w:val="en-GB"/>
        </w:rPr>
        <w:t>2323231</w:t>
      </w:r>
      <w:r w:rsidR="005E79AB">
        <w:rPr>
          <w:rFonts w:ascii="Times New Roman" w:eastAsia="Times New Roman" w:hAnsi="Times New Roman" w:cs="Times New Roman"/>
          <w:sz w:val="32"/>
          <w:szCs w:val="32"/>
          <w:lang w:val="en-GB"/>
        </w:rPr>
        <w:t>@student.uwtsd.ac.uk</w:t>
      </w:r>
    </w:p>
    <w:p w14:paraId="050538EC" w14:textId="77777777" w:rsidR="00640D71" w:rsidRPr="00CE53D1" w:rsidRDefault="00CE53D1">
      <w:pPr>
        <w:jc w:val="center"/>
        <w:rPr>
          <w:rFonts w:ascii="Times New Roman" w:eastAsia="Times New Roman" w:hAnsi="Times New Roman" w:cs="Times New Roman"/>
          <w:b/>
          <w:bCs/>
          <w:sz w:val="32"/>
          <w:szCs w:val="32"/>
          <w:lang w:val="en-GB"/>
        </w:rPr>
      </w:pPr>
      <w:r w:rsidRPr="00CE53D1">
        <w:rPr>
          <w:lang w:val="en-GB"/>
        </w:rPr>
        <w:br w:type="page"/>
      </w:r>
    </w:p>
    <w:p w14:paraId="050538ED" w14:textId="77777777" w:rsidR="00640D71" w:rsidRPr="00CE53D1" w:rsidRDefault="00CE53D1">
      <w:pPr>
        <w:spacing w:line="360" w:lineRule="auto"/>
        <w:jc w:val="center"/>
        <w:rPr>
          <w:rFonts w:ascii="Times New Roman" w:eastAsia="Times New Roman" w:hAnsi="Times New Roman" w:cs="Times New Roman"/>
          <w:b/>
          <w:bCs/>
          <w:sz w:val="30"/>
          <w:szCs w:val="30"/>
          <w:u w:val="single"/>
          <w:lang w:val="en-GB"/>
        </w:rPr>
      </w:pPr>
      <w:r w:rsidRPr="00CE53D1">
        <w:rPr>
          <w:rFonts w:ascii="Times New Roman" w:eastAsia="Times New Roman" w:hAnsi="Times New Roman" w:cs="Times New Roman"/>
          <w:b/>
          <w:bCs/>
          <w:sz w:val="30"/>
          <w:szCs w:val="30"/>
          <w:u w:val="single"/>
          <w:lang w:val="en-GB"/>
        </w:rPr>
        <w:t>Essay Title: An Essay on Global Forces Reshaping Multinational Strategy by Evaluating the Impact of AI, Geopolitical Tensions, and Sustainability Regulations on a UK-Based Multinational Organisation</w:t>
      </w:r>
    </w:p>
    <w:p w14:paraId="050538EE" w14:textId="77777777" w:rsidR="00640D71" w:rsidRPr="00CE53D1" w:rsidRDefault="00CE53D1">
      <w:pPr>
        <w:spacing w:line="360" w:lineRule="auto"/>
        <w:jc w:val="center"/>
        <w:rPr>
          <w:rFonts w:ascii="Times New Roman" w:eastAsia="Times New Roman" w:hAnsi="Times New Roman" w:cs="Times New Roman"/>
          <w:b/>
          <w:bCs/>
          <w:sz w:val="30"/>
          <w:szCs w:val="30"/>
          <w:u w:val="single"/>
          <w:lang w:val="en-GB"/>
        </w:rPr>
      </w:pPr>
      <w:r w:rsidRPr="00CE53D1">
        <w:rPr>
          <w:rFonts w:ascii="Times New Roman" w:eastAsia="Times New Roman" w:hAnsi="Times New Roman" w:cs="Times New Roman"/>
          <w:b/>
          <w:bCs/>
          <w:sz w:val="30"/>
          <w:szCs w:val="30"/>
          <w:u w:val="single"/>
          <w:lang w:val="en-GB"/>
        </w:rPr>
        <w:t>—------------------------------------------------------------------------------------------</w:t>
      </w:r>
    </w:p>
    <w:p w14:paraId="050538EF" w14:textId="77777777" w:rsidR="00640D71" w:rsidRPr="00CE53D1" w:rsidRDefault="00640D71">
      <w:pPr>
        <w:spacing w:line="360" w:lineRule="auto"/>
        <w:jc w:val="both"/>
        <w:rPr>
          <w:rFonts w:ascii="Times New Roman" w:eastAsia="Times New Roman" w:hAnsi="Times New Roman" w:cs="Times New Roman"/>
          <w:b/>
          <w:bCs/>
          <w:sz w:val="24"/>
          <w:szCs w:val="24"/>
          <w:lang w:val="en-GB"/>
        </w:rPr>
      </w:pPr>
    </w:p>
    <w:p w14:paraId="050538F0" w14:textId="77777777" w:rsidR="00640D71" w:rsidRPr="00CE53D1" w:rsidRDefault="00CE53D1" w:rsidP="00BF21E8">
      <w:pPr>
        <w:spacing w:line="360" w:lineRule="auto"/>
        <w:ind w:firstLine="720"/>
        <w:jc w:val="both"/>
        <w:rPr>
          <w:rFonts w:ascii="Times New Roman" w:eastAsia="Times New Roman" w:hAnsi="Times New Roman" w:cs="Times New Roman"/>
          <w:b/>
          <w:bCs/>
          <w:sz w:val="24"/>
          <w:szCs w:val="24"/>
          <w:lang w:val="en-GB"/>
        </w:rPr>
      </w:pPr>
      <w:r w:rsidRPr="00BF21E8">
        <w:rPr>
          <w:rFonts w:ascii="Times New Roman" w:eastAsia="Times New Roman" w:hAnsi="Times New Roman" w:cs="Times New Roman"/>
          <w:b/>
          <w:bCs/>
          <w:i/>
          <w:iCs/>
          <w:sz w:val="24"/>
          <w:szCs w:val="24"/>
          <w:lang w:val="en-GB"/>
        </w:rPr>
        <w:t>Globalisation refers to the increasing economic, technological, and social interconnections among nations</w:t>
      </w:r>
      <w:r w:rsidRPr="00CE53D1">
        <w:rPr>
          <w:rFonts w:ascii="Times New Roman" w:eastAsia="Times New Roman" w:hAnsi="Times New Roman" w:cs="Times New Roman"/>
          <w:sz w:val="24"/>
          <w:szCs w:val="24"/>
          <w:lang w:val="en-GB"/>
        </w:rPr>
        <w:t xml:space="preserve">. It is still core in international business as companies source, manufacture and market in numerous markets. </w:t>
      </w:r>
      <w:r w:rsidRPr="00CE53D1">
        <w:rPr>
          <w:rFonts w:ascii="Times New Roman" w:eastAsia="Times New Roman" w:hAnsi="Times New Roman" w:cs="Times New Roman"/>
          <w:b/>
          <w:bCs/>
          <w:i/>
          <w:iCs/>
          <w:sz w:val="24"/>
          <w:szCs w:val="24"/>
          <w:lang w:val="en-GB"/>
        </w:rPr>
        <w:t>Unilever Plc</w:t>
      </w:r>
      <w:r w:rsidRPr="00CE53D1">
        <w:rPr>
          <w:rFonts w:ascii="Times New Roman" w:eastAsia="Times New Roman" w:hAnsi="Times New Roman" w:cs="Times New Roman"/>
          <w:sz w:val="24"/>
          <w:szCs w:val="24"/>
          <w:lang w:val="en-GB"/>
        </w:rPr>
        <w:t xml:space="preserve"> is a giant consumer goods multinational of the UK that offers its brands in more than 190 countries and has significant world revenues, which makes it a crucial participant in the global supply chains and sustainability discussions. In the current essay, the three key forces in 2024-2025, fast adoption of AI, geopolitical supply-chain risks, such as Red Sea and China-Taiwan tensions, and more restrictive sustainability regulations, such as the CSRD of the EU, are going to be analysed both as opportunities and as threats to Unilever. It will examine impacts on strategy, operations, innovation and talent management, and suggest some viable strategic responses the firm ought to take.</w:t>
      </w:r>
    </w:p>
    <w:p w14:paraId="050538F1" w14:textId="77777777" w:rsidR="00640D71" w:rsidRPr="00CE53D1" w:rsidRDefault="00CE53D1" w:rsidP="00BF21E8">
      <w:pPr>
        <w:spacing w:line="360" w:lineRule="auto"/>
        <w:ind w:firstLine="720"/>
        <w:jc w:val="both"/>
        <w:rPr>
          <w:rFonts w:ascii="Times New Roman" w:eastAsia="Times New Roman" w:hAnsi="Times New Roman" w:cs="Times New Roman"/>
          <w:sz w:val="24"/>
          <w:szCs w:val="24"/>
          <w:highlight w:val="white"/>
          <w:lang w:val="en-GB"/>
        </w:rPr>
      </w:pPr>
      <w:r w:rsidRPr="00CE53D1">
        <w:rPr>
          <w:rFonts w:ascii="Times New Roman" w:eastAsia="Times New Roman" w:hAnsi="Times New Roman" w:cs="Times New Roman"/>
          <w:sz w:val="24"/>
          <w:szCs w:val="24"/>
          <w:highlight w:val="white"/>
          <w:lang w:val="en-GB"/>
        </w:rPr>
        <w:t xml:space="preserve">The adoption of AI presents obvious </w:t>
      </w:r>
      <w:r w:rsidRPr="00CE53D1">
        <w:rPr>
          <w:rFonts w:ascii="Times New Roman" w:eastAsia="Times New Roman" w:hAnsi="Times New Roman" w:cs="Times New Roman"/>
          <w:b/>
          <w:bCs/>
          <w:i/>
          <w:iCs/>
          <w:sz w:val="24"/>
          <w:szCs w:val="24"/>
          <w:highlight w:val="white"/>
          <w:lang w:val="en-GB"/>
        </w:rPr>
        <w:t>opportunities to Unilever</w:t>
      </w:r>
      <w:r w:rsidRPr="00CE53D1">
        <w:rPr>
          <w:rFonts w:ascii="Times New Roman" w:eastAsia="Times New Roman" w:hAnsi="Times New Roman" w:cs="Times New Roman"/>
          <w:sz w:val="24"/>
          <w:szCs w:val="24"/>
          <w:highlight w:val="white"/>
          <w:lang w:val="en-GB"/>
        </w:rPr>
        <w:t xml:space="preserve">. The AI will be able to reduce waste in production and improve the accuracy of demand forecasts. Unilever already applies AI and digital technologies to its ice-cream supply chain to forecast demand, modify production according to weather changes, and minimise spoilage. This enhances profitability and reduces the working capital invested in stock. The cloud and data partnerships of the company also assist in connecting the sourcing, factories, and sales data, enabling faster decision-making and introducing products within a shorter time and offering greater local market customisation (Atef and Ramachandran, 2025). The actions will enhance the presence of Unilever in the market and its Power Brands, which propelled the high sales growth in 2024. AI also drives Marketing and Product Development. Generative tools can accelerate testing, creative tests and scale personalised promotions. This reduces the marketing expenses per impression and assists Unilever in aligning the products with the local preferences of the over 190 countries it operates in (Chen and Wang, 2024). Increased digital targeting will improve the return on ad spend and assist smaller brands in the portfolio to grow quickly. Geopolitical supply-chain risks represent a pressing need for resilience and an expensive short-term charge (Unilever, 2025). In 2024, with so many carriers having to re-route around </w:t>
      </w:r>
      <w:r w:rsidRPr="00CE53D1">
        <w:rPr>
          <w:rFonts w:ascii="Times New Roman" w:eastAsia="Times New Roman" w:hAnsi="Times New Roman" w:cs="Times New Roman"/>
          <w:b/>
          <w:bCs/>
          <w:i/>
          <w:iCs/>
          <w:sz w:val="24"/>
          <w:szCs w:val="24"/>
          <w:highlight w:val="white"/>
          <w:lang w:val="en-GB"/>
        </w:rPr>
        <w:t>Africa due to attacks and instability in the Red Sea and wider Middle East</w:t>
      </w:r>
      <w:r w:rsidRPr="00CE53D1">
        <w:rPr>
          <w:rFonts w:ascii="Times New Roman" w:eastAsia="Times New Roman" w:hAnsi="Times New Roman" w:cs="Times New Roman"/>
          <w:sz w:val="24"/>
          <w:szCs w:val="24"/>
          <w:highlight w:val="white"/>
          <w:lang w:val="en-GB"/>
        </w:rPr>
        <w:t>. This increased the sea journeys, increased the freight expenses and caused port congestion. In the case of a global fast-moving consumer goods company such as Unilever, the longer the transit times, the longer the lead time and safety stock requirements (Korkmaz, 2024). The trade volumes of the company are large, and therefore these increases in costs are significant to the margins and the planning. But they also motivate the company to diversify its suppliers, near-source certain production, and invest in inventory visibility solutions that can reduce the risk of disruption.</w:t>
      </w:r>
    </w:p>
    <w:p w14:paraId="050538F2" w14:textId="77777777" w:rsidR="00640D71" w:rsidRPr="00CE53D1" w:rsidRDefault="00CE53D1" w:rsidP="00BF21E8">
      <w:pPr>
        <w:spacing w:line="360" w:lineRule="auto"/>
        <w:ind w:firstLine="720"/>
        <w:jc w:val="both"/>
        <w:rPr>
          <w:rFonts w:ascii="Times New Roman" w:eastAsia="Times New Roman" w:hAnsi="Times New Roman" w:cs="Times New Roman"/>
          <w:sz w:val="24"/>
          <w:szCs w:val="24"/>
          <w:highlight w:val="white"/>
          <w:lang w:val="en-GB"/>
        </w:rPr>
      </w:pPr>
      <w:r w:rsidRPr="00CE53D1">
        <w:rPr>
          <w:rFonts w:ascii="Times New Roman" w:eastAsia="Times New Roman" w:hAnsi="Times New Roman" w:cs="Times New Roman"/>
          <w:sz w:val="24"/>
          <w:szCs w:val="24"/>
          <w:highlight w:val="white"/>
          <w:lang w:val="en-GB"/>
        </w:rPr>
        <w:t xml:space="preserve">The geopolitical tension between China and Taiwan increases the risk in sourcing and components’ availability. Some of the elements of the supply chain are targeted by tariffs, export restrictions or longer delivery lead times. Unilever might be required to restructure the supply of ingredients and packaging (Dugbartey, 2025). This can increase unit costs and product innovation cycles. Nonetheless, it is also pressure that drives Unilever to intensify supplier relationships and accelerate the localisation of critical inputs, thereby minimising the future exposure and enabling quicker time-to-market in priority regions (Unilever, 2025). New sustainability regulations like the CSRD set out by the EU present compliance expenses and data overheads. CSRD needs more detailed, auditable sustainability report disclosures on numerous issues. Major multinationals have to gather span 1- 3 emissions and supply-chain influence information and plot threats among thousands of providers (Ul Mansoor, 2023). In the case of Unilever, it implies increased reporting expenses and stricter controls over the practices of sourcing. Meanwhile, the compulsory reporting enhances the transparency to investors and consumers. Unilever can make compliance work a strategic advantage by demonstrating verified improvements on deforestation, emissions and human rights. This will help to defend against brand depreciation and premium pricing of sustainable products. These forces are also operationally hard trade-offs (Unilever, 2025). The restructuring and spin-off program of Unilever's ice-cream business also explains how the company balances scale, cost reduction and priorities of high-growth units. Any job losses and resource reallocation can be used to invest in digital and sustainability (Park </w:t>
      </w:r>
      <w:r w:rsidRPr="00CE53D1">
        <w:rPr>
          <w:rFonts w:ascii="Times New Roman" w:eastAsia="Times New Roman" w:hAnsi="Times New Roman" w:cs="Times New Roman"/>
          <w:i/>
          <w:iCs/>
          <w:sz w:val="24"/>
          <w:szCs w:val="24"/>
          <w:highlight w:val="white"/>
          <w:lang w:val="en-GB"/>
        </w:rPr>
        <w:t>et al</w:t>
      </w:r>
      <w:r w:rsidRPr="00CE53D1">
        <w:rPr>
          <w:rFonts w:ascii="Times New Roman" w:eastAsia="Times New Roman" w:hAnsi="Times New Roman" w:cs="Times New Roman"/>
          <w:sz w:val="24"/>
          <w:szCs w:val="24"/>
          <w:highlight w:val="white"/>
          <w:lang w:val="en-GB"/>
        </w:rPr>
        <w:t>., 2025). Yet it may also pose the risk of losing highly specialised expertise and damage morale among workers unless well managed. The overall impact is the resultant push of AI, geopolitics, and CSRD forces upon Unilever to invest today in data, supplier relationships, and reporting systems. This kind of investment increases the short-term expenditure but may make the company more resilient, innovative and trustworthy if implemented effectively.</w:t>
      </w:r>
    </w:p>
    <w:p w14:paraId="050538F3" w14:textId="77777777" w:rsidR="00640D71" w:rsidRPr="00CE53D1" w:rsidRDefault="00CE53D1" w:rsidP="00BF21E8">
      <w:pPr>
        <w:spacing w:line="360" w:lineRule="auto"/>
        <w:ind w:firstLine="720"/>
        <w:jc w:val="both"/>
        <w:rPr>
          <w:rFonts w:ascii="Times New Roman" w:eastAsia="Times New Roman" w:hAnsi="Times New Roman" w:cs="Times New Roman"/>
          <w:sz w:val="24"/>
          <w:szCs w:val="24"/>
          <w:highlight w:val="white"/>
          <w:lang w:val="en-GB"/>
        </w:rPr>
      </w:pPr>
      <w:r w:rsidRPr="00CE53D1">
        <w:rPr>
          <w:rFonts w:ascii="Times New Roman" w:eastAsia="Times New Roman" w:hAnsi="Times New Roman" w:cs="Times New Roman"/>
          <w:sz w:val="24"/>
          <w:szCs w:val="24"/>
          <w:highlight w:val="white"/>
          <w:lang w:val="en-GB"/>
        </w:rPr>
        <w:t xml:space="preserve">Unilever is being transformed by these international forces in market positioning. The size of the company and a large brand portfolio allow the firm to retain its market share in numerous countries. In 2024, Unilever announced a turnover of €60.8 billion, followed by Power Brands, accounting for over three-quarters of the sales, indicating that the company is strong in the market. Unilever is moving into innovation that is increasingly more digital and data-driven (Sandul, 2023). The company has publicly known that AI and digital solutions are being deployed to digitise the end-to-end value chain, enhance demand forecasting and accelerate creative marketing. These functions reduce time-to-market and enable more tailored advertising at cost, thereby solidifying brand relevance at the regional levels. At the same time, the adoption of new AI regulations, such as the EU AI Act, should be strictly regulated and may postpone some experiments (Iqbal </w:t>
      </w:r>
      <w:r w:rsidRPr="00CE53D1">
        <w:rPr>
          <w:rFonts w:ascii="Times New Roman" w:eastAsia="Times New Roman" w:hAnsi="Times New Roman" w:cs="Times New Roman"/>
          <w:i/>
          <w:iCs/>
          <w:sz w:val="24"/>
          <w:szCs w:val="24"/>
          <w:highlight w:val="white"/>
          <w:lang w:val="en-GB"/>
        </w:rPr>
        <w:t>et al</w:t>
      </w:r>
      <w:r w:rsidRPr="00CE53D1">
        <w:rPr>
          <w:rFonts w:ascii="Times New Roman" w:eastAsia="Times New Roman" w:hAnsi="Times New Roman" w:cs="Times New Roman"/>
          <w:sz w:val="24"/>
          <w:szCs w:val="24"/>
          <w:highlight w:val="white"/>
          <w:lang w:val="en-GB"/>
        </w:rPr>
        <w:t>., 2025). Unilever has even mentioned that it is preparing to comply with AI regulations, which have legal and procedural overheads on innovation.</w:t>
      </w:r>
    </w:p>
    <w:p w14:paraId="050538F4" w14:textId="77777777" w:rsidR="00640D71" w:rsidRPr="00CE53D1" w:rsidRDefault="00CE53D1" w:rsidP="00BF21E8">
      <w:pPr>
        <w:spacing w:line="360" w:lineRule="auto"/>
        <w:ind w:firstLine="720"/>
        <w:jc w:val="both"/>
        <w:rPr>
          <w:rFonts w:ascii="Times New Roman" w:eastAsia="Times New Roman" w:hAnsi="Times New Roman" w:cs="Times New Roman"/>
          <w:sz w:val="24"/>
          <w:szCs w:val="24"/>
          <w:highlight w:val="white"/>
          <w:lang w:val="en-GB"/>
        </w:rPr>
      </w:pPr>
      <w:r w:rsidRPr="00CE53D1">
        <w:rPr>
          <w:rFonts w:ascii="Times New Roman" w:eastAsia="Times New Roman" w:hAnsi="Times New Roman" w:cs="Times New Roman"/>
          <w:sz w:val="24"/>
          <w:szCs w:val="24"/>
          <w:highlight w:val="white"/>
          <w:lang w:val="en-GB"/>
        </w:rPr>
        <w:t>Unilever’s productivity and separation programmes, such as the ice-cream spin-off, not to mention a massive productivity push, imply that the company is reassigning individuals and functions to meet the areas of growth. Those changes are able to strengthen high-value functions, but on the other hand, they may also end up losing experienced employees and demoralising them if not addressed effectively (</w:t>
      </w:r>
      <w:proofErr w:type="spellStart"/>
      <w:r w:rsidRPr="00CE53D1">
        <w:rPr>
          <w:rFonts w:ascii="Times New Roman" w:eastAsia="Times New Roman" w:hAnsi="Times New Roman" w:cs="Times New Roman"/>
          <w:sz w:val="24"/>
          <w:szCs w:val="24"/>
          <w:highlight w:val="white"/>
          <w:lang w:val="en-GB"/>
        </w:rPr>
        <w:t>Kramskyi</w:t>
      </w:r>
      <w:proofErr w:type="spellEnd"/>
      <w:r w:rsidRPr="00CE53D1">
        <w:rPr>
          <w:rFonts w:ascii="Times New Roman" w:eastAsia="Times New Roman" w:hAnsi="Times New Roman" w:cs="Times New Roman"/>
          <w:sz w:val="24"/>
          <w:szCs w:val="24"/>
          <w:highlight w:val="white"/>
          <w:lang w:val="en-GB"/>
        </w:rPr>
        <w:t xml:space="preserve"> </w:t>
      </w:r>
      <w:r w:rsidRPr="00CE53D1">
        <w:rPr>
          <w:rFonts w:ascii="Times New Roman" w:eastAsia="Times New Roman" w:hAnsi="Times New Roman" w:cs="Times New Roman"/>
          <w:i/>
          <w:iCs/>
          <w:sz w:val="24"/>
          <w:szCs w:val="24"/>
          <w:highlight w:val="white"/>
          <w:lang w:val="en-GB"/>
        </w:rPr>
        <w:t>et al</w:t>
      </w:r>
      <w:r w:rsidRPr="00CE53D1">
        <w:rPr>
          <w:rFonts w:ascii="Times New Roman" w:eastAsia="Times New Roman" w:hAnsi="Times New Roman" w:cs="Times New Roman"/>
          <w:sz w:val="24"/>
          <w:szCs w:val="24"/>
          <w:highlight w:val="white"/>
          <w:lang w:val="en-GB"/>
        </w:rPr>
        <w:t>., 2024). The human cost of strategic pivoting was mentioned when Reuters said that Unilever had decided to restructure its operations, including reducing costs and laying off employees.</w:t>
      </w:r>
    </w:p>
    <w:p w14:paraId="050538F5" w14:textId="77777777" w:rsidR="00640D71" w:rsidRPr="00CE53D1" w:rsidRDefault="00CE53D1" w:rsidP="00691363">
      <w:pPr>
        <w:spacing w:line="360" w:lineRule="auto"/>
        <w:ind w:firstLine="720"/>
        <w:jc w:val="both"/>
        <w:rPr>
          <w:rFonts w:ascii="Times New Roman" w:eastAsia="Times New Roman" w:hAnsi="Times New Roman" w:cs="Times New Roman"/>
          <w:sz w:val="24"/>
          <w:szCs w:val="24"/>
          <w:highlight w:val="white"/>
          <w:lang w:val="en-GB"/>
        </w:rPr>
      </w:pPr>
      <w:r w:rsidRPr="00CE53D1">
        <w:rPr>
          <w:rFonts w:ascii="Times New Roman" w:eastAsia="Times New Roman" w:hAnsi="Times New Roman" w:cs="Times New Roman"/>
          <w:sz w:val="24"/>
          <w:szCs w:val="24"/>
          <w:highlight w:val="white"/>
          <w:lang w:val="en-GB"/>
        </w:rPr>
        <w:t>This has mixed impacts on competitiveness. On the one hand, AI investments, data and digital supply-chain visibility enhance the operational resilience and enable Unilever to react faster to local demand. These actions can help extend shelf life and, consequently, market share. Conversely, compliance with CSRD-style sustainability reporting and rerouting or near-shoring logistics are short-term, high-cost expenses for the company (</w:t>
      </w:r>
      <w:proofErr w:type="spellStart"/>
      <w:r w:rsidRPr="00CE53D1">
        <w:rPr>
          <w:rFonts w:ascii="Times New Roman" w:eastAsia="Times New Roman" w:hAnsi="Times New Roman" w:cs="Times New Roman"/>
          <w:sz w:val="24"/>
          <w:szCs w:val="24"/>
          <w:highlight w:val="white"/>
          <w:lang w:val="en-GB"/>
        </w:rPr>
        <w:t>Mnif</w:t>
      </w:r>
      <w:proofErr w:type="spellEnd"/>
      <w:r w:rsidRPr="00CE53D1">
        <w:rPr>
          <w:rFonts w:ascii="Times New Roman" w:eastAsia="Times New Roman" w:hAnsi="Times New Roman" w:cs="Times New Roman"/>
          <w:sz w:val="24"/>
          <w:szCs w:val="24"/>
          <w:highlight w:val="white"/>
          <w:lang w:val="en-GB"/>
        </w:rPr>
        <w:t xml:space="preserve"> </w:t>
      </w:r>
      <w:r w:rsidRPr="00CE53D1">
        <w:rPr>
          <w:rFonts w:ascii="Times New Roman" w:eastAsia="Times New Roman" w:hAnsi="Times New Roman" w:cs="Times New Roman"/>
          <w:i/>
          <w:iCs/>
          <w:sz w:val="24"/>
          <w:szCs w:val="24"/>
          <w:highlight w:val="white"/>
          <w:lang w:val="en-GB"/>
        </w:rPr>
        <w:t>et al</w:t>
      </w:r>
      <w:r w:rsidRPr="00CE53D1">
        <w:rPr>
          <w:rFonts w:ascii="Times New Roman" w:eastAsia="Times New Roman" w:hAnsi="Times New Roman" w:cs="Times New Roman"/>
          <w:sz w:val="24"/>
          <w:szCs w:val="24"/>
          <w:highlight w:val="white"/>
          <w:lang w:val="en-GB"/>
        </w:rPr>
        <w:t>., 2024). Essential sustainability reporting policies increase the reporting burden, require additional data collection from suppliers, and raise operating costs. Unilever already discloses a great deal in line with various standards and can turn compliance into a reputational advantage if it handles data properly. This will enhance the competitiveness, provided that investments are made properly. The move, however, poses short-term threats to margins due to increased logistics and compliance costs, talent loss during the restructuring process, and regulatory resistance to AI usage (Hung, 2024). The overall effect is determined by the effectiveness with which Unilever creates capability, particularly in data, supplier relationships and localised production and the ability to control the human and immediate financial expenses of change.</w:t>
      </w:r>
    </w:p>
    <w:p w14:paraId="050538F6" w14:textId="77777777" w:rsidR="00640D71" w:rsidRPr="00CE53D1" w:rsidRDefault="00CE53D1" w:rsidP="00691363">
      <w:pPr>
        <w:spacing w:line="360" w:lineRule="auto"/>
        <w:ind w:firstLine="720"/>
        <w:jc w:val="both"/>
        <w:rPr>
          <w:rFonts w:ascii="Times New Roman" w:eastAsia="Times New Roman" w:hAnsi="Times New Roman" w:cs="Times New Roman"/>
          <w:b/>
          <w:bCs/>
          <w:sz w:val="24"/>
          <w:szCs w:val="24"/>
          <w:lang w:val="en-GB"/>
        </w:rPr>
      </w:pPr>
      <w:r w:rsidRPr="00CE53D1">
        <w:rPr>
          <w:rFonts w:ascii="Times New Roman" w:eastAsia="Times New Roman" w:hAnsi="Times New Roman" w:cs="Times New Roman"/>
          <w:sz w:val="24"/>
          <w:szCs w:val="24"/>
          <w:highlight w:val="white"/>
          <w:lang w:val="en-GB"/>
        </w:rPr>
        <w:t>Unilever ought to increase investments in AI and establish effective governance. It should unify data platforms in demand forecasting, inventory visibility and CSRD reporting to have a single source of truth to drive decisions and disclosures. Unilever needs to hasten supplier diversification and near-shoring of key inputs to minimise exposure to Red Sea and China-Taiwan route risks (Wenning, 2023). More transit time on longer reroutes in 2024 will increase stock, and available capacity will be reduced, so faster local sourcing will reduce stock risk. Freight and insurance resiliency should become a board-level priority of the company through multi-year contracts, strategic inventory hubs, and closer collaboration and partnerships with lead carriers. Unilever has to introduce sustainability data systems throughout the enterprise and enhance supplier audits to comply with CSRD, so that scope 13 metrics can be audited and compared. This transforms compliance into market-proven qualifications (</w:t>
      </w:r>
      <w:proofErr w:type="spellStart"/>
      <w:r w:rsidRPr="00CE53D1">
        <w:rPr>
          <w:rFonts w:ascii="Times New Roman" w:eastAsia="Times New Roman" w:hAnsi="Times New Roman" w:cs="Times New Roman"/>
          <w:sz w:val="24"/>
          <w:szCs w:val="24"/>
          <w:highlight w:val="white"/>
          <w:lang w:val="en-GB"/>
        </w:rPr>
        <w:t>Mayienga</w:t>
      </w:r>
      <w:proofErr w:type="spellEnd"/>
      <w:r w:rsidRPr="00CE53D1">
        <w:rPr>
          <w:rFonts w:ascii="Times New Roman" w:eastAsia="Times New Roman" w:hAnsi="Times New Roman" w:cs="Times New Roman"/>
          <w:sz w:val="24"/>
          <w:szCs w:val="24"/>
          <w:highlight w:val="white"/>
          <w:lang w:val="en-GB"/>
        </w:rPr>
        <w:t xml:space="preserve"> </w:t>
      </w:r>
      <w:r w:rsidRPr="00CE53D1">
        <w:rPr>
          <w:rFonts w:ascii="Times New Roman" w:eastAsia="Times New Roman" w:hAnsi="Times New Roman" w:cs="Times New Roman"/>
          <w:i/>
          <w:iCs/>
          <w:sz w:val="24"/>
          <w:szCs w:val="24"/>
          <w:highlight w:val="white"/>
          <w:lang w:val="en-GB"/>
        </w:rPr>
        <w:t>et al</w:t>
      </w:r>
      <w:r w:rsidRPr="00CE53D1">
        <w:rPr>
          <w:rFonts w:ascii="Times New Roman" w:eastAsia="Times New Roman" w:hAnsi="Times New Roman" w:cs="Times New Roman"/>
          <w:sz w:val="24"/>
          <w:szCs w:val="24"/>
          <w:highlight w:val="white"/>
          <w:lang w:val="en-GB"/>
        </w:rPr>
        <w:t>., 2024). The talent programs should be on upskilling data scientists, supply-chain analysts and sustainability managers and offer transition plans that are protected in case the roles are impacted by restructuring to maintain morale and expertise. Lastly, Unilever ought to test-run resilient micro-factories to move fast-moving lines in main locations and release reliable, audited sustainability pathways to safeguard brand value and premium prices that are more strictly controlled (Unilever, 2025).</w:t>
      </w:r>
    </w:p>
    <w:p w14:paraId="050538F7" w14:textId="77777777" w:rsidR="00640D71" w:rsidRPr="00CE53D1" w:rsidRDefault="00CE53D1" w:rsidP="00691363">
      <w:pPr>
        <w:spacing w:line="360" w:lineRule="auto"/>
        <w:ind w:firstLine="720"/>
        <w:jc w:val="both"/>
        <w:rPr>
          <w:rFonts w:ascii="Times New Roman" w:eastAsia="Times New Roman" w:hAnsi="Times New Roman" w:cs="Times New Roman"/>
          <w:sz w:val="24"/>
          <w:szCs w:val="24"/>
          <w:lang w:val="en-GB"/>
        </w:rPr>
      </w:pPr>
      <w:r w:rsidRPr="00691363">
        <w:rPr>
          <w:rFonts w:ascii="Times New Roman" w:eastAsia="Times New Roman" w:hAnsi="Times New Roman" w:cs="Times New Roman"/>
          <w:b/>
          <w:bCs/>
          <w:i/>
          <w:iCs/>
          <w:sz w:val="24"/>
          <w:szCs w:val="24"/>
          <w:lang w:val="en-GB"/>
        </w:rPr>
        <w:t>It is to be concluded that the essay has demonstrated that globalisation</w:t>
      </w:r>
      <w:r w:rsidRPr="00CE53D1">
        <w:rPr>
          <w:rFonts w:ascii="Times New Roman" w:eastAsia="Times New Roman" w:hAnsi="Times New Roman" w:cs="Times New Roman"/>
          <w:sz w:val="24"/>
          <w:szCs w:val="24"/>
          <w:lang w:val="en-GB"/>
        </w:rPr>
        <w:t xml:space="preserve"> is central to Unilever's strategy, as the company has operations in numerous markets. The positive outcome of AI adoption is a clearer picture of demand. It can develop products faster and more accurately. However, it is accompanied by the cost of governance and compliance. Geopolitical volatility, such as Red Sea upheavals and threats of China-Taiwan, increases freight durations and supply uncertainty, which provoke supplier diversification and domestic manufacturing. Tougher regulations like the EU's CSRD increase the costs of reporting in the short term and the burdens, but also provide Unilever with the opportunity to prove its sustainability credentials and safeguard its brand value. These forces influence the position of Unilever in the market, motivation towards digital innovation, generation of new talent requirements, and provide a margin and operational pressure. The practical answers are improved data platforms, supplier resilience, data systems on sustainability and specific upskilling. These world forces are critical in the international strategy due to their ability to predetermine competitiveness and the exposure of the risks to the firm and the possibility of the firm to grow in a dynamic world responsibly.</w:t>
      </w:r>
    </w:p>
    <w:p w14:paraId="050538F8" w14:textId="77777777" w:rsidR="00640D71" w:rsidRPr="00CE53D1" w:rsidRDefault="00CE53D1">
      <w:pPr>
        <w:spacing w:line="360" w:lineRule="auto"/>
        <w:jc w:val="both"/>
        <w:rPr>
          <w:rFonts w:ascii="Times New Roman" w:eastAsia="Times New Roman" w:hAnsi="Times New Roman" w:cs="Times New Roman"/>
          <w:b/>
          <w:bCs/>
          <w:sz w:val="24"/>
          <w:szCs w:val="24"/>
          <w:lang w:val="en-GB"/>
        </w:rPr>
      </w:pPr>
      <w:r w:rsidRPr="00CE53D1">
        <w:rPr>
          <w:lang w:val="en-GB"/>
        </w:rPr>
        <w:br w:type="page"/>
      </w:r>
    </w:p>
    <w:p w14:paraId="050538F9" w14:textId="77777777" w:rsidR="00640D71" w:rsidRPr="00CE53D1" w:rsidRDefault="00CE53D1">
      <w:pPr>
        <w:spacing w:line="360" w:lineRule="auto"/>
        <w:jc w:val="both"/>
        <w:rPr>
          <w:rFonts w:ascii="Times New Roman" w:eastAsia="Times New Roman" w:hAnsi="Times New Roman" w:cs="Times New Roman"/>
          <w:b/>
          <w:bCs/>
          <w:sz w:val="24"/>
          <w:szCs w:val="24"/>
          <w:lang w:val="en-GB"/>
        </w:rPr>
      </w:pPr>
      <w:r w:rsidRPr="00CE53D1">
        <w:rPr>
          <w:rFonts w:ascii="Times New Roman" w:eastAsia="Times New Roman" w:hAnsi="Times New Roman" w:cs="Times New Roman"/>
          <w:b/>
          <w:bCs/>
          <w:sz w:val="24"/>
          <w:szCs w:val="24"/>
          <w:lang w:val="en-GB"/>
        </w:rPr>
        <w:t>Reference List</w:t>
      </w:r>
    </w:p>
    <w:p w14:paraId="5145389E"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Atef, R. and Ramachandran, B. (2025). Organisational innovation for sustainable globalisation: balancing technological transition with climate and geopolitical challenges. </w:t>
      </w:r>
      <w:r w:rsidRPr="00CE53D1">
        <w:rPr>
          <w:rFonts w:ascii="Times New Roman" w:eastAsia="Times New Roman" w:hAnsi="Times New Roman" w:cs="Times New Roman"/>
          <w:i/>
          <w:iCs/>
          <w:sz w:val="24"/>
          <w:szCs w:val="24"/>
          <w:lang w:val="en-GB"/>
        </w:rPr>
        <w:t>Arab Gulf Journal of Scientific Research</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43</w:t>
      </w:r>
      <w:r w:rsidRPr="00CE53D1">
        <w:rPr>
          <w:rFonts w:ascii="Times New Roman" w:eastAsia="Times New Roman" w:hAnsi="Times New Roman" w:cs="Times New Roman"/>
          <w:sz w:val="24"/>
          <w:szCs w:val="24"/>
          <w:lang w:val="en-GB"/>
        </w:rPr>
        <w:t>(1), pp.60-80.  Available at: https://www.emerald.com/agjsr/article/43/1/60/1300273 [Accessed on: 29 Nov. 2025]</w:t>
      </w:r>
    </w:p>
    <w:p w14:paraId="6799F557"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Chen, W. and Wang, L. (2024). The Global Economic Trends and Their Impact on National Economies. </w:t>
      </w:r>
      <w:r w:rsidRPr="00CE53D1">
        <w:rPr>
          <w:rFonts w:ascii="Times New Roman" w:eastAsia="Times New Roman" w:hAnsi="Times New Roman" w:cs="Times New Roman"/>
          <w:i/>
          <w:iCs/>
          <w:sz w:val="24"/>
          <w:szCs w:val="24"/>
          <w:lang w:val="en-GB"/>
        </w:rPr>
        <w:t>International Journal of Accounting, Finance, and Economic Studies</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2</w:t>
      </w:r>
      <w:r w:rsidRPr="00CE53D1">
        <w:rPr>
          <w:rFonts w:ascii="Times New Roman" w:eastAsia="Times New Roman" w:hAnsi="Times New Roman" w:cs="Times New Roman"/>
          <w:sz w:val="24"/>
          <w:szCs w:val="24"/>
          <w:lang w:val="en-GB"/>
        </w:rPr>
        <w:t>(1), pp.632-780.  Available at: https://jurnals.net/access/IJAFES/article/view/7 [Accessed on: 29 Nov. 2025]</w:t>
      </w:r>
    </w:p>
    <w:p w14:paraId="1865F2AF"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Dugbartey, A.N. (2025). Systemic financial risks in an era of geopolitical tensions, climate change, and technological disruptions: Predictive analytics, stress testing and crisis response strategies. </w:t>
      </w:r>
      <w:r w:rsidRPr="00CE53D1">
        <w:rPr>
          <w:rFonts w:ascii="Times New Roman" w:eastAsia="Times New Roman" w:hAnsi="Times New Roman" w:cs="Times New Roman"/>
          <w:i/>
          <w:iCs/>
          <w:sz w:val="24"/>
          <w:szCs w:val="24"/>
          <w:lang w:val="en-GB"/>
        </w:rPr>
        <w:t>International Journal of Science and Research Archive</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14</w:t>
      </w:r>
      <w:r w:rsidRPr="00CE53D1">
        <w:rPr>
          <w:rFonts w:ascii="Times New Roman" w:eastAsia="Times New Roman" w:hAnsi="Times New Roman" w:cs="Times New Roman"/>
          <w:sz w:val="24"/>
          <w:szCs w:val="24"/>
          <w:lang w:val="en-GB"/>
        </w:rPr>
        <w:t>(02), pp.1428-1448.  Available at: https://www.researchgate.net/profile/Adriana-Dugbartey/publication/ [Accessed on: 29 Nov. 2025]</w:t>
      </w:r>
    </w:p>
    <w:p w14:paraId="1A1BE284"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Hung, A.H.C. (2024). How AI-Enabled Blockchain Technology Facilitates US Sanctions on Foreign Businesses: An Analysis Based on International Regulatory Harmonisation. </w:t>
      </w:r>
      <w:r w:rsidRPr="00CE53D1">
        <w:rPr>
          <w:rFonts w:ascii="Times New Roman" w:eastAsia="Times New Roman" w:hAnsi="Times New Roman" w:cs="Times New Roman"/>
          <w:i/>
          <w:iCs/>
          <w:sz w:val="24"/>
          <w:szCs w:val="24"/>
          <w:lang w:val="en-GB"/>
        </w:rPr>
        <w:t>Int 'l JL Ethics Tech.</w:t>
      </w:r>
      <w:r w:rsidRPr="00CE53D1">
        <w:rPr>
          <w:rFonts w:ascii="Times New Roman" w:eastAsia="Times New Roman" w:hAnsi="Times New Roman" w:cs="Times New Roman"/>
          <w:sz w:val="24"/>
          <w:szCs w:val="24"/>
          <w:lang w:val="en-GB"/>
        </w:rPr>
        <w:t>, pp.151.  Available at: https://heinonline.org/hol-cgi-bin/get_pdf.cgi?handle=hein.journals/ijlet2024&amp;section=35 [Accessed on: 29 Nov. 2025]</w:t>
      </w:r>
    </w:p>
    <w:p w14:paraId="3ACDAB9C"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Iqbal, A., Zhang, W. and Jahangir, S. (2025). Building a Sustainable Future: The Nexus Between Artificial Intelligence, Renewable Energy, Green Human Capital, Geopolitical Risk, and Carbon Emissions Through the Moderating Role of Institutional Quality. </w:t>
      </w:r>
      <w:r w:rsidRPr="00CE53D1">
        <w:rPr>
          <w:rFonts w:ascii="Times New Roman" w:eastAsia="Times New Roman" w:hAnsi="Times New Roman" w:cs="Times New Roman"/>
          <w:i/>
          <w:iCs/>
          <w:sz w:val="24"/>
          <w:szCs w:val="24"/>
          <w:lang w:val="en-GB"/>
        </w:rPr>
        <w:t>Sustainability</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17</w:t>
      </w:r>
      <w:r w:rsidRPr="00CE53D1">
        <w:rPr>
          <w:rFonts w:ascii="Times New Roman" w:eastAsia="Times New Roman" w:hAnsi="Times New Roman" w:cs="Times New Roman"/>
          <w:sz w:val="24"/>
          <w:szCs w:val="24"/>
          <w:lang w:val="en-GB"/>
        </w:rPr>
        <w:t>(3), pp.990.  Available at: https://www.mdpi.com/2071-1050/17/3/990 [Accessed on: 29 Nov. 2025]</w:t>
      </w:r>
    </w:p>
    <w:p w14:paraId="7F3D4859"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Korkmaz, S.C. (2024). Emerging Technologies and Power Asymmetry in the International System: An Analysis of Artificial Intelligence. </w:t>
      </w:r>
      <w:r w:rsidRPr="00CE53D1">
        <w:rPr>
          <w:rFonts w:ascii="Times New Roman" w:eastAsia="Times New Roman" w:hAnsi="Times New Roman" w:cs="Times New Roman"/>
          <w:i/>
          <w:iCs/>
          <w:sz w:val="24"/>
          <w:szCs w:val="24"/>
          <w:lang w:val="en-GB"/>
        </w:rPr>
        <w:t>Artificial Intelligence</w:t>
      </w:r>
      <w:r w:rsidRPr="00CE53D1">
        <w:rPr>
          <w:rFonts w:ascii="Times New Roman" w:eastAsia="Times New Roman" w:hAnsi="Times New Roman" w:cs="Times New Roman"/>
          <w:sz w:val="24"/>
          <w:szCs w:val="24"/>
          <w:lang w:val="en-GB"/>
        </w:rPr>
        <w:t>, pp.84-99.  Available at: https://www.taylorfrancis.com/chapters/edit/10.1201/9781003483571-7/emerging-technologies-power-asymmetry-international-system-serta%C3%A7-canalp-korkmaz [Accessed on: 29 Nov. 2025]</w:t>
      </w:r>
    </w:p>
    <w:p w14:paraId="6D0D85E0"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Kramskyi, S., Guo, X., Chmutova, I., Kryvobok, K. and Lozova, T. (2024). The race for global leadership and its risks for world instability: Technologies of controlling and mitigation. </w:t>
      </w:r>
      <w:r w:rsidRPr="00CE53D1">
        <w:rPr>
          <w:rFonts w:ascii="Times New Roman" w:eastAsia="Times New Roman" w:hAnsi="Times New Roman" w:cs="Times New Roman"/>
          <w:i/>
          <w:iCs/>
          <w:sz w:val="24"/>
          <w:szCs w:val="24"/>
          <w:lang w:val="en-GB"/>
        </w:rPr>
        <w:t>Research Journal in Advanced Humanities</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5</w:t>
      </w:r>
      <w:r w:rsidRPr="00CE53D1">
        <w:rPr>
          <w:rFonts w:ascii="Times New Roman" w:eastAsia="Times New Roman" w:hAnsi="Times New Roman" w:cs="Times New Roman"/>
          <w:sz w:val="24"/>
          <w:szCs w:val="24"/>
          <w:lang w:val="en-GB"/>
        </w:rPr>
        <w:t>(1), pp.178-191.  Available at: http://eprints.library.odeku.edu.ua/id/eprint/12771/1/Xiaoqing%2BGuo%2Bet%2B%D0%9Aramskyi%20%28Scopus%29.pdf [Accessed on: 29 Nov. 2025]</w:t>
      </w:r>
    </w:p>
    <w:p w14:paraId="3AD5D2D8"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proofErr w:type="spellStart"/>
      <w:r w:rsidRPr="00CE53D1">
        <w:rPr>
          <w:rFonts w:ascii="Times New Roman" w:eastAsia="Times New Roman" w:hAnsi="Times New Roman" w:cs="Times New Roman"/>
          <w:sz w:val="24"/>
          <w:szCs w:val="24"/>
          <w:lang w:val="en-GB"/>
        </w:rPr>
        <w:t>Mayienga</w:t>
      </w:r>
      <w:proofErr w:type="spellEnd"/>
      <w:r w:rsidRPr="00CE53D1">
        <w:rPr>
          <w:rFonts w:ascii="Times New Roman" w:eastAsia="Times New Roman" w:hAnsi="Times New Roman" w:cs="Times New Roman"/>
          <w:sz w:val="24"/>
          <w:szCs w:val="24"/>
          <w:lang w:val="en-GB"/>
        </w:rPr>
        <w:t xml:space="preserve">, B.A., </w:t>
      </w:r>
      <w:proofErr w:type="spellStart"/>
      <w:r w:rsidRPr="00CE53D1">
        <w:rPr>
          <w:rFonts w:ascii="Times New Roman" w:eastAsia="Times New Roman" w:hAnsi="Times New Roman" w:cs="Times New Roman"/>
          <w:sz w:val="24"/>
          <w:szCs w:val="24"/>
          <w:lang w:val="en-GB"/>
        </w:rPr>
        <w:t>Onwuzulike</w:t>
      </w:r>
      <w:proofErr w:type="spellEnd"/>
      <w:r w:rsidRPr="00CE53D1">
        <w:rPr>
          <w:rFonts w:ascii="Times New Roman" w:eastAsia="Times New Roman" w:hAnsi="Times New Roman" w:cs="Times New Roman"/>
          <w:sz w:val="24"/>
          <w:szCs w:val="24"/>
          <w:lang w:val="en-GB"/>
        </w:rPr>
        <w:t xml:space="preserve">, O.C., </w:t>
      </w:r>
      <w:proofErr w:type="spellStart"/>
      <w:r w:rsidRPr="00CE53D1">
        <w:rPr>
          <w:rFonts w:ascii="Times New Roman" w:eastAsia="Times New Roman" w:hAnsi="Times New Roman" w:cs="Times New Roman"/>
          <w:sz w:val="24"/>
          <w:szCs w:val="24"/>
          <w:lang w:val="en-GB"/>
        </w:rPr>
        <w:t>Oyeyipo</w:t>
      </w:r>
      <w:proofErr w:type="spellEnd"/>
      <w:r w:rsidRPr="00CE53D1">
        <w:rPr>
          <w:rFonts w:ascii="Times New Roman" w:eastAsia="Times New Roman" w:hAnsi="Times New Roman" w:cs="Times New Roman"/>
          <w:sz w:val="24"/>
          <w:szCs w:val="24"/>
          <w:lang w:val="en-GB"/>
        </w:rPr>
        <w:t xml:space="preserve">, I., </w:t>
      </w:r>
      <w:proofErr w:type="spellStart"/>
      <w:r w:rsidRPr="00CE53D1">
        <w:rPr>
          <w:rFonts w:ascii="Times New Roman" w:eastAsia="Times New Roman" w:hAnsi="Times New Roman" w:cs="Times New Roman"/>
          <w:sz w:val="24"/>
          <w:szCs w:val="24"/>
          <w:lang w:val="en-GB"/>
        </w:rPr>
        <w:t>Ayodeji</w:t>
      </w:r>
      <w:proofErr w:type="spellEnd"/>
      <w:r w:rsidRPr="00CE53D1">
        <w:rPr>
          <w:rFonts w:ascii="Times New Roman" w:eastAsia="Times New Roman" w:hAnsi="Times New Roman" w:cs="Times New Roman"/>
          <w:sz w:val="24"/>
          <w:szCs w:val="24"/>
          <w:lang w:val="en-GB"/>
        </w:rPr>
        <w:t xml:space="preserve">, D.C., </w:t>
      </w:r>
      <w:proofErr w:type="spellStart"/>
      <w:r w:rsidRPr="00CE53D1">
        <w:rPr>
          <w:rFonts w:ascii="Times New Roman" w:eastAsia="Times New Roman" w:hAnsi="Times New Roman" w:cs="Times New Roman"/>
          <w:sz w:val="24"/>
          <w:szCs w:val="24"/>
          <w:lang w:val="en-GB"/>
        </w:rPr>
        <w:t>Nwaozomudoh</w:t>
      </w:r>
      <w:proofErr w:type="spellEnd"/>
      <w:r w:rsidRPr="00CE53D1">
        <w:rPr>
          <w:rFonts w:ascii="Times New Roman" w:eastAsia="Times New Roman" w:hAnsi="Times New Roman" w:cs="Times New Roman"/>
          <w:sz w:val="24"/>
          <w:szCs w:val="24"/>
          <w:lang w:val="en-GB"/>
        </w:rPr>
        <w:t xml:space="preserve">, M.O., </w:t>
      </w:r>
      <w:proofErr w:type="spellStart"/>
      <w:r w:rsidRPr="00CE53D1">
        <w:rPr>
          <w:rFonts w:ascii="Times New Roman" w:eastAsia="Times New Roman" w:hAnsi="Times New Roman" w:cs="Times New Roman"/>
          <w:sz w:val="24"/>
          <w:szCs w:val="24"/>
          <w:lang w:val="en-GB"/>
        </w:rPr>
        <w:t>Attipoe</w:t>
      </w:r>
      <w:proofErr w:type="spellEnd"/>
      <w:r w:rsidRPr="00CE53D1">
        <w:rPr>
          <w:rFonts w:ascii="Times New Roman" w:eastAsia="Times New Roman" w:hAnsi="Times New Roman" w:cs="Times New Roman"/>
          <w:sz w:val="24"/>
          <w:szCs w:val="24"/>
          <w:lang w:val="en-GB"/>
        </w:rPr>
        <w:t xml:space="preserve">, V. and Ahmadu, J. (2024). A conceptual model for global risk management, compliance, and financial governance in multinational corporations. </w:t>
      </w:r>
      <w:r w:rsidRPr="00CE53D1">
        <w:rPr>
          <w:rFonts w:ascii="Times New Roman" w:eastAsia="Times New Roman" w:hAnsi="Times New Roman" w:cs="Times New Roman"/>
          <w:i/>
          <w:iCs/>
          <w:sz w:val="24"/>
          <w:szCs w:val="24"/>
          <w:lang w:val="en-GB"/>
        </w:rPr>
        <w:t>International Journal of Advanced Multidisciplinary Research and Studies</w:t>
      </w:r>
      <w:r w:rsidRPr="00CE53D1">
        <w:rPr>
          <w:rFonts w:ascii="Times New Roman" w:eastAsia="Times New Roman" w:hAnsi="Times New Roman" w:cs="Times New Roman"/>
          <w:sz w:val="24"/>
          <w:szCs w:val="24"/>
          <w:lang w:val="en-GB"/>
        </w:rPr>
        <w:t>, pp.1351-1363.  Available at: https://www.researchgate.net/profile/Ifeoluwa-Oyeyipo/publication/ [Accessed on: 29 Nov. 2025]</w:t>
      </w:r>
    </w:p>
    <w:p w14:paraId="380674AC"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proofErr w:type="spellStart"/>
      <w:r w:rsidRPr="00CE53D1">
        <w:rPr>
          <w:rFonts w:ascii="Times New Roman" w:eastAsia="Times New Roman" w:hAnsi="Times New Roman" w:cs="Times New Roman"/>
          <w:sz w:val="24"/>
          <w:szCs w:val="24"/>
          <w:lang w:val="en-GB"/>
        </w:rPr>
        <w:t>Mnif</w:t>
      </w:r>
      <w:proofErr w:type="spellEnd"/>
      <w:r w:rsidRPr="00CE53D1">
        <w:rPr>
          <w:rFonts w:ascii="Times New Roman" w:eastAsia="Times New Roman" w:hAnsi="Times New Roman" w:cs="Times New Roman"/>
          <w:sz w:val="24"/>
          <w:szCs w:val="24"/>
          <w:lang w:val="en-GB"/>
        </w:rPr>
        <w:t xml:space="preserve">, E., </w:t>
      </w:r>
      <w:proofErr w:type="spellStart"/>
      <w:r w:rsidRPr="00CE53D1">
        <w:rPr>
          <w:rFonts w:ascii="Times New Roman" w:eastAsia="Times New Roman" w:hAnsi="Times New Roman" w:cs="Times New Roman"/>
          <w:sz w:val="24"/>
          <w:szCs w:val="24"/>
          <w:lang w:val="en-GB"/>
        </w:rPr>
        <w:t>Jarboui</w:t>
      </w:r>
      <w:proofErr w:type="spellEnd"/>
      <w:r w:rsidRPr="00CE53D1">
        <w:rPr>
          <w:rFonts w:ascii="Times New Roman" w:eastAsia="Times New Roman" w:hAnsi="Times New Roman" w:cs="Times New Roman"/>
          <w:sz w:val="24"/>
          <w:szCs w:val="24"/>
          <w:lang w:val="en-GB"/>
        </w:rPr>
        <w:t xml:space="preserve">, A. and </w:t>
      </w:r>
      <w:proofErr w:type="spellStart"/>
      <w:r w:rsidRPr="00CE53D1">
        <w:rPr>
          <w:rFonts w:ascii="Times New Roman" w:eastAsia="Times New Roman" w:hAnsi="Times New Roman" w:cs="Times New Roman"/>
          <w:sz w:val="24"/>
          <w:szCs w:val="24"/>
          <w:lang w:val="en-GB"/>
        </w:rPr>
        <w:t>Mouakhar</w:t>
      </w:r>
      <w:proofErr w:type="spellEnd"/>
      <w:r w:rsidRPr="00CE53D1">
        <w:rPr>
          <w:rFonts w:ascii="Times New Roman" w:eastAsia="Times New Roman" w:hAnsi="Times New Roman" w:cs="Times New Roman"/>
          <w:sz w:val="24"/>
          <w:szCs w:val="24"/>
          <w:lang w:val="en-GB"/>
        </w:rPr>
        <w:t xml:space="preserve">, K. (2024). Strategic insights into carbon markets, digital finance and geopolitical risks for advancing green sustainability investments. </w:t>
      </w:r>
      <w:r w:rsidRPr="00CE53D1">
        <w:rPr>
          <w:rFonts w:ascii="Times New Roman" w:eastAsia="Times New Roman" w:hAnsi="Times New Roman" w:cs="Times New Roman"/>
          <w:i/>
          <w:iCs/>
          <w:sz w:val="24"/>
          <w:szCs w:val="24"/>
          <w:lang w:val="en-GB"/>
        </w:rPr>
        <w:t>Management of Environmental Quality: An International Journal</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35</w:t>
      </w:r>
      <w:r w:rsidRPr="00CE53D1">
        <w:rPr>
          <w:rFonts w:ascii="Times New Roman" w:eastAsia="Times New Roman" w:hAnsi="Times New Roman" w:cs="Times New Roman"/>
          <w:sz w:val="24"/>
          <w:szCs w:val="24"/>
          <w:lang w:val="en-GB"/>
        </w:rPr>
        <w:t>(7), pp.1622-1649.  Available at: https://www.emerald.com/insight/content/doi/10.1108/MEQ-10-2023-0369/full/html [Accessed on: 29 Nov. 2025]</w:t>
      </w:r>
    </w:p>
    <w:p w14:paraId="6AB6B9E8"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Park, K.M., Liew, N., </w:t>
      </w:r>
      <w:proofErr w:type="spellStart"/>
      <w:r w:rsidRPr="00CE53D1">
        <w:rPr>
          <w:rFonts w:ascii="Times New Roman" w:eastAsia="Times New Roman" w:hAnsi="Times New Roman" w:cs="Times New Roman"/>
          <w:sz w:val="24"/>
          <w:szCs w:val="24"/>
          <w:lang w:val="en-GB"/>
        </w:rPr>
        <w:t>Pattnaik</w:t>
      </w:r>
      <w:proofErr w:type="spellEnd"/>
      <w:r w:rsidRPr="00CE53D1">
        <w:rPr>
          <w:rFonts w:ascii="Times New Roman" w:eastAsia="Times New Roman" w:hAnsi="Times New Roman" w:cs="Times New Roman"/>
          <w:sz w:val="24"/>
          <w:szCs w:val="24"/>
          <w:lang w:val="en-GB"/>
        </w:rPr>
        <w:t xml:space="preserve">, S. and Pinsky, E. (2025). Artificial intelligence and the geopolitics of mergers and acquisitions: Balancing predictive analytics with human expertise in cross-border deals. In </w:t>
      </w:r>
      <w:r w:rsidRPr="00CE53D1">
        <w:rPr>
          <w:rFonts w:ascii="Times New Roman" w:eastAsia="Times New Roman" w:hAnsi="Times New Roman" w:cs="Times New Roman"/>
          <w:i/>
          <w:iCs/>
          <w:sz w:val="24"/>
          <w:szCs w:val="24"/>
          <w:lang w:val="en-GB"/>
        </w:rPr>
        <w:t>Mergers, acquisitions, and geopolitical challenges in the global market</w:t>
      </w:r>
      <w:r w:rsidRPr="00CE53D1">
        <w:rPr>
          <w:rFonts w:ascii="Times New Roman" w:eastAsia="Times New Roman" w:hAnsi="Times New Roman" w:cs="Times New Roman"/>
          <w:sz w:val="24"/>
          <w:szCs w:val="24"/>
          <w:lang w:val="en-GB"/>
        </w:rPr>
        <w:t xml:space="preserve"> (pp. 209-228). Routledge.  Available at: https://www.taylorfrancis.com/chapters/edit/10.4324/9781003581932-12/artificial-intelligence-geopolitics-mergers-acquisitions-kathleen-marshall-park-natasya-liew-sarthak-pattnaik-eugene-pinsky [Accessed on: 29 Nov. 2025]</w:t>
      </w:r>
    </w:p>
    <w:p w14:paraId="7F06E7CC"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Sandul, M. (2023). Transformational factors in the development of global supply chains. </w:t>
      </w:r>
      <w:r w:rsidRPr="00CE53D1">
        <w:rPr>
          <w:rFonts w:ascii="Times New Roman" w:eastAsia="Times New Roman" w:hAnsi="Times New Roman" w:cs="Times New Roman"/>
          <w:i/>
          <w:iCs/>
          <w:sz w:val="24"/>
          <w:szCs w:val="24"/>
          <w:lang w:val="en-GB"/>
        </w:rPr>
        <w:t>International Economic Policy</w:t>
      </w:r>
      <w:r w:rsidRPr="00CE53D1">
        <w:rPr>
          <w:rFonts w:ascii="Times New Roman" w:eastAsia="Times New Roman" w:hAnsi="Times New Roman" w:cs="Times New Roman"/>
          <w:sz w:val="24"/>
          <w:szCs w:val="24"/>
          <w:lang w:val="en-GB"/>
        </w:rPr>
        <w:t>, (38), pp.77-100.  Available at: http://iepjournal.com/journals_eng/38/2023_38_4_Sandul.pdf [Accessed on: 29 Nov. 2025]</w:t>
      </w:r>
    </w:p>
    <w:p w14:paraId="46F77A3D"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Ul Mansoor, S.I. (2023). China’s Geopolitical Strategy: Crafting a New World Order. </w:t>
      </w:r>
      <w:r w:rsidRPr="00CE53D1">
        <w:rPr>
          <w:rFonts w:ascii="Times New Roman" w:eastAsia="Times New Roman" w:hAnsi="Times New Roman" w:cs="Times New Roman"/>
          <w:i/>
          <w:iCs/>
          <w:sz w:val="24"/>
          <w:szCs w:val="24"/>
          <w:lang w:val="en-GB"/>
        </w:rPr>
        <w:t>China Quarterly of International Strategic Studies</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9</w:t>
      </w:r>
      <w:r w:rsidRPr="00CE53D1">
        <w:rPr>
          <w:rFonts w:ascii="Times New Roman" w:eastAsia="Times New Roman" w:hAnsi="Times New Roman" w:cs="Times New Roman"/>
          <w:sz w:val="24"/>
          <w:szCs w:val="24"/>
          <w:lang w:val="en-GB"/>
        </w:rPr>
        <w:t>(01–04), pp.337-359.  Available at: https://www.worldscientific.com/doi/abs/10.1142/S2377740023500161?srsltid=AfmBOoqOMEL0PvoH88pmG5bgK1hDCLfgY6Zdji6BroEzHWiflLOqEFIp [Accessed on: 29 Nov. 2025]</w:t>
      </w:r>
    </w:p>
    <w:p w14:paraId="1F195D30"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Unilever (2025). </w:t>
      </w:r>
      <w:r w:rsidRPr="00CE53D1">
        <w:rPr>
          <w:rFonts w:ascii="Times New Roman" w:eastAsia="Times New Roman" w:hAnsi="Times New Roman" w:cs="Times New Roman"/>
          <w:i/>
          <w:iCs/>
          <w:sz w:val="24"/>
          <w:szCs w:val="24"/>
          <w:lang w:val="en-GB"/>
        </w:rPr>
        <w:t>Home</w:t>
      </w:r>
      <w:r w:rsidRPr="00CE53D1">
        <w:rPr>
          <w:rFonts w:ascii="Times New Roman" w:eastAsia="Times New Roman" w:hAnsi="Times New Roman" w:cs="Times New Roman"/>
          <w:sz w:val="24"/>
          <w:szCs w:val="24"/>
          <w:lang w:val="en-GB"/>
        </w:rPr>
        <w:t>. [online] Unilever UK &amp; Ireland. Available at: https://www.unilever.co.uk/. [Accessed on: 29 Nov. 2025]</w:t>
      </w:r>
    </w:p>
    <w:p w14:paraId="2B18CAE9" w14:textId="77777777" w:rsidR="00691363" w:rsidRPr="00CE53D1" w:rsidRDefault="00691363" w:rsidP="00691363">
      <w:pPr>
        <w:spacing w:before="240" w:after="240" w:line="360" w:lineRule="auto"/>
        <w:jc w:val="both"/>
        <w:rPr>
          <w:rFonts w:ascii="Times New Roman" w:eastAsia="Times New Roman" w:hAnsi="Times New Roman" w:cs="Times New Roman"/>
          <w:sz w:val="24"/>
          <w:szCs w:val="24"/>
          <w:lang w:val="en-GB"/>
        </w:rPr>
      </w:pPr>
      <w:r w:rsidRPr="00CE53D1">
        <w:rPr>
          <w:rFonts w:ascii="Times New Roman" w:eastAsia="Times New Roman" w:hAnsi="Times New Roman" w:cs="Times New Roman"/>
          <w:sz w:val="24"/>
          <w:szCs w:val="24"/>
          <w:lang w:val="en-GB"/>
        </w:rPr>
        <w:t xml:space="preserve">Wenning, S. (2023). What influence does the AI strategy have on possible outcomes of Chinese foreign policy and economic development? </w:t>
      </w:r>
      <w:r w:rsidRPr="00CE53D1">
        <w:rPr>
          <w:rFonts w:ascii="Times New Roman" w:eastAsia="Times New Roman" w:hAnsi="Times New Roman" w:cs="Times New Roman"/>
          <w:i/>
          <w:iCs/>
          <w:sz w:val="24"/>
          <w:szCs w:val="24"/>
          <w:lang w:val="en-GB"/>
        </w:rPr>
        <w:t>Advances in Social Sciences Research Journal</w:t>
      </w:r>
      <w:r w:rsidRPr="00CE53D1">
        <w:rPr>
          <w:rFonts w:ascii="Times New Roman" w:eastAsia="Times New Roman" w:hAnsi="Times New Roman" w:cs="Times New Roman"/>
          <w:sz w:val="24"/>
          <w:szCs w:val="24"/>
          <w:lang w:val="en-GB"/>
        </w:rPr>
        <w:t xml:space="preserve">, </w:t>
      </w:r>
      <w:r w:rsidRPr="00CE53D1">
        <w:rPr>
          <w:rFonts w:ascii="Times New Roman" w:eastAsia="Times New Roman" w:hAnsi="Times New Roman" w:cs="Times New Roman"/>
          <w:i/>
          <w:iCs/>
          <w:sz w:val="24"/>
          <w:szCs w:val="24"/>
          <w:lang w:val="en-GB"/>
        </w:rPr>
        <w:t>10</w:t>
      </w:r>
      <w:r w:rsidRPr="00CE53D1">
        <w:rPr>
          <w:rFonts w:ascii="Times New Roman" w:eastAsia="Times New Roman" w:hAnsi="Times New Roman" w:cs="Times New Roman"/>
          <w:sz w:val="24"/>
          <w:szCs w:val="24"/>
          <w:lang w:val="en-GB"/>
        </w:rPr>
        <w:t>(4), pp.50-75.  Available at: https://www.researchgate.net/profile/Sebastian-Wenning/publication/ [Accessed on: 29 Nov. 2025]</w:t>
      </w:r>
    </w:p>
    <w:sectPr w:rsidR="00691363" w:rsidRPr="00CE53D1" w:rsidSect="00CE53D1">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B9939" w14:textId="77777777" w:rsidR="001B5765" w:rsidRDefault="001B5765" w:rsidP="00CE53D1">
      <w:pPr>
        <w:spacing w:line="240" w:lineRule="auto"/>
      </w:pPr>
      <w:r>
        <w:separator/>
      </w:r>
    </w:p>
  </w:endnote>
  <w:endnote w:type="continuationSeparator" w:id="0">
    <w:p w14:paraId="1A5E2DD2" w14:textId="77777777" w:rsidR="001B5765" w:rsidRDefault="001B5765" w:rsidP="00CE53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AE894071-9A89-4635-88F5-59643FA40B1C}"/>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529378132"/>
      <w:docPartObj>
        <w:docPartGallery w:val="Page Numbers (Bottom of Page)"/>
        <w:docPartUnique/>
      </w:docPartObj>
    </w:sdtPr>
    <w:sdtContent>
      <w:sdt>
        <w:sdtPr>
          <w:rPr>
            <w:rFonts w:ascii="Times New Roman" w:hAnsi="Times New Roman" w:cs="Times New Roman"/>
            <w:sz w:val="20"/>
            <w:szCs w:val="20"/>
          </w:rPr>
          <w:id w:val="-1769616900"/>
          <w:docPartObj>
            <w:docPartGallery w:val="Page Numbers (Top of Page)"/>
            <w:docPartUnique/>
          </w:docPartObj>
        </w:sdtPr>
        <w:sdtContent>
          <w:p w14:paraId="215A8998" w14:textId="7A97D35E" w:rsidR="00CE53D1" w:rsidRPr="00CE53D1" w:rsidRDefault="00CE53D1">
            <w:pPr>
              <w:pStyle w:val="Footer"/>
              <w:jc w:val="right"/>
              <w:rPr>
                <w:rFonts w:ascii="Times New Roman" w:hAnsi="Times New Roman" w:cs="Times New Roman"/>
                <w:sz w:val="20"/>
                <w:szCs w:val="20"/>
              </w:rPr>
            </w:pPr>
            <w:r w:rsidRPr="00CE53D1">
              <w:rPr>
                <w:rFonts w:ascii="Times New Roman" w:hAnsi="Times New Roman" w:cs="Times New Roman"/>
                <w:sz w:val="20"/>
                <w:szCs w:val="20"/>
              </w:rPr>
              <w:t xml:space="preserve">Page </w:t>
            </w:r>
            <w:r w:rsidRPr="00CE53D1">
              <w:rPr>
                <w:rFonts w:ascii="Times New Roman" w:hAnsi="Times New Roman" w:cs="Times New Roman"/>
                <w:b/>
                <w:bCs/>
                <w:sz w:val="20"/>
                <w:szCs w:val="20"/>
              </w:rPr>
              <w:fldChar w:fldCharType="begin"/>
            </w:r>
            <w:r w:rsidRPr="00CE53D1">
              <w:rPr>
                <w:rFonts w:ascii="Times New Roman" w:hAnsi="Times New Roman" w:cs="Times New Roman"/>
                <w:b/>
                <w:bCs/>
                <w:sz w:val="20"/>
                <w:szCs w:val="20"/>
              </w:rPr>
              <w:instrText xml:space="preserve"> PAGE </w:instrText>
            </w:r>
            <w:r w:rsidRPr="00CE53D1">
              <w:rPr>
                <w:rFonts w:ascii="Times New Roman" w:hAnsi="Times New Roman" w:cs="Times New Roman"/>
                <w:b/>
                <w:bCs/>
                <w:sz w:val="20"/>
                <w:szCs w:val="20"/>
              </w:rPr>
              <w:fldChar w:fldCharType="separate"/>
            </w:r>
            <w:r w:rsidRPr="00CE53D1">
              <w:rPr>
                <w:rFonts w:ascii="Times New Roman" w:hAnsi="Times New Roman" w:cs="Times New Roman"/>
                <w:b/>
                <w:bCs/>
                <w:noProof/>
                <w:sz w:val="20"/>
                <w:szCs w:val="20"/>
              </w:rPr>
              <w:t>2</w:t>
            </w:r>
            <w:r w:rsidRPr="00CE53D1">
              <w:rPr>
                <w:rFonts w:ascii="Times New Roman" w:hAnsi="Times New Roman" w:cs="Times New Roman"/>
                <w:b/>
                <w:bCs/>
                <w:sz w:val="20"/>
                <w:szCs w:val="20"/>
              </w:rPr>
              <w:fldChar w:fldCharType="end"/>
            </w:r>
            <w:r w:rsidRPr="00CE53D1">
              <w:rPr>
                <w:rFonts w:ascii="Times New Roman" w:hAnsi="Times New Roman" w:cs="Times New Roman"/>
                <w:sz w:val="20"/>
                <w:szCs w:val="20"/>
              </w:rPr>
              <w:t xml:space="preserve"> of </w:t>
            </w:r>
            <w:r w:rsidRPr="00CE53D1">
              <w:rPr>
                <w:rFonts w:ascii="Times New Roman" w:hAnsi="Times New Roman" w:cs="Times New Roman"/>
                <w:b/>
                <w:bCs/>
                <w:sz w:val="20"/>
                <w:szCs w:val="20"/>
              </w:rPr>
              <w:fldChar w:fldCharType="begin"/>
            </w:r>
            <w:r w:rsidRPr="00CE53D1">
              <w:rPr>
                <w:rFonts w:ascii="Times New Roman" w:hAnsi="Times New Roman" w:cs="Times New Roman"/>
                <w:b/>
                <w:bCs/>
                <w:sz w:val="20"/>
                <w:szCs w:val="20"/>
              </w:rPr>
              <w:instrText xml:space="preserve"> NUMPAGES  </w:instrText>
            </w:r>
            <w:r w:rsidRPr="00CE53D1">
              <w:rPr>
                <w:rFonts w:ascii="Times New Roman" w:hAnsi="Times New Roman" w:cs="Times New Roman"/>
                <w:b/>
                <w:bCs/>
                <w:sz w:val="20"/>
                <w:szCs w:val="20"/>
              </w:rPr>
              <w:fldChar w:fldCharType="separate"/>
            </w:r>
            <w:r w:rsidRPr="00CE53D1">
              <w:rPr>
                <w:rFonts w:ascii="Times New Roman" w:hAnsi="Times New Roman" w:cs="Times New Roman"/>
                <w:b/>
                <w:bCs/>
                <w:noProof/>
                <w:sz w:val="20"/>
                <w:szCs w:val="20"/>
              </w:rPr>
              <w:t>2</w:t>
            </w:r>
            <w:r w:rsidRPr="00CE53D1">
              <w:rPr>
                <w:rFonts w:ascii="Times New Roman" w:hAnsi="Times New Roman" w:cs="Times New Roman"/>
                <w:b/>
                <w:bCs/>
                <w:sz w:val="20"/>
                <w:szCs w:val="20"/>
              </w:rPr>
              <w:fldChar w:fldCharType="end"/>
            </w:r>
          </w:p>
        </w:sdtContent>
      </w:sdt>
    </w:sdtContent>
  </w:sdt>
  <w:p w14:paraId="00492451" w14:textId="77777777" w:rsidR="00CE53D1" w:rsidRDefault="00CE5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79092" w14:textId="77777777" w:rsidR="001B5765" w:rsidRDefault="001B5765" w:rsidP="00CE53D1">
      <w:pPr>
        <w:spacing w:line="240" w:lineRule="auto"/>
      </w:pPr>
      <w:r>
        <w:separator/>
      </w:r>
    </w:p>
  </w:footnote>
  <w:footnote w:type="continuationSeparator" w:id="0">
    <w:p w14:paraId="723C18D7" w14:textId="77777777" w:rsidR="001B5765" w:rsidRDefault="001B5765" w:rsidP="00CE53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D71"/>
    <w:rsid w:val="00016D4A"/>
    <w:rsid w:val="00031DE8"/>
    <w:rsid w:val="000C2C7B"/>
    <w:rsid w:val="001B5765"/>
    <w:rsid w:val="00243463"/>
    <w:rsid w:val="00254E91"/>
    <w:rsid w:val="00263DE5"/>
    <w:rsid w:val="00347BC1"/>
    <w:rsid w:val="00360A85"/>
    <w:rsid w:val="003D5633"/>
    <w:rsid w:val="003F07F4"/>
    <w:rsid w:val="004A0309"/>
    <w:rsid w:val="004B390E"/>
    <w:rsid w:val="00596DCE"/>
    <w:rsid w:val="005D5C25"/>
    <w:rsid w:val="005E79AB"/>
    <w:rsid w:val="006312F0"/>
    <w:rsid w:val="00640D71"/>
    <w:rsid w:val="00681F15"/>
    <w:rsid w:val="00691363"/>
    <w:rsid w:val="006F5B8A"/>
    <w:rsid w:val="00812E00"/>
    <w:rsid w:val="00BF21E8"/>
    <w:rsid w:val="00C45B7F"/>
    <w:rsid w:val="00CD384F"/>
    <w:rsid w:val="00CE53D1"/>
    <w:rsid w:val="00E408C3"/>
    <w:rsid w:val="00F329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38E6"/>
  <w15:docId w15:val="{E0E48A22-4070-4E86-B5E6-92D9EACF8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E53D1"/>
    <w:pPr>
      <w:tabs>
        <w:tab w:val="center" w:pos="4513"/>
        <w:tab w:val="right" w:pos="9026"/>
      </w:tabs>
      <w:spacing w:line="240" w:lineRule="auto"/>
    </w:pPr>
  </w:style>
  <w:style w:type="character" w:customStyle="1" w:styleId="HeaderChar">
    <w:name w:val="Header Char"/>
    <w:basedOn w:val="DefaultParagraphFont"/>
    <w:link w:val="Header"/>
    <w:uiPriority w:val="99"/>
    <w:rsid w:val="00CE53D1"/>
  </w:style>
  <w:style w:type="paragraph" w:styleId="Footer">
    <w:name w:val="footer"/>
    <w:basedOn w:val="Normal"/>
    <w:link w:val="FooterChar"/>
    <w:uiPriority w:val="99"/>
    <w:unhideWhenUsed/>
    <w:rsid w:val="00CE53D1"/>
    <w:pPr>
      <w:tabs>
        <w:tab w:val="center" w:pos="4513"/>
        <w:tab w:val="right" w:pos="9026"/>
      </w:tabs>
      <w:spacing w:line="240" w:lineRule="auto"/>
    </w:pPr>
  </w:style>
  <w:style w:type="character" w:customStyle="1" w:styleId="FooterChar">
    <w:name w:val="Footer Char"/>
    <w:basedOn w:val="DefaultParagraphFont"/>
    <w:link w:val="Footer"/>
    <w:uiPriority w:val="99"/>
    <w:rsid w:val="00CE5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2488</Words>
  <Characters>14183</Characters>
  <Application>Microsoft Office Word</Application>
  <DocSecurity>0</DocSecurity>
  <Lines>118</Lines>
  <Paragraphs>33</Paragraphs>
  <ScaleCrop>false</ScaleCrop>
  <Company/>
  <LinksUpToDate>false</LinksUpToDate>
  <CharactersWithSpaces>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bogi_juventus_14@yahoo.com</cp:lastModifiedBy>
  <cp:revision>21</cp:revision>
  <dcterms:created xsi:type="dcterms:W3CDTF">2025-11-29T10:00:00Z</dcterms:created>
  <dcterms:modified xsi:type="dcterms:W3CDTF">2025-12-14T11:16:00Z</dcterms:modified>
</cp:coreProperties>
</file>