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F7A6D"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SUSTAINABLE TOURISM AND GREENWASHING: A CASE STUDY OF MARRIOT HOTEL</w:t>
      </w:r>
    </w:p>
    <w:p w14:paraId="5998840F" w14:textId="77777777" w:rsidR="00AF5058" w:rsidRPr="004D63E3" w:rsidRDefault="00AF5058" w:rsidP="004D63E3">
      <w:pPr>
        <w:spacing w:line="360" w:lineRule="auto"/>
        <w:contextualSpacing/>
        <w:jc w:val="center"/>
        <w:rPr>
          <w:rFonts w:ascii="Arial" w:eastAsia="Times New Roman" w:hAnsi="Arial" w:cs="Arial"/>
          <w:sz w:val="24"/>
          <w:szCs w:val="24"/>
        </w:rPr>
      </w:pPr>
    </w:p>
    <w:p w14:paraId="4B0F12D5" w14:textId="77777777" w:rsidR="00AF5058" w:rsidRPr="004D63E3" w:rsidRDefault="00AF5058" w:rsidP="004D63E3">
      <w:pPr>
        <w:spacing w:line="360" w:lineRule="auto"/>
        <w:contextualSpacing/>
        <w:jc w:val="center"/>
        <w:rPr>
          <w:rFonts w:ascii="Arial" w:eastAsia="Times New Roman" w:hAnsi="Arial" w:cs="Arial"/>
          <w:sz w:val="24"/>
          <w:szCs w:val="24"/>
        </w:rPr>
      </w:pPr>
    </w:p>
    <w:p w14:paraId="1C5257FD"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Student Name</w:t>
      </w:r>
    </w:p>
    <w:p w14:paraId="1E0639E3" w14:textId="77777777" w:rsidR="00AF5058" w:rsidRPr="004D63E3" w:rsidRDefault="00AF5058" w:rsidP="004D63E3">
      <w:pPr>
        <w:spacing w:line="360" w:lineRule="auto"/>
        <w:contextualSpacing/>
        <w:jc w:val="center"/>
        <w:rPr>
          <w:rFonts w:ascii="Arial" w:eastAsia="Times New Roman" w:hAnsi="Arial" w:cs="Arial"/>
          <w:sz w:val="24"/>
          <w:szCs w:val="24"/>
        </w:rPr>
      </w:pPr>
    </w:p>
    <w:p w14:paraId="6FE77D0C" w14:textId="77777777" w:rsidR="00AF5058" w:rsidRPr="004D63E3" w:rsidRDefault="00AF5058" w:rsidP="004D63E3">
      <w:pPr>
        <w:spacing w:line="360" w:lineRule="auto"/>
        <w:contextualSpacing/>
        <w:jc w:val="center"/>
        <w:rPr>
          <w:rFonts w:ascii="Arial" w:eastAsia="Times New Roman" w:hAnsi="Arial" w:cs="Arial"/>
          <w:sz w:val="24"/>
          <w:szCs w:val="24"/>
        </w:rPr>
      </w:pPr>
    </w:p>
    <w:p w14:paraId="1EB52F6C" w14:textId="77777777" w:rsidR="00AF5058" w:rsidRPr="004D63E3" w:rsidRDefault="00AF5058" w:rsidP="004D63E3">
      <w:pPr>
        <w:spacing w:line="360" w:lineRule="auto"/>
        <w:contextualSpacing/>
        <w:jc w:val="center"/>
        <w:rPr>
          <w:rFonts w:ascii="Arial" w:eastAsia="Times New Roman" w:hAnsi="Arial" w:cs="Arial"/>
          <w:sz w:val="24"/>
          <w:szCs w:val="24"/>
        </w:rPr>
      </w:pPr>
    </w:p>
    <w:p w14:paraId="27E8F1AA" w14:textId="77777777" w:rsidR="00AF5058" w:rsidRPr="004D63E3" w:rsidRDefault="00AF5058" w:rsidP="004D63E3">
      <w:pPr>
        <w:spacing w:line="360" w:lineRule="auto"/>
        <w:contextualSpacing/>
        <w:jc w:val="center"/>
        <w:rPr>
          <w:rFonts w:ascii="Arial" w:eastAsia="Times New Roman" w:hAnsi="Arial" w:cs="Arial"/>
          <w:sz w:val="24"/>
          <w:szCs w:val="24"/>
        </w:rPr>
      </w:pPr>
    </w:p>
    <w:p w14:paraId="2E8BDFC6"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Course Name</w:t>
      </w:r>
    </w:p>
    <w:p w14:paraId="471480AD"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Professor’s Name</w:t>
      </w:r>
    </w:p>
    <w:p w14:paraId="78994D34"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Institution</w:t>
      </w:r>
    </w:p>
    <w:p w14:paraId="2C33B45C"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City and State</w:t>
      </w:r>
    </w:p>
    <w:p w14:paraId="569AF99F" w14:textId="77777777" w:rsidR="00AF5058" w:rsidRPr="004D63E3" w:rsidRDefault="00AF5058" w:rsidP="004D63E3">
      <w:pPr>
        <w:spacing w:line="360" w:lineRule="auto"/>
        <w:contextualSpacing/>
        <w:jc w:val="center"/>
        <w:rPr>
          <w:rFonts w:ascii="Arial" w:eastAsia="Times New Roman" w:hAnsi="Arial" w:cs="Arial"/>
          <w:sz w:val="24"/>
          <w:szCs w:val="24"/>
        </w:rPr>
      </w:pPr>
      <w:r w:rsidRPr="004D63E3">
        <w:rPr>
          <w:rFonts w:ascii="Arial" w:eastAsia="Times New Roman" w:hAnsi="Arial" w:cs="Arial"/>
          <w:sz w:val="24"/>
          <w:szCs w:val="24"/>
        </w:rPr>
        <w:t>Date</w:t>
      </w:r>
    </w:p>
    <w:p w14:paraId="12673E8D" w14:textId="77777777" w:rsidR="00AF5058" w:rsidRPr="004D63E3" w:rsidRDefault="00AF5058" w:rsidP="004D63E3">
      <w:pPr>
        <w:spacing w:line="360" w:lineRule="auto"/>
        <w:contextualSpacing/>
        <w:jc w:val="both"/>
        <w:rPr>
          <w:rFonts w:ascii="Arial" w:hAnsi="Arial" w:cs="Arial"/>
          <w:sz w:val="24"/>
          <w:szCs w:val="24"/>
        </w:rPr>
      </w:pPr>
    </w:p>
    <w:p w14:paraId="1DD76F62" w14:textId="77777777" w:rsidR="00AF5058" w:rsidRPr="004D63E3" w:rsidRDefault="00AF5058" w:rsidP="004D63E3">
      <w:pPr>
        <w:spacing w:line="360" w:lineRule="auto"/>
        <w:contextualSpacing/>
        <w:jc w:val="both"/>
        <w:rPr>
          <w:rFonts w:ascii="Arial" w:hAnsi="Arial" w:cs="Arial"/>
          <w:sz w:val="24"/>
          <w:szCs w:val="24"/>
        </w:rPr>
      </w:pPr>
    </w:p>
    <w:p w14:paraId="6CD8B301" w14:textId="77777777" w:rsidR="00AF5058" w:rsidRPr="004D63E3" w:rsidRDefault="00AF5058" w:rsidP="004D63E3">
      <w:pPr>
        <w:spacing w:line="360" w:lineRule="auto"/>
        <w:contextualSpacing/>
        <w:jc w:val="both"/>
        <w:rPr>
          <w:rFonts w:ascii="Arial" w:hAnsi="Arial" w:cs="Arial"/>
          <w:sz w:val="24"/>
          <w:szCs w:val="24"/>
        </w:rPr>
      </w:pPr>
    </w:p>
    <w:p w14:paraId="5058143D" w14:textId="77777777" w:rsidR="00AF5058" w:rsidRPr="004D63E3" w:rsidRDefault="00AF5058" w:rsidP="004D63E3">
      <w:pPr>
        <w:spacing w:line="360" w:lineRule="auto"/>
        <w:contextualSpacing/>
        <w:jc w:val="both"/>
        <w:rPr>
          <w:rFonts w:ascii="Arial" w:hAnsi="Arial" w:cs="Arial"/>
          <w:sz w:val="24"/>
          <w:szCs w:val="24"/>
        </w:rPr>
      </w:pPr>
    </w:p>
    <w:p w14:paraId="5E0D5122" w14:textId="77777777" w:rsidR="00AF5058" w:rsidRPr="004D63E3" w:rsidRDefault="00AF5058" w:rsidP="004D63E3">
      <w:pPr>
        <w:spacing w:line="360" w:lineRule="auto"/>
        <w:contextualSpacing/>
        <w:jc w:val="both"/>
        <w:rPr>
          <w:rFonts w:ascii="Arial" w:hAnsi="Arial" w:cs="Arial"/>
          <w:sz w:val="24"/>
          <w:szCs w:val="24"/>
        </w:rPr>
      </w:pPr>
    </w:p>
    <w:p w14:paraId="3FEE718C" w14:textId="77777777" w:rsidR="00AF5058" w:rsidRPr="004D63E3" w:rsidRDefault="00AF5058" w:rsidP="004D63E3">
      <w:pPr>
        <w:spacing w:line="360" w:lineRule="auto"/>
        <w:contextualSpacing/>
        <w:jc w:val="both"/>
        <w:rPr>
          <w:rFonts w:ascii="Arial" w:hAnsi="Arial" w:cs="Arial"/>
          <w:sz w:val="24"/>
          <w:szCs w:val="24"/>
        </w:rPr>
      </w:pPr>
    </w:p>
    <w:p w14:paraId="3986ECCA" w14:textId="77777777" w:rsidR="00AF5058" w:rsidRPr="004D63E3" w:rsidRDefault="00AF5058" w:rsidP="004D63E3">
      <w:pPr>
        <w:spacing w:line="360" w:lineRule="auto"/>
        <w:contextualSpacing/>
        <w:jc w:val="both"/>
        <w:rPr>
          <w:rFonts w:ascii="Arial" w:hAnsi="Arial" w:cs="Arial"/>
          <w:sz w:val="24"/>
          <w:szCs w:val="24"/>
        </w:rPr>
      </w:pPr>
    </w:p>
    <w:p w14:paraId="0836CE90" w14:textId="77777777" w:rsidR="00AF5058" w:rsidRPr="004D63E3" w:rsidRDefault="00AF5058" w:rsidP="004D63E3">
      <w:pPr>
        <w:spacing w:line="360" w:lineRule="auto"/>
        <w:contextualSpacing/>
        <w:jc w:val="both"/>
        <w:rPr>
          <w:rFonts w:ascii="Arial" w:hAnsi="Arial" w:cs="Arial"/>
          <w:sz w:val="24"/>
          <w:szCs w:val="24"/>
        </w:rPr>
      </w:pPr>
    </w:p>
    <w:p w14:paraId="399F213C" w14:textId="77777777" w:rsidR="00AF5058" w:rsidRPr="004D63E3" w:rsidRDefault="00AF5058" w:rsidP="004D63E3">
      <w:pPr>
        <w:spacing w:line="360" w:lineRule="auto"/>
        <w:contextualSpacing/>
        <w:jc w:val="both"/>
        <w:rPr>
          <w:rFonts w:ascii="Arial" w:hAnsi="Arial" w:cs="Arial"/>
          <w:sz w:val="24"/>
          <w:szCs w:val="24"/>
        </w:rPr>
      </w:pPr>
    </w:p>
    <w:p w14:paraId="28CADA1B" w14:textId="77777777" w:rsidR="00AF5058" w:rsidRPr="004D63E3" w:rsidRDefault="00AF5058" w:rsidP="004D63E3">
      <w:pPr>
        <w:spacing w:line="360" w:lineRule="auto"/>
        <w:contextualSpacing/>
        <w:jc w:val="both"/>
        <w:rPr>
          <w:rFonts w:ascii="Arial" w:hAnsi="Arial" w:cs="Arial"/>
          <w:sz w:val="24"/>
          <w:szCs w:val="24"/>
        </w:rPr>
      </w:pPr>
    </w:p>
    <w:p w14:paraId="091E1973" w14:textId="77777777" w:rsidR="00AF5058" w:rsidRPr="004D63E3" w:rsidRDefault="00AF5058" w:rsidP="004D63E3">
      <w:pPr>
        <w:spacing w:line="360" w:lineRule="auto"/>
        <w:contextualSpacing/>
        <w:jc w:val="both"/>
        <w:rPr>
          <w:rFonts w:ascii="Arial" w:hAnsi="Arial" w:cs="Arial"/>
          <w:sz w:val="24"/>
          <w:szCs w:val="24"/>
        </w:rPr>
      </w:pPr>
    </w:p>
    <w:p w14:paraId="62C309DF" w14:textId="77777777" w:rsidR="00AF5058" w:rsidRPr="004D63E3" w:rsidRDefault="00AF5058" w:rsidP="004D63E3">
      <w:pPr>
        <w:spacing w:line="360" w:lineRule="auto"/>
        <w:contextualSpacing/>
        <w:jc w:val="both"/>
        <w:rPr>
          <w:rFonts w:ascii="Arial" w:hAnsi="Arial" w:cs="Arial"/>
          <w:sz w:val="24"/>
          <w:szCs w:val="24"/>
        </w:rPr>
      </w:pPr>
    </w:p>
    <w:p w14:paraId="6F5E9995" w14:textId="77777777" w:rsidR="00AF5058" w:rsidRPr="004D63E3" w:rsidRDefault="00AF5058" w:rsidP="004D63E3">
      <w:pPr>
        <w:spacing w:line="360" w:lineRule="auto"/>
        <w:contextualSpacing/>
        <w:jc w:val="both"/>
        <w:rPr>
          <w:rFonts w:ascii="Arial" w:hAnsi="Arial" w:cs="Arial"/>
          <w:sz w:val="24"/>
          <w:szCs w:val="24"/>
        </w:rPr>
      </w:pPr>
    </w:p>
    <w:p w14:paraId="1B36E6B6" w14:textId="77777777" w:rsidR="00AF5058" w:rsidRPr="004D63E3" w:rsidRDefault="00AF5058" w:rsidP="004D63E3">
      <w:pPr>
        <w:spacing w:line="360" w:lineRule="auto"/>
        <w:contextualSpacing/>
        <w:jc w:val="both"/>
        <w:rPr>
          <w:rFonts w:ascii="Arial" w:hAnsi="Arial" w:cs="Arial"/>
          <w:sz w:val="24"/>
          <w:szCs w:val="24"/>
        </w:rPr>
      </w:pPr>
    </w:p>
    <w:p w14:paraId="243D9814" w14:textId="77777777" w:rsidR="00AF5058" w:rsidRPr="004D63E3" w:rsidRDefault="00AF5058" w:rsidP="004D63E3">
      <w:pPr>
        <w:spacing w:line="360" w:lineRule="auto"/>
        <w:contextualSpacing/>
        <w:jc w:val="both"/>
        <w:rPr>
          <w:rFonts w:ascii="Arial" w:hAnsi="Arial" w:cs="Arial"/>
          <w:sz w:val="24"/>
          <w:szCs w:val="24"/>
        </w:rPr>
      </w:pPr>
    </w:p>
    <w:p w14:paraId="6A000770" w14:textId="77777777" w:rsidR="00AF5058" w:rsidRPr="004D63E3" w:rsidRDefault="00AF5058" w:rsidP="004D63E3">
      <w:pPr>
        <w:spacing w:line="360" w:lineRule="auto"/>
        <w:contextualSpacing/>
        <w:jc w:val="both"/>
        <w:rPr>
          <w:rFonts w:ascii="Arial" w:hAnsi="Arial" w:cs="Arial"/>
          <w:sz w:val="24"/>
          <w:szCs w:val="24"/>
        </w:rPr>
      </w:pPr>
    </w:p>
    <w:p w14:paraId="1E2A3B2A" w14:textId="77777777" w:rsidR="00611159" w:rsidRPr="004D63E3" w:rsidRDefault="00611159" w:rsidP="004D63E3">
      <w:pPr>
        <w:spacing w:line="360" w:lineRule="auto"/>
        <w:contextualSpacing/>
        <w:jc w:val="both"/>
        <w:rPr>
          <w:rFonts w:ascii="Arial" w:hAnsi="Arial" w:cs="Arial"/>
          <w:sz w:val="24"/>
          <w:szCs w:val="24"/>
        </w:rPr>
      </w:pPr>
    </w:p>
    <w:p w14:paraId="552C8E2D" w14:textId="77777777" w:rsidR="00611159" w:rsidRPr="004D63E3" w:rsidRDefault="00AF5058" w:rsidP="004D63E3">
      <w:pPr>
        <w:spacing w:line="360" w:lineRule="auto"/>
        <w:contextualSpacing/>
        <w:jc w:val="center"/>
        <w:rPr>
          <w:rFonts w:ascii="Arial" w:hAnsi="Arial" w:cs="Arial"/>
          <w:sz w:val="24"/>
          <w:szCs w:val="24"/>
        </w:rPr>
      </w:pPr>
      <w:r w:rsidRPr="004D63E3">
        <w:rPr>
          <w:rFonts w:ascii="Arial" w:hAnsi="Arial" w:cs="Arial"/>
          <w:sz w:val="24"/>
          <w:szCs w:val="24"/>
        </w:rPr>
        <w:lastRenderedPageBreak/>
        <w:t>Sustainable Tourism and Greenwashing: A Case Study of a Marriott International Hotel</w:t>
      </w:r>
    </w:p>
    <w:p w14:paraId="29573EF9" w14:textId="77777777" w:rsidR="00666F41" w:rsidRPr="004D63E3" w:rsidRDefault="006D2C4E" w:rsidP="004D63E3">
      <w:pPr>
        <w:spacing w:line="360" w:lineRule="auto"/>
        <w:contextualSpacing/>
        <w:jc w:val="center"/>
        <w:rPr>
          <w:rFonts w:ascii="Arial" w:hAnsi="Arial" w:cs="Arial"/>
          <w:color w:val="0E101A"/>
          <w:sz w:val="24"/>
          <w:szCs w:val="24"/>
        </w:rPr>
      </w:pPr>
      <w:r w:rsidRPr="004D63E3">
        <w:rPr>
          <w:rFonts w:ascii="Arial" w:hAnsi="Arial" w:cs="Arial"/>
          <w:color w:val="0E101A"/>
          <w:sz w:val="24"/>
          <w:szCs w:val="24"/>
        </w:rPr>
        <w:t>Introduction</w:t>
      </w:r>
    </w:p>
    <w:p w14:paraId="13179C25" w14:textId="77777777" w:rsidR="00666F41" w:rsidRPr="004D63E3" w:rsidRDefault="006D2C4E" w:rsidP="004D63E3">
      <w:pPr>
        <w:spacing w:line="360" w:lineRule="auto"/>
        <w:ind w:firstLine="720"/>
        <w:contextualSpacing/>
        <w:jc w:val="both"/>
        <w:rPr>
          <w:rFonts w:ascii="Arial" w:hAnsi="Arial" w:cs="Arial"/>
          <w:color w:val="0E101A"/>
          <w:sz w:val="24"/>
          <w:szCs w:val="24"/>
        </w:rPr>
      </w:pPr>
      <w:r w:rsidRPr="004D63E3">
        <w:rPr>
          <w:rFonts w:ascii="Arial" w:hAnsi="Arial" w:cs="Arial"/>
          <w:color w:val="0E101A"/>
          <w:sz w:val="24"/>
          <w:szCs w:val="24"/>
        </w:rPr>
        <w:t xml:space="preserve">The tourism and hospitality industry is witnessing a growing demand for sustainable practices driven by increasing consumer awareness and environmental concerns. Consumers are increasingly seeking eco-friendly options, driving hotels to adopt green initiatives. However, amidst this trend, "greenwashing" poses a critical challenge, where some companies exaggerate and misrepresent their environmental efforts to attract clientele (Palmieri and </w:t>
      </w:r>
      <w:proofErr w:type="spellStart"/>
      <w:r w:rsidRPr="004D63E3">
        <w:rPr>
          <w:rFonts w:ascii="Arial" w:hAnsi="Arial" w:cs="Arial"/>
          <w:color w:val="0E101A"/>
          <w:sz w:val="24"/>
          <w:szCs w:val="24"/>
        </w:rPr>
        <w:t>Geretto</w:t>
      </w:r>
      <w:proofErr w:type="spellEnd"/>
      <w:r w:rsidRPr="004D63E3">
        <w:rPr>
          <w:rFonts w:ascii="Arial" w:hAnsi="Arial" w:cs="Arial"/>
          <w:color w:val="0E101A"/>
          <w:sz w:val="24"/>
          <w:szCs w:val="24"/>
        </w:rPr>
        <w:t xml:space="preserve">, 2023). This report comprehensively analyses sustainable good practices in the tourism and hospitality industry, specifically focusing on the Marriot International Hotel. It examines greenwashing practices, considers Marriot's sustainability claims, and explores alternative solutions for genuine sustainability. Additionally, the report seeks to examine the complexities of achieving true sustainability within the hospitality sector by evaluating reported data, assessing green technology usage, and </w:t>
      </w:r>
      <w:proofErr w:type="spellStart"/>
      <w:r w:rsidRPr="004D63E3">
        <w:rPr>
          <w:rFonts w:ascii="Arial" w:hAnsi="Arial" w:cs="Arial"/>
          <w:color w:val="0E101A"/>
          <w:sz w:val="24"/>
          <w:szCs w:val="24"/>
        </w:rPr>
        <w:t>analysing</w:t>
      </w:r>
      <w:proofErr w:type="spellEnd"/>
      <w:r w:rsidRPr="004D63E3">
        <w:rPr>
          <w:rFonts w:ascii="Arial" w:hAnsi="Arial" w:cs="Arial"/>
          <w:color w:val="0E101A"/>
          <w:sz w:val="24"/>
          <w:szCs w:val="24"/>
        </w:rPr>
        <w:t xml:space="preserve"> sustainability theories and models.</w:t>
      </w:r>
    </w:p>
    <w:p w14:paraId="0BCDE813" w14:textId="77777777" w:rsidR="00666F41" w:rsidRPr="004D63E3" w:rsidRDefault="006D2C4E" w:rsidP="004D63E3">
      <w:pPr>
        <w:spacing w:line="360" w:lineRule="auto"/>
        <w:contextualSpacing/>
        <w:jc w:val="center"/>
        <w:rPr>
          <w:rFonts w:ascii="Arial" w:hAnsi="Arial" w:cs="Arial"/>
          <w:color w:val="0E101A"/>
          <w:sz w:val="24"/>
          <w:szCs w:val="24"/>
        </w:rPr>
      </w:pPr>
      <w:r w:rsidRPr="004D63E3">
        <w:rPr>
          <w:rFonts w:ascii="Arial" w:hAnsi="Arial" w:cs="Arial"/>
          <w:color w:val="0E101A"/>
          <w:sz w:val="24"/>
          <w:szCs w:val="24"/>
        </w:rPr>
        <w:t>Greenwashing in the Hospitality Industry</w:t>
      </w:r>
    </w:p>
    <w:p w14:paraId="754CCFF4" w14:textId="27FB0BA8" w:rsidR="00666F41" w:rsidRPr="004D63E3" w:rsidRDefault="006D2C4E" w:rsidP="004D63E3">
      <w:pPr>
        <w:spacing w:line="360" w:lineRule="auto"/>
        <w:contextualSpacing/>
        <w:jc w:val="both"/>
        <w:rPr>
          <w:rFonts w:ascii="Arial" w:hAnsi="Arial" w:cs="Arial"/>
          <w:color w:val="0E101A"/>
          <w:sz w:val="24"/>
          <w:szCs w:val="24"/>
        </w:rPr>
      </w:pPr>
      <w:r w:rsidRPr="004D63E3">
        <w:rPr>
          <w:rFonts w:ascii="Arial" w:hAnsi="Arial" w:cs="Arial"/>
          <w:color w:val="0E101A"/>
          <w:sz w:val="24"/>
          <w:szCs w:val="24"/>
        </w:rPr>
        <w:t xml:space="preserve">According to De Jong, </w:t>
      </w:r>
      <w:proofErr w:type="spellStart"/>
      <w:r w:rsidRPr="004D63E3">
        <w:rPr>
          <w:rFonts w:ascii="Arial" w:hAnsi="Arial" w:cs="Arial"/>
          <w:color w:val="0E101A"/>
          <w:sz w:val="24"/>
          <w:szCs w:val="24"/>
        </w:rPr>
        <w:t>Huluba</w:t>
      </w:r>
      <w:proofErr w:type="spellEnd"/>
      <w:r w:rsidRPr="004D63E3">
        <w:rPr>
          <w:rFonts w:ascii="Arial" w:hAnsi="Arial" w:cs="Arial"/>
          <w:color w:val="0E101A"/>
          <w:sz w:val="24"/>
          <w:szCs w:val="24"/>
        </w:rPr>
        <w:t xml:space="preserve"> and </w:t>
      </w:r>
      <w:proofErr w:type="spellStart"/>
      <w:r w:rsidRPr="004D63E3">
        <w:rPr>
          <w:rFonts w:ascii="Arial" w:hAnsi="Arial" w:cs="Arial"/>
          <w:color w:val="0E101A"/>
          <w:sz w:val="24"/>
          <w:szCs w:val="24"/>
        </w:rPr>
        <w:t>Beldad</w:t>
      </w:r>
      <w:proofErr w:type="spellEnd"/>
      <w:r w:rsidRPr="004D63E3">
        <w:rPr>
          <w:rFonts w:ascii="Arial" w:hAnsi="Arial" w:cs="Arial"/>
          <w:color w:val="0E101A"/>
          <w:sz w:val="24"/>
          <w:szCs w:val="24"/>
        </w:rPr>
        <w:t xml:space="preserve"> (2019), greenwashing is </w:t>
      </w:r>
      <w:r w:rsidR="00F23068">
        <w:rPr>
          <w:rFonts w:ascii="Arial" w:hAnsi="Arial" w:cs="Arial"/>
          <w:color w:val="0E101A"/>
          <w:sz w:val="24"/>
          <w:szCs w:val="24"/>
        </w:rPr>
        <w:t>when</w:t>
      </w:r>
      <w:r w:rsidRPr="004D63E3">
        <w:rPr>
          <w:rFonts w:ascii="Arial" w:hAnsi="Arial" w:cs="Arial"/>
          <w:color w:val="0E101A"/>
          <w:sz w:val="24"/>
          <w:szCs w:val="24"/>
        </w:rPr>
        <w:t xml:space="preserve"> companies make misleading or exaggerated environmental claims to attract more clients. This approach is prevalent within the hospitality industry and casts a shadow over the industry's sustainability efforts. Companies </w:t>
      </w:r>
      <w:proofErr w:type="spellStart"/>
      <w:r w:rsidRPr="004D63E3">
        <w:rPr>
          <w:rFonts w:ascii="Arial" w:hAnsi="Arial" w:cs="Arial"/>
          <w:color w:val="0E101A"/>
          <w:sz w:val="24"/>
          <w:szCs w:val="24"/>
        </w:rPr>
        <w:t>utilise</w:t>
      </w:r>
      <w:proofErr w:type="spellEnd"/>
      <w:r w:rsidRPr="004D63E3">
        <w:rPr>
          <w:rFonts w:ascii="Arial" w:hAnsi="Arial" w:cs="Arial"/>
          <w:color w:val="0E101A"/>
          <w:sz w:val="24"/>
          <w:szCs w:val="24"/>
        </w:rPr>
        <w:t xml:space="preserve"> various approaches to achieve greenwashing. Among them is the </w:t>
      </w:r>
      <w:proofErr w:type="spellStart"/>
      <w:r w:rsidRPr="004D63E3">
        <w:rPr>
          <w:rFonts w:ascii="Arial" w:hAnsi="Arial" w:cs="Arial"/>
          <w:color w:val="0E101A"/>
          <w:sz w:val="24"/>
          <w:szCs w:val="24"/>
        </w:rPr>
        <w:t>utilisation</w:t>
      </w:r>
      <w:proofErr w:type="spellEnd"/>
      <w:r w:rsidRPr="004D63E3">
        <w:rPr>
          <w:rFonts w:ascii="Arial" w:hAnsi="Arial" w:cs="Arial"/>
          <w:color w:val="0E101A"/>
          <w:sz w:val="24"/>
          <w:szCs w:val="24"/>
        </w:rPr>
        <w:t xml:space="preserve"> of self-reported data, where hotels tout their eco-friendly practices without undergoing independent verification. This approach lacks external validation and can result in inflated green credentials, misleading consumers about the true extent of the hotel's sustainability efforts. For example, a hotel might claim a 20% reduction in energy consumption based on their calculations, which could be inaccurate and misleading. Another approach is </w:t>
      </w:r>
      <w:r w:rsidR="00F23068">
        <w:rPr>
          <w:rFonts w:ascii="Arial" w:hAnsi="Arial" w:cs="Arial"/>
          <w:color w:val="0E101A"/>
          <w:sz w:val="24"/>
          <w:szCs w:val="24"/>
        </w:rPr>
        <w:t>using</w:t>
      </w:r>
      <w:r w:rsidRPr="004D63E3">
        <w:rPr>
          <w:rFonts w:ascii="Arial" w:hAnsi="Arial" w:cs="Arial"/>
          <w:color w:val="0E101A"/>
          <w:sz w:val="24"/>
          <w:szCs w:val="24"/>
        </w:rPr>
        <w:t xml:space="preserve"> vague claims such as "eco-friendly" or "green" without specific details, making it challenging for consumers to assess the authenticity of a hotel's environmental initiatives. They are ambiguous labels that serve as marketing ploys rather than genuine commitments to sustainability.</w:t>
      </w:r>
    </w:p>
    <w:p w14:paraId="1ED2C68B" w14:textId="77777777" w:rsidR="00666F41" w:rsidRPr="004D63E3" w:rsidRDefault="006D2C4E" w:rsidP="004D63E3">
      <w:pPr>
        <w:spacing w:line="360" w:lineRule="auto"/>
        <w:ind w:firstLine="720"/>
        <w:contextualSpacing/>
        <w:jc w:val="both"/>
        <w:rPr>
          <w:rFonts w:ascii="Arial" w:hAnsi="Arial" w:cs="Arial"/>
          <w:color w:val="0E101A"/>
          <w:sz w:val="24"/>
          <w:szCs w:val="24"/>
        </w:rPr>
      </w:pPr>
      <w:r w:rsidRPr="004D63E3">
        <w:rPr>
          <w:rFonts w:ascii="Arial" w:hAnsi="Arial" w:cs="Arial"/>
          <w:color w:val="0E101A"/>
          <w:sz w:val="24"/>
          <w:szCs w:val="24"/>
        </w:rPr>
        <w:t xml:space="preserve">Another approach toward greenwashing is selective reporting, where hotels may selectively highlight positive aspects of their sustainability practices and neglect negative impacts. This creates a skewed perception of their environmental performance (Mahjoub, 2023). For example, a hotel might </w:t>
      </w:r>
      <w:proofErr w:type="spellStart"/>
      <w:r w:rsidRPr="004D63E3">
        <w:rPr>
          <w:rFonts w:ascii="Arial" w:hAnsi="Arial" w:cs="Arial"/>
          <w:color w:val="0E101A"/>
          <w:sz w:val="24"/>
          <w:szCs w:val="24"/>
        </w:rPr>
        <w:t>emphasise</w:t>
      </w:r>
      <w:proofErr w:type="spellEnd"/>
      <w:r w:rsidRPr="004D63E3">
        <w:rPr>
          <w:rFonts w:ascii="Arial" w:hAnsi="Arial" w:cs="Arial"/>
          <w:color w:val="0E101A"/>
          <w:sz w:val="24"/>
          <w:szCs w:val="24"/>
        </w:rPr>
        <w:t xml:space="preserve"> its towel reuse program but remain silent about its high energy consumption from fossil fuels. Hotels create an illusion of environmental responsibility while sidestepping accountability for unsustainable practices by focusing solely on their green initiatives without addressing areas of concern. This selective presentation of information often misleads consumers into believing that a hotel is more environmentally friendly than it is. It is essential to note that the consequences of greenwashing are far-reaching. It erodes consumer trust in the hospitality industry's genuine commitment to sustainability. This hinders progress towards a more eco-friendly tourism sector. Additionally, it misleads consumers into making choices based on false information, impacting their ability to support truly sustainable businesses.</w:t>
      </w:r>
    </w:p>
    <w:p w14:paraId="17178290" w14:textId="77777777" w:rsidR="00666F41" w:rsidRPr="004D63E3" w:rsidRDefault="006D2C4E" w:rsidP="004D63E3">
      <w:pPr>
        <w:spacing w:line="360" w:lineRule="auto"/>
        <w:ind w:firstLine="720"/>
        <w:contextualSpacing/>
        <w:jc w:val="both"/>
        <w:rPr>
          <w:rFonts w:ascii="Arial" w:hAnsi="Arial" w:cs="Arial"/>
          <w:color w:val="0E101A"/>
          <w:sz w:val="24"/>
          <w:szCs w:val="24"/>
        </w:rPr>
      </w:pPr>
      <w:r w:rsidRPr="004D63E3">
        <w:rPr>
          <w:rFonts w:ascii="Arial" w:hAnsi="Arial" w:cs="Arial"/>
          <w:color w:val="0E101A"/>
          <w:sz w:val="24"/>
          <w:szCs w:val="24"/>
        </w:rPr>
        <w:t>Inferring from the above, Marriott Hotel has faced immense criticism regarding accusations of greenwashing in its sustainability claims. Concerns have been raised regarding potential areas of greenwashing, such as their towel-washing practices and energy efficiency measures. For instance, the hotel has been praised for its ability to promote initiatives like towel reuse programs to reduce water and energy consumption. However, there is often insufficient transparency and independent verification to validate the effectiveness of these efforts. The hotel encourages guests to reuse towels as an approach toward environmental conservation yet fails to disclose the actual water and energy savings achieved and does not provide evidence of adherence to sustainable laundering practices. Additionally, in 2017, Marriott faced criticism over claims of greenwashing related to its "Make a Green Choice" program (Bitter, 2019). This program offered guests the option to decline housekeeping services in exchange for reward points. Critics argued that this initiative did not reduce environmental impact, citing that it was more about cos</w:t>
      </w:r>
      <w:r w:rsidR="00666F41" w:rsidRPr="004D63E3">
        <w:rPr>
          <w:rFonts w:ascii="Arial" w:hAnsi="Arial" w:cs="Arial"/>
          <w:color w:val="0E101A"/>
          <w:sz w:val="24"/>
          <w:szCs w:val="24"/>
        </w:rPr>
        <w:t>t savings than sustainability.</w:t>
      </w:r>
    </w:p>
    <w:p w14:paraId="7BF88D66" w14:textId="77777777" w:rsidR="00666F41" w:rsidRPr="004D63E3" w:rsidRDefault="006D2C4E" w:rsidP="004D63E3">
      <w:pPr>
        <w:spacing w:line="360" w:lineRule="auto"/>
        <w:ind w:firstLine="720"/>
        <w:contextualSpacing/>
        <w:jc w:val="both"/>
        <w:rPr>
          <w:rFonts w:ascii="Arial" w:hAnsi="Arial" w:cs="Arial"/>
          <w:color w:val="0E101A"/>
          <w:sz w:val="24"/>
          <w:szCs w:val="24"/>
        </w:rPr>
      </w:pPr>
      <w:r w:rsidRPr="004D63E3">
        <w:rPr>
          <w:rFonts w:ascii="Arial" w:hAnsi="Arial" w:cs="Arial"/>
          <w:color w:val="0E101A"/>
          <w:sz w:val="24"/>
          <w:szCs w:val="24"/>
        </w:rPr>
        <w:t xml:space="preserve">Also, the self-evaluation practices employed by Marriott have raised immense criticism and attention from external stakeholders. Critics cite that although this self-assessment offers insights into sustainability performance, it limits the company's objectivity and accountability. The hotel has been accused of conducting internal audits or assessments to evaluate its sustainability practices, but without external oversight, there's a risk of bias or manipulation of data to present a more </w:t>
      </w:r>
      <w:proofErr w:type="spellStart"/>
      <w:r w:rsidRPr="004D63E3">
        <w:rPr>
          <w:rFonts w:ascii="Arial" w:hAnsi="Arial" w:cs="Arial"/>
          <w:color w:val="0E101A"/>
          <w:sz w:val="24"/>
          <w:szCs w:val="24"/>
        </w:rPr>
        <w:t>favourable</w:t>
      </w:r>
      <w:proofErr w:type="spellEnd"/>
      <w:r w:rsidRPr="004D63E3">
        <w:rPr>
          <w:rFonts w:ascii="Arial" w:hAnsi="Arial" w:cs="Arial"/>
          <w:color w:val="0E101A"/>
          <w:sz w:val="24"/>
          <w:szCs w:val="24"/>
        </w:rPr>
        <w:t xml:space="preserve"> image. Additionally, self-evaluation may lack </w:t>
      </w:r>
      <w:proofErr w:type="spellStart"/>
      <w:r w:rsidRPr="004D63E3">
        <w:rPr>
          <w:rFonts w:ascii="Arial" w:hAnsi="Arial" w:cs="Arial"/>
          <w:color w:val="0E101A"/>
          <w:sz w:val="24"/>
          <w:szCs w:val="24"/>
        </w:rPr>
        <w:t>rigour</w:t>
      </w:r>
      <w:proofErr w:type="spellEnd"/>
      <w:r w:rsidRPr="004D63E3">
        <w:rPr>
          <w:rFonts w:ascii="Arial" w:hAnsi="Arial" w:cs="Arial"/>
          <w:color w:val="0E101A"/>
          <w:sz w:val="24"/>
          <w:szCs w:val="24"/>
        </w:rPr>
        <w:t xml:space="preserve"> compared to independent certifications or audits conducted by third-party </w:t>
      </w:r>
      <w:proofErr w:type="spellStart"/>
      <w:r w:rsidRPr="004D63E3">
        <w:rPr>
          <w:rFonts w:ascii="Arial" w:hAnsi="Arial" w:cs="Arial"/>
          <w:color w:val="0E101A"/>
          <w:sz w:val="24"/>
          <w:szCs w:val="24"/>
        </w:rPr>
        <w:t>organisations</w:t>
      </w:r>
      <w:proofErr w:type="spellEnd"/>
      <w:r w:rsidRPr="004D63E3">
        <w:rPr>
          <w:rFonts w:ascii="Arial" w:hAnsi="Arial" w:cs="Arial"/>
          <w:color w:val="0E101A"/>
          <w:sz w:val="24"/>
          <w:szCs w:val="24"/>
        </w:rPr>
        <w:t>, potentially leading to inflated claims of environmental responsibility without adequate scrutiny. </w:t>
      </w:r>
    </w:p>
    <w:p w14:paraId="09558003" w14:textId="77777777" w:rsidR="00666F41" w:rsidRPr="004D63E3" w:rsidRDefault="006D2C4E" w:rsidP="004D63E3">
      <w:pPr>
        <w:spacing w:line="360" w:lineRule="auto"/>
        <w:contextualSpacing/>
        <w:jc w:val="center"/>
        <w:rPr>
          <w:rFonts w:ascii="Arial" w:hAnsi="Arial" w:cs="Arial"/>
          <w:color w:val="0E101A"/>
          <w:sz w:val="24"/>
          <w:szCs w:val="24"/>
        </w:rPr>
      </w:pPr>
      <w:r w:rsidRPr="004D63E3">
        <w:rPr>
          <w:rFonts w:ascii="Arial" w:hAnsi="Arial" w:cs="Arial"/>
          <w:color w:val="0E101A"/>
          <w:sz w:val="24"/>
          <w:szCs w:val="24"/>
        </w:rPr>
        <w:t>Self-Evaluation</w:t>
      </w:r>
    </w:p>
    <w:p w14:paraId="301CB39B" w14:textId="77777777" w:rsidR="00666F41" w:rsidRPr="004D63E3" w:rsidRDefault="006D2C4E" w:rsidP="004D63E3">
      <w:pPr>
        <w:spacing w:line="360" w:lineRule="auto"/>
        <w:ind w:firstLine="720"/>
        <w:contextualSpacing/>
        <w:jc w:val="both"/>
        <w:rPr>
          <w:rFonts w:ascii="Arial" w:hAnsi="Arial" w:cs="Arial"/>
          <w:color w:val="0E101A"/>
          <w:sz w:val="24"/>
          <w:szCs w:val="24"/>
        </w:rPr>
      </w:pPr>
      <w:r w:rsidRPr="004D63E3">
        <w:rPr>
          <w:rFonts w:ascii="Arial" w:hAnsi="Arial" w:cs="Arial"/>
          <w:color w:val="0E101A"/>
          <w:sz w:val="24"/>
          <w:szCs w:val="24"/>
        </w:rPr>
        <w:t xml:space="preserve">It is essential to note that various companies </w:t>
      </w:r>
      <w:proofErr w:type="spellStart"/>
      <w:r w:rsidRPr="004D63E3">
        <w:rPr>
          <w:rFonts w:ascii="Arial" w:hAnsi="Arial" w:cs="Arial"/>
          <w:color w:val="0E101A"/>
          <w:sz w:val="24"/>
          <w:szCs w:val="24"/>
        </w:rPr>
        <w:t>utilise</w:t>
      </w:r>
      <w:proofErr w:type="spellEnd"/>
      <w:r w:rsidRPr="004D63E3">
        <w:rPr>
          <w:rFonts w:ascii="Arial" w:hAnsi="Arial" w:cs="Arial"/>
          <w:color w:val="0E101A"/>
          <w:sz w:val="24"/>
          <w:szCs w:val="24"/>
        </w:rPr>
        <w:t xml:space="preserve"> self-evaluation of their sustainability practices for multiple reasons. Self-evaluation is a process by which </w:t>
      </w:r>
      <w:proofErr w:type="spellStart"/>
      <w:r w:rsidRPr="004D63E3">
        <w:rPr>
          <w:rFonts w:ascii="Arial" w:hAnsi="Arial" w:cs="Arial"/>
          <w:color w:val="0E101A"/>
          <w:sz w:val="24"/>
          <w:szCs w:val="24"/>
        </w:rPr>
        <w:t>organisations</w:t>
      </w:r>
      <w:proofErr w:type="spellEnd"/>
      <w:r w:rsidRPr="004D63E3">
        <w:rPr>
          <w:rFonts w:ascii="Arial" w:hAnsi="Arial" w:cs="Arial"/>
          <w:color w:val="0E101A"/>
          <w:sz w:val="24"/>
          <w:szCs w:val="24"/>
        </w:rPr>
        <w:t xml:space="preserve"> assess their environmental, social, and economic performance and progress toward sustainability goals (Jiménez, De La Cuesta González and Boronat-Navarro, 2021). This involves examining the </w:t>
      </w:r>
      <w:proofErr w:type="spellStart"/>
      <w:r w:rsidRPr="004D63E3">
        <w:rPr>
          <w:rFonts w:ascii="Arial" w:hAnsi="Arial" w:cs="Arial"/>
          <w:color w:val="0E101A"/>
          <w:sz w:val="24"/>
          <w:szCs w:val="24"/>
        </w:rPr>
        <w:t>organisation's</w:t>
      </w:r>
      <w:proofErr w:type="spellEnd"/>
      <w:r w:rsidRPr="004D63E3">
        <w:rPr>
          <w:rFonts w:ascii="Arial" w:hAnsi="Arial" w:cs="Arial"/>
          <w:color w:val="0E101A"/>
          <w:sz w:val="24"/>
          <w:szCs w:val="24"/>
        </w:rPr>
        <w:t xml:space="preserve"> activities, processes, and impacts to determine their alignment with sustainability principles and objectives. Marriott International self-evaluates its sustainability practices by employing various methods and strategies to assess its environmental performance and progress towards sustainability goals. One essential approach Marriott uses for self-evaluation is through its corporate sustainability reporting. The company regularly publishes sustainability reports that detail its environmental initiatives, goals, and achievements. These reports often include comprehensive energy and water consumption data, waste generation, greenhouse gas emissions, and other key performance indicators.</w:t>
      </w:r>
    </w:p>
    <w:p w14:paraId="582303D8" w14:textId="77777777" w:rsidR="004D63E3" w:rsidRDefault="006D2C4E" w:rsidP="004D63E3">
      <w:pPr>
        <w:spacing w:line="360" w:lineRule="auto"/>
        <w:ind w:firstLine="720"/>
        <w:contextualSpacing/>
        <w:jc w:val="both"/>
        <w:rPr>
          <w:rFonts w:ascii="Arial" w:hAnsi="Arial" w:cs="Arial"/>
          <w:color w:val="0E101A"/>
          <w:sz w:val="24"/>
          <w:szCs w:val="24"/>
        </w:rPr>
      </w:pPr>
      <w:r w:rsidRPr="004D63E3">
        <w:rPr>
          <w:rFonts w:ascii="Arial" w:hAnsi="Arial" w:cs="Arial"/>
          <w:color w:val="0E101A"/>
          <w:sz w:val="24"/>
          <w:szCs w:val="24"/>
        </w:rPr>
        <w:t xml:space="preserve">Marriott self-evaluates its sustainability efforts for several reasons. Among them is to foster internal accountability for its sustainability commitments and progress (Marriot International, 2023). Additionally, this approach allows Marriott to identify areas of improvement regarding its environmental performance and implement targeted initiatives to address the identified weaknesses. Self-evaluation also helps the company to demonstrate transparency and communication efforts to its stakeholders, including guests, investors, and the broader community, by openly sharing information about its sustainability practices and progress. Another reason for self-evaluation is that it is cost-effective compared to hiring external auditors and consultants to evaluate sustainability performance. It helps the company save resources and channel them to other services that improve client satisfaction. Lastly, through self-evaluation, Marriott can </w:t>
      </w:r>
      <w:proofErr w:type="spellStart"/>
      <w:r w:rsidRPr="004D63E3">
        <w:rPr>
          <w:rFonts w:ascii="Arial" w:hAnsi="Arial" w:cs="Arial"/>
          <w:color w:val="0E101A"/>
          <w:sz w:val="24"/>
          <w:szCs w:val="24"/>
        </w:rPr>
        <w:t>customise</w:t>
      </w:r>
      <w:proofErr w:type="spellEnd"/>
      <w:r w:rsidRPr="004D63E3">
        <w:rPr>
          <w:rFonts w:ascii="Arial" w:hAnsi="Arial" w:cs="Arial"/>
          <w:color w:val="0E101A"/>
          <w:sz w:val="24"/>
          <w:szCs w:val="24"/>
        </w:rPr>
        <w:t xml:space="preserve"> its evaluation methods and criteria to align with its specific sustainability goals and priorities. Overall, Marriot </w:t>
      </w:r>
      <w:proofErr w:type="spellStart"/>
      <w:r w:rsidRPr="004D63E3">
        <w:rPr>
          <w:rFonts w:ascii="Arial" w:hAnsi="Arial" w:cs="Arial"/>
          <w:color w:val="0E101A"/>
          <w:sz w:val="24"/>
          <w:szCs w:val="24"/>
        </w:rPr>
        <w:t>utilises</w:t>
      </w:r>
      <w:proofErr w:type="spellEnd"/>
      <w:r w:rsidRPr="004D63E3">
        <w:rPr>
          <w:rFonts w:ascii="Arial" w:hAnsi="Arial" w:cs="Arial"/>
          <w:color w:val="0E101A"/>
          <w:sz w:val="24"/>
          <w:szCs w:val="24"/>
        </w:rPr>
        <w:t xml:space="preserve"> self-evaluation practices to guide its sustainability strategy, foster accountability, and demonstrate its commitment to environmental stewardship.</w:t>
      </w:r>
    </w:p>
    <w:p w14:paraId="52575AB2" w14:textId="77777777" w:rsidR="006D2C4E" w:rsidRPr="004D63E3" w:rsidRDefault="006D2C4E" w:rsidP="004D63E3">
      <w:pPr>
        <w:spacing w:line="360" w:lineRule="auto"/>
        <w:contextualSpacing/>
        <w:jc w:val="center"/>
        <w:rPr>
          <w:rFonts w:ascii="Arial" w:hAnsi="Arial" w:cs="Arial"/>
          <w:color w:val="0E101A"/>
          <w:sz w:val="24"/>
          <w:szCs w:val="24"/>
        </w:rPr>
      </w:pPr>
      <w:r w:rsidRPr="004D63E3">
        <w:rPr>
          <w:rFonts w:ascii="Arial" w:hAnsi="Arial" w:cs="Arial"/>
          <w:color w:val="0E101A"/>
          <w:sz w:val="24"/>
          <w:szCs w:val="24"/>
        </w:rPr>
        <w:t>Alternatives to Self-evaluation</w:t>
      </w:r>
    </w:p>
    <w:p w14:paraId="7C3F47B6"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However, self-evaluation at Marriott has limitations. According to </w:t>
      </w:r>
      <w:proofErr w:type="spellStart"/>
      <w:r w:rsidRPr="004D63E3">
        <w:rPr>
          <w:rFonts w:ascii="Arial" w:hAnsi="Arial" w:cs="Arial"/>
          <w:color w:val="0E101A"/>
        </w:rPr>
        <w:t>Lähdeaho</w:t>
      </w:r>
      <w:proofErr w:type="spellEnd"/>
      <w:r w:rsidRPr="004D63E3">
        <w:rPr>
          <w:rFonts w:ascii="Arial" w:hAnsi="Arial" w:cs="Arial"/>
          <w:color w:val="0E101A"/>
        </w:rPr>
        <w:t xml:space="preserve"> and Vilko (2022), one significant drawback is the potential lack of objectivity and bias. Being an internally-driven process, there is a risk that Marriott may present itself in a </w:t>
      </w:r>
      <w:proofErr w:type="spellStart"/>
      <w:r w:rsidRPr="004D63E3">
        <w:rPr>
          <w:rFonts w:ascii="Arial" w:hAnsi="Arial" w:cs="Arial"/>
          <w:color w:val="0E101A"/>
        </w:rPr>
        <w:t>favourable</w:t>
      </w:r>
      <w:proofErr w:type="spellEnd"/>
      <w:r w:rsidRPr="004D63E3">
        <w:rPr>
          <w:rFonts w:ascii="Arial" w:hAnsi="Arial" w:cs="Arial"/>
          <w:color w:val="0E101A"/>
        </w:rPr>
        <w:t xml:space="preserve"> light. The company often overlooks areas of weakness, breeding subjectivity that compromises the credibility of its sustainability claims. Consequently, this hinders genuine progress toward environmental goals. These limitations underline the need for the company to </w:t>
      </w:r>
      <w:proofErr w:type="spellStart"/>
      <w:r w:rsidRPr="004D63E3">
        <w:rPr>
          <w:rFonts w:ascii="Arial" w:hAnsi="Arial" w:cs="Arial"/>
          <w:color w:val="0E101A"/>
        </w:rPr>
        <w:t>utilise</w:t>
      </w:r>
      <w:proofErr w:type="spellEnd"/>
      <w:r w:rsidRPr="004D63E3">
        <w:rPr>
          <w:rFonts w:ascii="Arial" w:hAnsi="Arial" w:cs="Arial"/>
          <w:color w:val="0E101A"/>
        </w:rPr>
        <w:t xml:space="preserve"> alternative solutions to self-evaluating.</w:t>
      </w:r>
    </w:p>
    <w:p w14:paraId="22AF0449"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Marriott could implement a more comprehensive approach to assess its sustainability practices. These alternatives include engaging independent third-party auditors to conduct external evaluations. According to Skivington et al. (2021), external assessments provide an objective and unbiased perspective on Marriott's sustainability performance, helping the company foster transparency and credibility in the evaluation process. Additionally, Marriott could actively seek feedback from customers, employees, local communities, and environmental experts. This approach will help the company gain diverse perspectives on its sustainability efforts since collaborating with external stakeholders fosters accountability and enhances the validity of sustainability claims. The company can complement self-evaluation with external audits and stakeholder engagement to strengthen its sustainability practices and address areas of improvement, enhancing genuine progress toward environmental goals.</w:t>
      </w:r>
    </w:p>
    <w:p w14:paraId="2F441F0A" w14:textId="77777777" w:rsidR="006D2C4E" w:rsidRPr="004D63E3" w:rsidRDefault="006D2C4E" w:rsidP="004D63E3">
      <w:pPr>
        <w:pStyle w:val="NormalWeb"/>
        <w:spacing w:before="0" w:beforeAutospacing="0" w:after="0" w:afterAutospacing="0" w:line="360" w:lineRule="auto"/>
        <w:contextualSpacing/>
        <w:jc w:val="center"/>
        <w:rPr>
          <w:rFonts w:ascii="Arial" w:hAnsi="Arial" w:cs="Arial"/>
          <w:color w:val="0E101A"/>
        </w:rPr>
      </w:pPr>
      <w:r w:rsidRPr="004D63E3">
        <w:rPr>
          <w:rFonts w:ascii="Arial" w:hAnsi="Arial" w:cs="Arial"/>
          <w:color w:val="0E101A"/>
        </w:rPr>
        <w:t>Green Technology</w:t>
      </w:r>
    </w:p>
    <w:p w14:paraId="63679726"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Green or clean technology comprises comprehensive innovations and practices that help </w:t>
      </w:r>
      <w:proofErr w:type="spellStart"/>
      <w:r w:rsidRPr="004D63E3">
        <w:rPr>
          <w:rFonts w:ascii="Arial" w:hAnsi="Arial" w:cs="Arial"/>
          <w:color w:val="0E101A"/>
        </w:rPr>
        <w:t>minimise</w:t>
      </w:r>
      <w:proofErr w:type="spellEnd"/>
      <w:r w:rsidRPr="004D63E3">
        <w:rPr>
          <w:rFonts w:ascii="Arial" w:hAnsi="Arial" w:cs="Arial"/>
          <w:color w:val="0E101A"/>
        </w:rPr>
        <w:t xml:space="preserve"> adverse environmental impacts and promote resource efficiency, renewable energy, and ecological sustainability (Guo et al., 2020). Green technology includes renewable energy sources such as solar and wind energy, energy-efficient appliances and lighting systems, and sustainable building materials and construction techniques. Ikram et al. (2021) cite that various hospitality </w:t>
      </w:r>
      <w:proofErr w:type="spellStart"/>
      <w:r w:rsidRPr="004D63E3">
        <w:rPr>
          <w:rFonts w:ascii="Arial" w:hAnsi="Arial" w:cs="Arial"/>
          <w:color w:val="0E101A"/>
        </w:rPr>
        <w:t>organisations</w:t>
      </w:r>
      <w:proofErr w:type="spellEnd"/>
      <w:r w:rsidRPr="004D63E3">
        <w:rPr>
          <w:rFonts w:ascii="Arial" w:hAnsi="Arial" w:cs="Arial"/>
          <w:color w:val="0E101A"/>
        </w:rPr>
        <w:t xml:space="preserve"> </w:t>
      </w:r>
      <w:proofErr w:type="spellStart"/>
      <w:r w:rsidRPr="004D63E3">
        <w:rPr>
          <w:rFonts w:ascii="Arial" w:hAnsi="Arial" w:cs="Arial"/>
          <w:color w:val="0E101A"/>
        </w:rPr>
        <w:t>utilise</w:t>
      </w:r>
      <w:proofErr w:type="spellEnd"/>
      <w:r w:rsidRPr="004D63E3">
        <w:rPr>
          <w:rFonts w:ascii="Arial" w:hAnsi="Arial" w:cs="Arial"/>
          <w:color w:val="0E101A"/>
        </w:rPr>
        <w:t xml:space="preserve"> green technology since it is more sustainable than conventional technologies. </w:t>
      </w:r>
    </w:p>
    <w:p w14:paraId="181E88D0"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A perfect example is Marriott International Hotels, which has adopted green technology as part of its sustainability initiatives. The company has implemented energy-efficient lighting and HVAC systems by installing solar panels for renewable energy generation and implementing water-saving practices. Also, Marriot has integrated smart technology into its energy management and monitoring systems. Marriott uses green technology to reduce its environmental footprint, and lower operating costs through energy and resource efficiency (Sinha, </w:t>
      </w:r>
      <w:proofErr w:type="spellStart"/>
      <w:r w:rsidRPr="004D63E3">
        <w:rPr>
          <w:rFonts w:ascii="Arial" w:hAnsi="Arial" w:cs="Arial"/>
          <w:color w:val="0E101A"/>
        </w:rPr>
        <w:t>Fukey</w:t>
      </w:r>
      <w:proofErr w:type="spellEnd"/>
      <w:r w:rsidRPr="004D63E3">
        <w:rPr>
          <w:rFonts w:ascii="Arial" w:hAnsi="Arial" w:cs="Arial"/>
          <w:color w:val="0E101A"/>
        </w:rPr>
        <w:t xml:space="preserve"> and Sinha, 2021). This practice has enhanced its brand reputation as an environmentally responsible company and helped the </w:t>
      </w:r>
      <w:proofErr w:type="spellStart"/>
      <w:r w:rsidRPr="004D63E3">
        <w:rPr>
          <w:rFonts w:ascii="Arial" w:hAnsi="Arial" w:cs="Arial"/>
          <w:color w:val="0E101A"/>
        </w:rPr>
        <w:t>organisation</w:t>
      </w:r>
      <w:proofErr w:type="spellEnd"/>
      <w:r w:rsidRPr="004D63E3">
        <w:rPr>
          <w:rFonts w:ascii="Arial" w:hAnsi="Arial" w:cs="Arial"/>
          <w:color w:val="0E101A"/>
        </w:rPr>
        <w:t xml:space="preserve"> meet the growing demand from environmentally-conscious consumers for sustainable accommodations. Therefore, investing in green technology demonstrates an </w:t>
      </w:r>
      <w:proofErr w:type="spellStart"/>
      <w:r w:rsidRPr="004D63E3">
        <w:rPr>
          <w:rFonts w:ascii="Arial" w:hAnsi="Arial" w:cs="Arial"/>
          <w:color w:val="0E101A"/>
        </w:rPr>
        <w:t>organisation's</w:t>
      </w:r>
      <w:proofErr w:type="spellEnd"/>
      <w:r w:rsidRPr="004D63E3">
        <w:rPr>
          <w:rFonts w:ascii="Arial" w:hAnsi="Arial" w:cs="Arial"/>
          <w:color w:val="0E101A"/>
        </w:rPr>
        <w:t xml:space="preserve"> commitment to environmental stewardship and contributes to global efforts to mitigate climate change and preserve natural resources.</w:t>
      </w:r>
    </w:p>
    <w:p w14:paraId="66735EA3" w14:textId="77777777" w:rsidR="006D2C4E" w:rsidRPr="004D63E3" w:rsidRDefault="006D2C4E" w:rsidP="004D63E3">
      <w:pPr>
        <w:pStyle w:val="NormalWeb"/>
        <w:spacing w:before="0" w:beforeAutospacing="0" w:after="0" w:afterAutospacing="0" w:line="360" w:lineRule="auto"/>
        <w:contextualSpacing/>
        <w:jc w:val="center"/>
        <w:rPr>
          <w:rFonts w:ascii="Arial" w:hAnsi="Arial" w:cs="Arial"/>
          <w:color w:val="0E101A"/>
        </w:rPr>
      </w:pPr>
      <w:r w:rsidRPr="004D63E3">
        <w:rPr>
          <w:rFonts w:ascii="Arial" w:hAnsi="Arial" w:cs="Arial"/>
          <w:color w:val="0E101A"/>
        </w:rPr>
        <w:t>Sustainability Theories and Models</w:t>
      </w:r>
    </w:p>
    <w:p w14:paraId="73029390"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Sustainability theories and models are pivotal to navigating the complexities of sustainability, identifying areas for improvement, and developing strategies that align with environmental, social, and economic goals. Understanding these theories fosters genuine progress toward a more sustainable future. Common sustainability models include greenwashing, whitewashing, and green-hushing. Greenwashing is a sustainability theory </w:t>
      </w:r>
      <w:proofErr w:type="spellStart"/>
      <w:r w:rsidRPr="004D63E3">
        <w:rPr>
          <w:rFonts w:ascii="Arial" w:hAnsi="Arial" w:cs="Arial"/>
          <w:color w:val="0E101A"/>
        </w:rPr>
        <w:t>characterised</w:t>
      </w:r>
      <w:proofErr w:type="spellEnd"/>
      <w:r w:rsidRPr="004D63E3">
        <w:rPr>
          <w:rFonts w:ascii="Arial" w:hAnsi="Arial" w:cs="Arial"/>
          <w:color w:val="0E101A"/>
        </w:rPr>
        <w:t xml:space="preserve"> by deceptive and exaggerated portrayals of environmentally friendly practices by companies (Chen </w:t>
      </w:r>
      <w:r w:rsidRPr="004D63E3">
        <w:rPr>
          <w:rStyle w:val="Emphasis"/>
          <w:rFonts w:ascii="Arial" w:hAnsi="Arial" w:cs="Arial"/>
          <w:color w:val="0E101A"/>
        </w:rPr>
        <w:t>et al.</w:t>
      </w:r>
      <w:r w:rsidRPr="004D63E3">
        <w:rPr>
          <w:rFonts w:ascii="Arial" w:hAnsi="Arial" w:cs="Arial"/>
          <w:color w:val="0E101A"/>
        </w:rPr>
        <w:t xml:space="preserve">, 2022). In this model, </w:t>
      </w:r>
      <w:proofErr w:type="spellStart"/>
      <w:r w:rsidRPr="004D63E3">
        <w:rPr>
          <w:rFonts w:ascii="Arial" w:hAnsi="Arial" w:cs="Arial"/>
          <w:color w:val="0E101A"/>
        </w:rPr>
        <w:t>organisations</w:t>
      </w:r>
      <w:proofErr w:type="spellEnd"/>
      <w:r w:rsidRPr="004D63E3">
        <w:rPr>
          <w:rFonts w:ascii="Arial" w:hAnsi="Arial" w:cs="Arial"/>
          <w:color w:val="0E101A"/>
        </w:rPr>
        <w:t xml:space="preserve"> use misleading marketing and communication strategies to present themselves as more environmentally responsible than they are. This is achieved by publishing unsubstantiated claims of eco-friendliness without concrete evidence or actions to support them. Greenwashing undermines genuine sustainability efforts by misleading consumers and stakeholders, eroding trust, and diverting attention and resources away from meaningful environmental initiatives. As such, </w:t>
      </w:r>
      <w:proofErr w:type="spellStart"/>
      <w:r w:rsidRPr="004D63E3">
        <w:rPr>
          <w:rFonts w:ascii="Arial" w:hAnsi="Arial" w:cs="Arial"/>
          <w:color w:val="0E101A"/>
        </w:rPr>
        <w:t>organisations</w:t>
      </w:r>
      <w:proofErr w:type="spellEnd"/>
      <w:r w:rsidRPr="004D63E3">
        <w:rPr>
          <w:rFonts w:ascii="Arial" w:hAnsi="Arial" w:cs="Arial"/>
          <w:color w:val="0E101A"/>
        </w:rPr>
        <w:t xml:space="preserve"> like Marriott must be transparent and authentic in their sustainability communications, ensuring that their claims align with verifiable actions and outcomes.</w:t>
      </w:r>
    </w:p>
    <w:p w14:paraId="44E40149"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Secondly, whitewashing is when </w:t>
      </w:r>
      <w:proofErr w:type="spellStart"/>
      <w:r w:rsidRPr="004D63E3">
        <w:rPr>
          <w:rFonts w:ascii="Arial" w:hAnsi="Arial" w:cs="Arial"/>
          <w:color w:val="0E101A"/>
        </w:rPr>
        <w:t>organisations</w:t>
      </w:r>
      <w:proofErr w:type="spellEnd"/>
      <w:r w:rsidRPr="004D63E3">
        <w:rPr>
          <w:rFonts w:ascii="Arial" w:hAnsi="Arial" w:cs="Arial"/>
          <w:color w:val="0E101A"/>
        </w:rPr>
        <w:t xml:space="preserve"> like Marriott selectively highlight positive sustainability practices while disregarding any negative environmental and social impacts. In this model, companies </w:t>
      </w:r>
      <w:proofErr w:type="spellStart"/>
      <w:r w:rsidRPr="004D63E3">
        <w:rPr>
          <w:rFonts w:ascii="Arial" w:hAnsi="Arial" w:cs="Arial"/>
          <w:color w:val="0E101A"/>
        </w:rPr>
        <w:t>prioritise</w:t>
      </w:r>
      <w:proofErr w:type="spellEnd"/>
      <w:r w:rsidRPr="004D63E3">
        <w:rPr>
          <w:rFonts w:ascii="Arial" w:hAnsi="Arial" w:cs="Arial"/>
          <w:color w:val="0E101A"/>
        </w:rPr>
        <w:t xml:space="preserve"> showcasing their achievements and successes in sustainability to enhance their reputation and look appealing to consumers without addressing areas where improvements are needed (Seele and Schultz, 2022). In most cases, it breeds a distorted perception of an </w:t>
      </w:r>
      <w:proofErr w:type="spellStart"/>
      <w:r w:rsidRPr="004D63E3">
        <w:rPr>
          <w:rFonts w:ascii="Arial" w:hAnsi="Arial" w:cs="Arial"/>
          <w:color w:val="0E101A"/>
        </w:rPr>
        <w:t>organisation's</w:t>
      </w:r>
      <w:proofErr w:type="spellEnd"/>
      <w:r w:rsidRPr="004D63E3">
        <w:rPr>
          <w:rFonts w:ascii="Arial" w:hAnsi="Arial" w:cs="Arial"/>
          <w:color w:val="0E101A"/>
        </w:rPr>
        <w:t xml:space="preserve"> sustainability performance. This undermines transparency, accountability, and the credibility of sustainability efforts. This implies that the prevalence of greenwashing within the industry poses significant drawbacks. It undermines the credibility of genuine sustainability efforts, leading to consumer </w:t>
      </w:r>
      <w:proofErr w:type="spellStart"/>
      <w:r w:rsidRPr="004D63E3">
        <w:rPr>
          <w:rFonts w:ascii="Arial" w:hAnsi="Arial" w:cs="Arial"/>
          <w:color w:val="0E101A"/>
        </w:rPr>
        <w:t>scepticism</w:t>
      </w:r>
      <w:proofErr w:type="spellEnd"/>
      <w:r w:rsidRPr="004D63E3">
        <w:rPr>
          <w:rFonts w:ascii="Arial" w:hAnsi="Arial" w:cs="Arial"/>
          <w:color w:val="0E101A"/>
        </w:rPr>
        <w:t>. This hinders progress towards genuinely sustainable practices. For instance, hotels may claim to be eco-friendly while engaging in environmentally harmful practices, such as excessive resource consumption or habitat destruction (Yang </w:t>
      </w:r>
      <w:r w:rsidRPr="004D63E3">
        <w:rPr>
          <w:rStyle w:val="Emphasis"/>
          <w:rFonts w:ascii="Arial" w:hAnsi="Arial" w:cs="Arial"/>
          <w:color w:val="0E101A"/>
        </w:rPr>
        <w:t>et al.</w:t>
      </w:r>
      <w:r w:rsidRPr="004D63E3">
        <w:rPr>
          <w:rFonts w:ascii="Arial" w:hAnsi="Arial" w:cs="Arial"/>
          <w:color w:val="0E101A"/>
        </w:rPr>
        <w:t xml:space="preserve">, 2020). Therefore, </w:t>
      </w:r>
      <w:proofErr w:type="spellStart"/>
      <w:r w:rsidRPr="004D63E3">
        <w:rPr>
          <w:rFonts w:ascii="Arial" w:hAnsi="Arial" w:cs="Arial"/>
          <w:color w:val="0E101A"/>
        </w:rPr>
        <w:t>organisations</w:t>
      </w:r>
      <w:proofErr w:type="spellEnd"/>
      <w:r w:rsidRPr="004D63E3">
        <w:rPr>
          <w:rFonts w:ascii="Arial" w:hAnsi="Arial" w:cs="Arial"/>
          <w:color w:val="0E101A"/>
        </w:rPr>
        <w:t xml:space="preserve"> like Marriott must adopt a holistic approach to sustainability reporting that acknowledges successes and challenges to foster transparency, authenticity, and continuous improvement.</w:t>
      </w:r>
    </w:p>
    <w:p w14:paraId="7A121EAA"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Lastly, green hushing is </w:t>
      </w:r>
      <w:proofErr w:type="spellStart"/>
      <w:r w:rsidRPr="004D63E3">
        <w:rPr>
          <w:rFonts w:ascii="Arial" w:hAnsi="Arial" w:cs="Arial"/>
          <w:color w:val="0E101A"/>
        </w:rPr>
        <w:t>characterised</w:t>
      </w:r>
      <w:proofErr w:type="spellEnd"/>
      <w:r w:rsidRPr="004D63E3">
        <w:rPr>
          <w:rFonts w:ascii="Arial" w:hAnsi="Arial" w:cs="Arial"/>
          <w:color w:val="0E101A"/>
        </w:rPr>
        <w:t xml:space="preserve"> by the failure of </w:t>
      </w:r>
      <w:proofErr w:type="spellStart"/>
      <w:r w:rsidRPr="004D63E3">
        <w:rPr>
          <w:rFonts w:ascii="Arial" w:hAnsi="Arial" w:cs="Arial"/>
          <w:color w:val="0E101A"/>
        </w:rPr>
        <w:t>organisations</w:t>
      </w:r>
      <w:proofErr w:type="spellEnd"/>
      <w:r w:rsidRPr="004D63E3">
        <w:rPr>
          <w:rFonts w:ascii="Arial" w:hAnsi="Arial" w:cs="Arial"/>
          <w:color w:val="0E101A"/>
        </w:rPr>
        <w:t xml:space="preserve"> like Marriott to communicate genuine sustainability efforts to stakeholders effectively. Companies exhibit neglect by not transparently sharing their sustainability initiatives, resulting from negative publicity and reluctance to disclose weaknesses. This lack of communication leads to </w:t>
      </w:r>
      <w:proofErr w:type="spellStart"/>
      <w:r w:rsidRPr="004D63E3">
        <w:rPr>
          <w:rFonts w:ascii="Arial" w:hAnsi="Arial" w:cs="Arial"/>
          <w:color w:val="0E101A"/>
        </w:rPr>
        <w:t>scepticism</w:t>
      </w:r>
      <w:proofErr w:type="spellEnd"/>
      <w:r w:rsidRPr="004D63E3">
        <w:rPr>
          <w:rFonts w:ascii="Arial" w:hAnsi="Arial" w:cs="Arial"/>
          <w:color w:val="0E101A"/>
        </w:rPr>
        <w:t xml:space="preserve"> among stakeholders about the </w:t>
      </w:r>
      <w:proofErr w:type="spellStart"/>
      <w:r w:rsidRPr="004D63E3">
        <w:rPr>
          <w:rFonts w:ascii="Arial" w:hAnsi="Arial" w:cs="Arial"/>
          <w:color w:val="0E101A"/>
        </w:rPr>
        <w:t>organisation's</w:t>
      </w:r>
      <w:proofErr w:type="spellEnd"/>
      <w:r w:rsidRPr="004D63E3">
        <w:rPr>
          <w:rFonts w:ascii="Arial" w:hAnsi="Arial" w:cs="Arial"/>
          <w:color w:val="0E101A"/>
        </w:rPr>
        <w:t xml:space="preserve"> commitment to sustainability (Font, </w:t>
      </w:r>
      <w:proofErr w:type="spellStart"/>
      <w:r w:rsidRPr="004D63E3">
        <w:rPr>
          <w:rFonts w:ascii="Arial" w:hAnsi="Arial" w:cs="Arial"/>
          <w:color w:val="0E101A"/>
        </w:rPr>
        <w:t>Elgammal</w:t>
      </w:r>
      <w:proofErr w:type="spellEnd"/>
      <w:r w:rsidRPr="004D63E3">
        <w:rPr>
          <w:rFonts w:ascii="Arial" w:hAnsi="Arial" w:cs="Arial"/>
          <w:color w:val="0E101A"/>
        </w:rPr>
        <w:t xml:space="preserve"> and Lamond, 2019). To address green hushing, companies like Marriott should </w:t>
      </w:r>
      <w:proofErr w:type="spellStart"/>
      <w:r w:rsidRPr="004D63E3">
        <w:rPr>
          <w:rFonts w:ascii="Arial" w:hAnsi="Arial" w:cs="Arial"/>
          <w:color w:val="0E101A"/>
        </w:rPr>
        <w:t>prioritise</w:t>
      </w:r>
      <w:proofErr w:type="spellEnd"/>
      <w:r w:rsidRPr="004D63E3">
        <w:rPr>
          <w:rFonts w:ascii="Arial" w:hAnsi="Arial" w:cs="Arial"/>
          <w:color w:val="0E101A"/>
        </w:rPr>
        <w:t xml:space="preserve"> open and honest communication by actively engaging with stakeholders. The company should transparently share its sustainability initiatives and progress to enhance credibility and accountability as well as facilitate meaningful progress towards sustainability goals.</w:t>
      </w:r>
    </w:p>
    <w:p w14:paraId="242F5519" w14:textId="77777777" w:rsidR="006D2C4E" w:rsidRPr="004D63E3" w:rsidRDefault="006D2C4E" w:rsidP="004D63E3">
      <w:pPr>
        <w:pStyle w:val="NormalWeb"/>
        <w:spacing w:before="0" w:beforeAutospacing="0" w:after="0" w:afterAutospacing="0" w:line="360" w:lineRule="auto"/>
        <w:contextualSpacing/>
        <w:jc w:val="center"/>
        <w:rPr>
          <w:rFonts w:ascii="Arial" w:hAnsi="Arial" w:cs="Arial"/>
          <w:color w:val="0E101A"/>
        </w:rPr>
      </w:pPr>
      <w:r w:rsidRPr="004D63E3">
        <w:rPr>
          <w:rFonts w:ascii="Arial" w:hAnsi="Arial" w:cs="Arial"/>
          <w:color w:val="0E101A"/>
        </w:rPr>
        <w:t>Corporate Social Responsibility</w:t>
      </w:r>
    </w:p>
    <w:p w14:paraId="46E064F1"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Nevertheless, Marriott's Corporate Social Responsibility (CSR) approach demonstrates a commitment to sustainability principles across its operations (Wickham, French and Wong, 2020). This is courtesy of implementing various initiatives focusing on environmental stewardship, community engagement, and ethical business practices. For example, Marriott has set ambitious goals to reduce greenhouse gas emissions, </w:t>
      </w:r>
      <w:proofErr w:type="spellStart"/>
      <w:r w:rsidRPr="004D63E3">
        <w:rPr>
          <w:rFonts w:ascii="Arial" w:hAnsi="Arial" w:cs="Arial"/>
          <w:color w:val="0E101A"/>
        </w:rPr>
        <w:t>minimise</w:t>
      </w:r>
      <w:proofErr w:type="spellEnd"/>
      <w:r w:rsidRPr="004D63E3">
        <w:rPr>
          <w:rFonts w:ascii="Arial" w:hAnsi="Arial" w:cs="Arial"/>
          <w:color w:val="0E101A"/>
        </w:rPr>
        <w:t xml:space="preserve"> water consumption, and promote responsible sourcing throughout its supply chain. Moreover, Marriott actively engages with local communities through initiatives such as youth employment programs and disaster relief efforts. This CSR approach aligns closely with the United Nations Sustainable Development Goals (SDGs). For instance, the company's sustainability initiatives contribute to several SDGs, including Goal 7 (Affordable and Clean Energy), Goal 8 (Decent Work and Economic Growth), Goal 12 (Responsible Consumption and Production), and Goal 13 (Climate Action). By addressing these SDGs, Marriott enhances its reputation as a socially responsible company and contributes to global efforts to achieve sustainable development and address pressing environmental and social challenges (Carlsen and Brüggemann, 2021).</w:t>
      </w:r>
    </w:p>
    <w:p w14:paraId="298D489F" w14:textId="77777777" w:rsidR="006D2C4E" w:rsidRPr="004D63E3" w:rsidRDefault="006D2C4E" w:rsidP="004D63E3">
      <w:pPr>
        <w:pStyle w:val="NormalWeb"/>
        <w:spacing w:before="0" w:beforeAutospacing="0" w:after="0" w:afterAutospacing="0" w:line="360" w:lineRule="auto"/>
        <w:contextualSpacing/>
        <w:jc w:val="center"/>
        <w:rPr>
          <w:rFonts w:ascii="Arial" w:hAnsi="Arial" w:cs="Arial"/>
          <w:color w:val="0E101A"/>
        </w:rPr>
      </w:pPr>
      <w:r w:rsidRPr="004D63E3">
        <w:rPr>
          <w:rFonts w:ascii="Arial" w:hAnsi="Arial" w:cs="Arial"/>
          <w:color w:val="0E101A"/>
        </w:rPr>
        <w:t>Comparison with Successful Corporations</w:t>
      </w:r>
    </w:p>
    <w:p w14:paraId="2C27B1C9"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Just like Marriot, other hotels and tourism companies have embraced sustainability efforts. Notable examples include Hilton Hotels and Resorts and Hyatt Hotels Corporation (Abdou, Hassan and Dief, 2020). These companies have implemented comprehensive sustainability strategies encompassing environmental conservation, social responsibility, and economic viability. For example, Hilton has achieved notable milestones such as reducing carbon emissions by 30% and diverting 1.5 million pounds of soap from landfills through its soap recycling program (Hilton Hotel, 2023).</w:t>
      </w:r>
    </w:p>
    <w:p w14:paraId="09DC4470" w14:textId="77777777" w:rsidR="006D2C4E" w:rsidRPr="004D63E3" w:rsidRDefault="006D2C4E" w:rsidP="00F23068">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It is essential to note that Marriott Hotel has made strides in sustainability but could improve in certain areas, as exhibited by Hilton, Premier Inn, and Hyatt. Although Marriott has implemented energy-efficient technologies and water conservation measures, it could enhance transparency in reporting its sustainability performance and seek independent certifications to validate its claims (</w:t>
      </w:r>
      <w:proofErr w:type="spellStart"/>
      <w:r w:rsidRPr="004D63E3">
        <w:rPr>
          <w:rFonts w:ascii="Arial" w:hAnsi="Arial" w:cs="Arial"/>
          <w:color w:val="0E101A"/>
        </w:rPr>
        <w:t>Tregidga</w:t>
      </w:r>
      <w:proofErr w:type="spellEnd"/>
      <w:r w:rsidRPr="004D63E3">
        <w:rPr>
          <w:rFonts w:ascii="Arial" w:hAnsi="Arial" w:cs="Arial"/>
          <w:color w:val="0E101A"/>
        </w:rPr>
        <w:t>, Kearins and Collins, 2019). Moreover, Marriott could expand its community engagement initiatives and invest further in renewable energy sources to align with best practices observed in companies like Hilton and Hyatt. By learning from the successes of these leading competitors, Marriott can strengthen its sustainability efforts and position itself as a leader in environmentally responsible tourism.</w:t>
      </w:r>
    </w:p>
    <w:p w14:paraId="623A3D0D" w14:textId="77777777" w:rsidR="006D2C4E" w:rsidRPr="004D63E3" w:rsidRDefault="006D2C4E" w:rsidP="004D63E3">
      <w:pPr>
        <w:pStyle w:val="NormalWeb"/>
        <w:spacing w:before="0" w:beforeAutospacing="0" w:after="0" w:afterAutospacing="0" w:line="360" w:lineRule="auto"/>
        <w:contextualSpacing/>
        <w:jc w:val="center"/>
        <w:rPr>
          <w:rFonts w:ascii="Arial" w:hAnsi="Arial" w:cs="Arial"/>
          <w:color w:val="0E101A"/>
        </w:rPr>
      </w:pPr>
      <w:r w:rsidRPr="004D63E3">
        <w:rPr>
          <w:rFonts w:ascii="Arial" w:hAnsi="Arial" w:cs="Arial"/>
          <w:color w:val="0E101A"/>
        </w:rPr>
        <w:t>Conclusion</w:t>
      </w:r>
    </w:p>
    <w:p w14:paraId="6F44F6AF" w14:textId="77777777" w:rsidR="006D2C4E" w:rsidRPr="004D63E3" w:rsidRDefault="006D2C4E" w:rsidP="004D63E3">
      <w:pPr>
        <w:pStyle w:val="NormalWeb"/>
        <w:spacing w:before="0" w:beforeAutospacing="0" w:after="0" w:afterAutospacing="0" w:line="360" w:lineRule="auto"/>
        <w:ind w:firstLine="720"/>
        <w:contextualSpacing/>
        <w:jc w:val="both"/>
        <w:rPr>
          <w:rFonts w:ascii="Arial" w:hAnsi="Arial" w:cs="Arial"/>
          <w:color w:val="0E101A"/>
        </w:rPr>
      </w:pPr>
      <w:r w:rsidRPr="004D63E3">
        <w:rPr>
          <w:rFonts w:ascii="Arial" w:hAnsi="Arial" w:cs="Arial"/>
          <w:color w:val="0E101A"/>
        </w:rPr>
        <w:t xml:space="preserve">In conclusion, the analysis of Marriott Hotel reveals commendable sustainability efforts and areas where improvement is needed. While Marriott has implemented various green initiatives, concerns regarding potential greenwashing exist, particularly in the transparency of reporting and validation of sustainability claims. To address these challenges, Marriott should </w:t>
      </w:r>
      <w:proofErr w:type="spellStart"/>
      <w:r w:rsidRPr="004D63E3">
        <w:rPr>
          <w:rFonts w:ascii="Arial" w:hAnsi="Arial" w:cs="Arial"/>
          <w:color w:val="0E101A"/>
        </w:rPr>
        <w:t>prioritise</w:t>
      </w:r>
      <w:proofErr w:type="spellEnd"/>
      <w:r w:rsidRPr="004D63E3">
        <w:rPr>
          <w:rFonts w:ascii="Arial" w:hAnsi="Arial" w:cs="Arial"/>
          <w:color w:val="0E101A"/>
        </w:rPr>
        <w:t xml:space="preserve"> genuine and transparent sustainability practices, including seeking independent certifications to verify its environmental credentials and enhancing communication with stakeholders regarding its sustainability initiatives. This implies that hospitality and tourism companies must </w:t>
      </w:r>
      <w:proofErr w:type="spellStart"/>
      <w:r w:rsidRPr="004D63E3">
        <w:rPr>
          <w:rFonts w:ascii="Arial" w:hAnsi="Arial" w:cs="Arial"/>
          <w:color w:val="0E101A"/>
        </w:rPr>
        <w:t>prioritise</w:t>
      </w:r>
      <w:proofErr w:type="spellEnd"/>
      <w:r w:rsidRPr="004D63E3">
        <w:rPr>
          <w:rFonts w:ascii="Arial" w:hAnsi="Arial" w:cs="Arial"/>
          <w:color w:val="0E101A"/>
        </w:rPr>
        <w:t xml:space="preserve"> genuine sustainability practices over greenwashing tactics. Companies should commit to transparent reporting, engage in rigorous third-party assessments, and actively involve stakeholders in sustainability efforts to drive meaningful progress toward sustainability goals. </w:t>
      </w:r>
    </w:p>
    <w:p w14:paraId="43B8850B"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18D4DF60"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398A1A53"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0220C1B1"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3DB3471E"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21BC1D00"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48B13DF9"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52A36368"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61296079"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0B66FE0B"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092C97AF"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0EC3C415"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07461341"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265D4BE1"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6434B11B"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547B45C1"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182FDB00"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7EF15953"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0BFCCC8D"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7C3FF963"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3D4F45B3"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2531ABE3"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7D9BDE5B"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5FAE406B"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3AEA3059"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454D9A40"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4D2373DF"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64211E0E"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658AFC70" w14:textId="77777777" w:rsidR="004D63E3" w:rsidRPr="004D63E3" w:rsidRDefault="004D63E3" w:rsidP="004D63E3">
      <w:pPr>
        <w:pStyle w:val="NormalWeb"/>
        <w:spacing w:before="0" w:beforeAutospacing="0" w:after="0" w:afterAutospacing="0" w:line="360" w:lineRule="auto"/>
        <w:contextualSpacing/>
        <w:jc w:val="both"/>
        <w:rPr>
          <w:rFonts w:ascii="Arial" w:hAnsi="Arial" w:cs="Arial"/>
          <w:color w:val="0E101A"/>
        </w:rPr>
      </w:pPr>
    </w:p>
    <w:p w14:paraId="20035079" w14:textId="77777777" w:rsidR="004D63E3" w:rsidRPr="004D63E3" w:rsidRDefault="004D63E3" w:rsidP="004D63E3">
      <w:pPr>
        <w:pStyle w:val="NormalWeb"/>
        <w:spacing w:before="0" w:beforeAutospacing="0" w:after="0" w:afterAutospacing="0" w:line="360" w:lineRule="auto"/>
        <w:contextualSpacing/>
        <w:jc w:val="center"/>
        <w:rPr>
          <w:rFonts w:ascii="Arial" w:hAnsi="Arial" w:cs="Arial"/>
          <w:color w:val="0E101A"/>
        </w:rPr>
      </w:pPr>
      <w:r w:rsidRPr="004D63E3">
        <w:rPr>
          <w:rFonts w:ascii="Arial" w:hAnsi="Arial" w:cs="Arial"/>
          <w:color w:val="0E101A"/>
        </w:rPr>
        <w:t>References</w:t>
      </w:r>
    </w:p>
    <w:p w14:paraId="3A32E822"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Abdou, A.H., Hassan, T.H. and Dief, M.M.E. (2020) 'A description of green hotel practices and their role in achieving sustainable development,' </w:t>
      </w:r>
      <w:r w:rsidRPr="004D63E3">
        <w:rPr>
          <w:rFonts w:ascii="Arial" w:hAnsi="Arial" w:cs="Arial"/>
          <w:i/>
          <w:iCs/>
        </w:rPr>
        <w:t>Sustainability</w:t>
      </w:r>
      <w:r w:rsidRPr="004D63E3">
        <w:rPr>
          <w:rFonts w:ascii="Arial" w:hAnsi="Arial" w:cs="Arial"/>
        </w:rPr>
        <w:t xml:space="preserve">, 12(22), p. 9624. </w:t>
      </w:r>
      <w:r w:rsidRPr="004D63E3">
        <w:rPr>
          <w:rStyle w:val="url"/>
          <w:rFonts w:ascii="Arial" w:hAnsi="Arial" w:cs="Arial"/>
        </w:rPr>
        <w:t>https://doi.org/10.3390/su12229624</w:t>
      </w:r>
      <w:r w:rsidRPr="004D63E3">
        <w:rPr>
          <w:rFonts w:ascii="Arial" w:hAnsi="Arial" w:cs="Arial"/>
        </w:rPr>
        <w:t>.</w:t>
      </w:r>
    </w:p>
    <w:p w14:paraId="4E002057"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Bitter, K. (2019) </w:t>
      </w:r>
      <w:r w:rsidRPr="004D63E3">
        <w:rPr>
          <w:rFonts w:ascii="Arial" w:hAnsi="Arial" w:cs="Arial"/>
          <w:i/>
          <w:iCs/>
        </w:rPr>
        <w:t>Guest engagement in the environmental management of private hotels in Germany</w:t>
      </w:r>
      <w:r w:rsidRPr="004D63E3">
        <w:rPr>
          <w:rFonts w:ascii="Arial" w:hAnsi="Arial" w:cs="Arial"/>
        </w:rPr>
        <w:t xml:space="preserve">. </w:t>
      </w:r>
      <w:r w:rsidRPr="004D63E3">
        <w:rPr>
          <w:rStyle w:val="url"/>
          <w:rFonts w:ascii="Arial" w:hAnsi="Arial" w:cs="Arial"/>
        </w:rPr>
        <w:t>https://urn.fi/URN:NBN:fi:amk-2019052913324</w:t>
      </w:r>
      <w:r w:rsidRPr="004D63E3">
        <w:rPr>
          <w:rFonts w:ascii="Arial" w:hAnsi="Arial" w:cs="Arial"/>
        </w:rPr>
        <w:t>.</w:t>
      </w:r>
    </w:p>
    <w:p w14:paraId="75E58816"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Carlsen, L. and Brüggemann, R. (2021) 'The 17 United Nations’ sustainable development goals: a status by 2020,' </w:t>
      </w:r>
      <w:r w:rsidRPr="004D63E3">
        <w:rPr>
          <w:rFonts w:ascii="Arial" w:hAnsi="Arial" w:cs="Arial"/>
          <w:i/>
          <w:iCs/>
        </w:rPr>
        <w:t>International Journal of Su</w:t>
      </w:r>
      <w:r w:rsidR="00F6107E">
        <w:rPr>
          <w:rFonts w:ascii="Arial" w:hAnsi="Arial" w:cs="Arial"/>
          <w:i/>
          <w:iCs/>
        </w:rPr>
        <w:t xml:space="preserve">stainable Development and World </w:t>
      </w:r>
      <w:r w:rsidRPr="004D63E3">
        <w:rPr>
          <w:rFonts w:ascii="Arial" w:hAnsi="Arial" w:cs="Arial"/>
          <w:i/>
          <w:iCs/>
        </w:rPr>
        <w:t>Ecology</w:t>
      </w:r>
      <w:r w:rsidRPr="004D63E3">
        <w:rPr>
          <w:rFonts w:ascii="Arial" w:hAnsi="Arial" w:cs="Arial"/>
        </w:rPr>
        <w:t xml:space="preserve">, 29(3), pp. 219–229. </w:t>
      </w:r>
      <w:r w:rsidRPr="004D63E3">
        <w:rPr>
          <w:rStyle w:val="url"/>
          <w:rFonts w:ascii="Arial" w:hAnsi="Arial" w:cs="Arial"/>
        </w:rPr>
        <w:t>https://doi.org/10.1080/13504509.2021.1948456</w:t>
      </w:r>
      <w:r w:rsidRPr="004D63E3">
        <w:rPr>
          <w:rFonts w:ascii="Arial" w:hAnsi="Arial" w:cs="Arial"/>
        </w:rPr>
        <w:t>.</w:t>
      </w:r>
    </w:p>
    <w:p w14:paraId="01A2B612"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Chen, Y. </w:t>
      </w:r>
      <w:r w:rsidRPr="004D63E3">
        <w:rPr>
          <w:rFonts w:ascii="Arial" w:hAnsi="Arial" w:cs="Arial"/>
          <w:i/>
          <w:iCs/>
        </w:rPr>
        <w:t>et al.</w:t>
      </w:r>
      <w:r w:rsidRPr="004D63E3">
        <w:rPr>
          <w:rFonts w:ascii="Arial" w:hAnsi="Arial" w:cs="Arial"/>
        </w:rPr>
        <w:t xml:space="preserve"> (2022) 'Greenwashing behaviors in construction projects: there is an elephant in the </w:t>
      </w:r>
      <w:proofErr w:type="gramStart"/>
      <w:r w:rsidRPr="004D63E3">
        <w:rPr>
          <w:rFonts w:ascii="Arial" w:hAnsi="Arial" w:cs="Arial"/>
        </w:rPr>
        <w:t>room!,</w:t>
      </w:r>
      <w:proofErr w:type="gramEnd"/>
      <w:r w:rsidRPr="004D63E3">
        <w:rPr>
          <w:rFonts w:ascii="Arial" w:hAnsi="Arial" w:cs="Arial"/>
        </w:rPr>
        <w:t xml:space="preserve">' </w:t>
      </w:r>
      <w:r w:rsidRPr="004D63E3">
        <w:rPr>
          <w:rFonts w:ascii="Arial" w:hAnsi="Arial" w:cs="Arial"/>
          <w:i/>
          <w:iCs/>
        </w:rPr>
        <w:t>Environmental Science and Pollution Research</w:t>
      </w:r>
      <w:r w:rsidRPr="004D63E3">
        <w:rPr>
          <w:rFonts w:ascii="Arial" w:hAnsi="Arial" w:cs="Arial"/>
        </w:rPr>
        <w:t xml:space="preserve">, 29(43), pp. 64597–64621. </w:t>
      </w:r>
      <w:r w:rsidRPr="004D63E3">
        <w:rPr>
          <w:rStyle w:val="url"/>
          <w:rFonts w:ascii="Arial" w:hAnsi="Arial" w:cs="Arial"/>
        </w:rPr>
        <w:t>https://doi.org/10.1007/s11356-022-20119-y</w:t>
      </w:r>
      <w:r w:rsidRPr="004D63E3">
        <w:rPr>
          <w:rFonts w:ascii="Arial" w:hAnsi="Arial" w:cs="Arial"/>
        </w:rPr>
        <w:t>.</w:t>
      </w:r>
    </w:p>
    <w:p w14:paraId="5A2F909A"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De Jong, M.D.T., </w:t>
      </w:r>
      <w:proofErr w:type="spellStart"/>
      <w:r w:rsidRPr="004D63E3">
        <w:rPr>
          <w:rFonts w:ascii="Arial" w:hAnsi="Arial" w:cs="Arial"/>
        </w:rPr>
        <w:t>Huluba</w:t>
      </w:r>
      <w:proofErr w:type="spellEnd"/>
      <w:r w:rsidRPr="004D63E3">
        <w:rPr>
          <w:rFonts w:ascii="Arial" w:hAnsi="Arial" w:cs="Arial"/>
        </w:rPr>
        <w:t xml:space="preserve">, G. and </w:t>
      </w:r>
      <w:proofErr w:type="spellStart"/>
      <w:r w:rsidRPr="004D63E3">
        <w:rPr>
          <w:rFonts w:ascii="Arial" w:hAnsi="Arial" w:cs="Arial"/>
        </w:rPr>
        <w:t>Beldad</w:t>
      </w:r>
      <w:proofErr w:type="spellEnd"/>
      <w:r w:rsidRPr="004D63E3">
        <w:rPr>
          <w:rFonts w:ascii="Arial" w:hAnsi="Arial" w:cs="Arial"/>
        </w:rPr>
        <w:t xml:space="preserve">, A. (2019) 'Different shades of greenwashing: consumers’ reactions to environmental lies, Half-Lies, and organizations taking credit for following legal obligations,' </w:t>
      </w:r>
      <w:r w:rsidRPr="004D63E3">
        <w:rPr>
          <w:rFonts w:ascii="Arial" w:hAnsi="Arial" w:cs="Arial"/>
          <w:i/>
          <w:iCs/>
        </w:rPr>
        <w:t>Journal of Business and Technical Communication</w:t>
      </w:r>
      <w:r w:rsidRPr="004D63E3">
        <w:rPr>
          <w:rFonts w:ascii="Arial" w:hAnsi="Arial" w:cs="Arial"/>
        </w:rPr>
        <w:t xml:space="preserve">, 34(1), pp. 38–76. </w:t>
      </w:r>
      <w:r w:rsidRPr="004D63E3">
        <w:rPr>
          <w:rStyle w:val="url"/>
          <w:rFonts w:ascii="Arial" w:hAnsi="Arial" w:cs="Arial"/>
        </w:rPr>
        <w:t>https://doi.org/10.1177/1050651919874105</w:t>
      </w:r>
      <w:r w:rsidRPr="004D63E3">
        <w:rPr>
          <w:rFonts w:ascii="Arial" w:hAnsi="Arial" w:cs="Arial"/>
        </w:rPr>
        <w:t>.</w:t>
      </w:r>
    </w:p>
    <w:p w14:paraId="6DCB4966"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Font, X., </w:t>
      </w:r>
      <w:proofErr w:type="spellStart"/>
      <w:r w:rsidRPr="004D63E3">
        <w:rPr>
          <w:rFonts w:ascii="Arial" w:hAnsi="Arial" w:cs="Arial"/>
        </w:rPr>
        <w:t>Elgammal</w:t>
      </w:r>
      <w:proofErr w:type="spellEnd"/>
      <w:r w:rsidRPr="004D63E3">
        <w:rPr>
          <w:rFonts w:ascii="Arial" w:hAnsi="Arial" w:cs="Arial"/>
        </w:rPr>
        <w:t xml:space="preserve">, I. and Lamond, I.R. (2019) 'Greenhushing: the deliberate under communicating of sustainability practices by tourism businesses,' in </w:t>
      </w:r>
      <w:r w:rsidRPr="004D63E3">
        <w:rPr>
          <w:rFonts w:ascii="Arial" w:hAnsi="Arial" w:cs="Arial"/>
          <w:i/>
          <w:iCs/>
        </w:rPr>
        <w:t>Routledge eBooks</w:t>
      </w:r>
      <w:r w:rsidRPr="004D63E3">
        <w:rPr>
          <w:rFonts w:ascii="Arial" w:hAnsi="Arial" w:cs="Arial"/>
        </w:rPr>
        <w:t xml:space="preserve">, pp. 139–155. </w:t>
      </w:r>
      <w:r w:rsidRPr="004D63E3">
        <w:rPr>
          <w:rStyle w:val="url"/>
          <w:rFonts w:ascii="Arial" w:hAnsi="Arial" w:cs="Arial"/>
        </w:rPr>
        <w:t>https://doi.org/10.4324/9780203711668-9</w:t>
      </w:r>
      <w:r w:rsidRPr="004D63E3">
        <w:rPr>
          <w:rFonts w:ascii="Arial" w:hAnsi="Arial" w:cs="Arial"/>
        </w:rPr>
        <w:t>.</w:t>
      </w:r>
    </w:p>
    <w:p w14:paraId="2ACBB11D"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Guo, R. </w:t>
      </w:r>
      <w:r w:rsidRPr="004D63E3">
        <w:rPr>
          <w:rFonts w:ascii="Arial" w:hAnsi="Arial" w:cs="Arial"/>
          <w:i/>
          <w:iCs/>
        </w:rPr>
        <w:t>et al.</w:t>
      </w:r>
      <w:r w:rsidRPr="004D63E3">
        <w:rPr>
          <w:rFonts w:ascii="Arial" w:hAnsi="Arial" w:cs="Arial"/>
        </w:rPr>
        <w:t xml:space="preserve"> (2020) 'Classifying green technologies for sustainable innovation and investment,' </w:t>
      </w:r>
      <w:r w:rsidRPr="004D63E3">
        <w:rPr>
          <w:rFonts w:ascii="Arial" w:hAnsi="Arial" w:cs="Arial"/>
          <w:i/>
          <w:iCs/>
        </w:rPr>
        <w:t>Resources, Conservation and Recycling</w:t>
      </w:r>
      <w:r w:rsidRPr="004D63E3">
        <w:rPr>
          <w:rFonts w:ascii="Arial" w:hAnsi="Arial" w:cs="Arial"/>
        </w:rPr>
        <w:t xml:space="preserve">, 153, p. 104580. </w:t>
      </w:r>
      <w:r w:rsidRPr="004D63E3">
        <w:rPr>
          <w:rStyle w:val="url"/>
          <w:rFonts w:ascii="Arial" w:hAnsi="Arial" w:cs="Arial"/>
        </w:rPr>
        <w:t>https://doi.org/10.1016/j.resconrec.2019.104580</w:t>
      </w:r>
      <w:r w:rsidRPr="004D63E3">
        <w:rPr>
          <w:rFonts w:ascii="Arial" w:hAnsi="Arial" w:cs="Arial"/>
        </w:rPr>
        <w:t>.</w:t>
      </w:r>
    </w:p>
    <w:p w14:paraId="63565E1B"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Hilton Hotel (2023) </w:t>
      </w:r>
      <w:r w:rsidRPr="004D63E3">
        <w:rPr>
          <w:rFonts w:ascii="Arial" w:hAnsi="Arial" w:cs="Arial"/>
          <w:i/>
          <w:iCs/>
        </w:rPr>
        <w:t>Hilton Corporate Responsibility</w:t>
      </w:r>
      <w:r w:rsidRPr="004D63E3">
        <w:rPr>
          <w:rFonts w:ascii="Arial" w:hAnsi="Arial" w:cs="Arial"/>
        </w:rPr>
        <w:t xml:space="preserve">. </w:t>
      </w:r>
      <w:r w:rsidRPr="004D63E3">
        <w:rPr>
          <w:rStyle w:val="url"/>
          <w:rFonts w:ascii="Arial" w:hAnsi="Arial" w:cs="Arial"/>
        </w:rPr>
        <w:t>https://cr.hilton.com/wp-content/uploads/2019/03/Hilton-Corporate-Responsibility-2018-2.pdf</w:t>
      </w:r>
      <w:r w:rsidRPr="004D63E3">
        <w:rPr>
          <w:rFonts w:ascii="Arial" w:hAnsi="Arial" w:cs="Arial"/>
        </w:rPr>
        <w:t>.</w:t>
      </w:r>
    </w:p>
    <w:p w14:paraId="036510F9"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Ikram, M. </w:t>
      </w:r>
      <w:r w:rsidRPr="004D63E3">
        <w:rPr>
          <w:rFonts w:ascii="Arial" w:hAnsi="Arial" w:cs="Arial"/>
          <w:i/>
          <w:iCs/>
        </w:rPr>
        <w:t>et al.</w:t>
      </w:r>
      <w:r w:rsidRPr="004D63E3">
        <w:rPr>
          <w:rFonts w:ascii="Arial" w:hAnsi="Arial" w:cs="Arial"/>
        </w:rPr>
        <w:t xml:space="preserve"> (2021) 'Assessing green technology indicators for cleaner production and sustainable investments in a developing country context,' </w:t>
      </w:r>
      <w:r w:rsidRPr="004D63E3">
        <w:rPr>
          <w:rFonts w:ascii="Arial" w:hAnsi="Arial" w:cs="Arial"/>
          <w:i/>
          <w:iCs/>
        </w:rPr>
        <w:t>Journal of Cleaner Production</w:t>
      </w:r>
      <w:r w:rsidRPr="004D63E3">
        <w:rPr>
          <w:rFonts w:ascii="Arial" w:hAnsi="Arial" w:cs="Arial"/>
        </w:rPr>
        <w:t xml:space="preserve">, 322, p. 129090. </w:t>
      </w:r>
      <w:r w:rsidRPr="004D63E3">
        <w:rPr>
          <w:rStyle w:val="url"/>
          <w:rFonts w:ascii="Arial" w:hAnsi="Arial" w:cs="Arial"/>
        </w:rPr>
        <w:t>https://doi.org/10.1016/j.jclepro.2021.129090</w:t>
      </w:r>
      <w:r w:rsidRPr="004D63E3">
        <w:rPr>
          <w:rFonts w:ascii="Arial" w:hAnsi="Arial" w:cs="Arial"/>
        </w:rPr>
        <w:t>.</w:t>
      </w:r>
    </w:p>
    <w:p w14:paraId="5748C7CB"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Jiménez, E., De La Cuesta González, M. and Boronat-Navarro, M. (2021) 'How Small and Medium-Sized Enterprises Can Uptake the Sustainable Development Goals through a Cluster Management Organization: A Case Study,' </w:t>
      </w:r>
      <w:r w:rsidRPr="004D63E3">
        <w:rPr>
          <w:rFonts w:ascii="Arial" w:hAnsi="Arial" w:cs="Arial"/>
          <w:i/>
          <w:iCs/>
        </w:rPr>
        <w:t>Sustainability</w:t>
      </w:r>
      <w:r w:rsidRPr="004D63E3">
        <w:rPr>
          <w:rFonts w:ascii="Arial" w:hAnsi="Arial" w:cs="Arial"/>
        </w:rPr>
        <w:t xml:space="preserve">, 13(11), p. 5939. </w:t>
      </w:r>
      <w:r w:rsidRPr="004D63E3">
        <w:rPr>
          <w:rStyle w:val="url"/>
          <w:rFonts w:ascii="Arial" w:hAnsi="Arial" w:cs="Arial"/>
        </w:rPr>
        <w:t>https://doi.org/10.3390/su13115939</w:t>
      </w:r>
      <w:r w:rsidRPr="004D63E3">
        <w:rPr>
          <w:rFonts w:ascii="Arial" w:hAnsi="Arial" w:cs="Arial"/>
        </w:rPr>
        <w:t>.</w:t>
      </w:r>
    </w:p>
    <w:p w14:paraId="1E259E73"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proofErr w:type="spellStart"/>
      <w:r w:rsidRPr="004D63E3">
        <w:rPr>
          <w:rFonts w:ascii="Arial" w:hAnsi="Arial" w:cs="Arial"/>
        </w:rPr>
        <w:t>Lähdeaho</w:t>
      </w:r>
      <w:proofErr w:type="spellEnd"/>
      <w:r w:rsidRPr="004D63E3">
        <w:rPr>
          <w:rFonts w:ascii="Arial" w:hAnsi="Arial" w:cs="Arial"/>
        </w:rPr>
        <w:t xml:space="preserve">, O. and Vilko, J. (2022) 'Is Ignorance a Bliss in Sustainability? Evaluating the Perceptions of Logistics Companies’ Self-Assessment in Environmental Performance,' </w:t>
      </w:r>
      <w:r w:rsidRPr="004D63E3">
        <w:rPr>
          <w:rFonts w:ascii="Arial" w:hAnsi="Arial" w:cs="Arial"/>
          <w:i/>
          <w:iCs/>
        </w:rPr>
        <w:t xml:space="preserve">Journal of Environmental Sustainability and Performance </w:t>
      </w:r>
      <w:proofErr w:type="spellStart"/>
      <w:r w:rsidRPr="004D63E3">
        <w:rPr>
          <w:rFonts w:ascii="Arial" w:hAnsi="Arial" w:cs="Arial"/>
          <w:i/>
          <w:iCs/>
        </w:rPr>
        <w:t>Measuremen</w:t>
      </w:r>
      <w:proofErr w:type="spellEnd"/>
      <w:r w:rsidRPr="004D63E3">
        <w:rPr>
          <w:rFonts w:ascii="Arial" w:hAnsi="Arial" w:cs="Arial"/>
        </w:rPr>
        <w:t xml:space="preserve"> [Preprint]. </w:t>
      </w:r>
      <w:r w:rsidRPr="004D63E3">
        <w:rPr>
          <w:rStyle w:val="url"/>
          <w:rFonts w:ascii="Arial" w:hAnsi="Arial" w:cs="Arial"/>
        </w:rPr>
        <w:t>https://doi.org/10.5220/0010907200003117</w:t>
      </w:r>
      <w:r w:rsidRPr="004D63E3">
        <w:rPr>
          <w:rFonts w:ascii="Arial" w:hAnsi="Arial" w:cs="Arial"/>
        </w:rPr>
        <w:t>.</w:t>
      </w:r>
    </w:p>
    <w:p w14:paraId="243C643E"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Mahjoub, L. (2023) 'Examination of Greenwashing Practices and its Link to Corporate Social Responsibility,' </w:t>
      </w:r>
      <w:r w:rsidRPr="004D63E3">
        <w:rPr>
          <w:rFonts w:ascii="Arial" w:hAnsi="Arial" w:cs="Arial"/>
          <w:i/>
          <w:iCs/>
        </w:rPr>
        <w:t>International Journal of Multidisciplinary Research and Publications</w:t>
      </w:r>
      <w:r w:rsidRPr="004D63E3">
        <w:rPr>
          <w:rFonts w:ascii="Arial" w:hAnsi="Arial" w:cs="Arial"/>
        </w:rPr>
        <w:t xml:space="preserve">, 6(3), pp. 192–196. </w:t>
      </w:r>
      <w:r w:rsidRPr="004D63E3">
        <w:rPr>
          <w:rStyle w:val="url"/>
          <w:rFonts w:ascii="Arial" w:hAnsi="Arial" w:cs="Arial"/>
        </w:rPr>
        <w:t>http://ijmrap.com/wp-content/uploads/2023/09/IJMRAP-V6N3P135Y23.pdf</w:t>
      </w:r>
      <w:r w:rsidRPr="004D63E3">
        <w:rPr>
          <w:rFonts w:ascii="Arial" w:hAnsi="Arial" w:cs="Arial"/>
        </w:rPr>
        <w:t>.</w:t>
      </w:r>
    </w:p>
    <w:p w14:paraId="3BDE566C"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Marriot International (2023) </w:t>
      </w:r>
      <w:r w:rsidRPr="004D63E3">
        <w:rPr>
          <w:rFonts w:ascii="Arial" w:hAnsi="Arial" w:cs="Arial"/>
          <w:i/>
          <w:iCs/>
        </w:rPr>
        <w:t>Sustainability and Social Impact</w:t>
      </w:r>
      <w:r w:rsidRPr="004D63E3">
        <w:rPr>
          <w:rFonts w:ascii="Arial" w:hAnsi="Arial" w:cs="Arial"/>
        </w:rPr>
        <w:t xml:space="preserve">. </w:t>
      </w:r>
      <w:r w:rsidRPr="004D63E3">
        <w:rPr>
          <w:rStyle w:val="url"/>
          <w:rFonts w:ascii="Arial" w:hAnsi="Arial" w:cs="Arial"/>
        </w:rPr>
        <w:t>https://serve360.marriott.com/</w:t>
      </w:r>
      <w:r w:rsidRPr="004D63E3">
        <w:rPr>
          <w:rFonts w:ascii="Arial" w:hAnsi="Arial" w:cs="Arial"/>
        </w:rPr>
        <w:t>.</w:t>
      </w:r>
    </w:p>
    <w:p w14:paraId="5BA6340A"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Palmieri, E. and </w:t>
      </w:r>
      <w:proofErr w:type="spellStart"/>
      <w:r w:rsidRPr="004D63E3">
        <w:rPr>
          <w:rFonts w:ascii="Arial" w:hAnsi="Arial" w:cs="Arial"/>
        </w:rPr>
        <w:t>Geretto</w:t>
      </w:r>
      <w:proofErr w:type="spellEnd"/>
      <w:r w:rsidRPr="004D63E3">
        <w:rPr>
          <w:rFonts w:ascii="Arial" w:hAnsi="Arial" w:cs="Arial"/>
        </w:rPr>
        <w:t xml:space="preserve">, E. (2023) 'From Theory to Practice: Discussion and managerial implications,' in </w:t>
      </w:r>
      <w:r w:rsidRPr="004D63E3">
        <w:rPr>
          <w:rFonts w:ascii="Arial" w:hAnsi="Arial" w:cs="Arial"/>
          <w:i/>
          <w:iCs/>
        </w:rPr>
        <w:t>Palgrave Macmillan studies in banking and financial institutions</w:t>
      </w:r>
      <w:r w:rsidRPr="004D63E3">
        <w:rPr>
          <w:rFonts w:ascii="Arial" w:hAnsi="Arial" w:cs="Arial"/>
        </w:rPr>
        <w:t xml:space="preserve">, pp. 169–186. </w:t>
      </w:r>
      <w:r w:rsidRPr="004D63E3">
        <w:rPr>
          <w:rStyle w:val="url"/>
          <w:rFonts w:ascii="Arial" w:hAnsi="Arial" w:cs="Arial"/>
        </w:rPr>
        <w:t>https://doi.org/10.1007/978-3-031-50265-1_5</w:t>
      </w:r>
      <w:r w:rsidRPr="004D63E3">
        <w:rPr>
          <w:rFonts w:ascii="Arial" w:hAnsi="Arial" w:cs="Arial"/>
        </w:rPr>
        <w:t>.</w:t>
      </w:r>
    </w:p>
    <w:p w14:paraId="1227566D"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Seele, P. and Schultz, M.D. (2022) 'From Greenwashing to </w:t>
      </w:r>
      <w:proofErr w:type="spellStart"/>
      <w:r w:rsidRPr="004D63E3">
        <w:rPr>
          <w:rFonts w:ascii="Arial" w:hAnsi="Arial" w:cs="Arial"/>
        </w:rPr>
        <w:t>Machinewashing</w:t>
      </w:r>
      <w:proofErr w:type="spellEnd"/>
      <w:r w:rsidRPr="004D63E3">
        <w:rPr>
          <w:rFonts w:ascii="Arial" w:hAnsi="Arial" w:cs="Arial"/>
        </w:rPr>
        <w:t xml:space="preserve">: A Model and Future Directions Derived from Reasoning by Analogy,' </w:t>
      </w:r>
      <w:r w:rsidRPr="004D63E3">
        <w:rPr>
          <w:rFonts w:ascii="Arial" w:hAnsi="Arial" w:cs="Arial"/>
          <w:i/>
          <w:iCs/>
        </w:rPr>
        <w:t>Journal of Business Ethics</w:t>
      </w:r>
      <w:r w:rsidRPr="004D63E3">
        <w:rPr>
          <w:rFonts w:ascii="Arial" w:hAnsi="Arial" w:cs="Arial"/>
        </w:rPr>
        <w:t xml:space="preserve">, 178(4), pp. 1063–1089. </w:t>
      </w:r>
      <w:r w:rsidRPr="004D63E3">
        <w:rPr>
          <w:rStyle w:val="url"/>
          <w:rFonts w:ascii="Arial" w:hAnsi="Arial" w:cs="Arial"/>
        </w:rPr>
        <w:t>https://doi.org/10.1007/s10551-022-05054-9</w:t>
      </w:r>
      <w:r w:rsidRPr="004D63E3">
        <w:rPr>
          <w:rFonts w:ascii="Arial" w:hAnsi="Arial" w:cs="Arial"/>
        </w:rPr>
        <w:t>.</w:t>
      </w:r>
    </w:p>
    <w:p w14:paraId="0A2B5191"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Sinha, M., </w:t>
      </w:r>
      <w:proofErr w:type="spellStart"/>
      <w:r w:rsidRPr="004D63E3">
        <w:rPr>
          <w:rFonts w:ascii="Arial" w:hAnsi="Arial" w:cs="Arial"/>
        </w:rPr>
        <w:t>Fukey</w:t>
      </w:r>
      <w:proofErr w:type="spellEnd"/>
      <w:r w:rsidRPr="004D63E3">
        <w:rPr>
          <w:rFonts w:ascii="Arial" w:hAnsi="Arial" w:cs="Arial"/>
        </w:rPr>
        <w:t xml:space="preserve">, L. and Sinha, A.K. (2021) 'Artificial Intelligence and Internet of Things readiness: inclination for hotels to support a sustainable environment,' in </w:t>
      </w:r>
      <w:r w:rsidRPr="004D63E3">
        <w:rPr>
          <w:rFonts w:ascii="Arial" w:hAnsi="Arial" w:cs="Arial"/>
          <w:i/>
          <w:iCs/>
        </w:rPr>
        <w:t>Elsevier eBooks</w:t>
      </w:r>
      <w:r w:rsidRPr="004D63E3">
        <w:rPr>
          <w:rFonts w:ascii="Arial" w:hAnsi="Arial" w:cs="Arial"/>
        </w:rPr>
        <w:t xml:space="preserve">, pp. 327–353. </w:t>
      </w:r>
      <w:r w:rsidRPr="004D63E3">
        <w:rPr>
          <w:rStyle w:val="url"/>
          <w:rFonts w:ascii="Arial" w:hAnsi="Arial" w:cs="Arial"/>
        </w:rPr>
        <w:t>https://doi.org/10.1016/b978-0-323-85769-7.00015-x</w:t>
      </w:r>
      <w:r w:rsidRPr="004D63E3">
        <w:rPr>
          <w:rFonts w:ascii="Arial" w:hAnsi="Arial" w:cs="Arial"/>
        </w:rPr>
        <w:t>.</w:t>
      </w:r>
    </w:p>
    <w:p w14:paraId="3AE4E378"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Skivington, K. </w:t>
      </w:r>
      <w:r w:rsidRPr="004D63E3">
        <w:rPr>
          <w:rFonts w:ascii="Arial" w:hAnsi="Arial" w:cs="Arial"/>
          <w:i/>
          <w:iCs/>
        </w:rPr>
        <w:t>et al.</w:t>
      </w:r>
      <w:r w:rsidRPr="004D63E3">
        <w:rPr>
          <w:rFonts w:ascii="Arial" w:hAnsi="Arial" w:cs="Arial"/>
        </w:rPr>
        <w:t xml:space="preserve"> (2021) 'Framework for the development and evaluation of complex interventions: gap analysis, workshop and consultation-informed update,' </w:t>
      </w:r>
      <w:r w:rsidRPr="004D63E3">
        <w:rPr>
          <w:rFonts w:ascii="Arial" w:hAnsi="Arial" w:cs="Arial"/>
          <w:i/>
          <w:iCs/>
        </w:rPr>
        <w:t>Health Technology Assessment</w:t>
      </w:r>
      <w:r w:rsidRPr="004D63E3">
        <w:rPr>
          <w:rFonts w:ascii="Arial" w:hAnsi="Arial" w:cs="Arial"/>
        </w:rPr>
        <w:t xml:space="preserve">, 25(57), pp. 1–132. </w:t>
      </w:r>
      <w:r w:rsidRPr="004D63E3">
        <w:rPr>
          <w:rStyle w:val="url"/>
          <w:rFonts w:ascii="Arial" w:hAnsi="Arial" w:cs="Arial"/>
        </w:rPr>
        <w:t>https://doi.org/10.3310/hta25570</w:t>
      </w:r>
      <w:r w:rsidRPr="004D63E3">
        <w:rPr>
          <w:rFonts w:ascii="Arial" w:hAnsi="Arial" w:cs="Arial"/>
        </w:rPr>
        <w:t>.</w:t>
      </w:r>
    </w:p>
    <w:p w14:paraId="79F74A7B"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proofErr w:type="spellStart"/>
      <w:r w:rsidRPr="004D63E3">
        <w:rPr>
          <w:rFonts w:ascii="Arial" w:hAnsi="Arial" w:cs="Arial"/>
        </w:rPr>
        <w:t>Tregidga</w:t>
      </w:r>
      <w:proofErr w:type="spellEnd"/>
      <w:r w:rsidRPr="004D63E3">
        <w:rPr>
          <w:rFonts w:ascii="Arial" w:hAnsi="Arial" w:cs="Arial"/>
        </w:rPr>
        <w:t xml:space="preserve">, H., Kearins, K. and Collins, E. (2019) 'Towards transparency? </w:t>
      </w:r>
      <w:proofErr w:type="spellStart"/>
      <w:r w:rsidRPr="004D63E3">
        <w:rPr>
          <w:rFonts w:ascii="Arial" w:hAnsi="Arial" w:cs="Arial"/>
        </w:rPr>
        <w:t>Analysing</w:t>
      </w:r>
      <w:proofErr w:type="spellEnd"/>
      <w:r w:rsidRPr="004D63E3">
        <w:rPr>
          <w:rFonts w:ascii="Arial" w:hAnsi="Arial" w:cs="Arial"/>
        </w:rPr>
        <w:t xml:space="preserve"> the Sustainability Governance Practices of ethical certification,' </w:t>
      </w:r>
      <w:r w:rsidRPr="004D63E3">
        <w:rPr>
          <w:rFonts w:ascii="Arial" w:hAnsi="Arial" w:cs="Arial"/>
          <w:i/>
          <w:iCs/>
        </w:rPr>
        <w:t>Social and Environmental Accountability Journal</w:t>
      </w:r>
      <w:r w:rsidRPr="004D63E3">
        <w:rPr>
          <w:rFonts w:ascii="Arial" w:hAnsi="Arial" w:cs="Arial"/>
        </w:rPr>
        <w:t xml:space="preserve">, 39(1), pp. 44–69. </w:t>
      </w:r>
      <w:r w:rsidRPr="004D63E3">
        <w:rPr>
          <w:rStyle w:val="url"/>
          <w:rFonts w:ascii="Arial" w:hAnsi="Arial" w:cs="Arial"/>
        </w:rPr>
        <w:t>https://doi.org/10.1080/0969160x.2019.1568276</w:t>
      </w:r>
      <w:r w:rsidRPr="004D63E3">
        <w:rPr>
          <w:rFonts w:ascii="Arial" w:hAnsi="Arial" w:cs="Arial"/>
        </w:rPr>
        <w:t>.</w:t>
      </w:r>
    </w:p>
    <w:p w14:paraId="1EF1535C" w14:textId="77777777" w:rsidR="004D63E3" w:rsidRPr="004D63E3" w:rsidRDefault="004D63E3" w:rsidP="004D63E3">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Wickham, M., French, L.E. and Wong, T. (2020) 'Marriott’s strategic sustainability priorities in the Chinese hotel industry,' </w:t>
      </w:r>
      <w:r w:rsidRPr="004D63E3">
        <w:rPr>
          <w:rFonts w:ascii="Arial" w:hAnsi="Arial" w:cs="Arial"/>
          <w:i/>
          <w:iCs/>
        </w:rPr>
        <w:t>International Journal of Sustainable Strategic Management</w:t>
      </w:r>
      <w:r w:rsidRPr="004D63E3">
        <w:rPr>
          <w:rFonts w:ascii="Arial" w:hAnsi="Arial" w:cs="Arial"/>
        </w:rPr>
        <w:t xml:space="preserve">, 8(1), p. 77. </w:t>
      </w:r>
      <w:r w:rsidRPr="004D63E3">
        <w:rPr>
          <w:rStyle w:val="url"/>
          <w:rFonts w:ascii="Arial" w:hAnsi="Arial" w:cs="Arial"/>
        </w:rPr>
        <w:t>https://doi.org/10.1504/ijssm.2020.105634</w:t>
      </w:r>
      <w:r w:rsidRPr="004D63E3">
        <w:rPr>
          <w:rFonts w:ascii="Arial" w:hAnsi="Arial" w:cs="Arial"/>
        </w:rPr>
        <w:t>.</w:t>
      </w:r>
    </w:p>
    <w:p w14:paraId="3FF2CA84" w14:textId="64FAED71" w:rsidR="003D2A45" w:rsidRPr="00F23068" w:rsidRDefault="004D63E3" w:rsidP="00F23068">
      <w:pPr>
        <w:pStyle w:val="NormalWeb"/>
        <w:spacing w:before="0" w:beforeAutospacing="0" w:after="0" w:afterAutospacing="0" w:line="360" w:lineRule="auto"/>
        <w:ind w:left="720" w:hanging="720"/>
        <w:jc w:val="both"/>
        <w:rPr>
          <w:rFonts w:ascii="Arial" w:hAnsi="Arial" w:cs="Arial"/>
        </w:rPr>
      </w:pPr>
      <w:r w:rsidRPr="004D63E3">
        <w:rPr>
          <w:rFonts w:ascii="Arial" w:hAnsi="Arial" w:cs="Arial"/>
        </w:rPr>
        <w:t xml:space="preserve">Yang, Z. </w:t>
      </w:r>
      <w:r w:rsidRPr="004D63E3">
        <w:rPr>
          <w:rFonts w:ascii="Arial" w:hAnsi="Arial" w:cs="Arial"/>
          <w:i/>
          <w:iCs/>
        </w:rPr>
        <w:t>et al.</w:t>
      </w:r>
      <w:r w:rsidRPr="004D63E3">
        <w:rPr>
          <w:rFonts w:ascii="Arial" w:hAnsi="Arial" w:cs="Arial"/>
        </w:rPr>
        <w:t xml:space="preserve"> (2020) 'GREENWASHING BEHAVIOURS: CAUSES, TAXONOMY AND CONSEQUENCES BASED ON a SYSTEMATIC LITERATURE REVIEW,' </w:t>
      </w:r>
      <w:r w:rsidRPr="004D63E3">
        <w:rPr>
          <w:rFonts w:ascii="Arial" w:hAnsi="Arial" w:cs="Arial"/>
          <w:i/>
          <w:iCs/>
        </w:rPr>
        <w:t>Journal of Business Economics and Management</w:t>
      </w:r>
      <w:r w:rsidRPr="004D63E3">
        <w:rPr>
          <w:rFonts w:ascii="Arial" w:hAnsi="Arial" w:cs="Arial"/>
        </w:rPr>
        <w:t xml:space="preserve">, 21(5), pp. 1486–1507. </w:t>
      </w:r>
      <w:r w:rsidRPr="004D63E3">
        <w:rPr>
          <w:rStyle w:val="url"/>
          <w:rFonts w:ascii="Arial" w:hAnsi="Arial" w:cs="Arial"/>
        </w:rPr>
        <w:t>https://doi.org/10.3846/jbem.2020.13225</w:t>
      </w:r>
      <w:r w:rsidRPr="004D63E3">
        <w:rPr>
          <w:rFonts w:ascii="Arial" w:hAnsi="Arial" w:cs="Arial"/>
        </w:rPr>
        <w:t>.</w:t>
      </w:r>
    </w:p>
    <w:sectPr w:rsidR="003D2A45" w:rsidRPr="00F23068">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60226" w14:textId="77777777" w:rsidR="0068018A" w:rsidRDefault="0068018A" w:rsidP="00AF5058">
      <w:pPr>
        <w:spacing w:after="0" w:line="240" w:lineRule="auto"/>
      </w:pPr>
      <w:r>
        <w:separator/>
      </w:r>
    </w:p>
  </w:endnote>
  <w:endnote w:type="continuationSeparator" w:id="0">
    <w:p w14:paraId="020530CB" w14:textId="77777777" w:rsidR="0068018A" w:rsidRDefault="0068018A" w:rsidP="00AF5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3BD11" w14:textId="77777777" w:rsidR="0068018A" w:rsidRDefault="0068018A" w:rsidP="00AF5058">
      <w:pPr>
        <w:spacing w:after="0" w:line="240" w:lineRule="auto"/>
      </w:pPr>
      <w:r>
        <w:separator/>
      </w:r>
    </w:p>
  </w:footnote>
  <w:footnote w:type="continuationSeparator" w:id="0">
    <w:p w14:paraId="219F7155" w14:textId="77777777" w:rsidR="0068018A" w:rsidRDefault="0068018A" w:rsidP="00AF50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EB322" w14:textId="77777777" w:rsidR="00EF4686" w:rsidRPr="00AF5058" w:rsidRDefault="00EF4686">
    <w:pPr>
      <w:pStyle w:val="Header"/>
      <w:jc w:val="right"/>
      <w:rPr>
        <w:rFonts w:ascii="Arial" w:hAnsi="Arial" w:cs="Arial"/>
        <w:sz w:val="24"/>
        <w:szCs w:val="24"/>
      </w:rPr>
    </w:pPr>
    <w:r w:rsidRPr="00AF5058">
      <w:rPr>
        <w:rFonts w:ascii="Arial" w:hAnsi="Arial" w:cs="Arial"/>
        <w:sz w:val="24"/>
        <w:szCs w:val="24"/>
      </w:rPr>
      <w:t xml:space="preserve">Surname </w:t>
    </w:r>
    <w:sdt>
      <w:sdtPr>
        <w:rPr>
          <w:rFonts w:ascii="Arial" w:hAnsi="Arial" w:cs="Arial"/>
          <w:sz w:val="24"/>
          <w:szCs w:val="24"/>
        </w:rPr>
        <w:id w:val="-1631772970"/>
        <w:docPartObj>
          <w:docPartGallery w:val="Page Numbers (Top of Page)"/>
          <w:docPartUnique/>
        </w:docPartObj>
      </w:sdtPr>
      <w:sdtEndPr>
        <w:rPr>
          <w:noProof/>
        </w:rPr>
      </w:sdtEndPr>
      <w:sdtContent>
        <w:r w:rsidRPr="00AF5058">
          <w:rPr>
            <w:rFonts w:ascii="Arial" w:hAnsi="Arial" w:cs="Arial"/>
            <w:sz w:val="24"/>
            <w:szCs w:val="24"/>
          </w:rPr>
          <w:fldChar w:fldCharType="begin"/>
        </w:r>
        <w:r w:rsidRPr="00AF5058">
          <w:rPr>
            <w:rFonts w:ascii="Arial" w:hAnsi="Arial" w:cs="Arial"/>
            <w:sz w:val="24"/>
            <w:szCs w:val="24"/>
          </w:rPr>
          <w:instrText xml:space="preserve"> PAGE   \* MERGEFORMAT </w:instrText>
        </w:r>
        <w:r w:rsidRPr="00AF5058">
          <w:rPr>
            <w:rFonts w:ascii="Arial" w:hAnsi="Arial" w:cs="Arial"/>
            <w:sz w:val="24"/>
            <w:szCs w:val="24"/>
          </w:rPr>
          <w:fldChar w:fldCharType="separate"/>
        </w:r>
        <w:r w:rsidR="00F6107E">
          <w:rPr>
            <w:rFonts w:ascii="Arial" w:hAnsi="Arial" w:cs="Arial"/>
            <w:noProof/>
            <w:sz w:val="24"/>
            <w:szCs w:val="24"/>
          </w:rPr>
          <w:t>11</w:t>
        </w:r>
        <w:r w:rsidRPr="00AF5058">
          <w:rPr>
            <w:rFonts w:ascii="Arial" w:hAnsi="Arial" w:cs="Arial"/>
            <w:noProof/>
            <w:sz w:val="24"/>
            <w:szCs w:val="24"/>
          </w:rPr>
          <w:fldChar w:fldCharType="end"/>
        </w:r>
      </w:sdtContent>
    </w:sdt>
  </w:p>
  <w:p w14:paraId="21EAE70F" w14:textId="77777777" w:rsidR="00EF4686" w:rsidRDefault="00EF46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058"/>
    <w:rsid w:val="00046E6D"/>
    <w:rsid w:val="002454A9"/>
    <w:rsid w:val="00252045"/>
    <w:rsid w:val="0026368F"/>
    <w:rsid w:val="0027710C"/>
    <w:rsid w:val="002F7039"/>
    <w:rsid w:val="00306DAB"/>
    <w:rsid w:val="00314D20"/>
    <w:rsid w:val="0033066A"/>
    <w:rsid w:val="003D2A45"/>
    <w:rsid w:val="003D7620"/>
    <w:rsid w:val="003E13CF"/>
    <w:rsid w:val="003E332D"/>
    <w:rsid w:val="004D63E3"/>
    <w:rsid w:val="005602F0"/>
    <w:rsid w:val="00564CF7"/>
    <w:rsid w:val="00611159"/>
    <w:rsid w:val="00666F41"/>
    <w:rsid w:val="0068018A"/>
    <w:rsid w:val="006D2C4E"/>
    <w:rsid w:val="006F2C06"/>
    <w:rsid w:val="00745CC5"/>
    <w:rsid w:val="007A207D"/>
    <w:rsid w:val="00831503"/>
    <w:rsid w:val="008470A8"/>
    <w:rsid w:val="008E63F1"/>
    <w:rsid w:val="00A9662D"/>
    <w:rsid w:val="00AF5058"/>
    <w:rsid w:val="00B53F6B"/>
    <w:rsid w:val="00BA2132"/>
    <w:rsid w:val="00BA281D"/>
    <w:rsid w:val="00BE7D46"/>
    <w:rsid w:val="00C87513"/>
    <w:rsid w:val="00CE1294"/>
    <w:rsid w:val="00D5143F"/>
    <w:rsid w:val="00D63871"/>
    <w:rsid w:val="00DD0FF1"/>
    <w:rsid w:val="00E5598D"/>
    <w:rsid w:val="00EF4686"/>
    <w:rsid w:val="00EF5824"/>
    <w:rsid w:val="00F23068"/>
    <w:rsid w:val="00F61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00DF67"/>
  <w15:chartTrackingRefBased/>
  <w15:docId w15:val="{F393B3CA-2C2D-4F37-8C16-E4EE1DA5A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0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50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5058"/>
  </w:style>
  <w:style w:type="paragraph" w:styleId="Footer">
    <w:name w:val="footer"/>
    <w:basedOn w:val="Normal"/>
    <w:link w:val="FooterChar"/>
    <w:uiPriority w:val="99"/>
    <w:unhideWhenUsed/>
    <w:rsid w:val="00AF50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5058"/>
  </w:style>
  <w:style w:type="paragraph" w:styleId="NormalWeb">
    <w:name w:val="Normal (Web)"/>
    <w:basedOn w:val="Normal"/>
    <w:uiPriority w:val="99"/>
    <w:unhideWhenUsed/>
    <w:rsid w:val="006D2C4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D2C4E"/>
    <w:rPr>
      <w:i/>
      <w:iCs/>
    </w:rPr>
  </w:style>
  <w:style w:type="character" w:customStyle="1" w:styleId="url">
    <w:name w:val="url"/>
    <w:basedOn w:val="DefaultParagraphFont"/>
    <w:rsid w:val="004D6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58095">
      <w:bodyDiv w:val="1"/>
      <w:marLeft w:val="0"/>
      <w:marRight w:val="0"/>
      <w:marTop w:val="0"/>
      <w:marBottom w:val="0"/>
      <w:divBdr>
        <w:top w:val="none" w:sz="0" w:space="0" w:color="auto"/>
        <w:left w:val="none" w:sz="0" w:space="0" w:color="auto"/>
        <w:bottom w:val="none" w:sz="0" w:space="0" w:color="auto"/>
        <w:right w:val="none" w:sz="0" w:space="0" w:color="auto"/>
      </w:divBdr>
      <w:divsChild>
        <w:div w:id="1349020052">
          <w:marLeft w:val="-720"/>
          <w:marRight w:val="0"/>
          <w:marTop w:val="0"/>
          <w:marBottom w:val="0"/>
          <w:divBdr>
            <w:top w:val="none" w:sz="0" w:space="0" w:color="auto"/>
            <w:left w:val="none" w:sz="0" w:space="0" w:color="auto"/>
            <w:bottom w:val="none" w:sz="0" w:space="0" w:color="auto"/>
            <w:right w:val="none" w:sz="0" w:space="0" w:color="auto"/>
          </w:divBdr>
        </w:div>
      </w:divsChild>
    </w:div>
    <w:div w:id="314535862">
      <w:bodyDiv w:val="1"/>
      <w:marLeft w:val="0"/>
      <w:marRight w:val="0"/>
      <w:marTop w:val="0"/>
      <w:marBottom w:val="0"/>
      <w:divBdr>
        <w:top w:val="none" w:sz="0" w:space="0" w:color="auto"/>
        <w:left w:val="none" w:sz="0" w:space="0" w:color="auto"/>
        <w:bottom w:val="none" w:sz="0" w:space="0" w:color="auto"/>
        <w:right w:val="none" w:sz="0" w:space="0" w:color="auto"/>
      </w:divBdr>
      <w:divsChild>
        <w:div w:id="1632318194">
          <w:marLeft w:val="0"/>
          <w:marRight w:val="0"/>
          <w:marTop w:val="0"/>
          <w:marBottom w:val="0"/>
          <w:divBdr>
            <w:top w:val="single" w:sz="2" w:space="0" w:color="E3E3E3"/>
            <w:left w:val="single" w:sz="2" w:space="0" w:color="E3E3E3"/>
            <w:bottom w:val="single" w:sz="2" w:space="0" w:color="E3E3E3"/>
            <w:right w:val="single" w:sz="2" w:space="0" w:color="E3E3E3"/>
          </w:divBdr>
          <w:divsChild>
            <w:div w:id="1744596455">
              <w:marLeft w:val="0"/>
              <w:marRight w:val="0"/>
              <w:marTop w:val="0"/>
              <w:marBottom w:val="0"/>
              <w:divBdr>
                <w:top w:val="single" w:sz="2" w:space="0" w:color="E3E3E3"/>
                <w:left w:val="single" w:sz="2" w:space="0" w:color="E3E3E3"/>
                <w:bottom w:val="single" w:sz="2" w:space="0" w:color="E3E3E3"/>
                <w:right w:val="single" w:sz="2" w:space="0" w:color="E3E3E3"/>
              </w:divBdr>
              <w:divsChild>
                <w:div w:id="1028600121">
                  <w:marLeft w:val="0"/>
                  <w:marRight w:val="0"/>
                  <w:marTop w:val="0"/>
                  <w:marBottom w:val="0"/>
                  <w:divBdr>
                    <w:top w:val="single" w:sz="2" w:space="0" w:color="E3E3E3"/>
                    <w:left w:val="single" w:sz="2" w:space="0" w:color="E3E3E3"/>
                    <w:bottom w:val="single" w:sz="2" w:space="0" w:color="E3E3E3"/>
                    <w:right w:val="single" w:sz="2" w:space="0" w:color="E3E3E3"/>
                  </w:divBdr>
                  <w:divsChild>
                    <w:div w:id="1503230272">
                      <w:marLeft w:val="0"/>
                      <w:marRight w:val="0"/>
                      <w:marTop w:val="0"/>
                      <w:marBottom w:val="0"/>
                      <w:divBdr>
                        <w:top w:val="single" w:sz="2" w:space="0" w:color="E3E3E3"/>
                        <w:left w:val="single" w:sz="2" w:space="0" w:color="E3E3E3"/>
                        <w:bottom w:val="single" w:sz="2" w:space="0" w:color="E3E3E3"/>
                        <w:right w:val="single" w:sz="2" w:space="0" w:color="E3E3E3"/>
                      </w:divBdr>
                      <w:divsChild>
                        <w:div w:id="678581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367645">
          <w:marLeft w:val="0"/>
          <w:marRight w:val="0"/>
          <w:marTop w:val="0"/>
          <w:marBottom w:val="0"/>
          <w:divBdr>
            <w:top w:val="single" w:sz="2" w:space="0" w:color="E3E3E3"/>
            <w:left w:val="single" w:sz="2" w:space="0" w:color="E3E3E3"/>
            <w:bottom w:val="single" w:sz="2" w:space="0" w:color="E3E3E3"/>
            <w:right w:val="single" w:sz="2" w:space="0" w:color="E3E3E3"/>
          </w:divBdr>
          <w:divsChild>
            <w:div w:id="198275811">
              <w:marLeft w:val="0"/>
              <w:marRight w:val="0"/>
              <w:marTop w:val="0"/>
              <w:marBottom w:val="0"/>
              <w:divBdr>
                <w:top w:val="single" w:sz="2" w:space="0" w:color="E3E3E3"/>
                <w:left w:val="single" w:sz="2" w:space="0" w:color="E3E3E3"/>
                <w:bottom w:val="single" w:sz="2" w:space="0" w:color="E3E3E3"/>
                <w:right w:val="single" w:sz="2" w:space="0" w:color="E3E3E3"/>
              </w:divBdr>
            </w:div>
            <w:div w:id="724791597">
              <w:marLeft w:val="0"/>
              <w:marRight w:val="0"/>
              <w:marTop w:val="0"/>
              <w:marBottom w:val="0"/>
              <w:divBdr>
                <w:top w:val="single" w:sz="2" w:space="0" w:color="E3E3E3"/>
                <w:left w:val="single" w:sz="2" w:space="0" w:color="E3E3E3"/>
                <w:bottom w:val="single" w:sz="2" w:space="0" w:color="E3E3E3"/>
                <w:right w:val="single" w:sz="2" w:space="0" w:color="E3E3E3"/>
              </w:divBdr>
              <w:divsChild>
                <w:div w:id="2007247999">
                  <w:marLeft w:val="0"/>
                  <w:marRight w:val="0"/>
                  <w:marTop w:val="0"/>
                  <w:marBottom w:val="0"/>
                  <w:divBdr>
                    <w:top w:val="single" w:sz="2" w:space="0" w:color="E3E3E3"/>
                    <w:left w:val="single" w:sz="2" w:space="0" w:color="E3E3E3"/>
                    <w:bottom w:val="single" w:sz="2" w:space="0" w:color="E3E3E3"/>
                    <w:right w:val="single" w:sz="2" w:space="0" w:color="E3E3E3"/>
                  </w:divBdr>
                  <w:divsChild>
                    <w:div w:id="1120615118">
                      <w:marLeft w:val="0"/>
                      <w:marRight w:val="0"/>
                      <w:marTop w:val="0"/>
                      <w:marBottom w:val="0"/>
                      <w:divBdr>
                        <w:top w:val="single" w:sz="2" w:space="0" w:color="E3E3E3"/>
                        <w:left w:val="single" w:sz="2" w:space="0" w:color="E3E3E3"/>
                        <w:bottom w:val="single" w:sz="2" w:space="0" w:color="E3E3E3"/>
                        <w:right w:val="single" w:sz="2" w:space="0" w:color="E3E3E3"/>
                      </w:divBdr>
                      <w:divsChild>
                        <w:div w:id="127742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05428890">
      <w:bodyDiv w:val="1"/>
      <w:marLeft w:val="0"/>
      <w:marRight w:val="0"/>
      <w:marTop w:val="0"/>
      <w:marBottom w:val="0"/>
      <w:divBdr>
        <w:top w:val="none" w:sz="0" w:space="0" w:color="auto"/>
        <w:left w:val="none" w:sz="0" w:space="0" w:color="auto"/>
        <w:bottom w:val="none" w:sz="0" w:space="0" w:color="auto"/>
        <w:right w:val="none" w:sz="0" w:space="0" w:color="auto"/>
      </w:divBdr>
    </w:div>
    <w:div w:id="130608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12</Pages>
  <Words>2803</Words>
  <Characters>19707</Characters>
  <Application>Microsoft Office Word</Application>
  <DocSecurity>0</DocSecurity>
  <Lines>344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3</cp:revision>
  <dcterms:created xsi:type="dcterms:W3CDTF">2024-02-09T14:45:00Z</dcterms:created>
  <dcterms:modified xsi:type="dcterms:W3CDTF">2024-02-11T11:35:00Z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ffe3ff79-ec59-412a-96e3-d8b4dad5d974</vt:lpwstr>
  </property>
</Properties>
</file>