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219BD" w14:textId="77777777" w:rsidR="00E65D83" w:rsidRDefault="00E65D83" w:rsidP="00E65D83">
      <w:pPr>
        <w:spacing w:line="480" w:lineRule="auto"/>
        <w:jc w:val="center"/>
        <w:rPr>
          <w:rFonts w:ascii="Times New Roman" w:hAnsi="Times New Roman" w:cs="Times New Roman"/>
          <w:u w:val="single"/>
        </w:rPr>
      </w:pPr>
    </w:p>
    <w:p w14:paraId="5144B2E6" w14:textId="77777777" w:rsidR="00E65D83" w:rsidRDefault="00E65D83" w:rsidP="00E65D83">
      <w:pPr>
        <w:spacing w:line="480" w:lineRule="auto"/>
        <w:jc w:val="center"/>
        <w:rPr>
          <w:rFonts w:ascii="Times New Roman" w:hAnsi="Times New Roman" w:cs="Times New Roman"/>
          <w:u w:val="single"/>
        </w:rPr>
      </w:pPr>
    </w:p>
    <w:p w14:paraId="55DFE109" w14:textId="77777777" w:rsidR="00E65D83" w:rsidRDefault="00E65D83" w:rsidP="00E65D83">
      <w:pPr>
        <w:spacing w:line="480" w:lineRule="auto"/>
        <w:jc w:val="center"/>
        <w:rPr>
          <w:rFonts w:ascii="Times New Roman" w:hAnsi="Times New Roman" w:cs="Times New Roman"/>
          <w:u w:val="single"/>
        </w:rPr>
      </w:pPr>
    </w:p>
    <w:p w14:paraId="550A8FA9" w14:textId="77777777" w:rsidR="00E65D83" w:rsidRDefault="00E65D83" w:rsidP="00E65D83">
      <w:pPr>
        <w:spacing w:line="480" w:lineRule="auto"/>
        <w:rPr>
          <w:rFonts w:ascii="Times New Roman" w:hAnsi="Times New Roman" w:cs="Times New Roman"/>
          <w:u w:val="single"/>
        </w:rPr>
      </w:pPr>
    </w:p>
    <w:p w14:paraId="114E54BA" w14:textId="1136167F" w:rsidR="00E65D83" w:rsidRPr="00E65D83" w:rsidRDefault="00E65D83" w:rsidP="00E65D83">
      <w:pPr>
        <w:spacing w:line="480" w:lineRule="auto"/>
        <w:jc w:val="center"/>
        <w:rPr>
          <w:rFonts w:ascii="Times New Roman" w:hAnsi="Times New Roman" w:cs="Times New Roman"/>
          <w:u w:val="single"/>
        </w:rPr>
      </w:pPr>
      <w:r w:rsidRPr="00E65D83">
        <w:rPr>
          <w:rFonts w:ascii="Times New Roman" w:hAnsi="Times New Roman" w:cs="Times New Roman"/>
          <w:u w:val="single"/>
        </w:rPr>
        <w:t>Using the mock eyewitness interview scenarios conducted during the on-campus sessions, critically evaluate from theory and research, factors that can influence eyewitness decision-making during a police line-up.</w:t>
      </w:r>
    </w:p>
    <w:p w14:paraId="05152656" w14:textId="77777777" w:rsidR="00E65D83" w:rsidRPr="00E65D83" w:rsidRDefault="00E65D83" w:rsidP="00E65D83">
      <w:pPr>
        <w:spacing w:line="480" w:lineRule="auto"/>
        <w:jc w:val="center"/>
        <w:rPr>
          <w:rFonts w:ascii="Times New Roman" w:hAnsi="Times New Roman" w:cs="Times New Roman"/>
        </w:rPr>
      </w:pPr>
    </w:p>
    <w:p w14:paraId="176C5EA7" w14:textId="77777777" w:rsidR="00E65D83" w:rsidRPr="00E65D83" w:rsidRDefault="00E65D83" w:rsidP="00E65D83">
      <w:pPr>
        <w:spacing w:line="480" w:lineRule="auto"/>
        <w:jc w:val="center"/>
        <w:rPr>
          <w:rFonts w:ascii="Times New Roman" w:hAnsi="Times New Roman" w:cs="Times New Roman"/>
        </w:rPr>
      </w:pPr>
    </w:p>
    <w:p w14:paraId="3377E2FE" w14:textId="77777777" w:rsidR="00E65D83" w:rsidRPr="00E65D83" w:rsidRDefault="00E65D83" w:rsidP="00E65D83">
      <w:pPr>
        <w:spacing w:line="480" w:lineRule="auto"/>
        <w:jc w:val="center"/>
        <w:rPr>
          <w:rFonts w:ascii="Times New Roman" w:hAnsi="Times New Roman" w:cs="Times New Roman"/>
        </w:rPr>
      </w:pPr>
      <w:r w:rsidRPr="00E65D83">
        <w:rPr>
          <w:rFonts w:ascii="Times New Roman" w:hAnsi="Times New Roman" w:cs="Times New Roman"/>
        </w:rPr>
        <w:t>I acknowledge the use of Grammarly (https://app.grammarly.com/ddocs/2752884027) on the 16th of March to proofread the final draft of this review using the prompt:</w:t>
      </w:r>
    </w:p>
    <w:p w14:paraId="194BF834" w14:textId="77777777" w:rsidR="00E65D83" w:rsidRPr="00E65D83" w:rsidRDefault="00E65D83" w:rsidP="00E65D83">
      <w:pPr>
        <w:spacing w:line="480" w:lineRule="auto"/>
        <w:jc w:val="center"/>
        <w:rPr>
          <w:rFonts w:ascii="Times New Roman" w:hAnsi="Times New Roman" w:cs="Times New Roman"/>
        </w:rPr>
      </w:pPr>
      <w:r w:rsidRPr="00E65D83">
        <w:rPr>
          <w:rFonts w:ascii="Times New Roman" w:hAnsi="Times New Roman" w:cs="Times New Roman"/>
        </w:rPr>
        <w:t>Please check the following text for readability, grammar and syntax.</w:t>
      </w:r>
    </w:p>
    <w:p w14:paraId="127D92C6" w14:textId="77777777" w:rsidR="00E65D83" w:rsidRPr="00E65D83" w:rsidRDefault="00E65D83" w:rsidP="00E65D83">
      <w:pPr>
        <w:spacing w:line="480" w:lineRule="auto"/>
        <w:jc w:val="center"/>
        <w:rPr>
          <w:rFonts w:ascii="Times New Roman" w:hAnsi="Times New Roman" w:cs="Times New Roman"/>
        </w:rPr>
      </w:pPr>
      <w:r w:rsidRPr="00E65D83">
        <w:rPr>
          <w:rFonts w:ascii="Times New Roman" w:hAnsi="Times New Roman" w:cs="Times New Roman"/>
        </w:rPr>
        <w:t>I confirm that I have not presented AI-generated text as my own work. I confirm that I have copies of my drafts, notes, and other resources I used before, and after the use of AI tools which I may be asked to provide in evidence.</w:t>
      </w:r>
    </w:p>
    <w:p w14:paraId="76746C06" w14:textId="77777777" w:rsidR="00E65D83" w:rsidRPr="00E65D83" w:rsidRDefault="00E65D83" w:rsidP="00E65D83">
      <w:pPr>
        <w:spacing w:line="480" w:lineRule="auto"/>
        <w:rPr>
          <w:rFonts w:ascii="Times New Roman" w:hAnsi="Times New Roman" w:cs="Times New Roman"/>
        </w:rPr>
      </w:pPr>
    </w:p>
    <w:p w14:paraId="6B6127ED" w14:textId="77777777" w:rsidR="00E65D83" w:rsidRPr="00E65D83" w:rsidRDefault="00E65D83" w:rsidP="00E65D83">
      <w:pPr>
        <w:spacing w:line="480" w:lineRule="auto"/>
        <w:rPr>
          <w:rFonts w:ascii="Times New Roman" w:hAnsi="Times New Roman" w:cs="Times New Roman"/>
        </w:rPr>
      </w:pPr>
    </w:p>
    <w:p w14:paraId="094591C8" w14:textId="77777777" w:rsidR="00E65D83" w:rsidRPr="00E65D83" w:rsidRDefault="00E65D83" w:rsidP="00E65D83">
      <w:pPr>
        <w:spacing w:line="480" w:lineRule="auto"/>
        <w:rPr>
          <w:rFonts w:ascii="Times New Roman" w:hAnsi="Times New Roman" w:cs="Times New Roman"/>
        </w:rPr>
      </w:pPr>
    </w:p>
    <w:p w14:paraId="4CF661AC" w14:textId="77777777" w:rsidR="00E65D83" w:rsidRPr="00E65D83" w:rsidRDefault="00E65D83" w:rsidP="00E65D83">
      <w:pPr>
        <w:spacing w:line="480" w:lineRule="auto"/>
        <w:rPr>
          <w:rFonts w:ascii="Times New Roman" w:hAnsi="Times New Roman" w:cs="Times New Roman"/>
        </w:rPr>
      </w:pPr>
    </w:p>
    <w:p w14:paraId="230DF048" w14:textId="77777777" w:rsidR="00E65D83" w:rsidRPr="00E65D83" w:rsidRDefault="00E65D83" w:rsidP="00E65D83">
      <w:pPr>
        <w:spacing w:line="480" w:lineRule="auto"/>
        <w:rPr>
          <w:rFonts w:ascii="Times New Roman" w:hAnsi="Times New Roman" w:cs="Times New Roman"/>
        </w:rPr>
      </w:pPr>
    </w:p>
    <w:p w14:paraId="53A14061" w14:textId="77777777" w:rsidR="00E65D83" w:rsidRPr="00E65D83" w:rsidRDefault="00E65D83" w:rsidP="00E65D83">
      <w:pPr>
        <w:spacing w:line="480" w:lineRule="auto"/>
        <w:rPr>
          <w:rFonts w:ascii="Times New Roman" w:hAnsi="Times New Roman" w:cs="Times New Roman"/>
        </w:rPr>
      </w:pPr>
    </w:p>
    <w:p w14:paraId="6C2FA985"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lastRenderedPageBreak/>
        <w:t xml:space="preserve">Eyewitness testimonies play a crucial role in criminal cases, often providing essential information about the crime scene, the sequence of events, and potential suspects. One of the most well-documented cases of wrongful conviction due to eyewitness misidentification is that of Ronald Cotton (Garrett et al. 2020). Jennifer Thompson, the eyewitness in the case, struggled to confidently recall the suspect during both a photo lineup and a live lineup, leading her to select Cotton because he had the closest resemblance to the perpetrator she had seen. The similarities between Cotton and the actual suspect, combined with subtle but influential suggestions from law enforcement officers during the lineups, led Thompson to become "absolutely certain" in her identification of Cotton during the trial. However, a decade later, DNA evidence conclusively proved that Cotton was innocent, despite Thompson having misidentified him on three separate occasions (Garrett et al. 2020). </w:t>
      </w:r>
    </w:p>
    <w:p w14:paraId="7B873CD0"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Unfortunately, the case of Ronald Cotton is not unique. Eyewitness misidentifications have played a role in the conviction of many individuals. The heavy reliance on eyewitness testimony to establish key facts in criminal cases can significantly influence the decisions of law enforcement in identifying suspects, as well as the decisions of prosecutors, judges and juries in determining guilt or innocence (Wells et al. 2006). With the advancements in forensic DNA analysis, wrongful conviction organisations and law enforcement agencies have worked to exonerate individuals who were wrongfully convicted. As of 2023, the Innocence Project had successfully overturned 375 wrongful convictions, including 21 cases in which the accused had been sentenced to death (Wells et al. 2006; National Institute of Justice, 2023). Additionally, the National Registry of Exonerations documented over 3,000 wrongful convictions in the United States alone (National Institute of Justice, 2023). These figures highlight the impact that inconsistencies in eyewitness testimonies can have on individuals' lives and the justice </w:t>
      </w:r>
      <w:proofErr w:type="gramStart"/>
      <w:r w:rsidRPr="00E65D83">
        <w:rPr>
          <w:rFonts w:ascii="Times New Roman" w:hAnsi="Times New Roman" w:cs="Times New Roman"/>
        </w:rPr>
        <w:t>system as a whole</w:t>
      </w:r>
      <w:proofErr w:type="gramEnd"/>
      <w:r w:rsidRPr="00E65D83">
        <w:rPr>
          <w:rFonts w:ascii="Times New Roman" w:hAnsi="Times New Roman" w:cs="Times New Roman"/>
        </w:rPr>
        <w:t xml:space="preserve">. </w:t>
      </w:r>
    </w:p>
    <w:p w14:paraId="0E34EE2D"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lastRenderedPageBreak/>
        <w:t xml:space="preserve">Given the consequences of eyewitness errors, it is essential to explore the psychological and situational factors that contribute to inaccuracies in witness testimonies. Misidentifications can occur due to various influences, including the witness' motivation to testify, police instructions during the lineup, post-lineup feedback, exposure to new information after the incident, and memory contamination. Additionally, cognitive mechanisms play a crucial role in misidentifications. Concepts such as Signal Detection Theory, Eyewitness confidence theory, and the Optimality Hypothesis, all contribute to the understanding of the complexities of eyewitness errors (Mickes et al. 2025; Seale-Carlisle et al. 2024). </w:t>
      </w:r>
    </w:p>
    <w:p w14:paraId="1FA1FC82"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This essay will critically evaluate both cognitive and situational influences on eyewitness accuracy, with a focus on their implications for forensic psychology and the criminal justice system. Particular attention will be given to police lineup procedures, examining how different lineup formats influence decision-making. Additionally, the discussion will reference findings from the mock eyewitness scenario conducted during an on-campus session as part of this assignment.  </w:t>
      </w:r>
    </w:p>
    <w:p w14:paraId="2460B7A2" w14:textId="77777777" w:rsidR="00E65D83" w:rsidRPr="00E65D83" w:rsidRDefault="00E65D83" w:rsidP="00E65D83">
      <w:pPr>
        <w:spacing w:line="480" w:lineRule="auto"/>
        <w:rPr>
          <w:rFonts w:ascii="Times New Roman" w:hAnsi="Times New Roman" w:cs="Times New Roman"/>
        </w:rPr>
      </w:pPr>
    </w:p>
    <w:p w14:paraId="2D71825E"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The Signal Detection Theory (SDT; Egan 1958) has been extensively used to explore the cognitive influences of memory and decision-making on eyewitness testimony and police lineups. It has been particularly useful in investigating how variations in lineup procedures and differences in memory quality impact the accuracy of suspect identifications and the likelihood of misidentifying innocent individuals. In their 2014 article, Wixted and Mickes propose that SDT can be applied to eyewitness identification accuracy through two key components: response bias and discriminability. Response bias refers to the tendency for a witness to favour one decision over another, such as being more likely to make identifications </w:t>
      </w:r>
      <w:r w:rsidRPr="00E65D83">
        <w:rPr>
          <w:rFonts w:ascii="Times New Roman" w:hAnsi="Times New Roman" w:cs="Times New Roman"/>
        </w:rPr>
        <w:lastRenderedPageBreak/>
        <w:t xml:space="preserve">even when unsure if it is the right person. Discriminability, on the other hand, refers to the ability to distinguish between the suspect and other lineup members, directly impacting identification accuracy. However, Wixted and Mickes (2014) contend that the traditional method of assessing eyewitness accuracy through counting hits (suspect is present and correctly identified) and false alarms (suspect is absent but witness selects someone) fails to capture the intricacies of the decision-making process. They suggest that this method overlooks the complexities of how witnesses evaluate and process the information presented during the lineups. A central aspect of SDT is the 'memory match strength', which refers to how closely a lineup member resembles the witness' memory of the perpetrator. The stronger the match, the more likely the witness is to identify that person as the suspect (Wixted &amp; Mickes, 2014). This concept explains how eyewitness identification accuracy is not solely determined by the witness' ability to recognise the suspect, but also by the strength of their memory match to the individual in the lineup (Wixted &amp; Mickes, 2014). </w:t>
      </w:r>
    </w:p>
    <w:p w14:paraId="76A312AF"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Although signal detection theory has been widely adopted in eyewitness research, particularly police showups, where a witness views a single suspect, its application to lineups where multiple similar-looking individuals are presented is more complex. SDT does not fully account for the role of fillers (non-suspect lineup members) in influencing identification decisions (Lee &amp; Penrod, 2019; Gronlund et al. 2012). Additionally, SDT assumes that lineup decision-making is based solely on distinguishing between a suspect and non-suspect, oversimplifying real-world identification processes. Factors such as cognitive biases, high cognitive load, stress, and emotional responses, for example, encountering someone who triggers traumatic memories, can also influence witness decisions, yet these are not adequately addressed by SDT (Wixted &amp; Mickes, 2014). </w:t>
      </w:r>
    </w:p>
    <w:p w14:paraId="6910A8CD"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Overall, although SDT offers a useful framework for assessing eyewitness identification accuracy and decision-making, its limitations, such as the oversimplification of </w:t>
      </w:r>
      <w:r w:rsidRPr="00E65D83">
        <w:rPr>
          <w:rFonts w:ascii="Times New Roman" w:hAnsi="Times New Roman" w:cs="Times New Roman"/>
        </w:rPr>
        <w:lastRenderedPageBreak/>
        <w:t xml:space="preserve">decision-making in real-world contexts, highlight the need for more comprehensive models that address all aspects of police lineups and account for the cognitive and emotional factors that can impact identification accuracy. </w:t>
      </w:r>
    </w:p>
    <w:p w14:paraId="3F28A999" w14:textId="77777777" w:rsidR="00E65D83" w:rsidRPr="00E65D83" w:rsidRDefault="00E65D83" w:rsidP="00E65D83">
      <w:pPr>
        <w:spacing w:line="480" w:lineRule="auto"/>
        <w:rPr>
          <w:rFonts w:ascii="Times New Roman" w:hAnsi="Times New Roman" w:cs="Times New Roman"/>
        </w:rPr>
      </w:pPr>
    </w:p>
    <w:p w14:paraId="786F2761" w14:textId="45EBF8F0"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As previously noted, both sequential and simultaneous lineups are the most widely used and prevalent methods for conducting police lineups (</w:t>
      </w:r>
      <w:proofErr w:type="spellStart"/>
      <w:r w:rsidRPr="00E65D83">
        <w:rPr>
          <w:rFonts w:ascii="Times New Roman" w:hAnsi="Times New Roman" w:cs="Times New Roman"/>
        </w:rPr>
        <w:t>Dobolyi</w:t>
      </w:r>
      <w:proofErr w:type="spellEnd"/>
      <w:r w:rsidRPr="00E65D83">
        <w:rPr>
          <w:rFonts w:ascii="Times New Roman" w:hAnsi="Times New Roman" w:cs="Times New Roman"/>
        </w:rPr>
        <w:t xml:space="preserve"> &amp; Dodson, 2013). The simultaneous lineup, the most common and traditional method, involves presenting the witness with a group of individuals (fillers) who share physical characteristics with the suspect and asking them to identify the person they observed at the crime scene. However, this method is criticised for encouraging relative judgements, leading witnesses to compare the suspect to the other lineup members, and making their decision based on who looks most </w:t>
      </w:r>
      <w:proofErr w:type="gramStart"/>
      <w:r w:rsidRPr="00E65D83">
        <w:rPr>
          <w:rFonts w:ascii="Times New Roman" w:hAnsi="Times New Roman" w:cs="Times New Roman"/>
        </w:rPr>
        <w:t>similar to</w:t>
      </w:r>
      <w:proofErr w:type="gramEnd"/>
      <w:r w:rsidRPr="00E65D83">
        <w:rPr>
          <w:rFonts w:ascii="Times New Roman" w:hAnsi="Times New Roman" w:cs="Times New Roman"/>
        </w:rPr>
        <w:t xml:space="preserve"> their memory of the suspect. This can lead to misidentifications as witnesses may choose a lineup member who looks close enough to the suspect, even if they are not the actual perpetrator (</w:t>
      </w:r>
      <w:proofErr w:type="spellStart"/>
      <w:r w:rsidRPr="00E65D83">
        <w:rPr>
          <w:rFonts w:ascii="Times New Roman" w:hAnsi="Times New Roman" w:cs="Times New Roman"/>
        </w:rPr>
        <w:t>Dobolyi</w:t>
      </w:r>
      <w:proofErr w:type="spellEnd"/>
      <w:r w:rsidRPr="00E65D83">
        <w:rPr>
          <w:rFonts w:ascii="Times New Roman" w:hAnsi="Times New Roman" w:cs="Times New Roman"/>
        </w:rPr>
        <w:t xml:space="preserve"> &amp; Dodson, 2013; McAdoo &amp; Gronlund, 2016). If the suspect is accurately identified, it is referred to as a correct identification (ID), however, if a filler who is known to be innocent is selected instead, it is considered a false identification (McAdoo &amp; Gronlund, 2016). Presenting a lineup sequentially is believed to reduce the likelihood of relative judgements, enabling witnesses to make absolute comparisons between their memory of the suspect and each lineup member. This method involves displaying images of lineup members one at a time, with the witness being asked to determine </w:t>
      </w:r>
      <w:proofErr w:type="gramStart"/>
      <w:r w:rsidRPr="00E65D83">
        <w:rPr>
          <w:rFonts w:ascii="Times New Roman" w:hAnsi="Times New Roman" w:cs="Times New Roman"/>
        </w:rPr>
        <w:t>whether or not</w:t>
      </w:r>
      <w:proofErr w:type="gramEnd"/>
      <w:r w:rsidRPr="00E65D83">
        <w:rPr>
          <w:rFonts w:ascii="Times New Roman" w:hAnsi="Times New Roman" w:cs="Times New Roman"/>
        </w:rPr>
        <w:t xml:space="preserve"> each individual is the suspect before proceeding to the next (</w:t>
      </w:r>
      <w:proofErr w:type="spellStart"/>
      <w:r w:rsidRPr="00E65D83">
        <w:rPr>
          <w:rFonts w:ascii="Times New Roman" w:hAnsi="Times New Roman" w:cs="Times New Roman"/>
        </w:rPr>
        <w:t>Dobolyi</w:t>
      </w:r>
      <w:proofErr w:type="spellEnd"/>
      <w:r w:rsidRPr="00E65D83">
        <w:rPr>
          <w:rFonts w:ascii="Times New Roman" w:hAnsi="Times New Roman" w:cs="Times New Roman"/>
        </w:rPr>
        <w:t xml:space="preserve"> &amp; Dodson, 2013). Witnesses are typically not allowed to revisit previous images or alter their responses once they have decided on a lineup member. This minimises the opportunity for revised decisions based on comparisons, reducing the chances of misidentifications and increasing the probability of </w:t>
      </w:r>
      <w:r w:rsidRPr="00E65D83">
        <w:rPr>
          <w:rFonts w:ascii="Times New Roman" w:hAnsi="Times New Roman" w:cs="Times New Roman"/>
        </w:rPr>
        <w:lastRenderedPageBreak/>
        <w:t>correctly rejecting lineups that do not include the suspect, without compromising the rate of correct identifications (</w:t>
      </w:r>
      <w:proofErr w:type="spellStart"/>
      <w:r w:rsidRPr="00E65D83">
        <w:rPr>
          <w:rFonts w:ascii="Times New Roman" w:hAnsi="Times New Roman" w:cs="Times New Roman"/>
        </w:rPr>
        <w:t>Dobolyi</w:t>
      </w:r>
      <w:proofErr w:type="spellEnd"/>
      <w:r w:rsidRPr="00E65D83">
        <w:rPr>
          <w:rFonts w:ascii="Times New Roman" w:hAnsi="Times New Roman" w:cs="Times New Roman"/>
        </w:rPr>
        <w:t xml:space="preserve"> &amp; Dodson, 2013). </w:t>
      </w:r>
    </w:p>
    <w:p w14:paraId="5B46A887" w14:textId="77777777" w:rsidR="00E65D83" w:rsidRPr="00E65D83" w:rsidRDefault="00E65D83" w:rsidP="00E65D83">
      <w:pPr>
        <w:spacing w:line="480" w:lineRule="auto"/>
        <w:rPr>
          <w:rFonts w:ascii="Times New Roman" w:hAnsi="Times New Roman" w:cs="Times New Roman"/>
        </w:rPr>
      </w:pPr>
      <w:r w:rsidRPr="00E65D83">
        <w:rPr>
          <w:rFonts w:ascii="Times New Roman" w:hAnsi="Times New Roman" w:cs="Times New Roman"/>
        </w:rPr>
        <w:tab/>
      </w:r>
    </w:p>
    <w:p w14:paraId="40BC1949"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One of the earliest studies comparing the effectiveness of sequential and simultaneous lineups was conducted by Lindsey and Wells (1985), who staged a mock crime involving 240 eyewitnesses. These participants were randomly assigned to identify the suspect using either sequential or simultaneous lineups. Their findings indicated that sequential lineups significantly reduce the rate of misidentifications and false positives in target-absent lineups, where the main suspect was not present in the lineup, compared to simultaneous lineups (Kellen &amp; McAdoo, 2022). This is a key test to evaluate the effectiveness of lineup formats, as it challenges the ability of the witness to correctly reject innocent individuals (Kellen &amp; McAdoo, 2022; Lindsey &amp; Wells, 1985). A study conducted by Wright (2007) examined the effectiveness of simultaneous versus sequential lineups in relation to eyewitness accuracy, while also considering participant beliefs, such as belief in guilt and verdicts. The study involved 340 undergraduate students, who were divided into seven conditions. The results of the study indicated that while both simultaneous and sequential lineups produced similar overall outcomes, sequential lineups led to more accurate identifications. This was because witnesses in sequential lineups were more likely to make absolute judgements and were less likely to be influenced by comparisons with other lineup members. Additionally, the study found that positive identifications were associated with stronger beliefs in guilty verdicts, with participants showing a higher likelihood of believing in the suspect's guilt when an identification was made, as opposed to when no identification occurred. Wright (2007) suggested that eyewitness confidence could be a key misleading factor in identification accuracy, as participants believed they had selected the correct suspect, even when they had not. However, given that this study was conducted in a laboratory setting with university </w:t>
      </w:r>
      <w:r w:rsidRPr="00E65D83">
        <w:rPr>
          <w:rFonts w:ascii="Times New Roman" w:hAnsi="Times New Roman" w:cs="Times New Roman"/>
        </w:rPr>
        <w:lastRenderedPageBreak/>
        <w:t xml:space="preserve">students, it lacks ecological validity and does not adequately replicate real-world eyewitness scenarios. The experimental procedure fails to capture the real-life conditions, as the participants may have responded differently had they been exposed to an actual crime and undergone a lineup in a police station, where psychological factors such as stress and trauma would likely influence their decision-making process. </w:t>
      </w:r>
    </w:p>
    <w:p w14:paraId="0B22E1FC" w14:textId="77777777" w:rsidR="00E65D83" w:rsidRPr="00E65D83" w:rsidRDefault="00E65D83" w:rsidP="00E65D83">
      <w:pPr>
        <w:spacing w:line="480" w:lineRule="auto"/>
        <w:rPr>
          <w:rFonts w:ascii="Times New Roman" w:hAnsi="Times New Roman" w:cs="Times New Roman"/>
        </w:rPr>
      </w:pPr>
    </w:p>
    <w:p w14:paraId="54443991"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Social factors can significantly influence how an eyewitness approaches a lineup. For example, lineup administrators or police officers who may already have a suspect in mind can inadvertently affect an eyewitness's decision, whether explicitly or implicitly.  (Clark et al. 2009). The officer's beliefs about the case can be conveyed to the witnesses, influencing their behaviour and potentially altering their judgement and the way they identify the individual they believe they observed during the crime. Law enforcement agencies have stated that police officers should not assist or influence the decision of an eyewitness at any stage of the lineup process (Clark et al. 2013). However, there are still instances where officers violate these protocols, either directly or indirectly, usually by suggesting or implying who they believe the suspect is. This can lead to the unwarranted influence of the witness, potentially swaying them or even intimidating them into making an identification that aligns with the officer's view of the case (Clark et al. 2013). To address this issue, instructions provided by the police or lineup administrator must remain unbiased, although ensuring this </w:t>
      </w:r>
      <w:proofErr w:type="gramStart"/>
      <w:r w:rsidRPr="00E65D83">
        <w:rPr>
          <w:rFonts w:ascii="Times New Roman" w:hAnsi="Times New Roman" w:cs="Times New Roman"/>
        </w:rPr>
        <w:t>at all times</w:t>
      </w:r>
      <w:proofErr w:type="gramEnd"/>
      <w:r w:rsidRPr="00E65D83">
        <w:rPr>
          <w:rFonts w:ascii="Times New Roman" w:hAnsi="Times New Roman" w:cs="Times New Roman"/>
        </w:rPr>
        <w:t xml:space="preserve"> can be challenging. Additionally, to further minimise the risk of unintentional influence, the administrator should be unaware of the suspect's identity or location within the lineup (Clark et al. 2009). This helps reduce the likelihood of the administrator giving off subtle cues, either verbal or non-verbal, that may inadvertently indicate whether the witness's identification is correct or incorrect. The communication between the administrator and eyewitness can also influence the witness' confidence (Clark et al. 2009). Positive or negative </w:t>
      </w:r>
      <w:r w:rsidRPr="00E65D83">
        <w:rPr>
          <w:rFonts w:ascii="Times New Roman" w:hAnsi="Times New Roman" w:cs="Times New Roman"/>
        </w:rPr>
        <w:lastRenderedPageBreak/>
        <w:t xml:space="preserve">feedback provided during the lineup process, such as requests for clarification, can be interpreted in various ways depending on the tone or </w:t>
      </w:r>
      <w:proofErr w:type="gramStart"/>
      <w:r w:rsidRPr="00E65D83">
        <w:rPr>
          <w:rFonts w:ascii="Times New Roman" w:hAnsi="Times New Roman" w:cs="Times New Roman"/>
        </w:rPr>
        <w:t>manner in which</w:t>
      </w:r>
      <w:proofErr w:type="gramEnd"/>
      <w:r w:rsidRPr="00E65D83">
        <w:rPr>
          <w:rFonts w:ascii="Times New Roman" w:hAnsi="Times New Roman" w:cs="Times New Roman"/>
        </w:rPr>
        <w:t xml:space="preserve"> it is delivered. Similarly, information conveyed to the witness, such as being told that the suspect is present in the lineup, can inadvertently boost their confidence and potentially affect their identification decision (Clark et al. 2009). </w:t>
      </w:r>
    </w:p>
    <w:p w14:paraId="58615248" w14:textId="77777777" w:rsidR="00E65D83" w:rsidRPr="00E65D83" w:rsidRDefault="00E65D83" w:rsidP="00E65D83">
      <w:pPr>
        <w:spacing w:line="480" w:lineRule="auto"/>
        <w:rPr>
          <w:rFonts w:ascii="Times New Roman" w:hAnsi="Times New Roman" w:cs="Times New Roman"/>
        </w:rPr>
      </w:pPr>
      <w:r w:rsidRPr="00E65D83">
        <w:rPr>
          <w:rFonts w:ascii="Times New Roman" w:hAnsi="Times New Roman" w:cs="Times New Roman"/>
        </w:rPr>
        <w:tab/>
        <w:t xml:space="preserve">To explore this further, Clark and colleagues (2013) conducted a study to investigate how the behaviours of lineup administrators can influence the outcomes of eyewitness identification. In their experiment, participants were shown a simulated crime and then presented with either a target-present or target-absent lineup. The lineup administrators had undergone two weeks of training for their roles and were assigned one of three conditions: the silent condition, where they remained silent throughout the process; the cautionary statement condition, where they made cautionary statements before the lineup was viewed; and the prompting condition, where the administrator encouraged the witness to identify the person in the lineup who appeared the most similar to the suspect (Clark et al. 2013). The study revealed that the cautionary condition led to an increase in both correct and false identifications. Although the intent was to remain unbiased, the cautionary statement unknowingly raised the likelihood of witnesses selecting a suspect, even in lineups when no actual suspect was present. Similarly, the prompting condition resulted in the highest rate of false identifications, as the administrator encouraged the witness to select the individual who seemed the most </w:t>
      </w:r>
      <w:proofErr w:type="gramStart"/>
      <w:r w:rsidRPr="00E65D83">
        <w:rPr>
          <w:rFonts w:ascii="Times New Roman" w:hAnsi="Times New Roman" w:cs="Times New Roman"/>
        </w:rPr>
        <w:t>similar to</w:t>
      </w:r>
      <w:proofErr w:type="gramEnd"/>
      <w:r w:rsidRPr="00E65D83">
        <w:rPr>
          <w:rFonts w:ascii="Times New Roman" w:hAnsi="Times New Roman" w:cs="Times New Roman"/>
        </w:rPr>
        <w:t xml:space="preserve"> the perpetrator. This encouragement increased the likelihood of the witness making an identification, even when the suspect was absent. In contrast, the silent condition resulted in fewer false identifications compared to the two other conditions, with witnesses also rejecting more lineups when the suspect was not present (Clark et al. 2013). This highlights the significant impact that a comment, opinion, or even a subtle direction from the lineup administrator or police officer can have on a witness's decision-making </w:t>
      </w:r>
      <w:r w:rsidRPr="00E65D83">
        <w:rPr>
          <w:rFonts w:ascii="Times New Roman" w:hAnsi="Times New Roman" w:cs="Times New Roman"/>
        </w:rPr>
        <w:lastRenderedPageBreak/>
        <w:t xml:space="preserve">process. </w:t>
      </w:r>
      <w:proofErr w:type="gramStart"/>
      <w:r w:rsidRPr="00E65D83">
        <w:rPr>
          <w:rFonts w:ascii="Times New Roman" w:hAnsi="Times New Roman" w:cs="Times New Roman"/>
        </w:rPr>
        <w:t>Similar to</w:t>
      </w:r>
      <w:proofErr w:type="gramEnd"/>
      <w:r w:rsidRPr="00E65D83">
        <w:rPr>
          <w:rFonts w:ascii="Times New Roman" w:hAnsi="Times New Roman" w:cs="Times New Roman"/>
        </w:rPr>
        <w:t xml:space="preserve"> the sequential versus simultaneous lineup studies, conducting research on crime scene scenarios within laboratory settings, with undergraduate participants, lacks ecological validity and fails to represent a broader population. Relying on a homogeneous group of university students does not account for the diverse range of eyewitnesses that are involved in real-life criminal cases, where variations in age, education level and cognitive abilities can influence decision-making. Moreover, in such research studies, participants are aware that they are observing a crime simulation, which likely leads to them paying more attention to details. In contrast, during actual crime situations, witnesses are often unaware that they are about to witness a crime, which means they may not be prepared to focus on retaining details or information, particularly if the event is dangerous or traumatic. Therefore, it is difficult to determine whether these fictional scenarios accurately reflect real-life situations and whether the findings can be effectively applied to real-world contexts. </w:t>
      </w:r>
    </w:p>
    <w:p w14:paraId="289E6F7F" w14:textId="77777777" w:rsidR="00E65D83" w:rsidRPr="00E65D83" w:rsidRDefault="00E65D83" w:rsidP="00E65D83">
      <w:pPr>
        <w:spacing w:line="480" w:lineRule="auto"/>
        <w:rPr>
          <w:rFonts w:ascii="Times New Roman" w:hAnsi="Times New Roman" w:cs="Times New Roman"/>
        </w:rPr>
      </w:pPr>
    </w:p>
    <w:p w14:paraId="61281EB8"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As part of this assignment, a mock eyewitness task was conducted where students worked in pairs, with one acting as the witness and the other as the investigator. The witness viewed a crime scene image, and the investigator was instructed to ask only one question: what they saw. However, not all investigators followed this rule, much like the administrator bias, and asked for more details. Once the witness' observations were recorded, they were shared with other pairs, creating a broader but conflicting view of the scene and the suspect. When investigators were shown a simultaneous lineup (images) of the suspect, the conflicting details from multiple witnesses made the identifying process much more complicated, leading to some guessing and choosing the suspect who they thought fit the description the best. This demonstrated the many factors that can influence the judgement and decision-making process during a lineup, factors that are often present in real-life scenarios. </w:t>
      </w:r>
    </w:p>
    <w:p w14:paraId="5B2F72E7" w14:textId="77777777" w:rsidR="00E65D83" w:rsidRPr="00E65D83" w:rsidRDefault="00E65D83" w:rsidP="00E65D83">
      <w:pPr>
        <w:spacing w:line="480" w:lineRule="auto"/>
        <w:rPr>
          <w:rFonts w:ascii="Times New Roman" w:hAnsi="Times New Roman" w:cs="Times New Roman"/>
        </w:rPr>
      </w:pPr>
    </w:p>
    <w:p w14:paraId="4657DDA3" w14:textId="77777777" w:rsidR="00E65D83" w:rsidRPr="00E65D83" w:rsidRDefault="00E65D83" w:rsidP="00E65D83">
      <w:pPr>
        <w:spacing w:line="480" w:lineRule="auto"/>
        <w:ind w:firstLine="720"/>
        <w:rPr>
          <w:rFonts w:ascii="Times New Roman" w:hAnsi="Times New Roman" w:cs="Times New Roman"/>
        </w:rPr>
      </w:pPr>
      <w:r w:rsidRPr="00E65D83">
        <w:rPr>
          <w:rFonts w:ascii="Times New Roman" w:hAnsi="Times New Roman" w:cs="Times New Roman"/>
        </w:rPr>
        <w:t xml:space="preserve">In conclusion, cognitive, emotional, and social factors, such as memory strength, lineup procedure, and witness confidence, play crucial roles in the accuracy of eyewitness identifications. Theoretical frameworks like Signal Detection Theory provide valuable insights into the decision-making process, yet real-world factors, including stress, bias, and the influence of lineup instructions and feedback, can significantly affect the reliability of eyewitness testimony. Understanding these factors and how to mitigate their effects is essential for ensuring criminal cases are handled appropriately and that the correct suspect is identified, reducing the number of wrongful convictions. Future research should focus further on exploring the emotional influences of being an eyewitness and how these factors impact the outcomes of lineups. </w:t>
      </w:r>
    </w:p>
    <w:p w14:paraId="33DE8843" w14:textId="77777777" w:rsidR="00E65D83" w:rsidRPr="00E65D83" w:rsidRDefault="00E65D83" w:rsidP="00E65D83">
      <w:pPr>
        <w:spacing w:line="480" w:lineRule="auto"/>
        <w:rPr>
          <w:rFonts w:ascii="Times New Roman" w:hAnsi="Times New Roman" w:cs="Times New Roman"/>
        </w:rPr>
      </w:pPr>
    </w:p>
    <w:p w14:paraId="7B1E4834" w14:textId="77777777" w:rsidR="00E65D83" w:rsidRPr="00E65D83" w:rsidRDefault="00E65D83" w:rsidP="00E65D83">
      <w:pPr>
        <w:spacing w:line="480" w:lineRule="auto"/>
        <w:rPr>
          <w:rFonts w:ascii="Times New Roman" w:hAnsi="Times New Roman" w:cs="Times New Roman"/>
        </w:rPr>
      </w:pPr>
    </w:p>
    <w:p w14:paraId="53C4F93C" w14:textId="77777777" w:rsidR="00E65D83" w:rsidRPr="00E65D83" w:rsidRDefault="00E65D83" w:rsidP="00E65D83">
      <w:pPr>
        <w:spacing w:line="480" w:lineRule="auto"/>
        <w:rPr>
          <w:rFonts w:ascii="Times New Roman" w:hAnsi="Times New Roman" w:cs="Times New Roman"/>
        </w:rPr>
      </w:pPr>
    </w:p>
    <w:p w14:paraId="469A66DC" w14:textId="77777777" w:rsidR="00E65D83" w:rsidRPr="00E65D83" w:rsidRDefault="00E65D83" w:rsidP="00E65D83">
      <w:pPr>
        <w:spacing w:line="480" w:lineRule="auto"/>
        <w:rPr>
          <w:rFonts w:ascii="Times New Roman" w:hAnsi="Times New Roman" w:cs="Times New Roman"/>
        </w:rPr>
      </w:pPr>
    </w:p>
    <w:p w14:paraId="2C68EDA0" w14:textId="77777777" w:rsidR="00E65D83" w:rsidRPr="00E65D83" w:rsidRDefault="00E65D83" w:rsidP="00E65D83">
      <w:pPr>
        <w:spacing w:line="480" w:lineRule="auto"/>
        <w:rPr>
          <w:rFonts w:ascii="Times New Roman" w:hAnsi="Times New Roman" w:cs="Times New Roman"/>
        </w:rPr>
      </w:pPr>
    </w:p>
    <w:p w14:paraId="5070D596" w14:textId="77777777" w:rsidR="00E65D83" w:rsidRPr="00E65D83" w:rsidRDefault="00E65D83" w:rsidP="00E65D83">
      <w:pPr>
        <w:spacing w:line="480" w:lineRule="auto"/>
        <w:rPr>
          <w:rFonts w:ascii="Times New Roman" w:hAnsi="Times New Roman" w:cs="Times New Roman"/>
        </w:rPr>
      </w:pPr>
    </w:p>
    <w:p w14:paraId="13BEB9C1" w14:textId="77777777" w:rsidR="00E65D83" w:rsidRPr="00E65D83" w:rsidRDefault="00E65D83" w:rsidP="00E65D83">
      <w:pPr>
        <w:spacing w:line="480" w:lineRule="auto"/>
        <w:rPr>
          <w:rFonts w:ascii="Times New Roman" w:hAnsi="Times New Roman" w:cs="Times New Roman"/>
        </w:rPr>
      </w:pPr>
    </w:p>
    <w:p w14:paraId="16E8E7EC" w14:textId="77777777" w:rsidR="00E65D83" w:rsidRDefault="00E65D83" w:rsidP="00E65D83">
      <w:pPr>
        <w:spacing w:line="480" w:lineRule="auto"/>
        <w:rPr>
          <w:rFonts w:ascii="Times New Roman" w:hAnsi="Times New Roman" w:cs="Times New Roman"/>
        </w:rPr>
      </w:pPr>
    </w:p>
    <w:p w14:paraId="5CEC460F" w14:textId="77777777" w:rsidR="00E65D83" w:rsidRDefault="00E65D83" w:rsidP="00E65D83">
      <w:pPr>
        <w:spacing w:line="480" w:lineRule="auto"/>
        <w:rPr>
          <w:rFonts w:ascii="Times New Roman" w:hAnsi="Times New Roman" w:cs="Times New Roman"/>
        </w:rPr>
      </w:pPr>
    </w:p>
    <w:p w14:paraId="4E2D2EDD" w14:textId="77777777" w:rsidR="00E65D83" w:rsidRDefault="00E65D83" w:rsidP="00E65D83">
      <w:pPr>
        <w:spacing w:line="480" w:lineRule="auto"/>
        <w:rPr>
          <w:rFonts w:ascii="Times New Roman" w:hAnsi="Times New Roman" w:cs="Times New Roman"/>
        </w:rPr>
      </w:pPr>
    </w:p>
    <w:p w14:paraId="5FC2FC7D" w14:textId="77777777" w:rsidR="00E65D83" w:rsidRPr="00E65D83" w:rsidRDefault="00E65D83" w:rsidP="00E65D83">
      <w:pPr>
        <w:spacing w:line="480" w:lineRule="auto"/>
        <w:rPr>
          <w:rFonts w:ascii="Times New Roman" w:hAnsi="Times New Roman" w:cs="Times New Roman"/>
        </w:rPr>
      </w:pPr>
    </w:p>
    <w:p w14:paraId="5DC43F1F" w14:textId="565D30AF" w:rsidR="00E65D83" w:rsidRPr="00E65D83" w:rsidRDefault="00E65D83" w:rsidP="00E65D83">
      <w:pPr>
        <w:spacing w:line="480" w:lineRule="auto"/>
        <w:rPr>
          <w:rFonts w:ascii="Times New Roman" w:hAnsi="Times New Roman" w:cs="Times New Roman"/>
        </w:rPr>
      </w:pPr>
      <w:r w:rsidRPr="00E65D83">
        <w:rPr>
          <w:rFonts w:ascii="Times New Roman" w:hAnsi="Times New Roman" w:cs="Times New Roman"/>
        </w:rPr>
        <w:lastRenderedPageBreak/>
        <w:t>Reference list</w:t>
      </w:r>
    </w:p>
    <w:p w14:paraId="5AF77571" w14:textId="2BEB71BA"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Clark, S.E., Brower, G.L., Rosenthal, R., Hicks, M.J., &amp; Moreland, M.B. (2013). Lineup administrator influences on eyewitness identification and eyewitness confidence. </w:t>
      </w:r>
      <w:r w:rsidRPr="00E65D83">
        <w:rPr>
          <w:rFonts w:ascii="Times New Roman" w:hAnsi="Times New Roman" w:cs="Times New Roman"/>
          <w:i/>
          <w:iCs/>
        </w:rPr>
        <w:t>Journal of Applied Research in Memory and Cognition, 2</w:t>
      </w:r>
      <w:r w:rsidRPr="00E65D83">
        <w:rPr>
          <w:rFonts w:ascii="Times New Roman" w:hAnsi="Times New Roman" w:cs="Times New Roman"/>
        </w:rPr>
        <w:t xml:space="preserve">(3), p.158-165. </w:t>
      </w:r>
      <w:hyperlink r:id="rId4" w:history="1">
        <w:r w:rsidRPr="00940593">
          <w:rPr>
            <w:rStyle w:val="Hyperlink"/>
            <w:rFonts w:ascii="Times New Roman" w:hAnsi="Times New Roman" w:cs="Times New Roman"/>
          </w:rPr>
          <w:t>https://doi.org/10.1016/j.jarmac.2013.06.003</w:t>
        </w:r>
      </w:hyperlink>
    </w:p>
    <w:p w14:paraId="48527ABC" w14:textId="54D935A2"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Clark, S.E., Marshall, T.E., &amp; Rosenthal, R. (2009). Lineup administrator influences on eyewitness identification decisions. </w:t>
      </w:r>
      <w:r w:rsidRPr="00E65D83">
        <w:rPr>
          <w:rFonts w:ascii="Times New Roman" w:hAnsi="Times New Roman" w:cs="Times New Roman"/>
          <w:i/>
          <w:iCs/>
        </w:rPr>
        <w:t>Journal of Experimental Psychology, 15</w:t>
      </w:r>
      <w:r w:rsidRPr="00E65D83">
        <w:rPr>
          <w:rFonts w:ascii="Times New Roman" w:hAnsi="Times New Roman" w:cs="Times New Roman"/>
        </w:rPr>
        <w:t xml:space="preserve">(1), p.63-75. </w:t>
      </w:r>
      <w:hyperlink r:id="rId5" w:history="1">
        <w:r w:rsidRPr="00940593">
          <w:rPr>
            <w:rStyle w:val="Hyperlink"/>
            <w:rFonts w:ascii="Times New Roman" w:hAnsi="Times New Roman" w:cs="Times New Roman"/>
          </w:rPr>
          <w:t>https://research-ebsco-com.ezproxy.uwtsd.ac.uk/linkprocessor/v2-external?opid=onvpsy&amp;recordId=fy5svgvbjf&amp;url=http%3A%2F%2Fdx.doi.org%2F10.1037%2Fa0015185</w:t>
        </w:r>
      </w:hyperlink>
    </w:p>
    <w:p w14:paraId="7B24A070" w14:textId="5595F5A9" w:rsidR="00E65D83" w:rsidRPr="00E65D83" w:rsidRDefault="00E65D83" w:rsidP="00E65D83">
      <w:pPr>
        <w:spacing w:line="480" w:lineRule="auto"/>
        <w:ind w:left="720" w:hanging="720"/>
        <w:rPr>
          <w:rFonts w:ascii="Times New Roman" w:hAnsi="Times New Roman" w:cs="Times New Roman"/>
        </w:rPr>
      </w:pPr>
      <w:proofErr w:type="spellStart"/>
      <w:r w:rsidRPr="00E65D83">
        <w:rPr>
          <w:rFonts w:ascii="Times New Roman" w:hAnsi="Times New Roman" w:cs="Times New Roman"/>
        </w:rPr>
        <w:t>Dobolyi</w:t>
      </w:r>
      <w:proofErr w:type="spellEnd"/>
      <w:r w:rsidRPr="00E65D83">
        <w:rPr>
          <w:rFonts w:ascii="Times New Roman" w:hAnsi="Times New Roman" w:cs="Times New Roman"/>
        </w:rPr>
        <w:t xml:space="preserve">, D.G., &amp; Dodson, C.S. (2013). Witness confidence in simultaneous and sequential lineups: Criterion shift accounts for sequential mistaken identification overconfidence. </w:t>
      </w:r>
      <w:r w:rsidRPr="00E65D83">
        <w:rPr>
          <w:rFonts w:ascii="Times New Roman" w:hAnsi="Times New Roman" w:cs="Times New Roman"/>
          <w:i/>
          <w:iCs/>
        </w:rPr>
        <w:t>Journal of Experiment Psychology, 19</w:t>
      </w:r>
      <w:r w:rsidRPr="00E65D83">
        <w:rPr>
          <w:rFonts w:ascii="Times New Roman" w:hAnsi="Times New Roman" w:cs="Times New Roman"/>
        </w:rPr>
        <w:t xml:space="preserve">(4), p.345-357. </w:t>
      </w:r>
      <w:hyperlink r:id="rId6" w:history="1">
        <w:r w:rsidRPr="00E65D83">
          <w:rPr>
            <w:rStyle w:val="Hyperlink"/>
            <w:rFonts w:ascii="Times New Roman" w:hAnsi="Times New Roman" w:cs="Times New Roman"/>
          </w:rPr>
          <w:t>10.1037/a0034596</w:t>
        </w:r>
      </w:hyperlink>
    </w:p>
    <w:p w14:paraId="1D63E2AB" w14:textId="392EDB0B"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Garrett, B.L., Liu, A., </w:t>
      </w:r>
      <w:proofErr w:type="spellStart"/>
      <w:r w:rsidRPr="00E65D83">
        <w:rPr>
          <w:rFonts w:ascii="Times New Roman" w:hAnsi="Times New Roman" w:cs="Times New Roman"/>
        </w:rPr>
        <w:t>Kafadar</w:t>
      </w:r>
      <w:proofErr w:type="spellEnd"/>
      <w:r w:rsidRPr="00E65D83">
        <w:rPr>
          <w:rFonts w:ascii="Times New Roman" w:hAnsi="Times New Roman" w:cs="Times New Roman"/>
        </w:rPr>
        <w:t xml:space="preserve">, K., Yaffe, J., &amp; Dodson, C.S. (2020). Factoring the Role of Eyewitness Evidence in the Courtroom. </w:t>
      </w:r>
      <w:r w:rsidRPr="00E65D83">
        <w:rPr>
          <w:rFonts w:ascii="Times New Roman" w:hAnsi="Times New Roman" w:cs="Times New Roman"/>
          <w:i/>
          <w:iCs/>
        </w:rPr>
        <w:t>Journal of Empirical Legal Studies, 17</w:t>
      </w:r>
      <w:r w:rsidRPr="00E65D83">
        <w:rPr>
          <w:rFonts w:ascii="Times New Roman" w:hAnsi="Times New Roman" w:cs="Times New Roman"/>
        </w:rPr>
        <w:t xml:space="preserve">(3), p.556-579. </w:t>
      </w:r>
      <w:hyperlink r:id="rId7" w:history="1">
        <w:r w:rsidRPr="00940593">
          <w:rPr>
            <w:rStyle w:val="Hyperlink"/>
            <w:rFonts w:ascii="Times New Roman" w:hAnsi="Times New Roman" w:cs="Times New Roman"/>
          </w:rPr>
          <w:t>https://doi.org/10.1111/jels.12259</w:t>
        </w:r>
      </w:hyperlink>
    </w:p>
    <w:p w14:paraId="6078BA8B" w14:textId="6E1866DB"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Gronlund, S.D., Carlson, C.A., </w:t>
      </w:r>
      <w:proofErr w:type="spellStart"/>
      <w:r w:rsidRPr="00E65D83">
        <w:rPr>
          <w:rFonts w:ascii="Times New Roman" w:hAnsi="Times New Roman" w:cs="Times New Roman"/>
        </w:rPr>
        <w:t>Neuschatz</w:t>
      </w:r>
      <w:proofErr w:type="spellEnd"/>
      <w:r w:rsidRPr="00E65D83">
        <w:rPr>
          <w:rFonts w:ascii="Times New Roman" w:hAnsi="Times New Roman" w:cs="Times New Roman"/>
        </w:rPr>
        <w:t xml:space="preserve">, J.S., Goodsell, C.A., Wetmore, S.A., </w:t>
      </w:r>
      <w:proofErr w:type="spellStart"/>
      <w:proofErr w:type="gramStart"/>
      <w:r w:rsidRPr="00E65D83">
        <w:rPr>
          <w:rFonts w:ascii="Times New Roman" w:hAnsi="Times New Roman" w:cs="Times New Roman"/>
        </w:rPr>
        <w:t>Wooten,A</w:t>
      </w:r>
      <w:proofErr w:type="spellEnd"/>
      <w:r w:rsidRPr="00E65D83">
        <w:rPr>
          <w:rFonts w:ascii="Times New Roman" w:hAnsi="Times New Roman" w:cs="Times New Roman"/>
        </w:rPr>
        <w:t>.</w:t>
      </w:r>
      <w:proofErr w:type="gramEnd"/>
      <w:r w:rsidRPr="00E65D83">
        <w:rPr>
          <w:rFonts w:ascii="Times New Roman" w:hAnsi="Times New Roman" w:cs="Times New Roman"/>
        </w:rPr>
        <w:t xml:space="preserve">, &amp; Graham, M. (2012). Showups versus lineups: An evaluation using ROC analysis. </w:t>
      </w:r>
      <w:r w:rsidRPr="00E65D83">
        <w:rPr>
          <w:rFonts w:ascii="Times New Roman" w:hAnsi="Times New Roman" w:cs="Times New Roman"/>
          <w:i/>
          <w:iCs/>
        </w:rPr>
        <w:t>Journal of Applied Research in Memory and Cognition, 1</w:t>
      </w:r>
      <w:r w:rsidRPr="00E65D83">
        <w:rPr>
          <w:rFonts w:ascii="Times New Roman" w:hAnsi="Times New Roman" w:cs="Times New Roman"/>
        </w:rPr>
        <w:t xml:space="preserve">(4), p.221-228. </w:t>
      </w:r>
      <w:hyperlink r:id="rId8" w:history="1">
        <w:r w:rsidRPr="00940593">
          <w:rPr>
            <w:rStyle w:val="Hyperlink"/>
            <w:rFonts w:ascii="Times New Roman" w:hAnsi="Times New Roman" w:cs="Times New Roman"/>
          </w:rPr>
          <w:t>https://doi.org/10.1016/j.jarmac.2012.09.003</w:t>
        </w:r>
      </w:hyperlink>
    </w:p>
    <w:p w14:paraId="1B975CC9" w14:textId="54B991BA"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Kellen, D., &amp; McAdoo, R.M. (2022). Toward a more comprehensive modelling of sequential lineups. </w:t>
      </w:r>
      <w:r w:rsidRPr="00E65D83">
        <w:rPr>
          <w:rFonts w:ascii="Times New Roman" w:hAnsi="Times New Roman" w:cs="Times New Roman"/>
          <w:i/>
          <w:iCs/>
        </w:rPr>
        <w:t>Cognitive Research: Principles and Implications, 7</w:t>
      </w:r>
      <w:r w:rsidRPr="00E65D83">
        <w:rPr>
          <w:rFonts w:ascii="Times New Roman" w:hAnsi="Times New Roman" w:cs="Times New Roman"/>
        </w:rPr>
        <w:t xml:space="preserve">. </w:t>
      </w:r>
      <w:hyperlink r:id="rId9" w:history="1">
        <w:r w:rsidRPr="00940593">
          <w:rPr>
            <w:rStyle w:val="Hyperlink"/>
            <w:rFonts w:ascii="Times New Roman" w:hAnsi="Times New Roman" w:cs="Times New Roman"/>
          </w:rPr>
          <w:t>https://doi.org/10.1186/s41235-022-00397-3</w:t>
        </w:r>
      </w:hyperlink>
    </w:p>
    <w:p w14:paraId="3EE14DFA" w14:textId="74FE24DD"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lastRenderedPageBreak/>
        <w:t xml:space="preserve">Lee, J., &amp; Penrod, S.D. (2019). New signal detection theory-based framework for eyewitness performance in lineups. </w:t>
      </w:r>
      <w:r w:rsidRPr="00E65D83">
        <w:rPr>
          <w:rFonts w:ascii="Times New Roman" w:hAnsi="Times New Roman" w:cs="Times New Roman"/>
          <w:i/>
          <w:iCs/>
        </w:rPr>
        <w:t>Law and Human Behaviour, 43</w:t>
      </w:r>
      <w:r w:rsidRPr="00E65D83">
        <w:rPr>
          <w:rFonts w:ascii="Times New Roman" w:hAnsi="Times New Roman" w:cs="Times New Roman"/>
        </w:rPr>
        <w:t xml:space="preserve">(5), p.436-454. </w:t>
      </w:r>
      <w:hyperlink r:id="rId10" w:history="1">
        <w:r w:rsidRPr="00940593">
          <w:rPr>
            <w:rStyle w:val="Hyperlink"/>
            <w:rFonts w:ascii="Times New Roman" w:hAnsi="Times New Roman" w:cs="Times New Roman"/>
          </w:rPr>
          <w:t>https://doi.org/10.1037/lhb0000343</w:t>
        </w:r>
      </w:hyperlink>
    </w:p>
    <w:p w14:paraId="2E0F6551" w14:textId="0276B94D"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Lindsey, R.C.L., &amp; Wells, G.L. (1985). Improving eyewitness identification from lineups: Simultaneous versus sequential lineup presentation. </w:t>
      </w:r>
      <w:r w:rsidRPr="00E65D83">
        <w:rPr>
          <w:rFonts w:ascii="Times New Roman" w:hAnsi="Times New Roman" w:cs="Times New Roman"/>
          <w:i/>
          <w:iCs/>
        </w:rPr>
        <w:t>Journal of Applied Psychology, 70</w:t>
      </w:r>
      <w:r w:rsidRPr="00E65D83">
        <w:rPr>
          <w:rFonts w:ascii="Times New Roman" w:hAnsi="Times New Roman" w:cs="Times New Roman"/>
        </w:rPr>
        <w:t xml:space="preserve">, p.556-564. </w:t>
      </w:r>
      <w:hyperlink r:id="rId11" w:history="1">
        <w:r w:rsidRPr="00940593">
          <w:rPr>
            <w:rStyle w:val="Hyperlink"/>
            <w:rFonts w:ascii="Times New Roman" w:hAnsi="Times New Roman" w:cs="Times New Roman"/>
          </w:rPr>
          <w:t>https://citeseerx.ist.psu.edu/document?repid=rep1&amp;type=pdf&amp;doi=57957fa622e83c9abd8fb03f147ed178f36cb94e</w:t>
        </w:r>
      </w:hyperlink>
    </w:p>
    <w:p w14:paraId="7CF5ECE1" w14:textId="3C055761" w:rsid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McAdoo, R.M., &amp; Gronlund, S.D. (2016). Relative judgement theory and the meditation of facial recognition: Implications for theories of eyewitness identification. </w:t>
      </w:r>
      <w:r w:rsidRPr="00E65D83">
        <w:rPr>
          <w:rFonts w:ascii="Times New Roman" w:hAnsi="Times New Roman" w:cs="Times New Roman"/>
          <w:i/>
          <w:iCs/>
        </w:rPr>
        <w:t>Cognitive Research: Principles and Implications, 1</w:t>
      </w:r>
      <w:r w:rsidRPr="00E65D83">
        <w:rPr>
          <w:rFonts w:ascii="Times New Roman" w:hAnsi="Times New Roman" w:cs="Times New Roman"/>
        </w:rPr>
        <w:t xml:space="preserve">(11). </w:t>
      </w:r>
      <w:hyperlink r:id="rId12" w:history="1">
        <w:r w:rsidRPr="00940593">
          <w:rPr>
            <w:rStyle w:val="Hyperlink"/>
            <w:rFonts w:ascii="Times New Roman" w:hAnsi="Times New Roman" w:cs="Times New Roman"/>
          </w:rPr>
          <w:t>https://doi.org/10.1186/s41235-016-0014-7</w:t>
        </w:r>
      </w:hyperlink>
    </w:p>
    <w:p w14:paraId="1FE9D02F" w14:textId="77777777" w:rsidR="00E65D83" w:rsidRPr="00E65D83" w:rsidRDefault="00E65D83" w:rsidP="00E65D83">
      <w:pPr>
        <w:spacing w:line="480" w:lineRule="auto"/>
        <w:ind w:left="720" w:hanging="720"/>
        <w:rPr>
          <w:rFonts w:ascii="Times New Roman" w:hAnsi="Times New Roman" w:cs="Times New Roman"/>
        </w:rPr>
      </w:pPr>
    </w:p>
    <w:p w14:paraId="2120E090" w14:textId="1FAF7273"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Mickes, L., Wilson, B.M., &amp; Wixted, J.T (2025). The cognitive science of eyewitness memory. </w:t>
      </w:r>
      <w:r w:rsidRPr="00E65D83">
        <w:rPr>
          <w:rFonts w:ascii="Times New Roman" w:hAnsi="Times New Roman" w:cs="Times New Roman"/>
          <w:i/>
          <w:iCs/>
        </w:rPr>
        <w:t>Trends in Cognitive Sciences</w:t>
      </w:r>
      <w:r w:rsidRPr="00E65D83">
        <w:rPr>
          <w:rFonts w:ascii="Times New Roman" w:hAnsi="Times New Roman" w:cs="Times New Roman"/>
        </w:rPr>
        <w:t xml:space="preserve">. </w:t>
      </w:r>
      <w:hyperlink r:id="rId13" w:history="1">
        <w:r w:rsidRPr="00940593">
          <w:rPr>
            <w:rStyle w:val="Hyperlink"/>
            <w:rFonts w:ascii="Times New Roman" w:hAnsi="Times New Roman" w:cs="Times New Roman"/>
          </w:rPr>
          <w:t>https://doi.org/10.1016/j.tics.2025.01.008</w:t>
        </w:r>
      </w:hyperlink>
    </w:p>
    <w:p w14:paraId="76D430FB" w14:textId="28C67774"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National Institute of Justice. (2023). The Impact of False or Misleading Forensic Evidence on Wrongful Convictions. </w:t>
      </w:r>
      <w:r w:rsidRPr="00E65D83">
        <w:rPr>
          <w:rFonts w:ascii="Times New Roman" w:hAnsi="Times New Roman" w:cs="Times New Roman"/>
          <w:i/>
          <w:iCs/>
        </w:rPr>
        <w:t>National Institute of Justice</w:t>
      </w:r>
      <w:r w:rsidRPr="00E65D83">
        <w:rPr>
          <w:rFonts w:ascii="Times New Roman" w:hAnsi="Times New Roman" w:cs="Times New Roman"/>
        </w:rPr>
        <w:t xml:space="preserve">. </w:t>
      </w:r>
      <w:hyperlink r:id="rId14" w:history="1">
        <w:r w:rsidRPr="00940593">
          <w:rPr>
            <w:rStyle w:val="Hyperlink"/>
            <w:rFonts w:ascii="Times New Roman" w:hAnsi="Times New Roman" w:cs="Times New Roman"/>
          </w:rPr>
          <w:t>https://nij.ojp.gov/topics/articles/impact-false-or-misleading-forensic-evidence-wrongful-convictions</w:t>
        </w:r>
      </w:hyperlink>
    </w:p>
    <w:p w14:paraId="21662C06" w14:textId="60E1672B"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Seale-Carlisle, T.M., Quigley-McBride, A., </w:t>
      </w:r>
      <w:proofErr w:type="spellStart"/>
      <w:r w:rsidRPr="00E65D83">
        <w:rPr>
          <w:rFonts w:ascii="Times New Roman" w:hAnsi="Times New Roman" w:cs="Times New Roman"/>
        </w:rPr>
        <w:t>Teitcher</w:t>
      </w:r>
      <w:proofErr w:type="spellEnd"/>
      <w:r w:rsidRPr="00E65D83">
        <w:rPr>
          <w:rFonts w:ascii="Times New Roman" w:hAnsi="Times New Roman" w:cs="Times New Roman"/>
        </w:rPr>
        <w:t xml:space="preserve">, J.E.F., Crozier, W.E., Dodson, C.S., &amp; Garrett, B.L. (2024). New insights on expert opinion about eyewitness memory research. </w:t>
      </w:r>
      <w:r w:rsidRPr="00E65D83">
        <w:rPr>
          <w:rFonts w:ascii="Times New Roman" w:hAnsi="Times New Roman" w:cs="Times New Roman"/>
          <w:i/>
          <w:iCs/>
        </w:rPr>
        <w:t>Perspectives on Psychological Science</w:t>
      </w:r>
      <w:r w:rsidRPr="00E65D83">
        <w:rPr>
          <w:rFonts w:ascii="Times New Roman" w:hAnsi="Times New Roman" w:cs="Times New Roman"/>
        </w:rPr>
        <w:t xml:space="preserve">. </w:t>
      </w:r>
      <w:hyperlink r:id="rId15" w:history="1">
        <w:r w:rsidRPr="00940593">
          <w:rPr>
            <w:rStyle w:val="Hyperlink"/>
            <w:rFonts w:ascii="Times New Roman" w:hAnsi="Times New Roman" w:cs="Times New Roman"/>
          </w:rPr>
          <w:t>https://doi.org/10.1177/17456916241234837</w:t>
        </w:r>
      </w:hyperlink>
    </w:p>
    <w:p w14:paraId="44AEB599" w14:textId="423FC825"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lastRenderedPageBreak/>
        <w:t xml:space="preserve">Wells, G.L., Memon, A., &amp; Penrod, S.D. (2006). Eyewitness evidence: Improving its probative value. </w:t>
      </w:r>
      <w:r w:rsidRPr="00E65D83">
        <w:rPr>
          <w:rFonts w:ascii="Times New Roman" w:hAnsi="Times New Roman" w:cs="Times New Roman"/>
          <w:i/>
          <w:iCs/>
        </w:rPr>
        <w:t>Psychological Science in the Public Interest, 7</w:t>
      </w:r>
      <w:r w:rsidRPr="00E65D83">
        <w:rPr>
          <w:rFonts w:ascii="Times New Roman" w:hAnsi="Times New Roman" w:cs="Times New Roman"/>
        </w:rPr>
        <w:t xml:space="preserve">(2), p.45-75. </w:t>
      </w:r>
      <w:hyperlink r:id="rId16" w:history="1">
        <w:r w:rsidRPr="00940593">
          <w:rPr>
            <w:rStyle w:val="Hyperlink"/>
            <w:rFonts w:ascii="Times New Roman" w:hAnsi="Times New Roman" w:cs="Times New Roman"/>
          </w:rPr>
          <w:t>https://doi.org/10.1111/j.1529-1006.2006.00027.x</w:t>
        </w:r>
      </w:hyperlink>
    </w:p>
    <w:p w14:paraId="7D806E1E" w14:textId="77777777" w:rsidR="00E65D83" w:rsidRP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Wixted, J.T., &amp; Mickes, B.J. (2014). The signal detection theory and eyewitness identification accuracy. </w:t>
      </w:r>
      <w:r w:rsidRPr="00E65D83">
        <w:rPr>
          <w:rFonts w:ascii="Times New Roman" w:hAnsi="Times New Roman" w:cs="Times New Roman"/>
          <w:i/>
          <w:iCs/>
        </w:rPr>
        <w:t>Journal of Experimental Psychology: Applied, 20</w:t>
      </w:r>
      <w:r w:rsidRPr="00E65D83">
        <w:rPr>
          <w:rFonts w:ascii="Times New Roman" w:hAnsi="Times New Roman" w:cs="Times New Roman"/>
        </w:rPr>
        <w:t xml:space="preserve">(1), p.12-27. </w:t>
      </w:r>
    </w:p>
    <w:p w14:paraId="71EB36CA" w14:textId="17268951" w:rsidR="00E65D83" w:rsidRDefault="00E65D83" w:rsidP="00E65D83">
      <w:pPr>
        <w:spacing w:line="480" w:lineRule="auto"/>
        <w:ind w:left="720" w:hanging="720"/>
        <w:rPr>
          <w:rFonts w:ascii="Times New Roman" w:hAnsi="Times New Roman" w:cs="Times New Roman"/>
        </w:rPr>
      </w:pPr>
      <w:r w:rsidRPr="00E65D83">
        <w:rPr>
          <w:rFonts w:ascii="Times New Roman" w:hAnsi="Times New Roman" w:cs="Times New Roman"/>
        </w:rPr>
        <w:t xml:space="preserve">Wright, D. (2007). The impact of eyewitness identifications from simultaneous and sequential lineups. </w:t>
      </w:r>
      <w:r w:rsidRPr="00E65D83">
        <w:rPr>
          <w:rFonts w:ascii="Times New Roman" w:hAnsi="Times New Roman" w:cs="Times New Roman"/>
          <w:i/>
          <w:iCs/>
        </w:rPr>
        <w:t>Memory, 15</w:t>
      </w:r>
      <w:r w:rsidRPr="00E65D83">
        <w:rPr>
          <w:rFonts w:ascii="Times New Roman" w:hAnsi="Times New Roman" w:cs="Times New Roman"/>
        </w:rPr>
        <w:t xml:space="preserve">(7), p.746-754. </w:t>
      </w:r>
      <w:hyperlink r:id="rId17" w:history="1">
        <w:r w:rsidRPr="00940593">
          <w:rPr>
            <w:rStyle w:val="Hyperlink"/>
            <w:rFonts w:ascii="Times New Roman" w:hAnsi="Times New Roman" w:cs="Times New Roman"/>
          </w:rPr>
          <w:t>https://doi.org/10.1080/09658210701508401</w:t>
        </w:r>
      </w:hyperlink>
    </w:p>
    <w:p w14:paraId="34D54FA1" w14:textId="77777777" w:rsidR="00E65D83" w:rsidRPr="00E65D83" w:rsidRDefault="00E65D83" w:rsidP="00E65D83">
      <w:pPr>
        <w:rPr>
          <w:rFonts w:ascii="Times New Roman" w:hAnsi="Times New Roman" w:cs="Times New Roman"/>
        </w:rPr>
      </w:pPr>
    </w:p>
    <w:sectPr w:rsidR="00E65D83" w:rsidRPr="00E65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D83"/>
    <w:rsid w:val="007C18D2"/>
    <w:rsid w:val="00E65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964DE9"/>
  <w15:chartTrackingRefBased/>
  <w15:docId w15:val="{50789347-903C-1B4A-811E-3B0EE951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D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D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D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D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D83"/>
    <w:rPr>
      <w:rFonts w:eastAsiaTheme="majorEastAsia" w:cstheme="majorBidi"/>
      <w:color w:val="272727" w:themeColor="text1" w:themeTint="D8"/>
    </w:rPr>
  </w:style>
  <w:style w:type="paragraph" w:styleId="Title">
    <w:name w:val="Title"/>
    <w:basedOn w:val="Normal"/>
    <w:next w:val="Normal"/>
    <w:link w:val="TitleChar"/>
    <w:uiPriority w:val="10"/>
    <w:qFormat/>
    <w:rsid w:val="00E65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D83"/>
    <w:pPr>
      <w:spacing w:before="160"/>
      <w:jc w:val="center"/>
    </w:pPr>
    <w:rPr>
      <w:i/>
      <w:iCs/>
      <w:color w:val="404040" w:themeColor="text1" w:themeTint="BF"/>
    </w:rPr>
  </w:style>
  <w:style w:type="character" w:customStyle="1" w:styleId="QuoteChar">
    <w:name w:val="Quote Char"/>
    <w:basedOn w:val="DefaultParagraphFont"/>
    <w:link w:val="Quote"/>
    <w:uiPriority w:val="29"/>
    <w:rsid w:val="00E65D83"/>
    <w:rPr>
      <w:i/>
      <w:iCs/>
      <w:color w:val="404040" w:themeColor="text1" w:themeTint="BF"/>
    </w:rPr>
  </w:style>
  <w:style w:type="paragraph" w:styleId="ListParagraph">
    <w:name w:val="List Paragraph"/>
    <w:basedOn w:val="Normal"/>
    <w:uiPriority w:val="34"/>
    <w:qFormat/>
    <w:rsid w:val="00E65D83"/>
    <w:pPr>
      <w:ind w:left="720"/>
      <w:contextualSpacing/>
    </w:pPr>
  </w:style>
  <w:style w:type="character" w:styleId="IntenseEmphasis">
    <w:name w:val="Intense Emphasis"/>
    <w:basedOn w:val="DefaultParagraphFont"/>
    <w:uiPriority w:val="21"/>
    <w:qFormat/>
    <w:rsid w:val="00E65D83"/>
    <w:rPr>
      <w:i/>
      <w:iCs/>
      <w:color w:val="0F4761" w:themeColor="accent1" w:themeShade="BF"/>
    </w:rPr>
  </w:style>
  <w:style w:type="paragraph" w:styleId="IntenseQuote">
    <w:name w:val="Intense Quote"/>
    <w:basedOn w:val="Normal"/>
    <w:next w:val="Normal"/>
    <w:link w:val="IntenseQuoteChar"/>
    <w:uiPriority w:val="30"/>
    <w:qFormat/>
    <w:rsid w:val="00E65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D83"/>
    <w:rPr>
      <w:i/>
      <w:iCs/>
      <w:color w:val="0F4761" w:themeColor="accent1" w:themeShade="BF"/>
    </w:rPr>
  </w:style>
  <w:style w:type="character" w:styleId="IntenseReference">
    <w:name w:val="Intense Reference"/>
    <w:basedOn w:val="DefaultParagraphFont"/>
    <w:uiPriority w:val="32"/>
    <w:qFormat/>
    <w:rsid w:val="00E65D83"/>
    <w:rPr>
      <w:b/>
      <w:bCs/>
      <w:smallCaps/>
      <w:color w:val="0F4761" w:themeColor="accent1" w:themeShade="BF"/>
      <w:spacing w:val="5"/>
    </w:rPr>
  </w:style>
  <w:style w:type="character" w:styleId="Hyperlink">
    <w:name w:val="Hyperlink"/>
    <w:basedOn w:val="DefaultParagraphFont"/>
    <w:uiPriority w:val="99"/>
    <w:unhideWhenUsed/>
    <w:rsid w:val="00E65D83"/>
    <w:rPr>
      <w:color w:val="467886" w:themeColor="hyperlink"/>
      <w:u w:val="single"/>
    </w:rPr>
  </w:style>
  <w:style w:type="character" w:styleId="UnresolvedMention">
    <w:name w:val="Unresolved Mention"/>
    <w:basedOn w:val="DefaultParagraphFont"/>
    <w:uiPriority w:val="99"/>
    <w:semiHidden/>
    <w:unhideWhenUsed/>
    <w:rsid w:val="00E65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rmac.2012.09.003" TargetMode="External"/><Relationship Id="rId13" Type="http://schemas.openxmlformats.org/officeDocument/2006/relationships/hyperlink" Target="https://doi.org/10.1016/j.tics.2025.01.008"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jels.12259" TargetMode="External"/><Relationship Id="rId12" Type="http://schemas.openxmlformats.org/officeDocument/2006/relationships/hyperlink" Target="https://doi.org/10.1186/s41235-016-0014-7" TargetMode="External"/><Relationship Id="rId17" Type="http://schemas.openxmlformats.org/officeDocument/2006/relationships/hyperlink" Target="https://doi.org/10.1080/09658210701508401" TargetMode="External"/><Relationship Id="rId2" Type="http://schemas.openxmlformats.org/officeDocument/2006/relationships/settings" Target="settings.xml"/><Relationship Id="rId16" Type="http://schemas.openxmlformats.org/officeDocument/2006/relationships/hyperlink" Target="https://doi.org/10.1111/j.1529-1006.2006.00027.x" TargetMode="External"/><Relationship Id="rId1" Type="http://schemas.openxmlformats.org/officeDocument/2006/relationships/styles" Target="styles.xml"/><Relationship Id="rId6" Type="http://schemas.openxmlformats.org/officeDocument/2006/relationships/hyperlink" Target="10.1037/a0034596" TargetMode="External"/><Relationship Id="rId11" Type="http://schemas.openxmlformats.org/officeDocument/2006/relationships/hyperlink" Target="https://citeseerx.ist.psu.edu/document?repid=rep1&amp;type=pdf&amp;doi=57957fa622e83c9abd8fb03f147ed178f36cb94e" TargetMode="External"/><Relationship Id="rId5" Type="http://schemas.openxmlformats.org/officeDocument/2006/relationships/hyperlink" Target="https://research-ebsco-com.ezproxy.uwtsd.ac.uk/linkprocessor/v2-external?opid=onvpsy&amp;recordId=fy5svgvbjf&amp;url=http%3A%2F%2Fdx.doi.org%2F10.1037%2Fa0015185" TargetMode="External"/><Relationship Id="rId15" Type="http://schemas.openxmlformats.org/officeDocument/2006/relationships/hyperlink" Target="https://doi.org/10.1177/17456916241234837" TargetMode="External"/><Relationship Id="rId10" Type="http://schemas.openxmlformats.org/officeDocument/2006/relationships/hyperlink" Target="https://doi.org/10.1037/lhb0000343" TargetMode="External"/><Relationship Id="rId19" Type="http://schemas.openxmlformats.org/officeDocument/2006/relationships/theme" Target="theme/theme1.xml"/><Relationship Id="rId4" Type="http://schemas.openxmlformats.org/officeDocument/2006/relationships/hyperlink" Target="https://doi.org/10.1016/j.jarmac.2013.06.003" TargetMode="External"/><Relationship Id="rId9" Type="http://schemas.openxmlformats.org/officeDocument/2006/relationships/hyperlink" Target="https://doi.org/10.1186/s41235-022-00397-3" TargetMode="External"/><Relationship Id="rId14" Type="http://schemas.openxmlformats.org/officeDocument/2006/relationships/hyperlink" Target="https://nij.ojp.gov/topics/articles/impact-false-or-misleading-forensic-evidence-wrongful-convi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3422</Words>
  <Characters>19510</Characters>
  <Application>Microsoft Office Word</Application>
  <DocSecurity>0</DocSecurity>
  <Lines>162</Lines>
  <Paragraphs>45</Paragraphs>
  <ScaleCrop>false</ScaleCrop>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1</cp:revision>
  <dcterms:created xsi:type="dcterms:W3CDTF">2025-03-18T16:34:00Z</dcterms:created>
  <dcterms:modified xsi:type="dcterms:W3CDTF">2025-03-18T16:40:00Z</dcterms:modified>
</cp:coreProperties>
</file>