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720"/>
        <w:rPr/>
      </w:pPr>
      <w:r w:rsidDel="00000000" w:rsidR="00000000" w:rsidRPr="00000000">
        <w:rPr>
          <w:rtl w:val="0"/>
        </w:rPr>
        <w:t xml:space="preserve">Iamblichus’ </w:t>
      </w:r>
      <w:r w:rsidDel="00000000" w:rsidR="00000000" w:rsidRPr="00000000">
        <w:rPr>
          <w:i w:val="1"/>
          <w:rtl w:val="0"/>
        </w:rPr>
        <w:t xml:space="preserve">De mysteriis </w:t>
      </w:r>
      <w:r w:rsidDel="00000000" w:rsidR="00000000" w:rsidRPr="00000000">
        <w:rPr>
          <w:rtl w:val="0"/>
        </w:rPr>
        <w:t xml:space="preserve">is noted as being the longest surviving prose dedicated to theurgy and its practice in antiquity (Struck, 2000, 489) The </w:t>
      </w:r>
      <w:r w:rsidDel="00000000" w:rsidR="00000000" w:rsidRPr="00000000">
        <w:rPr>
          <w:i w:val="1"/>
          <w:rtl w:val="0"/>
        </w:rPr>
        <w:t xml:space="preserve">De Mysteriis</w:t>
      </w:r>
      <w:r w:rsidDel="00000000" w:rsidR="00000000" w:rsidRPr="00000000">
        <w:rPr>
          <w:rtl w:val="0"/>
        </w:rPr>
        <w:t xml:space="preserve"> is notable a response to Porphyry’s </w:t>
      </w:r>
      <w:r w:rsidDel="00000000" w:rsidR="00000000" w:rsidRPr="00000000">
        <w:rPr>
          <w:i w:val="1"/>
          <w:rtl w:val="0"/>
        </w:rPr>
        <w:t xml:space="preserve">Letters to Anebo </w:t>
      </w:r>
      <w:r w:rsidDel="00000000" w:rsidR="00000000" w:rsidRPr="00000000">
        <w:rPr>
          <w:rtl w:val="0"/>
        </w:rPr>
        <w:t xml:space="preserve">- quoted as being “ a work which contained a series of questions on the nature, function, and operation of religious ideas and practices, such as divination, sacrifice and theurgy” (Addey, 2014, 127) There is ongoing discussion on the date this piece was created, but through historical context, Clarke justifies: “We could also fix the date of the </w:t>
      </w:r>
      <w:r w:rsidDel="00000000" w:rsidR="00000000" w:rsidRPr="00000000">
        <w:rPr>
          <w:i w:val="1"/>
          <w:rtl w:val="0"/>
        </w:rPr>
        <w:t xml:space="preserve">De Mysteriis</w:t>
      </w:r>
      <w:r w:rsidDel="00000000" w:rsidR="00000000" w:rsidRPr="00000000">
        <w:rPr>
          <w:rtl w:val="0"/>
        </w:rPr>
        <w:t xml:space="preserve"> as being after the late 290’s and perhaps before 305” (Clarke, 2001., 19), whereas Porphyrs letter dates to around AD 263-8; during his period as a student of Plotinus, “based largely on the fact that the </w:t>
      </w:r>
      <w:r w:rsidDel="00000000" w:rsidR="00000000" w:rsidRPr="00000000">
        <w:rPr>
          <w:rtl w:val="0"/>
        </w:rPr>
        <w:t xml:space="preserve">Epistle</w:t>
      </w:r>
      <w:r w:rsidDel="00000000" w:rsidR="00000000" w:rsidRPr="00000000">
        <w:rPr>
          <w:rtl w:val="0"/>
        </w:rPr>
        <w:t xml:space="preserve"> displays strong Plotinian tendencies”,</w:t>
      </w:r>
      <w:r w:rsidDel="00000000" w:rsidR="00000000" w:rsidRPr="00000000">
        <w:rPr>
          <w:vertAlign w:val="superscript"/>
        </w:rPr>
        <w:footnoteReference w:customMarkFollows="0" w:id="0"/>
      </w:r>
      <w:r w:rsidDel="00000000" w:rsidR="00000000" w:rsidRPr="00000000">
        <w:rPr>
          <w:rtl w:val="0"/>
        </w:rPr>
        <w:t xml:space="preserve"> (Clarke, 2001., 18) Both pieces were composed within the walls of the Roman Empire - assumed within Rome as this is where Porphyrys school was established. (Iamblichus, 2003, xxi)</w:t>
      </w:r>
    </w:p>
    <w:p w:rsidR="00000000" w:rsidDel="00000000" w:rsidP="00000000" w:rsidRDefault="00000000" w:rsidRPr="00000000" w14:paraId="00000002">
      <w:pPr>
        <w:ind w:firstLine="720"/>
        <w:rPr/>
      </w:pPr>
      <w:r w:rsidDel="00000000" w:rsidR="00000000" w:rsidRPr="00000000">
        <w:rPr>
          <w:rtl w:val="0"/>
        </w:rPr>
        <w:t xml:space="preserve">“The original title of Iamblichus’ </w:t>
      </w:r>
      <w:r w:rsidDel="00000000" w:rsidR="00000000" w:rsidRPr="00000000">
        <w:rPr>
          <w:i w:val="1"/>
          <w:rtl w:val="0"/>
        </w:rPr>
        <w:t xml:space="preserve">De Mysteriis</w:t>
      </w:r>
      <w:r w:rsidDel="00000000" w:rsidR="00000000" w:rsidRPr="00000000">
        <w:rPr>
          <w:rtl w:val="0"/>
        </w:rPr>
        <w:t xml:space="preserve"> is The Reply of the Master Abammon to the Letter of Porphyry to Anebo, and the Solutions to the Questions it Contains” (Addey, 2014, 127) this changed in 1488 when Ficino</w:t>
      </w:r>
      <w:r w:rsidDel="00000000" w:rsidR="00000000" w:rsidRPr="00000000">
        <w:rPr>
          <w:vertAlign w:val="superscript"/>
        </w:rPr>
        <w:footnoteReference w:customMarkFollows="0" w:id="1"/>
      </w:r>
      <w:r w:rsidDel="00000000" w:rsidR="00000000" w:rsidRPr="00000000">
        <w:rPr>
          <w:rtl w:val="0"/>
        </w:rPr>
        <w:t xml:space="preserve"> wrote an excerpt on the </w:t>
      </w:r>
      <w:r w:rsidDel="00000000" w:rsidR="00000000" w:rsidRPr="00000000">
        <w:rPr>
          <w:i w:val="1"/>
          <w:rtl w:val="0"/>
        </w:rPr>
        <w:t xml:space="preserve">De Mysteriis</w:t>
      </w:r>
      <w:r w:rsidDel="00000000" w:rsidR="00000000" w:rsidRPr="00000000">
        <w:rPr>
          <w:rtl w:val="0"/>
        </w:rPr>
        <w:t xml:space="preserve"> - giving the selection of writing that name for the first time. It was then widely adopted.</w:t>
      </w:r>
      <w:r w:rsidDel="00000000" w:rsidR="00000000" w:rsidRPr="00000000">
        <w:rPr>
          <w:vertAlign w:val="superscript"/>
        </w:rPr>
        <w:footnoteReference w:customMarkFollows="0" w:id="2"/>
      </w:r>
      <w:r w:rsidDel="00000000" w:rsidR="00000000" w:rsidRPr="00000000">
        <w:rPr>
          <w:rtl w:val="0"/>
        </w:rPr>
        <w:t xml:space="preserve"> </w:t>
      </w:r>
    </w:p>
    <w:p w:rsidR="00000000" w:rsidDel="00000000" w:rsidP="00000000" w:rsidRDefault="00000000" w:rsidRPr="00000000" w14:paraId="00000003">
      <w:pPr>
        <w:ind w:firstLine="720"/>
        <w:rPr/>
      </w:pPr>
      <w:r w:rsidDel="00000000" w:rsidR="00000000" w:rsidRPr="00000000">
        <w:rPr>
          <w:rtl w:val="0"/>
        </w:rPr>
        <w:t xml:space="preserve">Written as a direct response to Porphyry’s letter, Clarke remarks: “the two works were interdependent; ideally, the two texts should never have been separated”</w:t>
      </w:r>
      <w:r w:rsidDel="00000000" w:rsidR="00000000" w:rsidRPr="00000000">
        <w:rPr>
          <w:vertAlign w:val="superscript"/>
        </w:rPr>
        <w:footnoteReference w:customMarkFollows="0" w:id="3"/>
      </w:r>
      <w:r w:rsidDel="00000000" w:rsidR="00000000" w:rsidRPr="00000000">
        <w:rPr>
          <w:rtl w:val="0"/>
        </w:rPr>
        <w:t xml:space="preserve"> (Clarke, 2001., 15)  As only parts of Porphyry's </w:t>
      </w:r>
      <w:r w:rsidDel="00000000" w:rsidR="00000000" w:rsidRPr="00000000">
        <w:rPr>
          <w:i w:val="1"/>
          <w:rtl w:val="0"/>
        </w:rPr>
        <w:t xml:space="preserve">Letters to Anebo </w:t>
      </w:r>
      <w:r w:rsidDel="00000000" w:rsidR="00000000" w:rsidRPr="00000000">
        <w:rPr>
          <w:rtl w:val="0"/>
        </w:rPr>
        <w:t xml:space="preserve">were preserved into modern-day, it would be fair to conclude that a large majority of the context for </w:t>
      </w:r>
      <w:r w:rsidDel="00000000" w:rsidR="00000000" w:rsidRPr="00000000">
        <w:rPr>
          <w:i w:val="1"/>
          <w:rtl w:val="0"/>
        </w:rPr>
        <w:t xml:space="preserve">De Mysteriis </w:t>
      </w:r>
      <w:r w:rsidDel="00000000" w:rsidR="00000000" w:rsidRPr="00000000">
        <w:rPr>
          <w:rtl w:val="0"/>
        </w:rPr>
        <w:t xml:space="preserve">has been lost as a result. Addey agrees that the “fragmentary nature of the letter increases the difficulties in assessing its nature, purpose and tone”. (Addey, 2014, 127) </w:t>
      </w:r>
    </w:p>
    <w:p w:rsidR="00000000" w:rsidDel="00000000" w:rsidP="00000000" w:rsidRDefault="00000000" w:rsidRPr="00000000" w14:paraId="00000004">
      <w:pPr>
        <w:ind w:firstLine="720"/>
        <w:rPr>
          <w:highlight w:val="white"/>
        </w:rPr>
      </w:pPr>
      <w:r w:rsidDel="00000000" w:rsidR="00000000" w:rsidRPr="00000000">
        <w:rPr>
          <w:rtl w:val="0"/>
        </w:rPr>
        <w:t xml:space="preserve">I question whether the survival of Iamblichus’ portion is a significant indicator of the historical favouritism of his ideas over Porphyrys’- and serves as proof of which is the stronger piece of writing; favouring Iamblichus. Accounts tell us that: Porphyry is ‘lacking in self-confidence and imagination, with an analytical mind and a naïve avidity for knowledge’” In contrast Athanassiadi says Iamblichus appears “ ‘self-possessed, pat</w:t>
      </w:r>
      <w:r w:rsidDel="00000000" w:rsidR="00000000" w:rsidRPr="00000000">
        <w:rPr>
          <w:highlight w:val="white"/>
          <w:rtl w:val="0"/>
        </w:rPr>
        <w:t xml:space="preserve">ient, authoritative, and [an] exceptionally understanding teacher’.”(Addey, 2014, 129-130)</w:t>
      </w:r>
      <w:r w:rsidDel="00000000" w:rsidR="00000000" w:rsidRPr="00000000">
        <w:rPr>
          <w:highlight w:val="white"/>
          <w:vertAlign w:val="superscript"/>
        </w:rPr>
        <w:footnoteReference w:customMarkFollows="0" w:id="4"/>
      </w:r>
      <w:r w:rsidDel="00000000" w:rsidR="00000000" w:rsidRPr="00000000">
        <w:rPr>
          <w:highlight w:val="white"/>
          <w:rtl w:val="0"/>
        </w:rPr>
        <w:t xml:space="preserve">.Dodds provides;  Porphyry was “ no consistent or creative thinker” (Dodds, 1947, 58). It could be assumed that these accounts are opinions that might be shared with historians over time- opinions that may have attributed to the survival of Iambluhcus; writings over Porphyrys. This shows us one of the major successes of this piece. </w:t>
      </w:r>
    </w:p>
    <w:p w:rsidR="00000000" w:rsidDel="00000000" w:rsidP="00000000" w:rsidRDefault="00000000" w:rsidRPr="00000000" w14:paraId="00000005">
      <w:pPr>
        <w:ind w:firstLine="720"/>
        <w:rPr/>
      </w:pPr>
      <w:r w:rsidDel="00000000" w:rsidR="00000000" w:rsidRPr="00000000">
        <w:rPr>
          <w:rtl w:val="0"/>
        </w:rPr>
        <w:t xml:space="preserve">Book 1 of the </w:t>
      </w:r>
      <w:r w:rsidDel="00000000" w:rsidR="00000000" w:rsidRPr="00000000">
        <w:rPr>
          <w:i w:val="1"/>
          <w:rtl w:val="0"/>
        </w:rPr>
        <w:t xml:space="preserve">De Mysteriis</w:t>
      </w:r>
      <w:r w:rsidDel="00000000" w:rsidR="00000000" w:rsidRPr="00000000">
        <w:rPr>
          <w:rtl w:val="0"/>
        </w:rPr>
        <w:t xml:space="preserve"> gives evidence not only on the beliefs of Iamblichus when it pertained to the connection of the human soul and how that connected to theory but it also puts the writings into context as it relates to who might have inspired Iamblichus (besides Porphyry) and who might Iamblichus have inspired through this work. </w:t>
      </w:r>
    </w:p>
    <w:p w:rsidR="00000000" w:rsidDel="00000000" w:rsidP="00000000" w:rsidRDefault="00000000" w:rsidRPr="00000000" w14:paraId="00000006">
      <w:pPr>
        <w:ind w:firstLine="720"/>
        <w:rPr/>
      </w:pPr>
      <w:r w:rsidDel="00000000" w:rsidR="00000000" w:rsidRPr="00000000">
        <w:rPr>
          <w:rtl w:val="0"/>
        </w:rPr>
        <w:t xml:space="preserve">Iamblichus outlines that innate awareness of the divine that is endowed with being human and places the human soul in the context of a divine hierarchy. He further argues that goodness and the natural drive of humans towards it is directly related to the existence of god. (</w:t>
      </w:r>
      <w:r w:rsidDel="00000000" w:rsidR="00000000" w:rsidRPr="00000000">
        <w:rPr>
          <w:i w:val="1"/>
          <w:rtl w:val="0"/>
        </w:rPr>
        <w:t xml:space="preserve">DM</w:t>
      </w:r>
      <w:r w:rsidDel="00000000" w:rsidR="00000000" w:rsidRPr="00000000">
        <w:rPr>
          <w:rtl w:val="0"/>
        </w:rPr>
        <w:t xml:space="preserve"> I.3</w:t>
      </w:r>
      <w:r w:rsidDel="00000000" w:rsidR="00000000" w:rsidRPr="00000000">
        <w:rPr>
          <w:vertAlign w:val="superscript"/>
        </w:rPr>
        <w:footnoteReference w:customMarkFollows="0" w:id="5"/>
      </w:r>
      <w:r w:rsidDel="00000000" w:rsidR="00000000" w:rsidRPr="00000000">
        <w:rPr>
          <w:rtl w:val="0"/>
        </w:rPr>
        <w:t xml:space="preserve">) His ideas are clearly influenced by the ideas put forth by Plato. </w:t>
      </w:r>
    </w:p>
    <w:p w:rsidR="00000000" w:rsidDel="00000000" w:rsidP="00000000" w:rsidRDefault="00000000" w:rsidRPr="00000000" w14:paraId="00000007">
      <w:pPr>
        <w:ind w:firstLine="720"/>
        <w:rPr/>
      </w:pPr>
      <w:r w:rsidDel="00000000" w:rsidR="00000000" w:rsidRPr="00000000">
        <w:rPr>
          <w:rtl w:val="0"/>
        </w:rPr>
        <w:t xml:space="preserve">Firstly, Plato’s notion of </w:t>
      </w:r>
      <w:r w:rsidDel="00000000" w:rsidR="00000000" w:rsidRPr="00000000">
        <w:rPr>
          <w:i w:val="1"/>
          <w:rtl w:val="0"/>
        </w:rPr>
        <w:t xml:space="preserve">Anamnesis</w:t>
      </w:r>
      <w:r w:rsidDel="00000000" w:rsidR="00000000" w:rsidRPr="00000000">
        <w:rPr>
          <w:i w:val="1"/>
          <w:vertAlign w:val="superscript"/>
        </w:rPr>
        <w:footnoteReference w:customMarkFollows="0" w:id="6"/>
      </w:r>
      <w:r w:rsidDel="00000000" w:rsidR="00000000" w:rsidRPr="00000000">
        <w:rPr>
          <w:i w:val="1"/>
          <w:rtl w:val="0"/>
        </w:rPr>
        <w:t xml:space="preserve"> </w:t>
      </w:r>
      <w:r w:rsidDel="00000000" w:rsidR="00000000" w:rsidRPr="00000000">
        <w:rPr>
          <w:rtl w:val="0"/>
        </w:rPr>
        <w:t xml:space="preserve">is also mimicked by Iamblichus in the first book. “Anamnesis consists in a recognition of a reality previously known”.(Gully, 1954, 195). The parallels between Plato’s idea of an omniscient soul being stifled by the human condition and the arguments laid out in Iamblichus’ first book of the the </w:t>
      </w:r>
      <w:r w:rsidDel="00000000" w:rsidR="00000000" w:rsidRPr="00000000">
        <w:rPr>
          <w:i w:val="1"/>
          <w:rtl w:val="0"/>
        </w:rPr>
        <w:t xml:space="preserve">De Mysteriis</w:t>
      </w:r>
      <w:r w:rsidDel="00000000" w:rsidR="00000000" w:rsidRPr="00000000">
        <w:rPr>
          <w:rtl w:val="0"/>
        </w:rPr>
        <w:t xml:space="preserve"> are hard to ignore. Plato writes that the soul “can recollect about virtue and other things that it knew before” (</w:t>
      </w:r>
      <w:r w:rsidDel="00000000" w:rsidR="00000000" w:rsidRPr="00000000">
        <w:rPr>
          <w:i w:val="1"/>
          <w:rtl w:val="0"/>
        </w:rPr>
        <w:t xml:space="preserve">meno</w:t>
      </w:r>
      <w:r w:rsidDel="00000000" w:rsidR="00000000" w:rsidRPr="00000000">
        <w:rPr>
          <w:rtl w:val="0"/>
        </w:rPr>
        <w:t xml:space="preserve"> 81d</w:t>
      </w:r>
      <w:r w:rsidDel="00000000" w:rsidR="00000000" w:rsidRPr="00000000">
        <w:rPr>
          <w:vertAlign w:val="superscript"/>
        </w:rPr>
        <w:footnoteReference w:customMarkFollows="0" w:id="7"/>
      </w:r>
      <w:r w:rsidDel="00000000" w:rsidR="00000000" w:rsidRPr="00000000">
        <w:rPr>
          <w:rtl w:val="0"/>
        </w:rPr>
        <w:t xml:space="preserve">). Similarly, Iambichus says “Innate knowledge about the gods is coexistent with our nature” - reiterating this notion of knowledge being attached to our souls before birth. </w:t>
      </w:r>
    </w:p>
    <w:p w:rsidR="00000000" w:rsidDel="00000000" w:rsidP="00000000" w:rsidRDefault="00000000" w:rsidRPr="00000000" w14:paraId="00000008">
      <w:pPr>
        <w:ind w:firstLine="720"/>
        <w:rPr/>
      </w:pPr>
      <w:r w:rsidDel="00000000" w:rsidR="00000000" w:rsidRPr="00000000">
        <w:rPr>
          <w:rtl w:val="0"/>
        </w:rPr>
        <w:t xml:space="preserve">Secondly, Plato’s theory of goodness being transcendent and omnipresent (</w:t>
      </w:r>
      <w:r w:rsidDel="00000000" w:rsidR="00000000" w:rsidRPr="00000000">
        <w:rPr>
          <w:i w:val="1"/>
          <w:rtl w:val="0"/>
        </w:rPr>
        <w:t xml:space="preserve">Plat. Rep. 6.509b</w:t>
      </w:r>
      <w:r w:rsidDel="00000000" w:rsidR="00000000" w:rsidRPr="00000000">
        <w:rPr>
          <w:vertAlign w:val="superscript"/>
        </w:rPr>
        <w:footnoteReference w:customMarkFollows="0" w:id="8"/>
      </w:r>
      <w:r w:rsidDel="00000000" w:rsidR="00000000" w:rsidRPr="00000000">
        <w:rPr>
          <w:rtl w:val="0"/>
        </w:rPr>
        <w:t xml:space="preserve">) becomes relevant. “All the Neoplatonists took very seriously Platos’s isolated reference to an utterly transcendent Good that lied beyond even being itself ” (Struck, 2000, 1) Iamblichus reiterates this point later- saying that souls are eternal but they are separated by the pure good in a human form - yet will never be fully free of the essence of “goodness” (</w:t>
      </w:r>
      <w:r w:rsidDel="00000000" w:rsidR="00000000" w:rsidRPr="00000000">
        <w:rPr>
          <w:i w:val="1"/>
          <w:rtl w:val="0"/>
        </w:rPr>
        <w:t xml:space="preserve">DM</w:t>
      </w:r>
      <w:r w:rsidDel="00000000" w:rsidR="00000000" w:rsidRPr="00000000">
        <w:rPr>
          <w:rtl w:val="0"/>
        </w:rPr>
        <w:t xml:space="preserve"> 1.5)</w:t>
      </w:r>
    </w:p>
    <w:p w:rsidR="00000000" w:rsidDel="00000000" w:rsidP="00000000" w:rsidRDefault="00000000" w:rsidRPr="00000000" w14:paraId="00000009">
      <w:pPr>
        <w:ind w:firstLine="720"/>
        <w:rPr/>
      </w:pPr>
      <w:r w:rsidDel="00000000" w:rsidR="00000000" w:rsidRPr="00000000">
        <w:rPr>
          <w:rtl w:val="0"/>
        </w:rPr>
        <w:t xml:space="preserve">Students of Iamblichus such as Proclus</w:t>
      </w:r>
      <w:r w:rsidDel="00000000" w:rsidR="00000000" w:rsidRPr="00000000">
        <w:rPr>
          <w:vertAlign w:val="superscript"/>
        </w:rPr>
        <w:footnoteReference w:customMarkFollows="0" w:id="9"/>
      </w:r>
      <w:r w:rsidDel="00000000" w:rsidR="00000000" w:rsidRPr="00000000">
        <w:rPr>
          <w:rtl w:val="0"/>
        </w:rPr>
        <w:t xml:space="preserve"> display their gnostic ideas as well. Proclus wrote: “All things are full of gods” (Proclus, 2015,(7)). This proves of evidence to Iamblichus’ (and potentially Porphyry’s) influence over emerging sophists in late antiquity - reviving thoughts originally put forth by Plato. </w:t>
      </w:r>
    </w:p>
    <w:p w:rsidR="00000000" w:rsidDel="00000000" w:rsidP="00000000" w:rsidRDefault="00000000" w:rsidRPr="00000000" w14:paraId="0000000A">
      <w:pPr>
        <w:ind w:firstLine="720"/>
        <w:rPr/>
      </w:pPr>
      <w:r w:rsidDel="00000000" w:rsidR="00000000" w:rsidRPr="00000000">
        <w:rPr>
          <w:rtl w:val="0"/>
        </w:rPr>
        <w:t xml:space="preserve">“Book III of the de mysteeriis is devoted entirely to techniques of divination”  (Dodds, 1947,  59) Iamblichus hypothesizes that there are different levels of possession and divine interference including; precipitation, communion or union. (DM 3.5) He describes the signs of true possession. (DM 3.5) </w:t>
      </w:r>
    </w:p>
    <w:p w:rsidR="00000000" w:rsidDel="00000000" w:rsidP="00000000" w:rsidRDefault="00000000" w:rsidRPr="00000000" w14:paraId="0000000B">
      <w:pPr>
        <w:ind w:firstLine="720"/>
        <w:rPr/>
      </w:pPr>
      <w:r w:rsidDel="00000000" w:rsidR="00000000" w:rsidRPr="00000000">
        <w:rPr>
          <w:rtl w:val="0"/>
        </w:rPr>
        <w:t xml:space="preserve">He defines possession as “an exaltation and transference to what is superior” and claims that possession can only truly be carried out by the gods themselves and any attempt from human interference prohibits “genuinely divine” theurgy (dm3.7)</w:t>
      </w:r>
    </w:p>
    <w:p w:rsidR="00000000" w:rsidDel="00000000" w:rsidP="00000000" w:rsidRDefault="00000000" w:rsidRPr="00000000" w14:paraId="0000000C">
      <w:pPr>
        <w:ind w:firstLine="720"/>
        <w:rPr/>
      </w:pPr>
      <w:r w:rsidDel="00000000" w:rsidR="00000000" w:rsidRPr="00000000">
        <w:rPr>
          <w:rtl w:val="0"/>
        </w:rPr>
        <w:t xml:space="preserve">(DM 3.16) gives a base to divination in justifying that evidence of the physical world is all controlled by the intellect of the gods. Iamblichus gives examples such as the movement of birds in which Daemons - acting on behalf of the intellect of the gods have a hand in; as well as the movement of the planets- that the gods themselves control. These two pieces of evidence are nod to common divination practices (Ornithomancy and astrology) and giving an account to how using them is evidence of working in alignment with the intellect of the divine. </w:t>
      </w:r>
    </w:p>
    <w:p w:rsidR="00000000" w:rsidDel="00000000" w:rsidP="00000000" w:rsidRDefault="00000000" w:rsidRPr="00000000" w14:paraId="0000000D">
      <w:pPr>
        <w:ind w:firstLine="720"/>
        <w:rPr/>
      </w:pPr>
      <w:r w:rsidDel="00000000" w:rsidR="00000000" w:rsidRPr="00000000">
        <w:rPr>
          <w:rtl w:val="0"/>
        </w:rPr>
        <w:t xml:space="preserve">Dodds suggests that based on the contents of book III, Iamblichus was directly inspired by the </w:t>
      </w:r>
      <w:r w:rsidDel="00000000" w:rsidR="00000000" w:rsidRPr="00000000">
        <w:rPr>
          <w:i w:val="1"/>
          <w:rtl w:val="0"/>
        </w:rPr>
        <w:t xml:space="preserve">Chaldaen Oracles</w:t>
      </w:r>
      <w:r w:rsidDel="00000000" w:rsidR="00000000" w:rsidRPr="00000000">
        <w:rPr>
          <w:i w:val="1"/>
          <w:vertAlign w:val="superscript"/>
        </w:rPr>
        <w:footnoteReference w:customMarkFollows="0" w:id="10"/>
      </w:r>
      <w:r w:rsidDel="00000000" w:rsidR="00000000" w:rsidRPr="00000000">
        <w:rPr>
          <w:i w:val="1"/>
          <w:rtl w:val="0"/>
        </w:rPr>
        <w:t xml:space="preserve"> </w:t>
      </w:r>
      <w:r w:rsidDel="00000000" w:rsidR="00000000" w:rsidRPr="00000000">
        <w:rPr>
          <w:rtl w:val="0"/>
        </w:rPr>
        <w:t xml:space="preserve">(Dodds, 1947,  58-9). </w:t>
      </w:r>
    </w:p>
    <w:p w:rsidR="00000000" w:rsidDel="00000000" w:rsidP="00000000" w:rsidRDefault="00000000" w:rsidRPr="00000000" w14:paraId="0000000E">
      <w:pPr>
        <w:ind w:firstLine="720"/>
        <w:rPr/>
      </w:pPr>
      <w:r w:rsidDel="00000000" w:rsidR="00000000" w:rsidRPr="00000000">
        <w:rPr>
          <w:rtl w:val="0"/>
        </w:rPr>
        <w:t xml:space="preserve">Porphyry and Plato were clear inspirtions for the </w:t>
      </w:r>
      <w:r w:rsidDel="00000000" w:rsidR="00000000" w:rsidRPr="00000000">
        <w:rPr>
          <w:i w:val="1"/>
          <w:rtl w:val="0"/>
        </w:rPr>
        <w:t xml:space="preserve">De Mysteriis </w:t>
      </w:r>
      <w:r w:rsidDel="00000000" w:rsidR="00000000" w:rsidRPr="00000000">
        <w:rPr>
          <w:rtl w:val="0"/>
        </w:rPr>
        <w:t xml:space="preserve">but, Iamblichus’ environment was a great factor aswell.  </w:t>
      </w:r>
      <w:r w:rsidDel="00000000" w:rsidR="00000000" w:rsidRPr="00000000">
        <w:rPr>
          <w:highlight w:val="white"/>
          <w:rtl w:val="0"/>
        </w:rPr>
        <w:t xml:space="preserve">The growing Christian influence in the Roman Empire at the time was an inspiration to the thought process of Iamblichus when writing the </w:t>
      </w:r>
      <w:r w:rsidDel="00000000" w:rsidR="00000000" w:rsidRPr="00000000">
        <w:rPr>
          <w:i w:val="1"/>
          <w:highlight w:val="white"/>
          <w:rtl w:val="0"/>
        </w:rPr>
        <w:t xml:space="preserve">De Mysteriis</w:t>
      </w:r>
      <w:r w:rsidDel="00000000" w:rsidR="00000000" w:rsidRPr="00000000">
        <w:rPr>
          <w:i w:val="1"/>
          <w:highlight w:val="white"/>
          <w:vertAlign w:val="superscript"/>
        </w:rPr>
        <w:footnoteReference w:customMarkFollows="0" w:id="11"/>
      </w:r>
      <w:r w:rsidDel="00000000" w:rsidR="00000000" w:rsidRPr="00000000">
        <w:rPr>
          <w:i w:val="1"/>
          <w:highlight w:val="white"/>
          <w:rtl w:val="0"/>
        </w:rPr>
        <w:t xml:space="preserve">. </w:t>
      </w:r>
      <w:r w:rsidDel="00000000" w:rsidR="00000000" w:rsidRPr="00000000">
        <w:rPr>
          <w:highlight w:val="white"/>
          <w:rtl w:val="0"/>
        </w:rPr>
        <w:t xml:space="preserve">Iamblichus’ approach to the ideas set out in </w:t>
      </w:r>
      <w:r w:rsidDel="00000000" w:rsidR="00000000" w:rsidRPr="00000000">
        <w:rPr>
          <w:i w:val="1"/>
          <w:highlight w:val="white"/>
          <w:rtl w:val="0"/>
        </w:rPr>
        <w:t xml:space="preserve">De Mysteriis </w:t>
      </w:r>
      <w:r w:rsidDel="00000000" w:rsidR="00000000" w:rsidRPr="00000000">
        <w:rPr>
          <w:highlight w:val="white"/>
          <w:rtl w:val="0"/>
        </w:rPr>
        <w:t xml:space="preserve">required evidence of experience and/or faith to uphold its validity. ”Porphyry claims that Gnostic works known to Plotinus and his circle were in the possession of “Christian Heretics”” and that these types of works were “Christianized” (Majercik, 2005, 277). “Iamblichus brought about a shift towards religion and theology in Neoplatonism”- This was an important benchmark for neoplatonism aswell as Christianized theyrgy .” (Chiaradonna &amp; Lecerf, 2019)., Dodds states that the growth of Chrisitan ideals was “sucking the life-blood of Hellenism” (Dodds, 1947, 59) - further supporting that Iamblichus was employing Christian ides to theurgy and helping to pivot the ideas on theurgy in that period.</w:t>
      </w:r>
      <w:r w:rsidDel="00000000" w:rsidR="00000000" w:rsidRPr="00000000">
        <w:rPr>
          <w:rtl w:val="0"/>
        </w:rPr>
      </w:r>
    </w:p>
    <w:p w:rsidR="00000000" w:rsidDel="00000000" w:rsidP="00000000" w:rsidRDefault="00000000" w:rsidRPr="00000000" w14:paraId="0000000F">
      <w:pPr>
        <w:ind w:firstLine="720"/>
        <w:rPr/>
      </w:pPr>
      <w:r w:rsidDel="00000000" w:rsidR="00000000" w:rsidRPr="00000000">
        <w:rPr>
          <w:rtl w:val="0"/>
        </w:rPr>
        <w:t xml:space="preserve">It is suggested by Clarke that Iamblichus has recently been assigned “the founder of later Neoplatonism” (Clarke, 2001., 8) - the </w:t>
      </w:r>
      <w:r w:rsidDel="00000000" w:rsidR="00000000" w:rsidRPr="00000000">
        <w:rPr>
          <w:i w:val="1"/>
          <w:rtl w:val="0"/>
        </w:rPr>
        <w:t xml:space="preserve">De Mysteriis</w:t>
      </w:r>
      <w:r w:rsidDel="00000000" w:rsidR="00000000" w:rsidRPr="00000000">
        <w:rPr>
          <w:rtl w:val="0"/>
        </w:rPr>
        <w:t xml:space="preserve"> being a base for this notion.</w:t>
      </w:r>
    </w:p>
    <w:p w:rsidR="00000000" w:rsidDel="00000000" w:rsidP="00000000" w:rsidRDefault="00000000" w:rsidRPr="00000000" w14:paraId="00000010">
      <w:pPr>
        <w:ind w:firstLine="720"/>
        <w:rPr/>
      </w:pPr>
      <w:r w:rsidDel="00000000" w:rsidR="00000000" w:rsidRPr="00000000">
        <w:rPr>
          <w:rtl w:val="0"/>
        </w:rPr>
        <w:t xml:space="preserve"> However, with the suggestion of Psellus that the </w:t>
      </w:r>
      <w:r w:rsidDel="00000000" w:rsidR="00000000" w:rsidRPr="00000000">
        <w:rPr>
          <w:i w:val="1"/>
          <w:rtl w:val="0"/>
        </w:rPr>
        <w:t xml:space="preserve">De Mysteriis </w:t>
      </w:r>
      <w:r w:rsidDel="00000000" w:rsidR="00000000" w:rsidRPr="00000000">
        <w:rPr>
          <w:rtl w:val="0"/>
        </w:rPr>
        <w:t xml:space="preserve">and </w:t>
      </w:r>
      <w:r w:rsidDel="00000000" w:rsidR="00000000" w:rsidRPr="00000000">
        <w:rPr>
          <w:i w:val="1"/>
          <w:rtl w:val="0"/>
        </w:rPr>
        <w:t xml:space="preserve">Letters to Anebo</w:t>
      </w:r>
      <w:r w:rsidDel="00000000" w:rsidR="00000000" w:rsidRPr="00000000">
        <w:rPr>
          <w:rtl w:val="0"/>
        </w:rPr>
        <w:t xml:space="preserve"> serve as a coherent piece in unison (Clarke, 2001., 15.), could we attribute the foundation of Neoplatonism to both of these philosophers? I would argue that the spark created due to the clashing of these ideas created a blueprint for the framework of late Neoplatonism. After all, Addey suggests that Porphyry already knew the answers to the questions he laid out in his Letter; however, this piece of writing was strategic in order to gain a written account of the practices of the pagan religions at the time and the thought process behind it.  (Addey, 2014, 136)</w:t>
      </w:r>
    </w:p>
    <w:p w:rsidR="00000000" w:rsidDel="00000000" w:rsidP="00000000" w:rsidRDefault="00000000" w:rsidRPr="00000000" w14:paraId="00000011">
      <w:pPr>
        <w:ind w:firstLine="720"/>
        <w:rPr/>
      </w:pPr>
      <w:r w:rsidDel="00000000" w:rsidR="00000000" w:rsidRPr="00000000">
        <w:rPr>
          <w:rtl w:val="0"/>
        </w:rPr>
        <w:t xml:space="preserve">To support this theory, Dodds suggested in his quotation of </w:t>
      </w:r>
      <w:r w:rsidDel="00000000" w:rsidR="00000000" w:rsidRPr="00000000">
        <w:rPr>
          <w:i w:val="1"/>
          <w:sz w:val="20"/>
          <w:szCs w:val="20"/>
          <w:rtl w:val="0"/>
        </w:rPr>
        <w:t xml:space="preserve">Vit, Soph.</w:t>
      </w:r>
      <w:r w:rsidDel="00000000" w:rsidR="00000000" w:rsidRPr="00000000">
        <w:rPr>
          <w:rtl w:val="0"/>
        </w:rPr>
        <w:t xml:space="preserve">- Porphyry himself- though influenced by Plotinus, was a religious follower (Dodds, 1947, 59). We can also see evidence of this from other works of Porphyry’s; such as in his “</w:t>
      </w:r>
      <w:r w:rsidDel="00000000" w:rsidR="00000000" w:rsidRPr="00000000">
        <w:rPr>
          <w:i w:val="1"/>
          <w:rtl w:val="0"/>
        </w:rPr>
        <w:t xml:space="preserve">Letter to Marcella”</w:t>
      </w:r>
      <w:r w:rsidDel="00000000" w:rsidR="00000000" w:rsidRPr="00000000">
        <w:rPr>
          <w:rtl w:val="0"/>
        </w:rPr>
        <w:t xml:space="preserve">; we see Porphyry display his belief in the salvation of the soul and refer to his faith in God very openly and consistently.  (</w:t>
      </w:r>
      <w:r w:rsidDel="00000000" w:rsidR="00000000" w:rsidRPr="00000000">
        <w:rPr>
          <w:i w:val="1"/>
          <w:rtl w:val="0"/>
        </w:rPr>
        <w:t xml:space="preserve">LTM</w:t>
      </w:r>
      <w:r w:rsidDel="00000000" w:rsidR="00000000" w:rsidRPr="00000000">
        <w:rPr>
          <w:rtl w:val="0"/>
        </w:rPr>
        <w:t xml:space="preserve">, pt24)</w:t>
      </w:r>
    </w:p>
    <w:p w:rsidR="00000000" w:rsidDel="00000000" w:rsidP="00000000" w:rsidRDefault="00000000" w:rsidRPr="00000000" w14:paraId="00000012">
      <w:pPr>
        <w:ind w:firstLine="720"/>
        <w:rPr/>
      </w:pPr>
      <w:r w:rsidDel="00000000" w:rsidR="00000000" w:rsidRPr="00000000">
        <w:rPr>
          <w:rtl w:val="0"/>
        </w:rPr>
        <w:t xml:space="preserve">One could question  why didnt Porphyry write his own account if he knew the answers to the questions. It could also be argued that perhaps, Porphyry was under pressure of his teacher - Plotinus, who Dodds describes as : “raised himself by a strong intellectual and moral effort about the fog-ridden atmosphere which surrounded him”</w:t>
      </w:r>
      <w:r w:rsidDel="00000000" w:rsidR="00000000" w:rsidRPr="00000000">
        <w:rPr>
          <w:vertAlign w:val="superscript"/>
        </w:rPr>
        <w:footnoteReference w:customMarkFollows="0" w:id="12"/>
      </w:r>
      <w:r w:rsidDel="00000000" w:rsidR="00000000" w:rsidRPr="00000000">
        <w:rPr>
          <w:rtl w:val="0"/>
        </w:rPr>
        <w:t xml:space="preserve"> (Dodds, 1947, 58) He further suggests that  Plotinus’ influence on Porphyry resulted in his letter to Anebo ; posing; “often ironic-sounding inquiries on demonology and occultism” (Dodds, 1947, 58) These “ironic-sounding” questions could be the result - as Addey suggests, as Porphyry already knowing the answers but trying to draw the conclusions from Iamblichus rather than be the author of these ideas directly.</w:t>
      </w:r>
    </w:p>
    <w:p w:rsidR="00000000" w:rsidDel="00000000" w:rsidP="00000000" w:rsidRDefault="00000000" w:rsidRPr="00000000" w14:paraId="00000013">
      <w:pPr>
        <w:ind w:firstLine="720"/>
        <w:rPr/>
      </w:pPr>
      <w:r w:rsidDel="00000000" w:rsidR="00000000" w:rsidRPr="00000000">
        <w:rPr>
          <w:rtl w:val="0"/>
        </w:rPr>
        <w:t xml:space="preserve">Why even attempt such a collaboration? The purpose of this kind of wring is to  “invite that spectator to embrace the philosophical life”( Addey, 2014, 133). It could be suggested that because of Iamblichus’ open “anti-philosophy” policy, Porphyry employed his method of Plato</w:t>
      </w:r>
      <w:r w:rsidDel="00000000" w:rsidR="00000000" w:rsidRPr="00000000">
        <w:rPr>
          <w:vertAlign w:val="superscript"/>
        </w:rPr>
        <w:footnoteReference w:customMarkFollows="0" w:id="13"/>
      </w:r>
      <w:r w:rsidDel="00000000" w:rsidR="00000000" w:rsidRPr="00000000">
        <w:rPr>
          <w:rtl w:val="0"/>
        </w:rPr>
        <w:t xml:space="preserve"> to try to indoctrinate Iamblichus into producing work that aligned more-so with the respected philosophical writing style of the time. </w:t>
      </w:r>
      <w:r w:rsidDel="00000000" w:rsidR="00000000" w:rsidRPr="00000000">
        <w:rPr>
          <w:vertAlign w:val="superscript"/>
        </w:rPr>
        <w:footnoteReference w:customMarkFollows="0" w:id="14"/>
      </w:r>
      <w:r w:rsidDel="00000000" w:rsidR="00000000" w:rsidRPr="00000000">
        <w:rPr>
          <w:rtl w:val="0"/>
        </w:rPr>
        <w:t xml:space="preserve"> Therefore, it is potentially possible that adopting the position laid out in his letter was a tactic meant to motivate his student Iamblichus to create the desired account of theurgy, rather than the actual viewpoint of Porphyry. </w:t>
      </w:r>
    </w:p>
    <w:p w:rsidR="00000000" w:rsidDel="00000000" w:rsidP="00000000" w:rsidRDefault="00000000" w:rsidRPr="00000000" w14:paraId="00000014">
      <w:pPr>
        <w:ind w:firstLine="720"/>
        <w:rPr/>
      </w:pPr>
      <w:r w:rsidDel="00000000" w:rsidR="00000000" w:rsidRPr="00000000">
        <w:rPr>
          <w:rtl w:val="0"/>
        </w:rPr>
        <w:t xml:space="preserve">Nonetheless, dialogic nature of this texts is significant because this could be labelled as one of the many nods to Plato that resulted in later scholars to class this writing under the term “Neo-Platonism” - thus giving justification that this work may be the “foundation of late neoplatonism”.</w:t>
      </w:r>
    </w:p>
    <w:p w:rsidR="00000000" w:rsidDel="00000000" w:rsidP="00000000" w:rsidRDefault="00000000" w:rsidRPr="00000000" w14:paraId="00000015">
      <w:pPr>
        <w:ind w:firstLine="720"/>
        <w:rPr/>
      </w:pPr>
      <w:r w:rsidDel="00000000" w:rsidR="00000000" w:rsidRPr="00000000">
        <w:rPr>
          <w:rtl w:val="0"/>
        </w:rPr>
        <w:t xml:space="preserve">It is also noted by Emma, that this may cause the prose to not be considered an “Iamblihcean doctrine” because his writings seem to be a direct result of the questions posed by Porphyry rather than his own curiosities. (Clarke, 2001., 9)</w:t>
      </w:r>
    </w:p>
    <w:p w:rsidR="00000000" w:rsidDel="00000000" w:rsidP="00000000" w:rsidRDefault="00000000" w:rsidRPr="00000000" w14:paraId="00000016">
      <w:pPr>
        <w:ind w:firstLine="720"/>
        <w:rPr/>
      </w:pPr>
      <w:r w:rsidDel="00000000" w:rsidR="00000000" w:rsidRPr="00000000">
        <w:rPr>
          <w:rtl w:val="0"/>
        </w:rPr>
        <w:t xml:space="preserve">In </w:t>
      </w:r>
      <w:r w:rsidDel="00000000" w:rsidR="00000000" w:rsidRPr="00000000">
        <w:rPr>
          <w:i w:val="1"/>
          <w:rtl w:val="0"/>
        </w:rPr>
        <w:t xml:space="preserve">Letter to Marcella</w:t>
      </w:r>
      <w:r w:rsidDel="00000000" w:rsidR="00000000" w:rsidRPr="00000000">
        <w:rPr>
          <w:i w:val="1"/>
          <w:vertAlign w:val="superscript"/>
        </w:rPr>
        <w:footnoteReference w:customMarkFollows="0" w:id="15"/>
      </w:r>
      <w:r w:rsidDel="00000000" w:rsidR="00000000" w:rsidRPr="00000000">
        <w:rPr>
          <w:i w:val="1"/>
          <w:rtl w:val="0"/>
        </w:rPr>
        <w:t xml:space="preserve">, </w:t>
      </w:r>
      <w:r w:rsidDel="00000000" w:rsidR="00000000" w:rsidRPr="00000000">
        <w:rPr>
          <w:rtl w:val="0"/>
        </w:rPr>
        <w:t xml:space="preserve">Porphyry seems unclear on his religious stance. While he advocates for loyalty to God and other Christian ideas, he interchanges using “God” and “the gods” when referring to the divine. This could indicate that Porphyry flip-flopped between the ideas of monotheism and Hellenistic theism.</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17">
      <w:pPr>
        <w:ind w:firstLine="720"/>
        <w:rPr/>
      </w:pPr>
      <w:r w:rsidDel="00000000" w:rsidR="00000000" w:rsidRPr="00000000">
        <w:rPr>
          <w:rtl w:val="0"/>
        </w:rPr>
        <w:t xml:space="preserve">With this evidence,  I would like to argue that both Porphyry and Iamblichus are co-founders of late neoplatonism.</w:t>
      </w:r>
      <w:r w:rsidDel="00000000" w:rsidR="00000000" w:rsidRPr="00000000">
        <w:rPr>
          <w:vertAlign w:val="superscript"/>
        </w:rPr>
        <w:footnoteReference w:customMarkFollows="0" w:id="17"/>
      </w:r>
      <w:r w:rsidDel="00000000" w:rsidR="00000000" w:rsidRPr="00000000">
        <w:rPr>
          <w:rtl w:val="0"/>
        </w:rPr>
        <w:t xml:space="preserve"> I believe that the evidence put forth to support Porphyry as an informed religious figure (who toyed with Hellenistic theurgy himself) poses contrasting ideas to the way his legacy is preserved in modern thought. </w:t>
      </w:r>
    </w:p>
    <w:p w:rsidR="00000000" w:rsidDel="00000000" w:rsidP="00000000" w:rsidRDefault="00000000" w:rsidRPr="00000000" w14:paraId="00000018">
      <w:pPr>
        <w:ind w:firstLine="720"/>
        <w:rPr/>
      </w:pPr>
      <w:r w:rsidDel="00000000" w:rsidR="00000000" w:rsidRPr="00000000">
        <w:rPr>
          <w:rtl w:val="0"/>
        </w:rPr>
        <w:t xml:space="preserve">Not only does Iamblichus' motive for writing De Mysteriis come under speculation, but also his authorship in entirety. The pseudonym “Abamon” gives rise to doubts of the true identity of the writer. Due to the fact that the orginal addresse was Iamblichus’ student,. (Clarke, 2001., 20). I would pose that it is inconclusive if the De Mysteriis was written by Iamblichus solely or as a joint effort between him and his followers.</w:t>
      </w:r>
    </w:p>
    <w:p w:rsidR="00000000" w:rsidDel="00000000" w:rsidP="00000000" w:rsidRDefault="00000000" w:rsidRPr="00000000" w14:paraId="00000019">
      <w:pPr>
        <w:ind w:firstLine="720"/>
        <w:rPr/>
      </w:pPr>
      <w:r w:rsidDel="00000000" w:rsidR="00000000" w:rsidRPr="00000000">
        <w:rPr>
          <w:rtl w:val="0"/>
        </w:rPr>
        <w:t xml:space="preserve">Because Iamblichus was of an upper class and later, a founder of a Philosophical school, It may have been beneficial for lower class writers studying under him to publish their ideas among his works. Alternatively, It may also be the case that the legacy of lower class writers may have been lost in history and therefore overcasted by Iamchlichus - resulting in his attribution to the entire text. </w:t>
      </w:r>
    </w:p>
    <w:p w:rsidR="00000000" w:rsidDel="00000000" w:rsidP="00000000" w:rsidRDefault="00000000" w:rsidRPr="00000000" w14:paraId="0000001A">
      <w:pPr>
        <w:ind w:firstLine="720"/>
        <w:rPr/>
      </w:pPr>
      <w:r w:rsidDel="00000000" w:rsidR="00000000" w:rsidRPr="00000000">
        <w:rPr>
          <w:rtl w:val="0"/>
        </w:rPr>
        <w:t xml:space="preserve">The pseudonym brings up another refutation worth mentioning. Clarke notes there is an agrument put forward by Derchain that the original text was actually authored by an Egyptian Priest: Abamon- as the </w:t>
      </w:r>
      <w:r w:rsidDel="00000000" w:rsidR="00000000" w:rsidRPr="00000000">
        <w:rPr>
          <w:i w:val="1"/>
          <w:rtl w:val="0"/>
        </w:rPr>
        <w:t xml:space="preserve">nom de plume</w:t>
      </w:r>
      <w:r w:rsidDel="00000000" w:rsidR="00000000" w:rsidRPr="00000000">
        <w:rPr>
          <w:rtl w:val="0"/>
        </w:rPr>
        <w:t xml:space="preserve"> indicates. Derchain suggested that due to the knowledge and extensive intel on Egyptian mysteries outlined in the script, it’s only plausible to attribute it to an Egyptian priest. (Clarke, 2001., 14) However, in comparison to Egypt, information of this sort was more accessible in Greek (Tridimas, 2021, 5.1)- the orginal language,so it was definitely possible for Iamblichus to have this knowledge due to his location.Also, Clarke reminds us that : “Pseudonymous and anonymous authorship was reasonably common in antiquity”.She continues “The De Mysteriis reveals no more insight than was available to all in Greek epitomes and pseudo-Egyptian material such as the Hermetica” (Clarke, 2001., 14)</w:t>
      </w:r>
    </w:p>
    <w:p w:rsidR="00000000" w:rsidDel="00000000" w:rsidP="00000000" w:rsidRDefault="00000000" w:rsidRPr="00000000" w14:paraId="0000001B">
      <w:pPr>
        <w:ind w:firstLine="720"/>
        <w:rPr/>
      </w:pPr>
      <w:r w:rsidDel="00000000" w:rsidR="00000000" w:rsidRPr="00000000">
        <w:rPr>
          <w:rtl w:val="0"/>
        </w:rPr>
        <w:t xml:space="preserve">If it was the case that Iamblichus is not indeed the author of </w:t>
      </w:r>
      <w:r w:rsidDel="00000000" w:rsidR="00000000" w:rsidRPr="00000000">
        <w:rPr>
          <w:i w:val="1"/>
          <w:rtl w:val="0"/>
        </w:rPr>
        <w:t xml:space="preserve">De Mysteriis</w:t>
      </w:r>
      <w:r w:rsidDel="00000000" w:rsidR="00000000" w:rsidRPr="00000000">
        <w:rPr>
          <w:rtl w:val="0"/>
        </w:rPr>
        <w:t xml:space="preserve">,  the purpose of its creation would have to be reviewed;  potentially to serve as an account of an international exchange of religious ideas… one that could have influenced the Greek culture and align it more so with practices of Egyptian society at the time rather than an account of theurgy among Neoplatonists.</w:t>
      </w:r>
    </w:p>
    <w:p w:rsidR="00000000" w:rsidDel="00000000" w:rsidP="00000000" w:rsidRDefault="00000000" w:rsidRPr="00000000" w14:paraId="0000001C">
      <w:pPr>
        <w:ind w:firstLine="720"/>
        <w:rPr/>
      </w:pPr>
      <w:r w:rsidDel="00000000" w:rsidR="00000000" w:rsidRPr="00000000">
        <w:rPr>
          <w:rtl w:val="0"/>
        </w:rPr>
        <w:t xml:space="preserve">Despite claims against his authorship, Scholars have created multiple arguments to support his authorship and it is widely accepted. </w:t>
      </w:r>
    </w:p>
    <w:p w:rsidR="00000000" w:rsidDel="00000000" w:rsidP="00000000" w:rsidRDefault="00000000" w:rsidRPr="00000000" w14:paraId="0000001D">
      <w:pPr>
        <w:ind w:firstLine="720"/>
        <w:rPr/>
      </w:pPr>
      <w:r w:rsidDel="00000000" w:rsidR="00000000" w:rsidRPr="00000000">
        <w:rPr>
          <w:highlight w:val="white"/>
          <w:rtl w:val="0"/>
        </w:rPr>
        <w:t xml:space="preserve">The refutation of his authorship isnt the limit of the harsh criticisms faced by Iamblichus. In modern day, most </w:t>
      </w:r>
      <w:r w:rsidDel="00000000" w:rsidR="00000000" w:rsidRPr="00000000">
        <w:rPr>
          <w:rtl w:val="0"/>
        </w:rPr>
        <w:t xml:space="preserve">popular being that his “knotted prose” was “tiresome” (Struck, 2000, 1). Even adamant fans of Iamblichus such as Scholar; Emma Clarke concur; commenting that Iamblichus has an “obscure and inaccessible written style”. (Clarke, 2001., 8). The </w:t>
      </w:r>
      <w:r w:rsidDel="00000000" w:rsidR="00000000" w:rsidRPr="00000000">
        <w:rPr>
          <w:i w:val="1"/>
          <w:rtl w:val="0"/>
        </w:rPr>
        <w:t xml:space="preserve">De mysteriis </w:t>
      </w:r>
      <w:r w:rsidDel="00000000" w:rsidR="00000000" w:rsidRPr="00000000">
        <w:rPr>
          <w:rtl w:val="0"/>
        </w:rPr>
        <w:t xml:space="preserve">reads as very metaphoric and hypothetical- using extremely descriptive and “flowery” language from its opening. I conclude that this more creative description of theurgy is a justification for many post-antiquity scholars to discredit his message put forth in this piece. </w:t>
      </w:r>
    </w:p>
    <w:p w:rsidR="00000000" w:rsidDel="00000000" w:rsidP="00000000" w:rsidRDefault="00000000" w:rsidRPr="00000000" w14:paraId="0000001E">
      <w:pPr>
        <w:ind w:firstLine="720"/>
        <w:rPr/>
      </w:pPr>
      <w:r w:rsidDel="00000000" w:rsidR="00000000" w:rsidRPr="00000000">
        <w:rPr>
          <w:rtl w:val="0"/>
        </w:rPr>
        <w:t xml:space="preserve">It is not hard to see why Iamblichus’ ideas may not have been properly respected as it differs heavily from the writings of other surviving texts we have from other scholars at the time. If we put up the </w:t>
      </w:r>
      <w:r w:rsidDel="00000000" w:rsidR="00000000" w:rsidRPr="00000000">
        <w:rPr>
          <w:i w:val="1"/>
          <w:rtl w:val="0"/>
        </w:rPr>
        <w:t xml:space="preserve">de mysteriis</w:t>
      </w:r>
      <w:r w:rsidDel="00000000" w:rsidR="00000000" w:rsidRPr="00000000">
        <w:rPr>
          <w:rtl w:val="0"/>
        </w:rPr>
        <w:t xml:space="preserve"> against texts such as Cicero’s</w:t>
      </w:r>
      <w:r w:rsidDel="00000000" w:rsidR="00000000" w:rsidRPr="00000000">
        <w:rPr>
          <w:vertAlign w:val="superscript"/>
        </w:rPr>
        <w:footnoteReference w:customMarkFollows="0" w:id="18"/>
      </w:r>
      <w:r w:rsidDel="00000000" w:rsidR="00000000" w:rsidRPr="00000000">
        <w:rPr>
          <w:rtl w:val="0"/>
        </w:rPr>
        <w:t xml:space="preserve"> </w:t>
      </w:r>
      <w:r w:rsidDel="00000000" w:rsidR="00000000" w:rsidRPr="00000000">
        <w:rPr>
          <w:i w:val="1"/>
          <w:rtl w:val="0"/>
        </w:rPr>
        <w:t xml:space="preserve">de divinatione</w:t>
      </w:r>
      <w:r w:rsidDel="00000000" w:rsidR="00000000" w:rsidRPr="00000000">
        <w:rPr>
          <w:i w:val="1"/>
          <w:vertAlign w:val="superscript"/>
        </w:rPr>
        <w:footnoteReference w:customMarkFollows="0" w:id="19"/>
      </w:r>
      <w:r w:rsidDel="00000000" w:rsidR="00000000" w:rsidRPr="00000000">
        <w:rPr>
          <w:i w:val="1"/>
          <w:rtl w:val="0"/>
        </w:rPr>
        <w:t xml:space="preserve"> </w:t>
      </w:r>
      <w:r w:rsidDel="00000000" w:rsidR="00000000" w:rsidRPr="00000000">
        <w:rPr>
          <w:rtl w:val="0"/>
        </w:rPr>
        <w:t xml:space="preserve">- it is clear to see that Cicero writes with an increased conviction over Iamblichus; as well as using evidence and logic to support his observations. In comparison, Iamblichus begs his audience to reject this kind of thinking and depend the “walk my faith not by sight” (2 Cor. 5:7)</w:t>
      </w:r>
      <w:r w:rsidDel="00000000" w:rsidR="00000000" w:rsidRPr="00000000">
        <w:rPr>
          <w:vertAlign w:val="superscript"/>
        </w:rPr>
        <w:footnoteReference w:customMarkFollows="0" w:id="20"/>
      </w:r>
      <w:r w:rsidDel="00000000" w:rsidR="00000000" w:rsidRPr="00000000">
        <w:rPr>
          <w:rtl w:val="0"/>
        </w:rPr>
        <w:t xml:space="preserve"> method.</w:t>
      </w:r>
      <w:r w:rsidDel="00000000" w:rsidR="00000000" w:rsidRPr="00000000">
        <w:rPr>
          <w:vertAlign w:val="superscript"/>
        </w:rPr>
        <w:footnoteReference w:customMarkFollows="0" w:id="21"/>
      </w:r>
      <w:r w:rsidDel="00000000" w:rsidR="00000000" w:rsidRPr="00000000">
        <w:rPr>
          <w:rtl w:val="0"/>
        </w:rPr>
        <w:t xml:space="preserve"> “Originally, the notion of 'blind' or 'irrational' faith was considered a defining and suspicious feature of Christianity”. Iamblichus served as a pivot to this idea- advocating that the truth lay in personal experience. (Clarke, 2001., 8) </w:t>
      </w:r>
    </w:p>
    <w:p w:rsidR="00000000" w:rsidDel="00000000" w:rsidP="00000000" w:rsidRDefault="00000000" w:rsidRPr="00000000" w14:paraId="0000001F">
      <w:pPr>
        <w:ind w:firstLine="720"/>
        <w:rPr/>
      </w:pPr>
      <w:r w:rsidDel="00000000" w:rsidR="00000000" w:rsidRPr="00000000">
        <w:rPr>
          <w:rtl w:val="0"/>
        </w:rPr>
        <w:t xml:space="preserve">Pre-dating the </w:t>
      </w:r>
      <w:r w:rsidDel="00000000" w:rsidR="00000000" w:rsidRPr="00000000">
        <w:rPr>
          <w:i w:val="1"/>
          <w:rtl w:val="0"/>
        </w:rPr>
        <w:t xml:space="preserve">de mysteriis, </w:t>
      </w:r>
      <w:r w:rsidDel="00000000" w:rsidR="00000000" w:rsidRPr="00000000">
        <w:rPr>
          <w:rtl w:val="0"/>
        </w:rPr>
        <w:t xml:space="preserve">Iamblichus was up against existing opposing ideas. Cicero comments, : “Those diviners employ art”  and continues to say that divination practitioners rely on the unknown to support their claims of its validity rather than applying logic and evidence to the subject. (Cic. Div. 1.34)  This supports the idea that Iamblichus’ writings were not one of a kind (nor the first), and other diviners at the time supported his way of thinking long before the draft of the </w:t>
      </w:r>
      <w:r w:rsidDel="00000000" w:rsidR="00000000" w:rsidRPr="00000000">
        <w:rPr>
          <w:i w:val="1"/>
          <w:rtl w:val="0"/>
        </w:rPr>
        <w:t xml:space="preserve">De Mysteriis. </w:t>
      </w:r>
      <w:r w:rsidDel="00000000" w:rsidR="00000000" w:rsidRPr="00000000">
        <w:rPr>
          <w:rtl w:val="0"/>
        </w:rPr>
        <w:t xml:space="preserve">Cicero gives account of Pre-Iamblichian philosophers: Dicaearchus and Cratippus</w:t>
      </w:r>
      <w:r w:rsidDel="00000000" w:rsidR="00000000" w:rsidRPr="00000000">
        <w:rPr>
          <w:vertAlign w:val="superscript"/>
        </w:rPr>
        <w:footnoteReference w:customMarkFollows="0" w:id="22"/>
      </w:r>
      <w:r w:rsidDel="00000000" w:rsidR="00000000" w:rsidRPr="00000000">
        <w:rPr>
          <w:rtl w:val="0"/>
        </w:rPr>
        <w:t xml:space="preserve">; both subscribe to the ideas of dreams and possession; however, they both reject other forms of theurgy.(</w:t>
      </w:r>
      <w:r w:rsidDel="00000000" w:rsidR="00000000" w:rsidRPr="00000000">
        <w:rPr>
          <w:i w:val="1"/>
          <w:rtl w:val="0"/>
        </w:rPr>
        <w:t xml:space="preserve">Cic. Div</w:t>
      </w:r>
      <w:r w:rsidDel="00000000" w:rsidR="00000000" w:rsidRPr="00000000">
        <w:rPr>
          <w:rtl w:val="0"/>
        </w:rPr>
        <w:t xml:space="preserve">. 1.5)</w:t>
      </w:r>
    </w:p>
    <w:p w:rsidR="00000000" w:rsidDel="00000000" w:rsidP="00000000" w:rsidRDefault="00000000" w:rsidRPr="00000000" w14:paraId="00000020">
      <w:pPr>
        <w:ind w:firstLine="720"/>
        <w:rPr/>
      </w:pPr>
      <w:r w:rsidDel="00000000" w:rsidR="00000000" w:rsidRPr="00000000">
        <w:rPr>
          <w:rtl w:val="0"/>
        </w:rPr>
        <w:t xml:space="preserve"> During the time of Iamblichus; he contrasts other philosophers by believing that we need the assistance of the gods in order to raise the “human intellect’s power to think its way beyond itself” and “suggests that the true devotee of wisdom must supplement intellectual contemplation with a program of ritual praxis.” </w:t>
      </w:r>
    </w:p>
    <w:p w:rsidR="00000000" w:rsidDel="00000000" w:rsidP="00000000" w:rsidRDefault="00000000" w:rsidRPr="00000000" w14:paraId="00000021">
      <w:pPr>
        <w:ind w:firstLine="720"/>
        <w:rPr/>
      </w:pPr>
      <w:r w:rsidDel="00000000" w:rsidR="00000000" w:rsidRPr="00000000">
        <w:rPr>
          <w:rtl w:val="0"/>
        </w:rPr>
        <w:t xml:space="preserve">Plotinus and Porphyry - who were both significant Philosophers of the time argue that one may achieve enlightenment through “ following a strict askesis (asceticism) of contemplation alone”. (Struck, 2000, 489-90) Porphyry is also adamant about the finite power of man and our limitations to access the power of the divine: “Divine law is unknown… nothing in man that can transcend it” (Porphyry, 1910, pt26). While Iamblichus shared the notion that “goodness” needs to be strived for, his methods of doing so are opposed by the philosophers of the time. </w:t>
      </w:r>
    </w:p>
    <w:p w:rsidR="00000000" w:rsidDel="00000000" w:rsidP="00000000" w:rsidRDefault="00000000" w:rsidRPr="00000000" w14:paraId="00000022">
      <w:pPr>
        <w:ind w:firstLine="720"/>
        <w:rPr>
          <w:highlight w:val="magenta"/>
        </w:rPr>
      </w:pPr>
      <w:r w:rsidDel="00000000" w:rsidR="00000000" w:rsidRPr="00000000">
        <w:rPr>
          <w:rtl w:val="0"/>
        </w:rPr>
        <w:t xml:space="preserve">Post-Iamblihcus,  “theurgy was not yet fully accepted by the Neoplatonic school.” (Dodds, 1947, 59) In Eunapis’ </w:t>
      </w:r>
      <w:r w:rsidDel="00000000" w:rsidR="00000000" w:rsidRPr="00000000">
        <w:rPr>
          <w:i w:val="1"/>
          <w:rtl w:val="0"/>
        </w:rPr>
        <w:t xml:space="preserve">Vitae Sophistarum </w:t>
      </w:r>
      <w:r w:rsidDel="00000000" w:rsidR="00000000" w:rsidRPr="00000000">
        <w:rPr>
          <w:vertAlign w:val="superscript"/>
        </w:rPr>
        <w:footnoteReference w:customMarkFollows="0" w:id="23"/>
      </w:r>
      <w:r w:rsidDel="00000000" w:rsidR="00000000" w:rsidRPr="00000000">
        <w:rPr>
          <w:rtl w:val="0"/>
        </w:rPr>
        <w:t xml:space="preserve"> </w:t>
      </w:r>
      <w:r w:rsidDel="00000000" w:rsidR="00000000" w:rsidRPr="00000000">
        <w:rPr>
          <w:i w:val="1"/>
          <w:rtl w:val="0"/>
        </w:rPr>
        <w:t xml:space="preserve">474</w:t>
      </w:r>
      <w:r w:rsidDel="00000000" w:rsidR="00000000" w:rsidRPr="00000000">
        <w:rPr>
          <w:rtl w:val="0"/>
        </w:rPr>
        <w:t xml:space="preserve">- gives an account of Eusebius of Myndus</w:t>
      </w:r>
      <w:r w:rsidDel="00000000" w:rsidR="00000000" w:rsidRPr="00000000">
        <w:rPr>
          <w:vertAlign w:val="superscript"/>
        </w:rPr>
        <w:footnoteReference w:customMarkFollows="0" w:id="24"/>
      </w:r>
      <w:r w:rsidDel="00000000" w:rsidR="00000000" w:rsidRPr="00000000">
        <w:rPr>
          <w:rtl w:val="0"/>
        </w:rPr>
        <w:t xml:space="preserve">, stood by the idea that “magic was an affair of “crazed persons who make a perverted study of certain derived from matter”. Aedesius also referred to Maximus (late follower of Iamblichus) as a “Stagy miracle-worker”. This shows that Iamblichus and his later followers were persecuted from surrounding scholars for their ideas in times soon after. </w:t>
      </w:r>
      <w:r w:rsidDel="00000000" w:rsidR="00000000" w:rsidRPr="00000000">
        <w:rPr>
          <w:rtl w:val="0"/>
        </w:rPr>
      </w:r>
    </w:p>
    <w:p w:rsidR="00000000" w:rsidDel="00000000" w:rsidP="00000000" w:rsidRDefault="00000000" w:rsidRPr="00000000" w14:paraId="00000023">
      <w:pPr>
        <w:ind w:firstLine="720"/>
        <w:rPr/>
      </w:pPr>
      <w:r w:rsidDel="00000000" w:rsidR="00000000" w:rsidRPr="00000000">
        <w:rPr>
          <w:rtl w:val="0"/>
        </w:rPr>
        <w:t xml:space="preserve">“ Iamblichus viewed philosophy as a worthwhile but fundamentally limited method of understanding” (Clarke, 2001., 8) Iamblichus’s view of the limitations to philosophical thought is a reason why his work has been criticised by many successors. However, It is clear that Iamblichus was self-aware of the impending attacks on his rationale. He defends that “inspired divination, like theurgy, transcends rationality” (Voss &amp; Curry, 2008, 47) Clarke even notes that she believes that the“ purpose of this work was to overthrow the challenges of a sceptic and an intellectual” (Clarke, 2001, 15) If this was indeed his motive for the composition of the </w:t>
      </w:r>
      <w:r w:rsidDel="00000000" w:rsidR="00000000" w:rsidRPr="00000000">
        <w:rPr>
          <w:i w:val="1"/>
          <w:rtl w:val="0"/>
        </w:rPr>
        <w:t xml:space="preserve">De Mysteriis,</w:t>
      </w:r>
      <w:r w:rsidDel="00000000" w:rsidR="00000000" w:rsidRPr="00000000">
        <w:rPr>
          <w:rtl w:val="0"/>
        </w:rPr>
        <w:t xml:space="preserve"> then it's safe to say that he was successful on that front. However, it fails in the way that many dismissed his ideas because of his writing style and lack of evidence to support his claims. Maybe if Iamblichus was able to meet on the grounds of the intellectuals and explain in a way that was digestible, it may have had more impact among these skeptics that he was trying to sway. </w:t>
      </w:r>
    </w:p>
    <w:p w:rsidR="00000000" w:rsidDel="00000000" w:rsidP="00000000" w:rsidRDefault="00000000" w:rsidRPr="00000000" w14:paraId="00000024">
      <w:pPr>
        <w:rPr/>
      </w:pPr>
      <w:r w:rsidDel="00000000" w:rsidR="00000000" w:rsidRPr="00000000">
        <w:rPr>
          <w:rtl w:val="0"/>
        </w:rPr>
        <w:tab/>
        <w:t xml:space="preserve"> This selection of 10 books has been marked by his supporters as a benchmark for the foundation of Neoplatonism and Iamblichus has been praised as a diverse, creative thinker.</w:t>
      </w:r>
    </w:p>
    <w:p w:rsidR="00000000" w:rsidDel="00000000" w:rsidP="00000000" w:rsidRDefault="00000000" w:rsidRPr="00000000" w14:paraId="00000025">
      <w:pPr>
        <w:rPr>
          <w:highlight w:val="white"/>
        </w:rPr>
      </w:pPr>
      <w:r w:rsidDel="00000000" w:rsidR="00000000" w:rsidRPr="00000000">
        <w:rPr>
          <w:rtl w:val="0"/>
        </w:rPr>
        <w:t xml:space="preserve">Although criticised by some,at the time,</w:t>
      </w:r>
      <w:r w:rsidDel="00000000" w:rsidR="00000000" w:rsidRPr="00000000">
        <w:rPr>
          <w:highlight w:val="white"/>
          <w:rtl w:val="0"/>
        </w:rPr>
        <w:t xml:space="preserve">  Iamblichus was favoured by the 4th century pagans.  Iamblichus’ works so well regarded by them that the Emperor Julian</w:t>
      </w:r>
      <w:r w:rsidDel="00000000" w:rsidR="00000000" w:rsidRPr="00000000">
        <w:rPr>
          <w:highlight w:val="white"/>
          <w:vertAlign w:val="superscript"/>
        </w:rPr>
        <w:footnoteReference w:customMarkFollows="0" w:id="25"/>
      </w:r>
      <w:r w:rsidDel="00000000" w:rsidR="00000000" w:rsidRPr="00000000">
        <w:rPr>
          <w:highlight w:val="white"/>
          <w:rtl w:val="0"/>
        </w:rPr>
        <w:t xml:space="preserve"> reformed the pagan clergy during his rule, assumably under the influence of Iamblichus and his followers- after saying that that he is “greedy for Iamblichus in philosophy” (Dodds, 1947, 59)</w:t>
      </w:r>
    </w:p>
    <w:p w:rsidR="00000000" w:rsidDel="00000000" w:rsidP="00000000" w:rsidRDefault="00000000" w:rsidRPr="00000000" w14:paraId="00000026">
      <w:pPr>
        <w:rPr>
          <w:highlight w:val="white"/>
        </w:rPr>
      </w:pPr>
      <w:r w:rsidDel="00000000" w:rsidR="00000000" w:rsidRPr="00000000">
        <w:rPr>
          <w:highlight w:val="white"/>
          <w:rtl w:val="0"/>
        </w:rPr>
        <w:t xml:space="preserve">More modern comments suggest that he was unique because he was “the first thinker to focus on the theurgic process rather than pure philosophy as the way of salvation” (Clarke, 2001., 8) and modern scholars are ofcourse accrediting his works with being a great inspirer for succeeding philosophers in antiquity. </w:t>
      </w:r>
    </w:p>
    <w:p w:rsidR="00000000" w:rsidDel="00000000" w:rsidP="00000000" w:rsidRDefault="00000000" w:rsidRPr="00000000" w14:paraId="00000027">
      <w:pPr>
        <w:ind w:firstLine="720"/>
        <w:rPr/>
      </w:pPr>
      <w:r w:rsidDel="00000000" w:rsidR="00000000" w:rsidRPr="00000000">
        <w:rPr>
          <w:rtl w:val="0"/>
        </w:rPr>
        <w:t xml:space="preserve">In conclusion,  the </w:t>
      </w:r>
      <w:r w:rsidDel="00000000" w:rsidR="00000000" w:rsidRPr="00000000">
        <w:rPr>
          <w:i w:val="1"/>
          <w:rtl w:val="0"/>
        </w:rPr>
        <w:t xml:space="preserve">De Mysteriis</w:t>
      </w:r>
      <w:r w:rsidDel="00000000" w:rsidR="00000000" w:rsidRPr="00000000">
        <w:rPr>
          <w:rtl w:val="0"/>
        </w:rPr>
        <w:t xml:space="preserve"> is an outline of theurgy written by the Neoplatonist philosopher; Iamblichus under a pseudonym. It was written as a response to Porphyry's </w:t>
      </w:r>
      <w:r w:rsidDel="00000000" w:rsidR="00000000" w:rsidRPr="00000000">
        <w:rPr>
          <w:i w:val="1"/>
          <w:rtl w:val="0"/>
        </w:rPr>
        <w:t xml:space="preserve">Letters to Anebo</w:t>
      </w:r>
      <w:r w:rsidDel="00000000" w:rsidR="00000000" w:rsidRPr="00000000">
        <w:rPr>
          <w:rtl w:val="0"/>
        </w:rPr>
        <w:t xml:space="preserve">; as Iamblichus sets out to answer the questions put forth by Porphyry. This piece serves as a great account of the theurgical practices in antiquity as well as revives thought processes brought forth by Plato - helping to found the Neoplatonist moment as a result. I also put forward the argument that Porphyry should be imbued with some credit for the accolades of </w:t>
      </w:r>
      <w:r w:rsidDel="00000000" w:rsidR="00000000" w:rsidRPr="00000000">
        <w:rPr>
          <w:i w:val="1"/>
          <w:rtl w:val="0"/>
        </w:rPr>
        <w:t xml:space="preserve">de mysteriis</w:t>
      </w:r>
      <w:r w:rsidDel="00000000" w:rsidR="00000000" w:rsidRPr="00000000">
        <w:rPr>
          <w:rtl w:val="0"/>
        </w:rPr>
        <w:t xml:space="preserve"> due to his suspected purposeful inspiration for the piece. </w:t>
      </w:r>
    </w:p>
    <w:p w:rsidR="00000000" w:rsidDel="00000000" w:rsidP="00000000" w:rsidRDefault="00000000" w:rsidRPr="00000000" w14:paraId="00000028">
      <w:pPr>
        <w:ind w:firstLine="720"/>
        <w:rPr/>
      </w:pPr>
      <w:r w:rsidDel="00000000" w:rsidR="00000000" w:rsidRPr="00000000">
        <w:rPr>
          <w:rtl w:val="0"/>
        </w:rPr>
        <w:t xml:space="preserve">Iamblichus suffers under harsh critiques; spanning from before his time up until the modern-day. It is a unanimous opinion that Iamblichus’ writing style is not the most reader-friendly and his antagonists lobby that he lacks reason in his writing. However, he is most successful in the fact that he inspired a line of successors; late Neoplatonists. He also created one of the longest historical accounts of the ideas of theurgy in survival from this period- passing on the wisdom of divine work for thousands of years.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sectPr>
      <w:headerReference r:id="rId8" w:type="default"/>
      <w:foot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5">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Porphyry’s </w:t>
      </w:r>
      <w:r w:rsidDel="00000000" w:rsidR="00000000" w:rsidRPr="00000000">
        <w:rPr>
          <w:i w:val="1"/>
          <w:sz w:val="20"/>
          <w:szCs w:val="20"/>
          <w:rtl w:val="0"/>
        </w:rPr>
        <w:t xml:space="preserve">Letter to Marcella, </w:t>
      </w:r>
      <w:r w:rsidDel="00000000" w:rsidR="00000000" w:rsidRPr="00000000">
        <w:rPr>
          <w:sz w:val="20"/>
          <w:szCs w:val="20"/>
          <w:rtl w:val="0"/>
        </w:rPr>
        <w:t xml:space="preserve">will be referred to as the shortened “L.T.M” for the purpose of this essay.</w:t>
      </w:r>
    </w:p>
  </w:footnote>
  <w:footnote w:id="1">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Refers to Marsilio Ficino- “Marsilio Ficino (1433–99) combined elements drawn from different philosophical, religious, and literary traditions to become one of the most famous philosophers of the Italian Renaissance” (Celenza, 2011)</w:t>
      </w:r>
    </w:p>
  </w:footnote>
  <w:footnote w:id="12">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Dodds is drawing from an idea first put forth by Wilhelm Kroll - but provides no further information on the source.</w:t>
      </w:r>
    </w:p>
  </w:footnote>
  <w:footnote w:id="0">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Clarke credits this observation to Eduard Zeller - a german philosopher from the 19th century.</w:t>
      </w:r>
    </w:p>
  </w:footnote>
  <w:footnote w:id="3">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Clarke mentions this - an idea first put forth by Michael Psellus who was a greek monk and historian who did one of the first translations of Iamblichus’ </w:t>
      </w:r>
      <w:r w:rsidDel="00000000" w:rsidR="00000000" w:rsidRPr="00000000">
        <w:rPr>
          <w:i w:val="1"/>
          <w:sz w:val="20"/>
          <w:szCs w:val="20"/>
          <w:rtl w:val="0"/>
        </w:rPr>
        <w:t xml:space="preserve">De Mysteriis </w:t>
      </w:r>
      <w:r w:rsidDel="00000000" w:rsidR="00000000" w:rsidRPr="00000000">
        <w:rPr>
          <w:sz w:val="20"/>
          <w:szCs w:val="20"/>
          <w:rtl w:val="0"/>
        </w:rPr>
        <w:t xml:space="preserve">in the 11th century (Clarke, 2001., 15)</w:t>
      </w:r>
    </w:p>
  </w:footnote>
  <w:footnote w:id="4">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Addey is quoting a translation of Polymnia Athanassiadi :Athanassiadi (1993), pp.119</w:t>
      </w:r>
    </w:p>
  </w:footnote>
  <w:footnote w:id="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However, this overshadows the original name as well as misconstrues the overall meaning of the text by the definition of “De Mysteriis”. “In Ficino’s language the word mysteria does not exactly mean “mysteries” but rather “heathen theology” (Saffrey, 1996, 502-3)</w:t>
      </w:r>
    </w:p>
  </w:footnote>
  <w:footnote w:id="16">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It is mentioned by Dodds that Porphyry lacks consistency in his writings (Dodds, 1947, 58).</w:t>
      </w:r>
    </w:p>
  </w:footnote>
  <w:footnote w:id="8">
    <w:p w:rsidR="00000000" w:rsidDel="00000000" w:rsidP="00000000" w:rsidRDefault="00000000" w:rsidRPr="00000000" w14:paraId="00000037">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t>
      </w:r>
      <w:r w:rsidDel="00000000" w:rsidR="00000000" w:rsidRPr="00000000">
        <w:rPr>
          <w:i w:val="1"/>
          <w:sz w:val="20"/>
          <w:szCs w:val="20"/>
          <w:rtl w:val="0"/>
        </w:rPr>
        <w:t xml:space="preserve">Plat. Rep. 6.509b</w:t>
      </w:r>
      <w:r w:rsidDel="00000000" w:rsidR="00000000" w:rsidRPr="00000000">
        <w:rPr>
          <w:sz w:val="20"/>
          <w:szCs w:val="20"/>
          <w:rtl w:val="0"/>
        </w:rPr>
        <w:t xml:space="preserve">” refers to Plato’s Republic - (Plato, 1969)</w:t>
      </w:r>
      <w:r w:rsidDel="00000000" w:rsidR="00000000" w:rsidRPr="00000000">
        <w:rPr>
          <w:rtl w:val="0"/>
        </w:rPr>
      </w:r>
    </w:p>
  </w:footnote>
  <w:footnote w:id="5">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“DM” is a short for the </w:t>
      </w:r>
      <w:r w:rsidDel="00000000" w:rsidR="00000000" w:rsidRPr="00000000">
        <w:rPr>
          <w:i w:val="1"/>
          <w:sz w:val="20"/>
          <w:szCs w:val="20"/>
          <w:rtl w:val="0"/>
        </w:rPr>
        <w:t xml:space="preserve">De Mysteriis </w:t>
      </w:r>
      <w:r w:rsidDel="00000000" w:rsidR="00000000" w:rsidRPr="00000000">
        <w:rPr>
          <w:sz w:val="20"/>
          <w:szCs w:val="20"/>
          <w:rtl w:val="0"/>
        </w:rPr>
        <w:t xml:space="preserve">- all refernces of the DM will be taken from the Emma Clarke Translation (2003)</w:t>
      </w:r>
    </w:p>
  </w:footnote>
  <w:footnote w:id="9">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Proclus was #</w:t>
      </w:r>
    </w:p>
  </w:footnote>
  <w:footnote w:id="6">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Anamnesis is  “the recollection of knowledge, possibly obtained</w:t>
      </w:r>
    </w:p>
    <w:p w:rsidR="00000000" w:rsidDel="00000000" w:rsidP="00000000" w:rsidRDefault="00000000" w:rsidRPr="00000000" w14:paraId="0000003B">
      <w:pPr>
        <w:spacing w:line="240" w:lineRule="auto"/>
        <w:rPr>
          <w:sz w:val="20"/>
          <w:szCs w:val="20"/>
        </w:rPr>
      </w:pPr>
      <w:r w:rsidDel="00000000" w:rsidR="00000000" w:rsidRPr="00000000">
        <w:rPr>
          <w:sz w:val="20"/>
          <w:szCs w:val="20"/>
          <w:rtl w:val="0"/>
        </w:rPr>
        <w:t xml:space="preserve">in a previous state of existence” (Blackburn, 1996, 26)</w:t>
      </w:r>
    </w:p>
  </w:footnote>
  <w:footnote w:id="7">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Translation taken from the Woods translation of Plato’s Meno, (2011-2012, 81d)</w:t>
      </w:r>
    </w:p>
  </w:footnote>
  <w:footnote w:id="11">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With Christianity becoming the State religion in the Roman empire approximatly 70 years afte Iamblichus compiled De Mysteriis, it’s evident that Iamblichus’ ideas were swayed by this rising religious doctrine. (Iamblichus, 2003, xxvii)</w:t>
      </w:r>
    </w:p>
  </w:footnote>
  <w:footnote w:id="1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Cicero’s </w:t>
      </w:r>
      <w:r w:rsidDel="00000000" w:rsidR="00000000" w:rsidRPr="00000000">
        <w:rPr>
          <w:i w:val="1"/>
          <w:sz w:val="20"/>
          <w:szCs w:val="20"/>
          <w:rtl w:val="0"/>
        </w:rPr>
        <w:t xml:space="preserve">de divinatione </w:t>
      </w:r>
      <w:r w:rsidDel="00000000" w:rsidR="00000000" w:rsidRPr="00000000">
        <w:rPr>
          <w:sz w:val="20"/>
          <w:szCs w:val="20"/>
          <w:rtl w:val="0"/>
        </w:rPr>
        <w:t xml:space="preserve">will be referred to by the shortened : “Cic. Div” when continuing this essay.</w:t>
      </w:r>
    </w:p>
  </w:footnote>
  <w:footnote w:id="2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KJV The Holy Bible; 2 Corinthians 5:7.</w:t>
      </w:r>
    </w:p>
  </w:footnote>
  <w:footnote w:id="23">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Vitae Sophistarum will be shortened to “</w:t>
      </w:r>
      <w:r w:rsidDel="00000000" w:rsidR="00000000" w:rsidRPr="00000000">
        <w:rPr>
          <w:i w:val="1"/>
          <w:sz w:val="20"/>
          <w:szCs w:val="20"/>
          <w:rtl w:val="0"/>
        </w:rPr>
        <w:t xml:space="preserve">Vit, Soph.</w:t>
      </w:r>
      <w:r w:rsidDel="00000000" w:rsidR="00000000" w:rsidRPr="00000000">
        <w:rPr>
          <w:sz w:val="20"/>
          <w:szCs w:val="20"/>
          <w:rtl w:val="0"/>
        </w:rPr>
        <w:t xml:space="preserve">” for the purpose of this essay.</w:t>
      </w:r>
    </w:p>
  </w:footnote>
  <w:footnote w:id="24">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Eusebius of Myndus</w:t>
      </w:r>
      <w:r w:rsidDel="00000000" w:rsidR="00000000" w:rsidRPr="00000000">
        <w:rPr>
          <w:sz w:val="20"/>
          <w:szCs w:val="20"/>
          <w:rtl w:val="0"/>
        </w:rPr>
        <w:t xml:space="preserve"> was </w:t>
      </w:r>
      <w:r w:rsidDel="00000000" w:rsidR="00000000" w:rsidRPr="00000000">
        <w:rPr>
          <w:sz w:val="20"/>
          <w:szCs w:val="20"/>
          <w:rtl w:val="0"/>
        </w:rPr>
        <w:t xml:space="preserve">a pupil of Iamblichus’ pupil Aedesius- showing that he had direct exposure to the ideas and practices of Iamblichus and therefore probably a clear line of judgment. </w:t>
      </w:r>
    </w:p>
  </w:footnote>
  <w:footnote w:id="2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Emperor Julian #</w:t>
      </w:r>
    </w:p>
  </w:footnote>
  <w:footnote w:id="10">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Chaldaen oracles #</w:t>
      </w:r>
    </w:p>
  </w:footnote>
  <w:footnote w:id="21">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As aforementioned, this shows the Christian ideas in the </w:t>
      </w:r>
      <w:r w:rsidDel="00000000" w:rsidR="00000000" w:rsidRPr="00000000">
        <w:rPr>
          <w:i w:val="1"/>
          <w:sz w:val="20"/>
          <w:szCs w:val="20"/>
          <w:rtl w:val="0"/>
        </w:rPr>
        <w:t xml:space="preserve">De Mysteriis</w:t>
      </w:r>
      <w:r w:rsidDel="00000000" w:rsidR="00000000" w:rsidRPr="00000000">
        <w:rPr>
          <w:sz w:val="20"/>
          <w:szCs w:val="20"/>
          <w:rtl w:val="0"/>
        </w:rPr>
        <w:t xml:space="preserve">.</w:t>
      </w:r>
    </w:p>
  </w:footnote>
  <w:footnote w:id="14">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Evidently, Iamblichus still continues to refuse conformity- “ he refuses to answer Porphyry on his own intellectualist terms, and attempts to lock him firmly into the role of a pedantic and bookish academic” (Clarke, 2001., 16)</w:t>
      </w:r>
    </w:p>
  </w:footnote>
  <w:footnote w:id="13">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Addey comments that this writing “encapsulates the central traits of Platonic philosophy” (Addey, 2014, 133)</w:t>
      </w:r>
    </w:p>
  </w:footnote>
  <w:footnote w:id="17">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Contrary to the popular scholarly opinion that has pegged Iamblichus alone and has disspelled Porphyry from the picture as merely another adversary to Iamblichus</w:t>
      </w:r>
    </w:p>
  </w:footnote>
  <w:footnote w:id="1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Refers to : Marcus Tullius Cicero,(106-43 BC) who was a “ Roman orator and statesman”-philospchically aligned with “Stoicism, the Peripatetics” (Blackburn, 1996, 83), author of </w:t>
      </w:r>
      <w:r w:rsidDel="00000000" w:rsidR="00000000" w:rsidRPr="00000000">
        <w:rPr>
          <w:i w:val="1"/>
          <w:sz w:val="20"/>
          <w:szCs w:val="20"/>
          <w:rtl w:val="0"/>
        </w:rPr>
        <w:t xml:space="preserve">de divinatione- </w:t>
      </w:r>
      <w:r w:rsidDel="00000000" w:rsidR="00000000" w:rsidRPr="00000000">
        <w:rPr>
          <w:sz w:val="20"/>
          <w:szCs w:val="20"/>
          <w:rtl w:val="0"/>
        </w:rPr>
        <w:t xml:space="preserve">a skeptical attack on divination on theurgy.</w:t>
      </w:r>
    </w:p>
  </w:footnote>
  <w:footnote w:id="22">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Both early Philosophers; 3rd century and 1st century respectively.</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Volume>vol. XX</b:Volume>
    <b:Year>1923</b:Year>
    <b:SourceType>Book</b:SourceType>
    <b:URL>http://data.perseus.org/citations/urn:cts:latinLit:phi0474.phi053.perseus-eng1:1.6</b:URL>
    <b:Title>De Senectute De Amicitia De Divinatione</b:Title>
    <b:Publisher>Harvard University Press</b:Publisher>
    <b:Gdcea>{"AccessedType":"Website"}</b:Gdcea>
    <b:Author>
      <b:Author>
        <b:NameList>
          <b:Person>
            <b:First>Marcus</b:First>
            <b:Last>Cicero</b:Last>
          </b:Person>
        </b:NameList>
      </b:Author>
      <b:Translator>
        <b:NameList>
          <b:Person>
            <b:First>William</b:First>
            <b:Middle>A</b:Middle>
            <b:Last>Falconer</b:Last>
          </b:Person>
        </b:NameList>
      </b:Translator>
    </b:Author>
  </b:Source>
  <b:Source>
    <b:Tag>source2</b:Tag>
    <b:Year>2000</b:Year>
    <b:Pages>489–506</b:Pages>
    <b:SourceType>BookSection</b:SourceType>
    <b:Title>Iamblichus, de Mysteriis, Book I The de Mysteriis</b:Title>
    <b:StandardNumber>http://www.jstor.org/stable/j.ctv39x560.50</b:StandardNumber>
    <b:BookTitle>In Religions of Late Antiquity in Practice</b:BookTitle>
    <b:Publisher>Princeton University Press</b:Publisher>
    <b:Gdcea>{"AccessedType":"OnlineDatabase","NamelistBookEditors":[{"FirstName":"Richard","LastName":"Valantasis"}]}</b:Gdcea>
    <b:Author>
      <b:Author>
        <b:NameList>
          <b:Person>
            <b:First>Peter</b:First>
            <b:Middle>T</b:Middle>
            <b:Last>Struck</b:Last>
          </b:Person>
        </b:NameList>
      </b:Author>
    </b:Author>
  </b:Source>
  <b:Source>
    <b:Tag>source3</b:Tag>
    <b:Year>2003</b:Year>
    <b:SourceType>Book</b:SourceType>
    <b:Title>De Mysteriis</b:Title>
    <b:Publisher>Society of Biblical Literature</b:Publisher>
    <b:Gdcea>{"AccessedType":"Print"}</b:Gdcea>
    <b:Author>
      <b:Author>
        <b:NameList>
          <b:Person>
            <b:First>Iamblichus</b:First>
          </b:Person>
        </b:NameList>
      </b:Author>
      <b:Editor>
        <b:NameList>
          <b:Person>
            <b:First>Emma</b:First>
            <b:Middle>C.</b:Middle>
            <b:Last>Clarke</b:Last>
          </b:Person>
          <b:Person>
            <b:First>John</b:First>
            <b:Middle>M.</b:Middle>
            <b:Last>Dillon</b:Last>
          </b:Person>
          <b:Person>
            <b:First>Jackson</b:First>
            <b:Middle>P.</b:Middle>
            <b:Last>Hershbell</b:Last>
          </b:Person>
        </b:NameList>
      </b:Editor>
      <b:Translator>
        <b:NameList>
          <b:Person>
            <b:First>Emma</b:First>
            <b:Middle>C.</b:Middle>
            <b:Last>Clarke</b:Last>
          </b:Person>
          <b:Person>
            <b:First>John</b:First>
            <b:Middle>M.</b:Middle>
            <b:Last>Dillon</b:Last>
          </b:Person>
          <b:Person>
            <b:First>Jackson</b:First>
            <b:Middle>P.</b:Middle>
            <b:Last>Hershbell</b:Last>
          </b:Person>
        </b:NameList>
      </b:Translator>
    </b:Author>
  </b:Source>
  <b:Source>
    <b:Tag>source4</b:Tag>
    <b:Year>2015</b:Year>
    <b:Pages>91-94</b:Pages>
    <b:SourceType>BookSection</b:SourceType>
    <b:Title>Proclus, on The Priestly Art According to the Greeks</b:Title>
    <b:BookTitle>Magic in Western Culture: From Antiquity to the Enlightenment</b:BookTitle>
    <b:Publisher>Cambridge University Press</b:Publisher>
    <b:Gdcea>{"AccessedType":"Print","NamelistBookEditors":[{"FirstName":"Brian","LastName":"Copenhaver"}]}</b:Gdcea>
    <b:Author>
      <b:Author>
        <b:NameList>
          <b:Person>
            <b:First>Proclus</b:First>
          </b:Person>
        </b:NameList>
      </b:Author>
    </b:Author>
  </b:Source>
  <b:Source>
    <b:Tag>source5</b:Tag>
    <b:Volume>55</b:Volume>
    <b:Year>2005</b:Year>
    <b:Pages>277–92</b:Pages>
    <b:SourceType>BookSection</b:SourceType>
    <b:Title>Porphyry and Gnosticism</b:Title>
    <b:StandardNumber>https://www.jstor.org/stable/3556255</b:StandardNumber>
    <b:BookTitle>The Classical Quarterly</b:BookTitle>
    <b:Publisher>Cambridge University Press</b:Publisher>
    <b:Gdcea>{"AccessedType":"OnlineDatabase"}</b:Gdcea>
    <b:Author>
      <b:Author>
        <b:NameList>
          <b:Person>
            <b:First>Ruth</b:First>
            <b:Last>Majercik</b:Last>
          </b:Person>
        </b:NameList>
      </b:Author>
    </b:Author>
  </b:Source>
  <b:Source>
    <b:Tag>source6</b:Tag>
    <b:Year>2001.</b:Year>
    <b:SourceType>Book</b:SourceType>
    <b:URL>https://ethos.bl.uk/OrderDetails.do?uin=uk.bl.ethos.327055</b:URL>
    <b:Title>Iamblichus’ De Mysteriis: A Manifesto of the Miraculous</b:Title>
    <b:Publisher>Burlington: Ashgate</b:Publisher>
    <b:Gdcea>{"AccessedType":"OnlineDatabase"}</b:Gdcea>
    <b:Author>
      <b:Author>
        <b:NameList>
          <b:Person>
            <b:First>Emma</b:First>
            <b:Last>Clarke</b:Last>
          </b:Person>
        </b:NameList>
      </b:Author>
    </b:Author>
  </b:Source>
  <b:Source>
    <b:Tag>source7</b:Tag>
    <b:Volume>37</b:Volume>
    <b:Year>1947</b:Year>
    <b:Pages>55-69</b:Pages>
    <b:SourceType>BookSection</b:SourceType>
    <b:Title>Theurgy and Its Relationship to Neoplatonism</b:Title>
    <b:StandardNumber>https://www.jstor.org/stable/298455</b:StandardNumber>
    <b:BookTitle>Theurgy and Its Relationship to Neoplatonism</b:BookTitle>
    <b:Publisher>Society for the Promotion of Roman Studies</b:Publisher>
    <b:Gdcea>{"AccessedType":"OnlineDatabase"}</b:Gdcea>
    <b:Author>
      <b:Author>
        <b:NameList>
          <b:Person>
            <b:First>E</b:First>
            <b:Middle>R</b:Middle>
            <b:Last>Dodds</b:Last>
          </b:Person>
        </b:NameList>
      </b:Author>
    </b:Author>
  </b:Source>
  <b:Source>
    <b:Tag>source8</b:Tag>
    <b:Year>2014</b:Year>
    <b:SourceType>Book</b:SourceType>
    <b:URL>https://www-vlebooks-com.ezproxy.uwtsd.ac.uk/Product/Index/430825?page=0</b:URL>
    <b:Title>Divination and Theurgy in Neoplatonism: Oracles of the Gods</b:Title>
    <b:Publisher>Ashgate Publishing Group</b:Publisher>
    <b:Gdcea>{"AccessedType":"OnlineDatabase"}</b:Gdcea>
    <b:Author>
      <b:Author>
        <b:NameList>
          <b:Person>
            <b:First>Crystal</b:First>
            <b:Last>Addey</b:Last>
          </b:Person>
        </b:NameList>
      </b:Author>
    </b:Author>
  </b:Source>
  <b:Source>
    <b:Tag>source9</b:Tag>
    <b:Month>August</b:Month>
    <b:DayAccessed>11</b:DayAccessed>
    <b:Day>27</b:Day>
    <b:Year>2019</b:Year>
    <b:SourceType>DocumentFromInternetSite</b:SourceType>
    <b:URL>https://plato.stanford.edu/entries/iamblichus/#IambPlacGreeNeop</b:URL>
    <b:Title>Iamblichus (Stanford Encyclopedia of Philosophy)</b:Title>
    <b:InternetSiteTitle>Stanford Encyclopedia of Philosophy</b:InternetSiteTitle>
    <b:MonthAccessed>March</b:MonthAccessed>
    <b:YearAccessed>2022</b:YearAccessed>
    <b:Gdcea>{"AccessedType":"Website"}</b:Gdcea>
    <b:Author>
      <b:Author>
        <b:NameList>
          <b:Person>
            <b:First>Riccardo</b:First>
            <b:Last>Chiaradonna</b:Last>
          </b:Person>
          <b:Person>
            <b:First>Adrien</b:First>
            <b:Last>Lecerf</b:Last>
          </b:Person>
        </b:NameList>
      </b:Author>
    </b:Author>
  </b:Source>
  <b:Source>
    <b:Tag>source10</b:Tag>
    <b:Year>1910</b:Year>
    <b:SourceType>Book</b:SourceType>
    <b:URL>https://www.tertullian.org/fathers/porphyry_marcella_03_revised_text.htm</b:URL>
    <b:Title>Letter to Marcella</b:Title>
    <b:Publisher>LONDON THE PRIORY PRESS</b:Publisher>
    <b:Gdcea>{"AccessedType":"Website"}</b:Gdcea>
    <b:Author>
      <b:Author>
        <b:NameList>
          <b:Person>
            <b:First>Porphyry</b:First>
          </b:Person>
        </b:NameList>
      </b:Author>
      <b:Translator>
        <b:NameList>
          <b:Person>
            <b:First>Alice</b:First>
            <b:Last>Zimmern</b:Last>
          </b:Person>
        </b:NameList>
      </b:Translator>
    </b:Author>
  </b:Source>
  <b:Source>
    <b:Tag>source11</b:Tag>
    <b:Volume>49</b:Volume>
    <b:Year>1996</b:Year>
    <b:Pages>488–508</b:Pages>
    <b:SourceType>BookSection</b:SourceType>
    <b:Title>Florence, 1492:The Reappearance of Plotinus</b:Title>
    <b:StandardNumber>https://doi.org/10.2307/2863364</b:StandardNumber>
    <b:BookTitle>Renaissance Quarterly</b:BookTitle>
    <b:Publisher>The University of Chicago Press, Renaissance Society of America</b:Publisher>
    <b:Gdcea>{"AccessedType":"OnlineDatabase"}</b:Gdcea>
    <b:Author>
      <b:Author>
        <b:NameList>
          <b:Person>
            <b:First>Henri</b:First>
            <b:Middle>D</b:Middle>
            <b:Last>Saffrey</b:Last>
          </b:Person>
        </b:NameList>
      </b:Author>
    </b:Author>
  </b:Source>
  <b:Source>
    <b:Tag>source12</b:Tag>
    <b:Month>July</b:Month>
    <b:Year>2021</b:Year>
    <b:Pages>1-15</b:Pages>
    <b:SourceType>JournalArticle</b:SourceType>
    <b:URL>https://www.cambridge.org/core/journals/journal-of-institutional-economics/article/religion-without-doctrine-or-clergy-the-case-of-ancient-greece/901613496165E373719D3B343E945156</b:URL>
    <b:Title>Religion without doctrine or clergy: The case of Ancient Greece</b:Title>
    <b:StandardNumber>doi:10.1017/S1744137421000461</b:StandardNumber>
    <b:JournalName>Journal of Institutional Economics</b:JournalName>
    <b:Gdcea>{"AccessedType":"Website"}</b:Gdcea>
    <b:Author>
      <b:Author>
        <b:NameList>
          <b:Person>
            <b:First>George</b:First>
            <b:Last>Tridimas</b:Last>
          </b:Person>
        </b:NameList>
      </b:Author>
    </b:Author>
  </b:Source>
  <b:Source>
    <b:Tag>source13</b:Tag>
    <b:Volume>5 &amp; 6</b:Volume>
    <b:Year>1969</b:Year>
    <b:SourceType>Book</b:SourceType>
    <b:URL>http://www.perseus.tufts.edu/hopper/text?doc=Perseus%3Atext%3A1999.01.0168%3Abook%3D6&amp;force=y</b:URL>
    <b:Title>Plato in Twelve Volumes</b:Title>
    <b:Publisher>Harvard University Press</b:Publisher>
    <b:Gdcea>{"AccessedType":"Website"}</b:Gdcea>
    <b:Author>
      <b:Author>
        <b:NameList>
          <b:Person>
            <b:Last>Plato</b:Last>
          </b:Person>
        </b:NameList>
      </b:Author>
      <b:Translator>
        <b:NameList>
          <b:Person>
            <b:First>Paul</b:First>
            <b:Last>Shorey</b:Last>
          </b:Person>
        </b:NameList>
      </b:Translator>
    </b:Author>
  </b:Source>
  <b:Source>
    <b:Tag>source14</b:Tag>
    <b:Year>2008</b:Year>
    <b:Pages>35-57</b:Pages>
    <b:SourceType>BookSection</b:SourceType>
    <b:Title>Oracles, Dreams and Astrology in Iamblichus' On the Mysteries (De Mysteriis)</b:Title>
    <b:BookTitle>Seeing with Different Eyes: Essays on Astrology and Divination,</b:BookTitle>
    <b:Publisher>Cambridge Scholars Press</b:Publisher>
    <b:Gdcea>{"AccessedType":"Print"}</b:Gdcea>
    <b:Author>
      <b:Author>
        <b:NameList>
          <b:Person>
            <b:First>Angela</b:First>
            <b:Last>Voss</b:Last>
          </b:Person>
          <b:Person>
            <b:First>Patrick</b:First>
            <b:Last>Curry</b:Last>
          </b:Person>
        </b:NameList>
      </b:Author>
    </b:Author>
  </b:Source>
  <b:Source>
    <b:Tag>source15</b:Tag>
    <b:Volume>4</b:Volume>
    <b:Year>1954</b:Year>
    <b:Pages>194–213</b:Pages>
    <b:SourceType>BookSection</b:SourceType>
    <b:Title>Plato’s Theory of Recollection.</b:Title>
    <b:StandardNumber>http://www.jstor.org/stable/636560</b:StandardNumber>
    <b:BookTitle>The Classical Quarterly</b:BookTitle>
    <b:Publisher>Cambridge University Press</b:Publisher>
    <b:Gdcea>{"AccessedType":"OnlineDatabase"}</b:Gdcea>
    <b:Author>
      <b:Author>
        <b:NameList>
          <b:Person>
            <b:First>Norman</b:First>
            <b:Last>Gully</b:Last>
          </b:Person>
        </b:NameList>
      </b:Author>
    </b:Author>
  </b:Source>
  <b:Source>
    <b:Tag>source16</b:Tag>
    <b:Month>June</b:Month>
    <b:DayAccessed>15</b:DayAccessed>
    <b:Day>9</b:Day>
    <b:Year>2011</b:Year>
    <b:SourceType>DocumentFromInternetSite</b:SourceType>
    <b:URL>https://plato.stanford.edu/entries/ficino/</b:URL>
    <b:Title>Marsilio Ficino (Stanford Encyclopedia of Philosophy)</b:Title>
    <b:InternetSiteTitle>Stanford Encyclopedia of Philosophy</b:InternetSiteTitle>
    <b:MonthAccessed>March</b:MonthAccessed>
    <b:YearAccessed>2022</b:YearAccessed>
    <b:Gdcea>{"AccessedType":"Website"}</b:Gdcea>
    <b:Author>
      <b:Author>
        <b:NameList>
          <b:Person>
            <b:First>Christopher</b:First>
            <b:Middle>S</b:Middle>
            <b:Last>Celenza</b:Last>
          </b:Person>
        </b:NameList>
      </b:Author>
    </b:Author>
  </b:Source>
  <b:Source>
    <b:Tag>source17</b:Tag>
    <b:Year>2011-2012</b:Year>
    <b:SourceType>Book</b:SourceType>
    <b:URL>https://marom.net.technion.ac.il/files/2018/09/Meno.pdf</b:URL>
    <b:Title>Meno</b:Title>
    <b:Gdcea>{"AccessedType":"Website"}</b:Gdcea>
    <b:Author>
      <b:Author>
        <b:NameList>
          <b:Person>
            <b:First>Plato</b:First>
          </b:Person>
        </b:NameList>
      </b:Author>
      <b:Translator>
        <b:NameList>
          <b:Person>
            <b:First>Cathal</b:First>
            <b:Last>Woods</b:Last>
          </b:Person>
        </b:NameList>
      </b:Translator>
    </b:Author>
  </b:Source>
  <b:Source>
    <b:Tag>source18</b:Tag>
    <b:Year>1996</b:Year>
    <b:SourceType>Book</b:SourceType>
    <b:Title>The Oxford Dictionary of Philosophy</b:Title>
    <b:Publisher>Oxford University Press</b:Publisher>
    <b:Gdcea>{"AccessedType":"OnlineDatabase"}</b:Gdcea>
    <b:Author>
      <b:Author>
        <b:NameList>
          <b:Person>
            <b:First>Simon</b:First>
            <b:Last>Blackburn</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