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E7A2D" w14:textId="1A84ED97" w:rsidR="009271D5" w:rsidRDefault="00DB0BA8" w:rsidP="0083383E">
      <w:pPr>
        <w:ind w:hanging="630"/>
        <w:jc w:val="center"/>
        <w:rPr>
          <w:b/>
          <w:bCs/>
          <w:sz w:val="24"/>
          <w:szCs w:val="24"/>
          <w:u w:val="single"/>
        </w:rPr>
      </w:pPr>
      <w:r w:rsidRPr="00DB0BA8">
        <w:rPr>
          <w:b/>
          <w:bCs/>
          <w:noProof/>
          <w:sz w:val="24"/>
          <w:szCs w:val="24"/>
        </w:rPr>
        <w:drawing>
          <wp:inline distT="0" distB="0" distL="0" distR="0" wp14:anchorId="789B75B8" wp14:editId="2EA0D5CA">
            <wp:extent cx="5731510" cy="5836920"/>
            <wp:effectExtent l="0" t="0" r="2540" b="0"/>
            <wp:docPr id="117346496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464966" name="Picture 1" descr="A close-up of a document&#10;&#10;Description automatically generated"/>
                    <pic:cNvPicPr/>
                  </pic:nvPicPr>
                  <pic:blipFill>
                    <a:blip r:embed="rId7"/>
                    <a:stretch>
                      <a:fillRect/>
                    </a:stretch>
                  </pic:blipFill>
                  <pic:spPr>
                    <a:xfrm>
                      <a:off x="0" y="0"/>
                      <a:ext cx="5731510" cy="5836920"/>
                    </a:xfrm>
                    <a:prstGeom prst="rect">
                      <a:avLst/>
                    </a:prstGeom>
                  </pic:spPr>
                </pic:pic>
              </a:graphicData>
            </a:graphic>
          </wp:inline>
        </w:drawing>
      </w:r>
    </w:p>
    <w:p w14:paraId="2D26EB4D" w14:textId="77777777" w:rsidR="009271D5" w:rsidRDefault="009271D5" w:rsidP="00096F03">
      <w:pPr>
        <w:jc w:val="center"/>
        <w:rPr>
          <w:b/>
          <w:bCs/>
          <w:sz w:val="24"/>
          <w:szCs w:val="24"/>
          <w:u w:val="single"/>
        </w:rPr>
      </w:pPr>
    </w:p>
    <w:p w14:paraId="159C592D" w14:textId="77777777" w:rsidR="009271D5" w:rsidRDefault="009271D5" w:rsidP="00096F03">
      <w:pPr>
        <w:jc w:val="center"/>
        <w:rPr>
          <w:b/>
          <w:bCs/>
          <w:sz w:val="24"/>
          <w:szCs w:val="24"/>
          <w:u w:val="single"/>
        </w:rPr>
      </w:pPr>
    </w:p>
    <w:p w14:paraId="23EBD6A0" w14:textId="77777777" w:rsidR="009271D5" w:rsidRDefault="009271D5" w:rsidP="00096F03">
      <w:pPr>
        <w:jc w:val="center"/>
        <w:rPr>
          <w:b/>
          <w:bCs/>
          <w:sz w:val="24"/>
          <w:szCs w:val="24"/>
          <w:u w:val="single"/>
        </w:rPr>
      </w:pPr>
    </w:p>
    <w:p w14:paraId="1B91485F" w14:textId="77777777" w:rsidR="0083383E" w:rsidRDefault="0083383E" w:rsidP="00096F03">
      <w:pPr>
        <w:jc w:val="center"/>
        <w:rPr>
          <w:b/>
          <w:bCs/>
          <w:sz w:val="24"/>
          <w:szCs w:val="24"/>
          <w:u w:val="single"/>
        </w:rPr>
      </w:pPr>
    </w:p>
    <w:p w14:paraId="7542460D" w14:textId="77777777" w:rsidR="0083383E" w:rsidRDefault="0083383E" w:rsidP="00096F03">
      <w:pPr>
        <w:jc w:val="center"/>
        <w:rPr>
          <w:b/>
          <w:bCs/>
          <w:sz w:val="24"/>
          <w:szCs w:val="24"/>
          <w:u w:val="single"/>
        </w:rPr>
      </w:pPr>
    </w:p>
    <w:p w14:paraId="5C6D0205" w14:textId="77777777" w:rsidR="0083383E" w:rsidRDefault="0083383E" w:rsidP="00096F03">
      <w:pPr>
        <w:jc w:val="center"/>
        <w:rPr>
          <w:b/>
          <w:bCs/>
          <w:sz w:val="24"/>
          <w:szCs w:val="24"/>
          <w:u w:val="single"/>
        </w:rPr>
      </w:pPr>
    </w:p>
    <w:p w14:paraId="0E748BA3" w14:textId="77777777" w:rsidR="00233B81" w:rsidRDefault="00233B81" w:rsidP="00096F03">
      <w:pPr>
        <w:jc w:val="center"/>
        <w:rPr>
          <w:b/>
          <w:bCs/>
          <w:sz w:val="24"/>
          <w:szCs w:val="24"/>
          <w:u w:val="single"/>
        </w:rPr>
      </w:pPr>
    </w:p>
    <w:p w14:paraId="3904BC92" w14:textId="77777777" w:rsidR="00233B81" w:rsidRDefault="00233B81" w:rsidP="00096F03">
      <w:pPr>
        <w:jc w:val="center"/>
        <w:rPr>
          <w:b/>
          <w:bCs/>
          <w:sz w:val="24"/>
          <w:szCs w:val="24"/>
          <w:u w:val="single"/>
        </w:rPr>
      </w:pPr>
    </w:p>
    <w:p w14:paraId="2D9D4266" w14:textId="77777777" w:rsidR="00DB0BA8" w:rsidRDefault="00DB0BA8" w:rsidP="00096F03">
      <w:pPr>
        <w:jc w:val="center"/>
        <w:rPr>
          <w:b/>
          <w:bCs/>
          <w:sz w:val="24"/>
          <w:szCs w:val="24"/>
          <w:u w:val="single"/>
        </w:rPr>
      </w:pPr>
    </w:p>
    <w:p w14:paraId="09793189" w14:textId="77777777" w:rsidR="00DB0BA8" w:rsidRDefault="00DB0BA8" w:rsidP="00096F03">
      <w:pPr>
        <w:jc w:val="center"/>
        <w:rPr>
          <w:b/>
          <w:bCs/>
          <w:sz w:val="24"/>
          <w:szCs w:val="24"/>
          <w:u w:val="single"/>
        </w:rPr>
      </w:pPr>
    </w:p>
    <w:p w14:paraId="7DC346DD" w14:textId="77777777" w:rsidR="0083383E" w:rsidRDefault="0083383E" w:rsidP="00096F03">
      <w:pPr>
        <w:jc w:val="center"/>
        <w:rPr>
          <w:b/>
          <w:bCs/>
          <w:sz w:val="24"/>
          <w:szCs w:val="24"/>
          <w:u w:val="single"/>
        </w:rPr>
      </w:pPr>
    </w:p>
    <w:p w14:paraId="14C9A7F7" w14:textId="2315AEB1" w:rsidR="00DA2A05" w:rsidRDefault="0044363C" w:rsidP="00096F03">
      <w:pPr>
        <w:jc w:val="center"/>
        <w:rPr>
          <w:b/>
          <w:iCs/>
          <w:u w:val="single"/>
        </w:rPr>
      </w:pPr>
      <w:r>
        <w:rPr>
          <w:b/>
          <w:iCs/>
          <w:u w:val="single"/>
        </w:rPr>
        <w:lastRenderedPageBreak/>
        <w:t>TITLE: DISCOUNT FOR LACK OF MARKETABILITY IN HONG KONG</w:t>
      </w:r>
    </w:p>
    <w:p w14:paraId="63A7A99B" w14:textId="77777777" w:rsidR="00133E52" w:rsidRDefault="00133E52" w:rsidP="00096F03">
      <w:pPr>
        <w:jc w:val="center"/>
        <w:rPr>
          <w:b/>
          <w:iCs/>
          <w:u w:val="single"/>
        </w:rPr>
      </w:pPr>
    </w:p>
    <w:p w14:paraId="6EE7013B" w14:textId="77777777" w:rsidR="00BA2F56" w:rsidRDefault="00BA2F56" w:rsidP="00096F03">
      <w:pPr>
        <w:jc w:val="center"/>
        <w:rPr>
          <w:b/>
          <w:iCs/>
          <w:u w:val="single"/>
        </w:rPr>
      </w:pPr>
    </w:p>
    <w:p w14:paraId="01C9BD78" w14:textId="0E2DE8E1" w:rsidR="00170738" w:rsidRDefault="008B1F7F" w:rsidP="00096F03">
      <w:pPr>
        <w:jc w:val="center"/>
        <w:rPr>
          <w:b/>
          <w:iCs/>
        </w:rPr>
      </w:pPr>
      <w:r w:rsidRPr="008B1F7F">
        <w:rPr>
          <w:b/>
          <w:iCs/>
        </w:rPr>
        <w:t>ABSTRACT</w:t>
      </w:r>
    </w:p>
    <w:p w14:paraId="5755A66C" w14:textId="77777777" w:rsidR="00BA2F56" w:rsidRPr="008B1F7F" w:rsidRDefault="00BA2F56" w:rsidP="00096F03">
      <w:pPr>
        <w:jc w:val="center"/>
        <w:rPr>
          <w:b/>
          <w:iCs/>
        </w:rPr>
      </w:pPr>
    </w:p>
    <w:p w14:paraId="74193527" w14:textId="77777777" w:rsidR="004979C9" w:rsidRPr="004979C9" w:rsidRDefault="004979C9" w:rsidP="004979C9">
      <w:pPr>
        <w:jc w:val="both"/>
        <w:rPr>
          <w:sz w:val="24"/>
          <w:szCs w:val="24"/>
        </w:rPr>
      </w:pPr>
      <w:r w:rsidRPr="004979C9">
        <w:rPr>
          <w:sz w:val="24"/>
          <w:szCs w:val="24"/>
        </w:rPr>
        <w:t xml:space="preserve">The Discount for Lack of Marketability (DLOM) is "an amount or percentage deducted from the value of an ownership interest to reflect the relative absence of marketability," as stated in the International Valuation Standard (2024), and is commonly used by valuation experts when evaluating the stock of privately-owned businesses. International Valuation Standard (2024) states that "Discounts for Lack of Marketability (DLOM) should be applied when the </w:t>
      </w:r>
      <w:proofErr w:type="spellStart"/>
      <w:r w:rsidRPr="004979C9">
        <w:rPr>
          <w:sz w:val="24"/>
          <w:szCs w:val="24"/>
        </w:rPr>
        <w:t>comparables</w:t>
      </w:r>
      <w:proofErr w:type="spellEnd"/>
      <w:r w:rsidRPr="004979C9">
        <w:rPr>
          <w:sz w:val="24"/>
          <w:szCs w:val="24"/>
        </w:rPr>
        <w:t xml:space="preserve"> are deemed to have superior marketability compared to the subject asset.". A valuer is required by RICS (2024) to search for material differences between the subject asset and comparable sales, as well as differences in the marketability of the subject asset and similar sales. </w:t>
      </w:r>
    </w:p>
    <w:p w14:paraId="78057018" w14:textId="3511EDC5" w:rsidR="001A7DA5" w:rsidRDefault="008577B3" w:rsidP="001A7DA5">
      <w:pPr>
        <w:jc w:val="both"/>
        <w:rPr>
          <w:sz w:val="24"/>
          <w:szCs w:val="24"/>
        </w:rPr>
      </w:pPr>
      <w:r w:rsidRPr="008577B3">
        <w:rPr>
          <w:sz w:val="24"/>
          <w:szCs w:val="24"/>
        </w:rPr>
        <w:br/>
      </w:r>
      <w:r w:rsidR="001A7DA5" w:rsidRPr="001A7DA5">
        <w:rPr>
          <w:sz w:val="24"/>
          <w:szCs w:val="24"/>
        </w:rPr>
        <w:t xml:space="preserve">The United States and Europe have produced the vast majority of the empirical research on DLOM in the last several decades. We provided and reviewed a large number of empirical studies using qualitative and quantitative approaches in our thesis's literature review part. Within the Qualitative Approach, we found multiple flaws in the Pre-IPO Method. There is often an excessively long period between a pre-IPO transaction and a public offering, according to Z. Christopher Mercer et al. (2011). Also, in order to ensure complete subscription, pre-IPO deals are usually undervalued, according to Z. Christopher Mercer et al. (2011). Hence, our argument does not include the Pre-IPO Method. We also found that the Restricted Stock Method has some flaws, such as the fact that it doesn't take into account up-to-date market data and that issuer characteristics aren't stable. So, we won't be using the Restricted Stock Method in our calculations. The main limitation of the Quantitative Approach's Option Pricing Model is that it does not take illiquidity's qualitative features into consideration. The monetary advantages of owning the genuine liquidity option are also under-represented in some option pricing models. The lack of solutions to mitigate the price risk associated with nonmarketable assets is another reason why these models aren't ideal for privately owned companies, according to their detractors. Hence, we will not be considering the Option Pricing Model. The Shareholder Cash Flow Adjustment Model uses a Quantitative Approach to determine the DLOM, but it relies on a number </w:t>
      </w:r>
      <w:r w:rsidR="001A7DA5" w:rsidRPr="001A7DA5">
        <w:rPr>
          <w:sz w:val="24"/>
          <w:szCs w:val="24"/>
        </w:rPr>
        <w:lastRenderedPageBreak/>
        <w:t xml:space="preserve">of complex assumptions that make the model unreliable. These assumptions include expected cash flows, dividends, risk, and long-term growth rates. Hence, it is not a part of our thesis either. </w:t>
      </w:r>
    </w:p>
    <w:p w14:paraId="0FC34244" w14:textId="77777777" w:rsidR="007155AD" w:rsidRDefault="007155AD" w:rsidP="001A7DA5">
      <w:pPr>
        <w:jc w:val="both"/>
        <w:rPr>
          <w:sz w:val="24"/>
          <w:szCs w:val="24"/>
        </w:rPr>
      </w:pPr>
    </w:p>
    <w:p w14:paraId="7965BCD8" w14:textId="6FEE1B2B" w:rsidR="00E80856" w:rsidRDefault="00E80856" w:rsidP="001A7DA5">
      <w:pPr>
        <w:jc w:val="both"/>
        <w:rPr>
          <w:sz w:val="24"/>
          <w:szCs w:val="24"/>
        </w:rPr>
      </w:pPr>
      <w:r w:rsidRPr="00F31CAB">
        <w:rPr>
          <w:sz w:val="24"/>
          <w:szCs w:val="24"/>
        </w:rPr>
        <w:t>Despite the extensive utilization of DLOM by various professionals, such as lawyers, accountants, and actuaries</w:t>
      </w:r>
      <w:r>
        <w:rPr>
          <w:sz w:val="24"/>
          <w:szCs w:val="24"/>
        </w:rPr>
        <w:t xml:space="preserve"> in Hong Kong</w:t>
      </w:r>
      <w:r w:rsidRPr="00F31CAB">
        <w:rPr>
          <w:sz w:val="24"/>
          <w:szCs w:val="24"/>
        </w:rPr>
        <w:t>, there is an absence of comprehensive or well-established research validating DLOM for the Hong Kong market. All professionals in Hong Kong are required to employ DLOM data and findings from studies conducted in the United States</w:t>
      </w:r>
      <w:r w:rsidR="00164198">
        <w:rPr>
          <w:sz w:val="24"/>
          <w:szCs w:val="24"/>
        </w:rPr>
        <w:t xml:space="preserve"> and Europe</w:t>
      </w:r>
      <w:r w:rsidRPr="00F31CAB">
        <w:rPr>
          <w:sz w:val="24"/>
          <w:szCs w:val="24"/>
        </w:rPr>
        <w:t>. Various elements affecting the DLOM calculation and results, including the economy, government policy, and investment climate, vary between the USA</w:t>
      </w:r>
      <w:r w:rsidR="00164198">
        <w:rPr>
          <w:sz w:val="24"/>
          <w:szCs w:val="24"/>
        </w:rPr>
        <w:t>, Europe</w:t>
      </w:r>
      <w:r w:rsidRPr="00F31CAB">
        <w:rPr>
          <w:sz w:val="24"/>
          <w:szCs w:val="24"/>
        </w:rPr>
        <w:t xml:space="preserve"> and Hong Kong. The direct use of DLOM results from the USA market is inappropriate for the Hong Kong market. To furnish suitable and accurate DLOM data and outcomes for daily use across diverse industries in Hong Kong, it is essential to conduct a comprehensive DLOM study exclusively using Hong Kong data. </w:t>
      </w:r>
    </w:p>
    <w:p w14:paraId="423624F8" w14:textId="60037D7C" w:rsidR="00E67773" w:rsidRDefault="00E67773" w:rsidP="008B1F7F">
      <w:pPr>
        <w:jc w:val="both"/>
        <w:rPr>
          <w:lang w:eastAsia="en-US"/>
        </w:rPr>
      </w:pPr>
    </w:p>
    <w:p w14:paraId="0AE6AEB0" w14:textId="781D2C08" w:rsidR="0017557A" w:rsidRDefault="00E67773" w:rsidP="008B1F7F">
      <w:pPr>
        <w:jc w:val="both"/>
        <w:rPr>
          <w:sz w:val="24"/>
          <w:szCs w:val="24"/>
        </w:rPr>
      </w:pPr>
      <w:r w:rsidRPr="00AC28B4">
        <w:rPr>
          <w:b/>
          <w:bCs/>
          <w:lang w:eastAsia="en-US"/>
        </w:rPr>
        <w:t>K</w:t>
      </w:r>
      <w:r w:rsidR="00804747" w:rsidRPr="00AC28B4">
        <w:rPr>
          <w:b/>
          <w:bCs/>
          <w:lang w:eastAsia="en-US"/>
        </w:rPr>
        <w:t>eywords</w:t>
      </w:r>
      <w:r w:rsidRPr="00AC28B4">
        <w:rPr>
          <w:b/>
          <w:bCs/>
          <w:lang w:eastAsia="en-US"/>
        </w:rPr>
        <w:t>:</w:t>
      </w:r>
      <w:r w:rsidR="00D93962">
        <w:rPr>
          <w:lang w:eastAsia="en-US"/>
        </w:rPr>
        <w:t xml:space="preserve"> </w:t>
      </w:r>
      <w:r w:rsidRPr="00E527FB">
        <w:rPr>
          <w:sz w:val="24"/>
          <w:szCs w:val="24"/>
        </w:rPr>
        <w:t>Discount for Lack of Marketability</w:t>
      </w:r>
      <w:r>
        <w:rPr>
          <w:lang w:eastAsia="en-US"/>
        </w:rPr>
        <w:t xml:space="preserve">, </w:t>
      </w:r>
      <w:r w:rsidR="0033791B">
        <w:rPr>
          <w:lang w:eastAsia="en-US"/>
        </w:rPr>
        <w:t xml:space="preserve">DLOM, </w:t>
      </w:r>
      <w:r w:rsidR="007347FB">
        <w:rPr>
          <w:lang w:eastAsia="en-US"/>
        </w:rPr>
        <w:t xml:space="preserve">Value, </w:t>
      </w:r>
      <w:r w:rsidR="003B5E45">
        <w:rPr>
          <w:lang w:eastAsia="en-US"/>
        </w:rPr>
        <w:t xml:space="preserve">Liquidity, </w:t>
      </w:r>
      <w:r w:rsidR="0033791B">
        <w:rPr>
          <w:lang w:eastAsia="en-US"/>
        </w:rPr>
        <w:t>Marketability</w:t>
      </w:r>
      <w:r w:rsidR="00EB738A">
        <w:rPr>
          <w:lang w:eastAsia="en-US"/>
        </w:rPr>
        <w:t xml:space="preserve">, </w:t>
      </w:r>
      <w:r w:rsidR="00F67648">
        <w:rPr>
          <w:lang w:eastAsia="en-US"/>
        </w:rPr>
        <w:t>Valuation</w:t>
      </w:r>
      <w:r w:rsidR="00E40A2D">
        <w:rPr>
          <w:lang w:eastAsia="en-US"/>
        </w:rPr>
        <w:t>.</w:t>
      </w:r>
    </w:p>
    <w:p w14:paraId="1A4FB61D" w14:textId="77777777" w:rsidR="00DE4843" w:rsidRDefault="00DE4843" w:rsidP="008B1F7F">
      <w:pPr>
        <w:jc w:val="both"/>
        <w:rPr>
          <w:sz w:val="24"/>
          <w:szCs w:val="24"/>
        </w:rPr>
      </w:pPr>
    </w:p>
    <w:p w14:paraId="6EB32A84" w14:textId="77777777" w:rsidR="008B1F7F" w:rsidRDefault="008B1F7F" w:rsidP="008B1F7F">
      <w:pPr>
        <w:jc w:val="both"/>
        <w:rPr>
          <w:sz w:val="24"/>
          <w:szCs w:val="24"/>
        </w:rPr>
      </w:pPr>
    </w:p>
    <w:p w14:paraId="6F191E1E" w14:textId="77777777" w:rsidR="00864E35" w:rsidRDefault="00864E35" w:rsidP="008B1F7F">
      <w:pPr>
        <w:jc w:val="both"/>
        <w:rPr>
          <w:sz w:val="24"/>
          <w:szCs w:val="24"/>
        </w:rPr>
      </w:pPr>
    </w:p>
    <w:p w14:paraId="5B9F911D" w14:textId="77777777" w:rsidR="00864E35" w:rsidRDefault="00864E35" w:rsidP="008B1F7F">
      <w:pPr>
        <w:jc w:val="both"/>
        <w:rPr>
          <w:sz w:val="24"/>
          <w:szCs w:val="24"/>
        </w:rPr>
      </w:pPr>
    </w:p>
    <w:p w14:paraId="6BC8AFC9" w14:textId="77777777" w:rsidR="00864E35" w:rsidRDefault="00864E35" w:rsidP="008B1F7F">
      <w:pPr>
        <w:jc w:val="both"/>
        <w:rPr>
          <w:sz w:val="24"/>
          <w:szCs w:val="24"/>
        </w:rPr>
      </w:pPr>
    </w:p>
    <w:p w14:paraId="387D64B8" w14:textId="77777777" w:rsidR="00864E35" w:rsidRDefault="00864E35" w:rsidP="008B1F7F">
      <w:pPr>
        <w:jc w:val="both"/>
        <w:rPr>
          <w:sz w:val="24"/>
          <w:szCs w:val="24"/>
        </w:rPr>
      </w:pPr>
    </w:p>
    <w:p w14:paraId="7E295927" w14:textId="77777777" w:rsidR="00864E35" w:rsidRDefault="00864E35" w:rsidP="008B1F7F">
      <w:pPr>
        <w:jc w:val="both"/>
        <w:rPr>
          <w:sz w:val="24"/>
          <w:szCs w:val="24"/>
        </w:rPr>
      </w:pPr>
    </w:p>
    <w:p w14:paraId="39E47F30" w14:textId="77777777" w:rsidR="00864E35" w:rsidRDefault="00864E35" w:rsidP="008B1F7F">
      <w:pPr>
        <w:jc w:val="both"/>
        <w:rPr>
          <w:sz w:val="24"/>
          <w:szCs w:val="24"/>
        </w:rPr>
      </w:pPr>
    </w:p>
    <w:p w14:paraId="22862B9D" w14:textId="77777777" w:rsidR="00164198" w:rsidRDefault="00164198" w:rsidP="008B1F7F">
      <w:pPr>
        <w:jc w:val="both"/>
        <w:rPr>
          <w:sz w:val="24"/>
          <w:szCs w:val="24"/>
        </w:rPr>
      </w:pPr>
    </w:p>
    <w:p w14:paraId="19BF3CF1" w14:textId="77777777" w:rsidR="00164198" w:rsidRDefault="00164198" w:rsidP="008B1F7F">
      <w:pPr>
        <w:jc w:val="both"/>
        <w:rPr>
          <w:sz w:val="24"/>
          <w:szCs w:val="24"/>
        </w:rPr>
      </w:pPr>
    </w:p>
    <w:p w14:paraId="6544C715" w14:textId="77777777" w:rsidR="00164198" w:rsidRDefault="00164198" w:rsidP="008B1F7F">
      <w:pPr>
        <w:jc w:val="both"/>
        <w:rPr>
          <w:sz w:val="24"/>
          <w:szCs w:val="24"/>
        </w:rPr>
      </w:pPr>
    </w:p>
    <w:p w14:paraId="17C414F1" w14:textId="77777777" w:rsidR="00164198" w:rsidRDefault="00164198" w:rsidP="008B1F7F">
      <w:pPr>
        <w:jc w:val="both"/>
        <w:rPr>
          <w:sz w:val="24"/>
          <w:szCs w:val="24"/>
        </w:rPr>
      </w:pPr>
    </w:p>
    <w:p w14:paraId="15A3BB65" w14:textId="77777777" w:rsidR="00164198" w:rsidRDefault="00164198" w:rsidP="008B1F7F">
      <w:pPr>
        <w:jc w:val="both"/>
        <w:rPr>
          <w:sz w:val="24"/>
          <w:szCs w:val="24"/>
        </w:rPr>
      </w:pPr>
    </w:p>
    <w:p w14:paraId="7AE6E4E6" w14:textId="77777777" w:rsidR="00164198" w:rsidRDefault="00164198" w:rsidP="008B1F7F">
      <w:pPr>
        <w:jc w:val="both"/>
        <w:rPr>
          <w:sz w:val="24"/>
          <w:szCs w:val="24"/>
        </w:rPr>
      </w:pPr>
    </w:p>
    <w:p w14:paraId="19DCF592" w14:textId="77777777" w:rsidR="00164198" w:rsidRDefault="00164198" w:rsidP="008B1F7F">
      <w:pPr>
        <w:jc w:val="both"/>
        <w:rPr>
          <w:sz w:val="24"/>
          <w:szCs w:val="24"/>
        </w:rPr>
      </w:pPr>
    </w:p>
    <w:p w14:paraId="4FC7E703" w14:textId="77777777" w:rsidR="00864E35" w:rsidRDefault="00864E35" w:rsidP="008B1F7F">
      <w:pPr>
        <w:jc w:val="both"/>
        <w:rPr>
          <w:sz w:val="24"/>
          <w:szCs w:val="24"/>
        </w:rPr>
      </w:pPr>
    </w:p>
    <w:p w14:paraId="4DA2066A" w14:textId="39514880" w:rsidR="00170738" w:rsidRPr="008B1F7F" w:rsidRDefault="008B1F7F" w:rsidP="008B1F7F">
      <w:pPr>
        <w:jc w:val="center"/>
        <w:rPr>
          <w:b/>
          <w:bCs/>
        </w:rPr>
      </w:pPr>
      <w:r w:rsidRPr="008B1F7F">
        <w:rPr>
          <w:b/>
          <w:bCs/>
        </w:rPr>
        <w:lastRenderedPageBreak/>
        <w:t>LITERATURE REVIEW</w:t>
      </w:r>
    </w:p>
    <w:p w14:paraId="0E5D9B32" w14:textId="77777777" w:rsidR="00804747" w:rsidRDefault="00804747" w:rsidP="008B1F7F">
      <w:pPr>
        <w:jc w:val="both"/>
        <w:rPr>
          <w:b/>
          <w:bCs/>
          <w:sz w:val="24"/>
          <w:szCs w:val="24"/>
          <w:u w:val="single"/>
        </w:rPr>
      </w:pPr>
    </w:p>
    <w:p w14:paraId="721299A6" w14:textId="77777777" w:rsidR="00690E81" w:rsidRPr="00690E81" w:rsidRDefault="00690E81" w:rsidP="00690E81">
      <w:pPr>
        <w:jc w:val="both"/>
        <w:rPr>
          <w:sz w:val="24"/>
          <w:szCs w:val="24"/>
        </w:rPr>
      </w:pPr>
      <w:r w:rsidRPr="00690E81">
        <w:rPr>
          <w:sz w:val="24"/>
          <w:szCs w:val="24"/>
        </w:rPr>
        <w:t xml:space="preserve">The notion of marketability pertains to the liquidity of the interest. It pertains to the speed and certainty with which it can be liquidated into cash at the owner's discretion. </w:t>
      </w:r>
    </w:p>
    <w:p w14:paraId="3E402978" w14:textId="53014075" w:rsidR="00CD3736" w:rsidRDefault="00164198" w:rsidP="004979C9">
      <w:pPr>
        <w:jc w:val="both"/>
        <w:rPr>
          <w:sz w:val="24"/>
          <w:szCs w:val="24"/>
        </w:rPr>
      </w:pPr>
      <w:r>
        <w:rPr>
          <w:sz w:val="24"/>
          <w:szCs w:val="24"/>
        </w:rPr>
        <w:t>M</w:t>
      </w:r>
      <w:r w:rsidRPr="00943389">
        <w:rPr>
          <w:sz w:val="24"/>
          <w:szCs w:val="24"/>
        </w:rPr>
        <w:t>arketability</w:t>
      </w:r>
      <w:r w:rsidR="00343D3D" w:rsidRPr="00343D3D">
        <w:rPr>
          <w:sz w:val="24"/>
          <w:szCs w:val="24"/>
        </w:rPr>
        <w:t xml:space="preserve"> is highly valued by investors, who are even ready to pay a premium for it. On the flip side, investors are willing to pay a premium for assets that aren't as liquid as comparable but more liquid ones. The disparity in value between interests that are easily marketable and those that are not is more than most people think.</w:t>
      </w:r>
      <w:r>
        <w:rPr>
          <w:sz w:val="24"/>
          <w:szCs w:val="24"/>
        </w:rPr>
        <w:t xml:space="preserve"> </w:t>
      </w:r>
      <w:r w:rsidR="00471B7D">
        <w:rPr>
          <w:sz w:val="24"/>
          <w:szCs w:val="24"/>
        </w:rPr>
        <w:t xml:space="preserve">In </w:t>
      </w:r>
      <w:r w:rsidR="00471B7D" w:rsidRPr="00943389">
        <w:rPr>
          <w:sz w:val="24"/>
          <w:szCs w:val="24"/>
        </w:rPr>
        <w:t>the International Glossary of Business Valuation Terms</w:t>
      </w:r>
      <w:r w:rsidR="00471B7D">
        <w:rPr>
          <w:sz w:val="24"/>
          <w:szCs w:val="24"/>
        </w:rPr>
        <w:t xml:space="preserve">, </w:t>
      </w:r>
      <w:r w:rsidR="00471B7D" w:rsidRPr="00833A4E">
        <w:rPr>
          <w:sz w:val="24"/>
          <w:szCs w:val="24"/>
        </w:rPr>
        <w:t>Lucas Parris</w:t>
      </w:r>
      <w:r w:rsidR="00471B7D">
        <w:rPr>
          <w:sz w:val="24"/>
          <w:szCs w:val="24"/>
        </w:rPr>
        <w:t xml:space="preserve"> (2022) </w:t>
      </w:r>
      <w:r w:rsidR="00471B7D" w:rsidRPr="00943389">
        <w:rPr>
          <w:sz w:val="24"/>
          <w:szCs w:val="24"/>
        </w:rPr>
        <w:t>defined</w:t>
      </w:r>
      <w:r w:rsidR="00471B7D">
        <w:rPr>
          <w:sz w:val="24"/>
          <w:szCs w:val="24"/>
        </w:rPr>
        <w:t xml:space="preserve"> </w:t>
      </w:r>
      <w:r w:rsidR="00943389" w:rsidRPr="00943389">
        <w:rPr>
          <w:sz w:val="24"/>
          <w:szCs w:val="24"/>
        </w:rPr>
        <w:t xml:space="preserve">Marketability as </w:t>
      </w:r>
      <w:r>
        <w:rPr>
          <w:sz w:val="24"/>
          <w:szCs w:val="24"/>
        </w:rPr>
        <w:t>t</w:t>
      </w:r>
      <w:r w:rsidR="00943389" w:rsidRPr="00943389">
        <w:rPr>
          <w:sz w:val="24"/>
          <w:szCs w:val="24"/>
        </w:rPr>
        <w:t xml:space="preserve">he capacity to swiftly and easily turn an investment, asset, or business into cash with minimal outlay of capital, reflecting the property's transferability and saleability. </w:t>
      </w:r>
      <w:r w:rsidR="00245ADA" w:rsidRPr="00245ADA">
        <w:rPr>
          <w:sz w:val="24"/>
          <w:szCs w:val="24"/>
        </w:rPr>
        <w:t xml:space="preserve">Regarding the investment attributes of assets, the terms marketability and liquidity are frequently used synonymously. </w:t>
      </w:r>
      <w:r w:rsidR="00CD3736">
        <w:rPr>
          <w:sz w:val="24"/>
          <w:szCs w:val="24"/>
        </w:rPr>
        <w:t>In t</w:t>
      </w:r>
      <w:r w:rsidR="00CD3736" w:rsidRPr="00CD3736">
        <w:rPr>
          <w:sz w:val="24"/>
          <w:szCs w:val="24"/>
        </w:rPr>
        <w:t>he International Glossary of Business Valuation Terms</w:t>
      </w:r>
      <w:r w:rsidR="00CD3736">
        <w:rPr>
          <w:sz w:val="24"/>
          <w:szCs w:val="24"/>
        </w:rPr>
        <w:t xml:space="preserve">, </w:t>
      </w:r>
      <w:r w:rsidR="00CD3736" w:rsidRPr="00CD3736">
        <w:rPr>
          <w:sz w:val="24"/>
          <w:szCs w:val="24"/>
        </w:rPr>
        <w:t xml:space="preserve"> </w:t>
      </w:r>
      <w:r w:rsidR="00CD3736" w:rsidRPr="00833A4E">
        <w:rPr>
          <w:sz w:val="24"/>
          <w:szCs w:val="24"/>
        </w:rPr>
        <w:t>Lucas Parris</w:t>
      </w:r>
      <w:r w:rsidR="00CD3736">
        <w:rPr>
          <w:sz w:val="24"/>
          <w:szCs w:val="24"/>
        </w:rPr>
        <w:t xml:space="preserve"> (2022) </w:t>
      </w:r>
      <w:r w:rsidR="00CD3736" w:rsidRPr="00CD3736">
        <w:rPr>
          <w:sz w:val="24"/>
          <w:szCs w:val="24"/>
        </w:rPr>
        <w:t>defines liquidity as “the ability to quickly convert property to cash or pay a liability”</w:t>
      </w:r>
      <w:r w:rsidR="00CD3736">
        <w:rPr>
          <w:sz w:val="24"/>
          <w:szCs w:val="24"/>
        </w:rPr>
        <w:t xml:space="preserve"> which basically share a similar meaning with the marketability. </w:t>
      </w:r>
      <w:r w:rsidR="00222E86" w:rsidRPr="00222E86">
        <w:rPr>
          <w:sz w:val="24"/>
          <w:szCs w:val="24"/>
        </w:rPr>
        <w:t xml:space="preserve">When discussing company valuations, the words marketability and liquidity are frequently employed in a broad sense. </w:t>
      </w:r>
      <w:r w:rsidR="005643A9" w:rsidRPr="00222E86">
        <w:rPr>
          <w:sz w:val="24"/>
          <w:szCs w:val="24"/>
        </w:rPr>
        <w:t xml:space="preserve">James R. Hitchner (2024) </w:t>
      </w:r>
      <w:r w:rsidR="005643A9">
        <w:rPr>
          <w:sz w:val="24"/>
          <w:szCs w:val="24"/>
        </w:rPr>
        <w:t>indicated that</w:t>
      </w:r>
      <w:r w:rsidR="00222E86" w:rsidRPr="00222E86">
        <w:rPr>
          <w:sz w:val="24"/>
          <w:szCs w:val="24"/>
        </w:rPr>
        <w:t xml:space="preserve"> majority of analysts include both liquidity and marketability when calculating the marketability discount for closely held corporations, without distinguishing between the two. </w:t>
      </w:r>
      <w:r w:rsidR="005643A9">
        <w:rPr>
          <w:sz w:val="24"/>
          <w:szCs w:val="24"/>
        </w:rPr>
        <w:t xml:space="preserve">Therefore, </w:t>
      </w:r>
      <w:r w:rsidR="00CD3736">
        <w:rPr>
          <w:sz w:val="24"/>
          <w:szCs w:val="24"/>
        </w:rPr>
        <w:t xml:space="preserve">marketability and </w:t>
      </w:r>
      <w:r w:rsidR="00CD3736" w:rsidRPr="00CD3736">
        <w:rPr>
          <w:sz w:val="24"/>
          <w:szCs w:val="24"/>
        </w:rPr>
        <w:t>liquidity</w:t>
      </w:r>
      <w:r w:rsidR="00CD3736">
        <w:rPr>
          <w:sz w:val="24"/>
          <w:szCs w:val="24"/>
        </w:rPr>
        <w:t xml:space="preserve"> will be used alternatively with the same meaning</w:t>
      </w:r>
      <w:r w:rsidR="005643A9">
        <w:rPr>
          <w:sz w:val="24"/>
          <w:szCs w:val="24"/>
        </w:rPr>
        <w:t xml:space="preserve"> in this study</w:t>
      </w:r>
      <w:r w:rsidR="00CD3736">
        <w:rPr>
          <w:sz w:val="24"/>
          <w:szCs w:val="24"/>
        </w:rPr>
        <w:t>.</w:t>
      </w:r>
    </w:p>
    <w:p w14:paraId="1D404B98" w14:textId="77777777" w:rsidR="002B1E79" w:rsidRDefault="002B1E79" w:rsidP="004979C9">
      <w:pPr>
        <w:jc w:val="both"/>
        <w:rPr>
          <w:sz w:val="24"/>
          <w:szCs w:val="24"/>
        </w:rPr>
      </w:pPr>
    </w:p>
    <w:p w14:paraId="449E0A48" w14:textId="6A1FBC14" w:rsidR="002B1E79" w:rsidRPr="002B1E79" w:rsidRDefault="002B1E79" w:rsidP="002B1E79">
      <w:pPr>
        <w:jc w:val="both"/>
        <w:rPr>
          <w:sz w:val="24"/>
          <w:szCs w:val="24"/>
        </w:rPr>
      </w:pPr>
      <w:r w:rsidRPr="00387D57">
        <w:rPr>
          <w:sz w:val="24"/>
          <w:szCs w:val="24"/>
        </w:rPr>
        <w:t>Shannon P. Pratt (2022)</w:t>
      </w:r>
      <w:r>
        <w:rPr>
          <w:sz w:val="24"/>
          <w:szCs w:val="24"/>
        </w:rPr>
        <w:t xml:space="preserve"> </w:t>
      </w:r>
      <w:r w:rsidR="00A524AB">
        <w:rPr>
          <w:sz w:val="24"/>
          <w:szCs w:val="24"/>
        </w:rPr>
        <w:t xml:space="preserve">and </w:t>
      </w:r>
      <w:r w:rsidR="00A524AB" w:rsidRPr="00833A4E">
        <w:rPr>
          <w:sz w:val="24"/>
          <w:szCs w:val="24"/>
        </w:rPr>
        <w:t>Lucas Parris</w:t>
      </w:r>
      <w:r w:rsidR="00A524AB">
        <w:rPr>
          <w:sz w:val="24"/>
          <w:szCs w:val="24"/>
        </w:rPr>
        <w:t xml:space="preserve"> (2022) </w:t>
      </w:r>
      <w:r>
        <w:rPr>
          <w:sz w:val="24"/>
          <w:szCs w:val="24"/>
        </w:rPr>
        <w:t>defined Marketability as h</w:t>
      </w:r>
      <w:r w:rsidRPr="002B1E79">
        <w:rPr>
          <w:sz w:val="24"/>
          <w:szCs w:val="24"/>
        </w:rPr>
        <w:t xml:space="preserve">ow quickly and easily an investment or product may be bought and sold. </w:t>
      </w:r>
      <w:r w:rsidR="00EB6616">
        <w:rPr>
          <w:sz w:val="24"/>
          <w:szCs w:val="24"/>
        </w:rPr>
        <w:t>He</w:t>
      </w:r>
      <w:r>
        <w:rPr>
          <w:sz w:val="24"/>
          <w:szCs w:val="24"/>
        </w:rPr>
        <w:t xml:space="preserve"> also indicated that </w:t>
      </w:r>
      <w:r w:rsidR="00F82D83">
        <w:rPr>
          <w:sz w:val="24"/>
          <w:szCs w:val="24"/>
        </w:rPr>
        <w:t>the terms “</w:t>
      </w:r>
      <w:r w:rsidRPr="002B1E79">
        <w:rPr>
          <w:sz w:val="24"/>
          <w:szCs w:val="24"/>
        </w:rPr>
        <w:t>Marketability</w:t>
      </w:r>
      <w:r w:rsidR="00F82D83">
        <w:rPr>
          <w:sz w:val="24"/>
          <w:szCs w:val="24"/>
        </w:rPr>
        <w:t>”</w:t>
      </w:r>
      <w:r w:rsidRPr="002B1E79">
        <w:rPr>
          <w:sz w:val="24"/>
          <w:szCs w:val="24"/>
        </w:rPr>
        <w:t xml:space="preserve"> and </w:t>
      </w:r>
      <w:r w:rsidR="00F82D83">
        <w:rPr>
          <w:sz w:val="24"/>
          <w:szCs w:val="24"/>
        </w:rPr>
        <w:t>“</w:t>
      </w:r>
      <w:r>
        <w:rPr>
          <w:sz w:val="24"/>
          <w:szCs w:val="24"/>
        </w:rPr>
        <w:t>L</w:t>
      </w:r>
      <w:r w:rsidRPr="002B1E79">
        <w:rPr>
          <w:sz w:val="24"/>
          <w:szCs w:val="24"/>
        </w:rPr>
        <w:t>iquidity</w:t>
      </w:r>
      <w:r w:rsidR="00F82D83">
        <w:rPr>
          <w:sz w:val="24"/>
          <w:szCs w:val="24"/>
        </w:rPr>
        <w:t>”</w:t>
      </w:r>
      <w:r w:rsidRPr="002B1E79">
        <w:rPr>
          <w:sz w:val="24"/>
          <w:szCs w:val="24"/>
        </w:rPr>
        <w:t xml:space="preserve"> are often used interchangeably</w:t>
      </w:r>
      <w:r w:rsidR="000D6CCD">
        <w:rPr>
          <w:sz w:val="24"/>
          <w:szCs w:val="24"/>
        </w:rPr>
        <w:t xml:space="preserve">. </w:t>
      </w:r>
      <w:r w:rsidR="00950979">
        <w:rPr>
          <w:sz w:val="24"/>
          <w:szCs w:val="24"/>
        </w:rPr>
        <w:t>As most researchers have similar definitions about Marketability</w:t>
      </w:r>
      <w:r w:rsidR="009417E2">
        <w:rPr>
          <w:sz w:val="24"/>
          <w:szCs w:val="24"/>
        </w:rPr>
        <w:t xml:space="preserve"> and Liquidity</w:t>
      </w:r>
      <w:r w:rsidR="00950979">
        <w:rPr>
          <w:sz w:val="24"/>
          <w:szCs w:val="24"/>
        </w:rPr>
        <w:t>, this study adopt the meaning</w:t>
      </w:r>
      <w:r w:rsidR="009417E2">
        <w:rPr>
          <w:sz w:val="24"/>
          <w:szCs w:val="24"/>
        </w:rPr>
        <w:t xml:space="preserve"> of Marketability</w:t>
      </w:r>
      <w:r w:rsidR="00950979">
        <w:rPr>
          <w:sz w:val="24"/>
          <w:szCs w:val="24"/>
        </w:rPr>
        <w:t xml:space="preserve"> from </w:t>
      </w:r>
      <w:r w:rsidR="009417E2" w:rsidRPr="00387D57">
        <w:rPr>
          <w:sz w:val="24"/>
          <w:szCs w:val="24"/>
        </w:rPr>
        <w:t>Shannon P. Pratt (2022)</w:t>
      </w:r>
      <w:r w:rsidR="009417E2">
        <w:rPr>
          <w:sz w:val="24"/>
          <w:szCs w:val="24"/>
        </w:rPr>
        <w:t xml:space="preserve"> and </w:t>
      </w:r>
      <w:r w:rsidR="00950979" w:rsidRPr="00833A4E">
        <w:rPr>
          <w:sz w:val="24"/>
          <w:szCs w:val="24"/>
        </w:rPr>
        <w:t>Lucas Parris</w:t>
      </w:r>
      <w:r w:rsidR="00950979">
        <w:rPr>
          <w:sz w:val="24"/>
          <w:szCs w:val="24"/>
        </w:rPr>
        <w:t xml:space="preserve"> (2022).</w:t>
      </w:r>
    </w:p>
    <w:p w14:paraId="0A6F2C43" w14:textId="77777777" w:rsidR="00943389" w:rsidRDefault="00943389" w:rsidP="004979C9">
      <w:pPr>
        <w:jc w:val="both"/>
        <w:rPr>
          <w:sz w:val="24"/>
          <w:szCs w:val="24"/>
        </w:rPr>
      </w:pPr>
    </w:p>
    <w:p w14:paraId="265F7C3B" w14:textId="43E74885" w:rsidR="004979C9" w:rsidRDefault="00164198" w:rsidP="004979C9">
      <w:pPr>
        <w:jc w:val="both"/>
        <w:rPr>
          <w:sz w:val="24"/>
          <w:szCs w:val="24"/>
        </w:rPr>
      </w:pPr>
      <w:r>
        <w:rPr>
          <w:sz w:val="24"/>
          <w:szCs w:val="24"/>
        </w:rPr>
        <w:t>According to</w:t>
      </w:r>
      <w:r w:rsidRPr="004979C9">
        <w:rPr>
          <w:sz w:val="24"/>
          <w:szCs w:val="24"/>
        </w:rPr>
        <w:t xml:space="preserve"> the International Valuation Standard (2024)</w:t>
      </w:r>
      <w:r>
        <w:rPr>
          <w:sz w:val="24"/>
          <w:szCs w:val="24"/>
        </w:rPr>
        <w:t>, t</w:t>
      </w:r>
      <w:r w:rsidRPr="004979C9">
        <w:rPr>
          <w:sz w:val="24"/>
          <w:szCs w:val="24"/>
        </w:rPr>
        <w:t>he Discount for Lack of Marketability (DLOM) is an amount or percentage deducted from the value of an ownership interest to reflect the relative absence of marketability</w:t>
      </w:r>
      <w:r>
        <w:rPr>
          <w:sz w:val="24"/>
          <w:szCs w:val="24"/>
        </w:rPr>
        <w:t>. T</w:t>
      </w:r>
      <w:r w:rsidR="004979C9" w:rsidRPr="004979C9">
        <w:rPr>
          <w:sz w:val="24"/>
          <w:szCs w:val="24"/>
        </w:rPr>
        <w:t xml:space="preserve">here is a value difference between privately held equities, which often do not have a functional marketplace, and publicly listed stocks,. </w:t>
      </w:r>
      <w:r w:rsidR="00B8603C" w:rsidRPr="00B8603C">
        <w:rPr>
          <w:sz w:val="24"/>
          <w:szCs w:val="24"/>
        </w:rPr>
        <w:t xml:space="preserve">Divesting from a privately owned corporation is unequivocally a more costly, uncertain, and lengthy process than liquidating a </w:t>
      </w:r>
      <w:r w:rsidR="00B8603C" w:rsidRPr="00B8603C">
        <w:rPr>
          <w:sz w:val="24"/>
          <w:szCs w:val="24"/>
        </w:rPr>
        <w:lastRenderedPageBreak/>
        <w:t>position in a publicly traded entity. An investment that enables the owner to achieve liquidity swiftly is more valuable than one that does not permit rapid selling</w:t>
      </w:r>
      <w:r w:rsidR="004979C9" w:rsidRPr="004979C9">
        <w:rPr>
          <w:sz w:val="24"/>
          <w:szCs w:val="24"/>
        </w:rPr>
        <w:t xml:space="preserve">. The extra expenses, higher levels of uncertainty, and longer timescales associated with selling unusual assets should force privately held enterprises to trade below their true intrinsic value. </w:t>
      </w:r>
    </w:p>
    <w:p w14:paraId="435EF8AB" w14:textId="77777777" w:rsidR="0033791B" w:rsidRDefault="0033791B" w:rsidP="004979C9">
      <w:pPr>
        <w:jc w:val="both"/>
        <w:rPr>
          <w:sz w:val="24"/>
          <w:szCs w:val="24"/>
        </w:rPr>
      </w:pPr>
    </w:p>
    <w:p w14:paraId="57192BAE" w14:textId="012B4509" w:rsidR="00164198" w:rsidRDefault="00164198" w:rsidP="008577B3">
      <w:pPr>
        <w:jc w:val="both"/>
        <w:rPr>
          <w:sz w:val="24"/>
          <w:szCs w:val="24"/>
        </w:rPr>
      </w:pPr>
      <w:r>
        <w:rPr>
          <w:sz w:val="24"/>
          <w:szCs w:val="24"/>
        </w:rPr>
        <w:t xml:space="preserve">DLOM </w:t>
      </w:r>
      <w:r w:rsidR="0033791B" w:rsidRPr="004979C9">
        <w:rPr>
          <w:sz w:val="24"/>
          <w:szCs w:val="24"/>
        </w:rPr>
        <w:t xml:space="preserve">is commonly used by valuation experts when evaluating the stock of privately-owned businesses. International Valuation Standard (2024) states that DLOM should be applied when the </w:t>
      </w:r>
      <w:proofErr w:type="spellStart"/>
      <w:r w:rsidR="0033791B" w:rsidRPr="004979C9">
        <w:rPr>
          <w:sz w:val="24"/>
          <w:szCs w:val="24"/>
        </w:rPr>
        <w:t>comparables</w:t>
      </w:r>
      <w:proofErr w:type="spellEnd"/>
      <w:r w:rsidR="0033791B" w:rsidRPr="004979C9">
        <w:rPr>
          <w:sz w:val="24"/>
          <w:szCs w:val="24"/>
        </w:rPr>
        <w:t xml:space="preserve"> are deemed to have superior marketability compared to the subject asset.". A valuer is required by RICS (2024) to search for material differences between the subject asset and comparable sales, as well as differences in the marketability of the subject asset and similar sales. </w:t>
      </w:r>
      <w:r w:rsidR="00A52B24">
        <w:rPr>
          <w:sz w:val="24"/>
          <w:szCs w:val="24"/>
        </w:rPr>
        <w:t>Therefore, valuer</w:t>
      </w:r>
      <w:r w:rsidR="007155AD">
        <w:rPr>
          <w:sz w:val="24"/>
          <w:szCs w:val="24"/>
        </w:rPr>
        <w:t>s</w:t>
      </w:r>
      <w:r w:rsidR="00A52B24">
        <w:rPr>
          <w:sz w:val="24"/>
          <w:szCs w:val="24"/>
        </w:rPr>
        <w:t xml:space="preserve"> must understand </w:t>
      </w:r>
      <w:r w:rsidR="007155AD">
        <w:rPr>
          <w:sz w:val="24"/>
          <w:szCs w:val="24"/>
        </w:rPr>
        <w:t xml:space="preserve">and apply the DLOM in valuation in their daily professional work. </w:t>
      </w:r>
      <w:r w:rsidR="00343D3D" w:rsidRPr="00343D3D">
        <w:rPr>
          <w:sz w:val="24"/>
          <w:szCs w:val="24"/>
        </w:rPr>
        <w:t xml:space="preserve">The degree to which a particular firm ownership interest's marketability differs from that of assets sold freely in active markets depends on a number of </w:t>
      </w:r>
      <w:r w:rsidR="00343D3D">
        <w:rPr>
          <w:sz w:val="24"/>
          <w:szCs w:val="24"/>
        </w:rPr>
        <w:t>factors</w:t>
      </w:r>
      <w:r w:rsidR="00343D3D" w:rsidRPr="00343D3D">
        <w:rPr>
          <w:sz w:val="24"/>
          <w:szCs w:val="24"/>
        </w:rPr>
        <w:t xml:space="preserve">. </w:t>
      </w:r>
      <w:r w:rsidR="00B44A3D" w:rsidRPr="00387D57">
        <w:rPr>
          <w:sz w:val="24"/>
          <w:szCs w:val="24"/>
        </w:rPr>
        <w:t>Shannon P. Pratt, (20</w:t>
      </w:r>
      <w:r w:rsidR="00BE05E8">
        <w:rPr>
          <w:sz w:val="24"/>
          <w:szCs w:val="24"/>
        </w:rPr>
        <w:t>12</w:t>
      </w:r>
      <w:r w:rsidR="00B44A3D" w:rsidRPr="00387D57">
        <w:rPr>
          <w:sz w:val="24"/>
          <w:szCs w:val="24"/>
        </w:rPr>
        <w:t xml:space="preserve">) </w:t>
      </w:r>
      <w:r w:rsidR="00B44A3D">
        <w:rPr>
          <w:sz w:val="24"/>
          <w:szCs w:val="24"/>
        </w:rPr>
        <w:t>revealed that t</w:t>
      </w:r>
      <w:r w:rsidR="00343D3D">
        <w:rPr>
          <w:sz w:val="24"/>
          <w:szCs w:val="24"/>
        </w:rPr>
        <w:t>hose factors</w:t>
      </w:r>
      <w:r w:rsidR="00343D3D" w:rsidRPr="00343D3D">
        <w:rPr>
          <w:sz w:val="24"/>
          <w:szCs w:val="24"/>
        </w:rPr>
        <w:t xml:space="preserve"> include put rights, dividends or distributions, the size of the prospective buyer's market, the likelihood of an IPO or acquisition, restrictions on transfers, the company's size and financial soundness, and the proportion of the stake in question to the total number of shares outstanding.</w:t>
      </w:r>
      <w:r w:rsidR="00343D3D">
        <w:rPr>
          <w:sz w:val="24"/>
          <w:szCs w:val="24"/>
        </w:rPr>
        <w:t xml:space="preserve"> </w:t>
      </w:r>
    </w:p>
    <w:p w14:paraId="4BDA00C8" w14:textId="77777777" w:rsidR="00164198" w:rsidRDefault="00164198" w:rsidP="008577B3">
      <w:pPr>
        <w:jc w:val="both"/>
        <w:rPr>
          <w:sz w:val="24"/>
          <w:szCs w:val="24"/>
        </w:rPr>
      </w:pPr>
    </w:p>
    <w:p w14:paraId="412813F9" w14:textId="6396BDE8" w:rsidR="008577B3" w:rsidRPr="008577B3" w:rsidRDefault="00B5719A" w:rsidP="008577B3">
      <w:pPr>
        <w:jc w:val="both"/>
        <w:rPr>
          <w:sz w:val="24"/>
          <w:szCs w:val="24"/>
        </w:rPr>
      </w:pPr>
      <w:r w:rsidRPr="00B5719A">
        <w:rPr>
          <w:sz w:val="24"/>
          <w:szCs w:val="24"/>
        </w:rPr>
        <w:t>Equity interest markets in the US</w:t>
      </w:r>
      <w:r>
        <w:rPr>
          <w:sz w:val="24"/>
          <w:szCs w:val="24"/>
        </w:rPr>
        <w:t xml:space="preserve"> and the Europe</w:t>
      </w:r>
      <w:r w:rsidRPr="00B5719A">
        <w:rPr>
          <w:sz w:val="24"/>
          <w:szCs w:val="24"/>
        </w:rPr>
        <w:t xml:space="preserve"> are among the world's most liquid. The U.S. </w:t>
      </w:r>
      <w:r>
        <w:rPr>
          <w:sz w:val="24"/>
          <w:szCs w:val="24"/>
        </w:rPr>
        <w:t xml:space="preserve">and the Europe </w:t>
      </w:r>
      <w:r w:rsidRPr="00B5719A">
        <w:rPr>
          <w:sz w:val="24"/>
          <w:szCs w:val="24"/>
        </w:rPr>
        <w:t>stock market is the gold standard for marketability; you may sell your shares over the phone in an instant at or near the public price and get the money in three business days. Anything that doesn't meet that liquidity criteria is discounted because it isn't marketable.</w:t>
      </w:r>
      <w:r>
        <w:rPr>
          <w:sz w:val="24"/>
          <w:szCs w:val="24"/>
        </w:rPr>
        <w:t xml:space="preserve"> </w:t>
      </w:r>
      <w:r w:rsidR="008577B3" w:rsidRPr="008577B3">
        <w:rPr>
          <w:sz w:val="24"/>
          <w:szCs w:val="24"/>
        </w:rPr>
        <w:t>Multiple methodologies within both the Qualitative and Quantitative Approaches have been employed to substantiate the DLOM in previous studies</w:t>
      </w:r>
      <w:r w:rsidR="00D10CDF">
        <w:rPr>
          <w:sz w:val="24"/>
          <w:szCs w:val="24"/>
        </w:rPr>
        <w:t xml:space="preserve"> in the US and the Europe</w:t>
      </w:r>
      <w:r w:rsidR="008577B3" w:rsidRPr="008577B3">
        <w:rPr>
          <w:sz w:val="24"/>
          <w:szCs w:val="24"/>
        </w:rPr>
        <w:t xml:space="preserve">. </w:t>
      </w:r>
      <w:r w:rsidR="00D96ED6">
        <w:rPr>
          <w:sz w:val="24"/>
          <w:szCs w:val="24"/>
        </w:rPr>
        <w:t xml:space="preserve">Those methodologies and studies include </w:t>
      </w:r>
      <w:r w:rsidR="00D96ED6" w:rsidRPr="00FF2B10">
        <w:rPr>
          <w:sz w:val="24"/>
          <w:szCs w:val="24"/>
        </w:rPr>
        <w:t>Restricted Stock Studies; Pre-IPO Studies</w:t>
      </w:r>
      <w:r w:rsidR="00D96ED6">
        <w:rPr>
          <w:sz w:val="24"/>
          <w:szCs w:val="24"/>
        </w:rPr>
        <w:t xml:space="preserve">, </w:t>
      </w:r>
      <w:r w:rsidR="00D96ED6" w:rsidRPr="00FF2B10">
        <w:rPr>
          <w:sz w:val="24"/>
          <w:szCs w:val="24"/>
        </w:rPr>
        <w:t>Acquisition Studies</w:t>
      </w:r>
      <w:r w:rsidR="00D96ED6">
        <w:rPr>
          <w:sz w:val="24"/>
          <w:szCs w:val="24"/>
        </w:rPr>
        <w:t xml:space="preserve">, </w:t>
      </w:r>
      <w:r w:rsidR="00D96ED6" w:rsidRPr="008577B3">
        <w:rPr>
          <w:sz w:val="24"/>
          <w:szCs w:val="24"/>
        </w:rPr>
        <w:t>Option Pricing Models</w:t>
      </w:r>
      <w:r w:rsidR="00D96ED6">
        <w:rPr>
          <w:sz w:val="24"/>
          <w:szCs w:val="24"/>
        </w:rPr>
        <w:t xml:space="preserve">, and </w:t>
      </w:r>
      <w:r w:rsidR="00D96ED6" w:rsidRPr="008577B3">
        <w:rPr>
          <w:sz w:val="24"/>
          <w:szCs w:val="24"/>
        </w:rPr>
        <w:t>Shareholder Cash Flow Adjustment Models</w:t>
      </w:r>
      <w:r w:rsidR="00D96ED6">
        <w:rPr>
          <w:sz w:val="24"/>
          <w:szCs w:val="24"/>
        </w:rPr>
        <w:t xml:space="preserve">. </w:t>
      </w:r>
      <w:r w:rsidR="008577B3" w:rsidRPr="008577B3">
        <w:rPr>
          <w:sz w:val="24"/>
          <w:szCs w:val="24"/>
        </w:rPr>
        <w:t>The table below encapsulates the methodologies and findings of prior research concerning the DLOM.</w:t>
      </w:r>
      <w:r w:rsidR="008577B3" w:rsidRPr="008577B3">
        <w:rPr>
          <w:sz w:val="24"/>
          <w:szCs w:val="24"/>
        </w:rPr>
        <w:br/>
      </w:r>
    </w:p>
    <w:p w14:paraId="2ED03D4A" w14:textId="77777777" w:rsidR="00BA4329" w:rsidRDefault="00BA4329" w:rsidP="008B1F7F">
      <w:pPr>
        <w:jc w:val="both"/>
        <w:rPr>
          <w:sz w:val="24"/>
          <w:szCs w:val="24"/>
        </w:rPr>
      </w:pPr>
    </w:p>
    <w:p w14:paraId="007EA5BE" w14:textId="04048B8F" w:rsidR="008577B3" w:rsidRDefault="008577B3" w:rsidP="008B1F7F">
      <w:pPr>
        <w:jc w:val="both"/>
        <w:rPr>
          <w:sz w:val="24"/>
          <w:szCs w:val="24"/>
        </w:rPr>
      </w:pPr>
      <w:r w:rsidRPr="008577B3">
        <w:rPr>
          <w:noProof/>
          <w:sz w:val="24"/>
          <w:szCs w:val="24"/>
        </w:rPr>
        <w:lastRenderedPageBreak/>
        <w:drawing>
          <wp:inline distT="0" distB="0" distL="0" distR="0" wp14:anchorId="3D6AA0F3" wp14:editId="69DB17F3">
            <wp:extent cx="5794744" cy="8624004"/>
            <wp:effectExtent l="0" t="0" r="0" b="5715"/>
            <wp:docPr id="735912277" name="Picture 1" descr="A table of information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12277" name="Picture 1" descr="A table of information with numbers and text&#10;&#10;Description automatically generated with medium confidence"/>
                    <pic:cNvPicPr/>
                  </pic:nvPicPr>
                  <pic:blipFill>
                    <a:blip r:embed="rId8"/>
                    <a:stretch>
                      <a:fillRect/>
                    </a:stretch>
                  </pic:blipFill>
                  <pic:spPr>
                    <a:xfrm>
                      <a:off x="0" y="0"/>
                      <a:ext cx="5807143" cy="8642456"/>
                    </a:xfrm>
                    <a:prstGeom prst="rect">
                      <a:avLst/>
                    </a:prstGeom>
                  </pic:spPr>
                </pic:pic>
              </a:graphicData>
            </a:graphic>
          </wp:inline>
        </w:drawing>
      </w:r>
    </w:p>
    <w:p w14:paraId="0989AD36" w14:textId="41924AE3" w:rsidR="00E001C5" w:rsidRDefault="00E001C5" w:rsidP="008B1F7F">
      <w:pPr>
        <w:jc w:val="both"/>
        <w:rPr>
          <w:sz w:val="24"/>
          <w:szCs w:val="24"/>
        </w:rPr>
      </w:pPr>
      <w:r w:rsidRPr="00E001C5">
        <w:rPr>
          <w:noProof/>
          <w:sz w:val="24"/>
          <w:szCs w:val="24"/>
        </w:rPr>
        <w:lastRenderedPageBreak/>
        <w:drawing>
          <wp:inline distT="0" distB="0" distL="0" distR="0" wp14:anchorId="244FC267" wp14:editId="7180EE0F">
            <wp:extent cx="5707502" cy="8452884"/>
            <wp:effectExtent l="0" t="0" r="7620" b="5715"/>
            <wp:docPr id="2025601187"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601187" name="Picture 1" descr="A white sheet with black text&#10;&#10;Description automatically generated"/>
                    <pic:cNvPicPr/>
                  </pic:nvPicPr>
                  <pic:blipFill>
                    <a:blip r:embed="rId9"/>
                    <a:stretch>
                      <a:fillRect/>
                    </a:stretch>
                  </pic:blipFill>
                  <pic:spPr>
                    <a:xfrm>
                      <a:off x="0" y="0"/>
                      <a:ext cx="5719467" cy="8470605"/>
                    </a:xfrm>
                    <a:prstGeom prst="rect">
                      <a:avLst/>
                    </a:prstGeom>
                  </pic:spPr>
                </pic:pic>
              </a:graphicData>
            </a:graphic>
          </wp:inline>
        </w:drawing>
      </w:r>
    </w:p>
    <w:p w14:paraId="16273EB6" w14:textId="77777777" w:rsidR="00E001C5" w:rsidRDefault="00E001C5" w:rsidP="008B1F7F">
      <w:pPr>
        <w:jc w:val="both"/>
        <w:rPr>
          <w:sz w:val="24"/>
          <w:szCs w:val="24"/>
        </w:rPr>
      </w:pPr>
    </w:p>
    <w:p w14:paraId="7373EEEA" w14:textId="2545A51E" w:rsidR="00E001C5" w:rsidRDefault="00E001C5" w:rsidP="008B1F7F">
      <w:pPr>
        <w:jc w:val="both"/>
        <w:rPr>
          <w:sz w:val="24"/>
          <w:szCs w:val="24"/>
        </w:rPr>
      </w:pPr>
      <w:r w:rsidRPr="00E001C5">
        <w:rPr>
          <w:noProof/>
          <w:sz w:val="24"/>
          <w:szCs w:val="24"/>
        </w:rPr>
        <w:lastRenderedPageBreak/>
        <w:drawing>
          <wp:inline distT="0" distB="0" distL="0" distR="0" wp14:anchorId="7BDC3A00" wp14:editId="282A03AE">
            <wp:extent cx="5699051" cy="8641835"/>
            <wp:effectExtent l="0" t="0" r="0" b="6985"/>
            <wp:docPr id="430563938"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563938" name="Picture 1" descr="A white sheet with black text&#10;&#10;Description automatically generated"/>
                    <pic:cNvPicPr/>
                  </pic:nvPicPr>
                  <pic:blipFill>
                    <a:blip r:embed="rId10"/>
                    <a:stretch>
                      <a:fillRect/>
                    </a:stretch>
                  </pic:blipFill>
                  <pic:spPr>
                    <a:xfrm>
                      <a:off x="0" y="0"/>
                      <a:ext cx="5706886" cy="8653715"/>
                    </a:xfrm>
                    <a:prstGeom prst="rect">
                      <a:avLst/>
                    </a:prstGeom>
                  </pic:spPr>
                </pic:pic>
              </a:graphicData>
            </a:graphic>
          </wp:inline>
        </w:drawing>
      </w:r>
    </w:p>
    <w:p w14:paraId="753E6D5F" w14:textId="45C2EF68" w:rsidR="00E001C5" w:rsidRDefault="00E001C5" w:rsidP="008B1F7F">
      <w:pPr>
        <w:jc w:val="both"/>
        <w:rPr>
          <w:sz w:val="24"/>
          <w:szCs w:val="24"/>
        </w:rPr>
      </w:pPr>
      <w:r w:rsidRPr="00E001C5">
        <w:rPr>
          <w:noProof/>
          <w:sz w:val="24"/>
          <w:szCs w:val="24"/>
        </w:rPr>
        <w:lastRenderedPageBreak/>
        <w:drawing>
          <wp:inline distT="0" distB="0" distL="0" distR="0" wp14:anchorId="62674ADC" wp14:editId="566B6E22">
            <wp:extent cx="5707367" cy="4125433"/>
            <wp:effectExtent l="0" t="0" r="8255" b="8890"/>
            <wp:docPr id="209051749" name="Picture 1" descr="A table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1749" name="Picture 1" descr="A table of information&#10;&#10;Description automatically generated with medium confidence"/>
                    <pic:cNvPicPr/>
                  </pic:nvPicPr>
                  <pic:blipFill>
                    <a:blip r:embed="rId11"/>
                    <a:stretch>
                      <a:fillRect/>
                    </a:stretch>
                  </pic:blipFill>
                  <pic:spPr>
                    <a:xfrm>
                      <a:off x="0" y="0"/>
                      <a:ext cx="5714100" cy="4130300"/>
                    </a:xfrm>
                    <a:prstGeom prst="rect">
                      <a:avLst/>
                    </a:prstGeom>
                  </pic:spPr>
                </pic:pic>
              </a:graphicData>
            </a:graphic>
          </wp:inline>
        </w:drawing>
      </w:r>
    </w:p>
    <w:p w14:paraId="7E940773" w14:textId="77777777" w:rsidR="00BA4329" w:rsidRPr="00E45E23" w:rsidRDefault="00BA4329" w:rsidP="008B1F7F">
      <w:pPr>
        <w:jc w:val="both"/>
        <w:rPr>
          <w:sz w:val="24"/>
          <w:szCs w:val="24"/>
        </w:rPr>
      </w:pPr>
    </w:p>
    <w:p w14:paraId="6CE817B3" w14:textId="5885ADC2" w:rsidR="00FF2B10" w:rsidRPr="00FF2B10" w:rsidRDefault="003B492A" w:rsidP="00FF2B10">
      <w:pPr>
        <w:rPr>
          <w:sz w:val="24"/>
          <w:szCs w:val="24"/>
        </w:rPr>
      </w:pPr>
      <w:r>
        <w:rPr>
          <w:sz w:val="24"/>
          <w:szCs w:val="24"/>
        </w:rPr>
        <w:t>Below w</w:t>
      </w:r>
      <w:r w:rsidR="008577B3" w:rsidRPr="008577B3">
        <w:rPr>
          <w:sz w:val="24"/>
          <w:szCs w:val="24"/>
        </w:rPr>
        <w:t xml:space="preserve">e will </w:t>
      </w:r>
      <w:r w:rsidR="00DA3CA5" w:rsidRPr="008577B3">
        <w:rPr>
          <w:sz w:val="24"/>
          <w:szCs w:val="24"/>
        </w:rPr>
        <w:t>analyse</w:t>
      </w:r>
      <w:r w:rsidR="008577B3" w:rsidRPr="008577B3">
        <w:rPr>
          <w:sz w:val="24"/>
          <w:szCs w:val="24"/>
        </w:rPr>
        <w:t xml:space="preserve"> the technique and results of both the Qualitative Approach and the Quantitative Approach utilized in previous research</w:t>
      </w:r>
      <w:r w:rsidR="00A52B24">
        <w:rPr>
          <w:sz w:val="24"/>
          <w:szCs w:val="24"/>
        </w:rPr>
        <w:t>es</w:t>
      </w:r>
      <w:r w:rsidR="008577B3" w:rsidRPr="008577B3">
        <w:rPr>
          <w:sz w:val="24"/>
          <w:szCs w:val="24"/>
        </w:rPr>
        <w:t xml:space="preserve"> to support the DLOM. </w:t>
      </w:r>
      <w:r w:rsidR="008577B3" w:rsidRPr="008577B3">
        <w:rPr>
          <w:sz w:val="24"/>
          <w:szCs w:val="24"/>
        </w:rPr>
        <w:br/>
      </w:r>
      <w:r w:rsidR="008577B3" w:rsidRPr="008577B3">
        <w:rPr>
          <w:sz w:val="24"/>
          <w:szCs w:val="24"/>
        </w:rPr>
        <w:br/>
      </w:r>
      <w:r w:rsidR="008577B3" w:rsidRPr="008577B3">
        <w:rPr>
          <w:b/>
          <w:bCs/>
          <w:sz w:val="24"/>
          <w:szCs w:val="24"/>
        </w:rPr>
        <w:t>Qualitative Methodology</w:t>
      </w:r>
      <w:r w:rsidR="008577B3" w:rsidRPr="008577B3">
        <w:rPr>
          <w:b/>
          <w:bCs/>
          <w:sz w:val="24"/>
          <w:szCs w:val="24"/>
        </w:rPr>
        <w:br/>
      </w:r>
      <w:r w:rsidR="00FF2B10" w:rsidRPr="00FF2B10">
        <w:rPr>
          <w:sz w:val="24"/>
          <w:szCs w:val="24"/>
        </w:rPr>
        <w:t xml:space="preserve">According to John W. Creswell (2024), qualitative research is a way to learn about people's social realities, like their beliefs, attitudes, and motivations, through collecting and evaluating descriptive data that isn't numerical. Extensive interviews, focus groups, or field observations are common methods used in this study to gather material that is rich in depth and context. When trying to understand complicated phenomena or people's unique viewpoints and experiences, qualitative research is generally the way to go. In studies aiming to decipher people's intrinsic motivations or the significance people ascribe to their experiences, this is especially helpful. </w:t>
      </w:r>
      <w:r w:rsidR="009C273A" w:rsidRPr="009C273A">
        <w:rPr>
          <w:sz w:val="24"/>
          <w:szCs w:val="24"/>
        </w:rPr>
        <w:t xml:space="preserve">There are two well-known studies that show how much of a gap there is between the prices of publicly traded stocks and stocks that are same or nearly identical but cannot be traded publicly at the valuation date. Restricted stock studies and pre-IPO </w:t>
      </w:r>
      <w:r w:rsidR="009C273A" w:rsidRPr="009C273A">
        <w:rPr>
          <w:sz w:val="24"/>
          <w:szCs w:val="24"/>
        </w:rPr>
        <w:lastRenderedPageBreak/>
        <w:t>studies are the names given to these two sets of research.</w:t>
      </w:r>
      <w:r w:rsidR="009C273A">
        <w:rPr>
          <w:sz w:val="24"/>
          <w:szCs w:val="24"/>
        </w:rPr>
        <w:t xml:space="preserve"> </w:t>
      </w:r>
      <w:r w:rsidR="00FF2B10" w:rsidRPr="00FF2B10">
        <w:rPr>
          <w:sz w:val="24"/>
          <w:szCs w:val="24"/>
        </w:rPr>
        <w:t xml:space="preserve">Acquisition Studies are </w:t>
      </w:r>
      <w:r w:rsidR="009C273A">
        <w:rPr>
          <w:sz w:val="24"/>
          <w:szCs w:val="24"/>
        </w:rPr>
        <w:t>also another well recognised</w:t>
      </w:r>
      <w:r w:rsidR="00FF2B10" w:rsidRPr="00FF2B10">
        <w:rPr>
          <w:sz w:val="24"/>
          <w:szCs w:val="24"/>
        </w:rPr>
        <w:t xml:space="preserve"> qualitative approaches for DLOM calculation. </w:t>
      </w:r>
    </w:p>
    <w:p w14:paraId="47766826" w14:textId="77777777" w:rsidR="00B8603C" w:rsidRDefault="00B8603C" w:rsidP="00B8603C">
      <w:pPr>
        <w:rPr>
          <w:sz w:val="24"/>
          <w:szCs w:val="24"/>
        </w:rPr>
      </w:pPr>
    </w:p>
    <w:p w14:paraId="1347A054" w14:textId="77777777" w:rsidR="000F107A" w:rsidRPr="000F107A" w:rsidRDefault="008577B3" w:rsidP="000F107A">
      <w:pPr>
        <w:rPr>
          <w:sz w:val="24"/>
          <w:szCs w:val="24"/>
        </w:rPr>
      </w:pPr>
      <w:r w:rsidRPr="00A53FB3">
        <w:rPr>
          <w:sz w:val="24"/>
          <w:szCs w:val="24"/>
          <w:u w:val="single"/>
        </w:rPr>
        <w:t xml:space="preserve">Studies on Restricted Stock </w:t>
      </w:r>
      <w:r w:rsidRPr="00A53FB3">
        <w:rPr>
          <w:sz w:val="24"/>
          <w:szCs w:val="24"/>
          <w:u w:val="single"/>
        </w:rPr>
        <w:br/>
      </w:r>
      <w:r w:rsidR="000F107A" w:rsidRPr="000F107A">
        <w:rPr>
          <w:sz w:val="24"/>
          <w:szCs w:val="24"/>
        </w:rPr>
        <w:t xml:space="preserve">To assess the impact of limited marketability, restricted stock research compares the sale price of publicly traded shares to restricted shares from the same company. </w:t>
      </w:r>
    </w:p>
    <w:p w14:paraId="1D0E891D" w14:textId="3DDE656C" w:rsidR="00F37587" w:rsidRDefault="00FF2B10" w:rsidP="00B8603C">
      <w:pPr>
        <w:rPr>
          <w:sz w:val="24"/>
          <w:szCs w:val="24"/>
        </w:rPr>
      </w:pPr>
      <w:r w:rsidRPr="00FF2B10">
        <w:rPr>
          <w:sz w:val="24"/>
          <w:szCs w:val="24"/>
        </w:rPr>
        <w:t xml:space="preserve">These shares are identical but for their marketability. The studies presented here are convincing because </w:t>
      </w:r>
      <w:r w:rsidR="00962F57" w:rsidRPr="00FF2B10">
        <w:rPr>
          <w:sz w:val="24"/>
          <w:szCs w:val="24"/>
        </w:rPr>
        <w:t xml:space="preserve">restricted stock </w:t>
      </w:r>
      <w:r w:rsidRPr="00FF2B10">
        <w:rPr>
          <w:sz w:val="24"/>
          <w:szCs w:val="24"/>
        </w:rPr>
        <w:t xml:space="preserve">allow for the comparison of shares of the same firm that are otherwise freely traded, sometimes at the same time. </w:t>
      </w:r>
    </w:p>
    <w:p w14:paraId="39FFB87D" w14:textId="77777777" w:rsidR="00F37587" w:rsidRDefault="00F37587" w:rsidP="00B8603C">
      <w:pPr>
        <w:rPr>
          <w:sz w:val="24"/>
          <w:szCs w:val="24"/>
        </w:rPr>
      </w:pPr>
    </w:p>
    <w:p w14:paraId="25417B6B" w14:textId="682BD4DB" w:rsidR="00B8603C" w:rsidRPr="00B8603C" w:rsidRDefault="00F37587" w:rsidP="00B8603C">
      <w:pPr>
        <w:rPr>
          <w:sz w:val="24"/>
          <w:szCs w:val="24"/>
        </w:rPr>
      </w:pPr>
      <w:r w:rsidRPr="00F37587">
        <w:rPr>
          <w:sz w:val="24"/>
          <w:szCs w:val="24"/>
        </w:rPr>
        <w:t xml:space="preserve">Since 1969, the </w:t>
      </w:r>
      <w:r w:rsidR="0032468A" w:rsidRPr="0032468A">
        <w:rPr>
          <w:sz w:val="24"/>
          <w:szCs w:val="24"/>
        </w:rPr>
        <w:t xml:space="preserve">U.S. Securities and Exchange Commission </w:t>
      </w:r>
      <w:r w:rsidR="0032468A">
        <w:rPr>
          <w:sz w:val="24"/>
          <w:szCs w:val="24"/>
        </w:rPr>
        <w:t xml:space="preserve">(SEC) </w:t>
      </w:r>
      <w:r w:rsidRPr="00F37587">
        <w:rPr>
          <w:sz w:val="24"/>
          <w:szCs w:val="24"/>
        </w:rPr>
        <w:t>has mandated that registered investment organizations publicly disclose their internal valuation methodology for restricted securities and transaction data (SEC Accounting Series Release No. 113, dated October 21, 1969, and Accounting Series Release No. 118, dated December 23, 1970). The accessibility of the records enabled analysts to ascertain the absence of a marketability discount on assets acquired by investment firms and utilize it as a benchmark for the discount on a tightly held stake.</w:t>
      </w:r>
      <w:r w:rsidR="006F4B34">
        <w:rPr>
          <w:sz w:val="24"/>
          <w:szCs w:val="24"/>
        </w:rPr>
        <w:t xml:space="preserve"> </w:t>
      </w:r>
      <w:r w:rsidR="00B8603C" w:rsidRPr="00B8603C">
        <w:rPr>
          <w:sz w:val="24"/>
          <w:szCs w:val="24"/>
        </w:rPr>
        <w:t xml:space="preserve">Significant research on restricted stock includes the SEC institutional investor (1971), Gelman (1972), Moroney (1973), Maher (1976), Trout (1977), Arneson (1981), Stryker and Pittock (1983), Wruck (1989), Silber (1991), Hertzel and Smith (1993), Hall and Polacek (1994), Johnson (1999), Columbia Financial Advisors, Inc. (Study 1 &amp; Study 2) (2000), Bajaj et al. (2001), Barclay et al. (2007), </w:t>
      </w:r>
      <w:proofErr w:type="spellStart"/>
      <w:r w:rsidR="00B8603C" w:rsidRPr="00B8603C">
        <w:rPr>
          <w:sz w:val="24"/>
          <w:szCs w:val="24"/>
        </w:rPr>
        <w:t>Pluris</w:t>
      </w:r>
      <w:proofErr w:type="spellEnd"/>
      <w:r w:rsidR="00B8603C" w:rsidRPr="00B8603C">
        <w:rPr>
          <w:sz w:val="24"/>
          <w:szCs w:val="24"/>
        </w:rPr>
        <w:t xml:space="preserve"> (2007), Willamette Management Associates (2007), Management Planning, Inc. (2009), SRR (2011), </w:t>
      </w:r>
      <w:proofErr w:type="spellStart"/>
      <w:r w:rsidR="00B8603C" w:rsidRPr="00B8603C">
        <w:rPr>
          <w:sz w:val="24"/>
          <w:szCs w:val="24"/>
        </w:rPr>
        <w:t>Trugman</w:t>
      </w:r>
      <w:proofErr w:type="spellEnd"/>
      <w:r w:rsidR="00B8603C" w:rsidRPr="00B8603C">
        <w:rPr>
          <w:sz w:val="24"/>
          <w:szCs w:val="24"/>
        </w:rPr>
        <w:t xml:space="preserve"> Valuation Associates Inc. (2011), FMV Opinions (2015), BVR Survey (2021), and Stout (2023). </w:t>
      </w:r>
    </w:p>
    <w:p w14:paraId="255F6254" w14:textId="434ED24A" w:rsidR="00587628" w:rsidRPr="00587628" w:rsidRDefault="008577B3" w:rsidP="00587628">
      <w:pPr>
        <w:rPr>
          <w:sz w:val="24"/>
          <w:szCs w:val="24"/>
        </w:rPr>
      </w:pPr>
      <w:r w:rsidRPr="008577B3">
        <w:rPr>
          <w:sz w:val="24"/>
          <w:szCs w:val="24"/>
        </w:rPr>
        <w:br/>
      </w:r>
      <w:r w:rsidR="00587628" w:rsidRPr="00587628">
        <w:rPr>
          <w:sz w:val="24"/>
          <w:szCs w:val="24"/>
        </w:rPr>
        <w:t xml:space="preserve">There have been a lot of complaints about how restricted stock studies are used to justify non-marketability discounts for privately held company stakes. </w:t>
      </w:r>
      <w:r w:rsidR="00776D8D">
        <w:rPr>
          <w:sz w:val="24"/>
          <w:szCs w:val="24"/>
        </w:rPr>
        <w:t>However, t</w:t>
      </w:r>
      <w:r w:rsidR="00587628" w:rsidRPr="00587628">
        <w:rPr>
          <w:sz w:val="24"/>
          <w:szCs w:val="24"/>
        </w:rPr>
        <w:t xml:space="preserve">he main drawbacks of relying on sales are: (1) Outdated market data; (2) unsteady issuer traits; (3) abnormally high returns indicated by discounts; (4) economic variables beyond simple lack of marketability represented by discounts; and (5) </w:t>
      </w:r>
      <w:r w:rsidR="004F2CCE" w:rsidRPr="004F2CCE">
        <w:rPr>
          <w:sz w:val="24"/>
          <w:szCs w:val="24"/>
        </w:rPr>
        <w:t>Hedging methods would yield lesser discounts compared to those indicated by restricted stock analysis.</w:t>
      </w:r>
      <w:r w:rsidR="004F2CCE">
        <w:rPr>
          <w:sz w:val="24"/>
          <w:szCs w:val="24"/>
        </w:rPr>
        <w:t xml:space="preserve"> </w:t>
      </w:r>
      <w:r w:rsidR="00587628" w:rsidRPr="00587628">
        <w:rPr>
          <w:sz w:val="24"/>
          <w:szCs w:val="24"/>
        </w:rPr>
        <w:t xml:space="preserve">So, we didn't use this </w:t>
      </w:r>
      <w:r w:rsidR="002836A0">
        <w:rPr>
          <w:sz w:val="24"/>
          <w:szCs w:val="24"/>
        </w:rPr>
        <w:t>method</w:t>
      </w:r>
      <w:r w:rsidR="00587628" w:rsidRPr="00587628">
        <w:rPr>
          <w:sz w:val="24"/>
          <w:szCs w:val="24"/>
        </w:rPr>
        <w:t xml:space="preserve"> in our thesis. </w:t>
      </w:r>
    </w:p>
    <w:p w14:paraId="333920CB" w14:textId="6D3362B3" w:rsidR="00B8603C" w:rsidRPr="00B8603C" w:rsidRDefault="008577B3" w:rsidP="00B8603C">
      <w:pPr>
        <w:rPr>
          <w:sz w:val="24"/>
          <w:szCs w:val="24"/>
        </w:rPr>
      </w:pPr>
      <w:r w:rsidRPr="008577B3">
        <w:rPr>
          <w:sz w:val="24"/>
          <w:szCs w:val="24"/>
        </w:rPr>
        <w:lastRenderedPageBreak/>
        <w:br/>
      </w:r>
      <w:r w:rsidRPr="00A53FB3">
        <w:rPr>
          <w:sz w:val="24"/>
          <w:szCs w:val="24"/>
          <w:u w:val="single"/>
        </w:rPr>
        <w:t xml:space="preserve">Pre-IPO Analyses </w:t>
      </w:r>
      <w:r w:rsidRPr="00A53FB3">
        <w:rPr>
          <w:sz w:val="24"/>
          <w:szCs w:val="24"/>
          <w:u w:val="single"/>
        </w:rPr>
        <w:br/>
      </w:r>
      <w:r w:rsidR="00587628" w:rsidRPr="00587628">
        <w:rPr>
          <w:sz w:val="24"/>
          <w:szCs w:val="24"/>
        </w:rPr>
        <w:t xml:space="preserve">Evaluations of DLOM have made use of pre-IPO investigations since the 1970s. To do this, they compare the equity interest valuation from a company's SEC filings with the common stock market price after the IPO. The idea behind the IPO is that shares sold before the offering are not marketable, but those sold after the IPO are completely liquid and can be bought and sold. There must be a percentage difference between the two prices to show that there are changes in marketability. We looked at four major pre-IPO studies, including one by Valuation Advisors (2007) and two by Willamette Management Associates (2009). Emory (2012) and Hitchner and Morris (2011). </w:t>
      </w:r>
    </w:p>
    <w:p w14:paraId="2DF77383" w14:textId="130C2BC0" w:rsidR="00AC07E6" w:rsidRPr="00AC07E6" w:rsidRDefault="008577B3" w:rsidP="00AC07E6">
      <w:pPr>
        <w:rPr>
          <w:sz w:val="24"/>
          <w:szCs w:val="24"/>
        </w:rPr>
      </w:pPr>
      <w:r w:rsidRPr="008577B3">
        <w:rPr>
          <w:sz w:val="24"/>
          <w:szCs w:val="24"/>
        </w:rPr>
        <w:br/>
      </w:r>
      <w:r w:rsidR="00587628" w:rsidRPr="00587628">
        <w:rPr>
          <w:sz w:val="24"/>
          <w:szCs w:val="24"/>
        </w:rPr>
        <w:t xml:space="preserve">Some limitations are shown by the pre-IPO approach. The time it takes to go from a pre-IPO deal to an IPO is often overly drawn out, according to Z. Christopher Mercer et al. (2011). If we look at the private deals that happened between five months and three years prior to the IPO, we can see that there were other, unconnected reasons for the price increase. </w:t>
      </w:r>
      <w:r w:rsidRPr="008577B3">
        <w:rPr>
          <w:sz w:val="24"/>
          <w:szCs w:val="24"/>
        </w:rPr>
        <w:t xml:space="preserve">Pre-IPO studies, </w:t>
      </w:r>
      <w:r w:rsidR="00587628">
        <w:rPr>
          <w:sz w:val="24"/>
          <w:szCs w:val="24"/>
        </w:rPr>
        <w:t>u</w:t>
      </w:r>
      <w:r w:rsidRPr="008577B3">
        <w:rPr>
          <w:sz w:val="24"/>
          <w:szCs w:val="24"/>
        </w:rPr>
        <w:t xml:space="preserve">nlike limited stock studies, possess the deficiency of lacking contemporaneous price comparisons between the two stocks. Consequently, price variations significantly influence not only marketability but also the company's fundamentals. Conversely, Z. Christopher Mercer et al. (2011) asserts that Pre-IPO transactions are generally undervalued to ensure complete subscription. </w:t>
      </w:r>
      <w:r w:rsidR="00A302C1">
        <w:rPr>
          <w:sz w:val="24"/>
          <w:szCs w:val="24"/>
        </w:rPr>
        <w:t xml:space="preserve">In summary, </w:t>
      </w:r>
      <w:r w:rsidR="00A302C1" w:rsidRPr="00A302C1">
        <w:rPr>
          <w:sz w:val="24"/>
          <w:szCs w:val="24"/>
        </w:rPr>
        <w:t>criticisms against the use of the pre-IPO studies</w:t>
      </w:r>
      <w:r w:rsidR="00555E5E">
        <w:rPr>
          <w:sz w:val="24"/>
          <w:szCs w:val="24"/>
        </w:rPr>
        <w:t xml:space="preserve"> include</w:t>
      </w:r>
      <w:r w:rsidR="00CF35A5">
        <w:rPr>
          <w:sz w:val="24"/>
          <w:szCs w:val="24"/>
        </w:rPr>
        <w:t>:</w:t>
      </w:r>
      <w:r w:rsidR="003D0775">
        <w:rPr>
          <w:sz w:val="24"/>
          <w:szCs w:val="24"/>
        </w:rPr>
        <w:t xml:space="preserve"> (1) </w:t>
      </w:r>
      <w:r w:rsidR="009960F8" w:rsidRPr="009960F8">
        <w:rPr>
          <w:sz w:val="24"/>
          <w:szCs w:val="24"/>
        </w:rPr>
        <w:t>Assess elements unrelated to marketability</w:t>
      </w:r>
      <w:r w:rsidR="002836A0">
        <w:rPr>
          <w:sz w:val="24"/>
          <w:szCs w:val="24"/>
        </w:rPr>
        <w:t>;</w:t>
      </w:r>
      <w:r w:rsidR="009960F8" w:rsidRPr="009960F8">
        <w:rPr>
          <w:sz w:val="24"/>
          <w:szCs w:val="24"/>
        </w:rPr>
        <w:t xml:space="preserve"> </w:t>
      </w:r>
      <w:r w:rsidR="003D0775">
        <w:rPr>
          <w:sz w:val="24"/>
          <w:szCs w:val="24"/>
        </w:rPr>
        <w:t xml:space="preserve">(2) </w:t>
      </w:r>
      <w:r w:rsidR="009960F8" w:rsidRPr="009960F8">
        <w:rPr>
          <w:sz w:val="24"/>
          <w:szCs w:val="24"/>
        </w:rPr>
        <w:t>Rely on non-contemporaneous pricing comparisons</w:t>
      </w:r>
      <w:r w:rsidR="002836A0">
        <w:rPr>
          <w:sz w:val="24"/>
          <w:szCs w:val="24"/>
        </w:rPr>
        <w:t>;</w:t>
      </w:r>
      <w:r w:rsidR="009960F8" w:rsidRPr="009960F8">
        <w:rPr>
          <w:sz w:val="24"/>
          <w:szCs w:val="24"/>
        </w:rPr>
        <w:t xml:space="preserve"> </w:t>
      </w:r>
      <w:r w:rsidR="003D0775">
        <w:rPr>
          <w:sz w:val="24"/>
          <w:szCs w:val="24"/>
        </w:rPr>
        <w:t xml:space="preserve">(3) </w:t>
      </w:r>
      <w:r w:rsidR="009960F8" w:rsidRPr="009960F8">
        <w:rPr>
          <w:sz w:val="24"/>
          <w:szCs w:val="24"/>
        </w:rPr>
        <w:t>Inflated owing to the elapse of time</w:t>
      </w:r>
      <w:r w:rsidR="002836A0">
        <w:rPr>
          <w:sz w:val="24"/>
          <w:szCs w:val="24"/>
        </w:rPr>
        <w:t>;</w:t>
      </w:r>
      <w:r w:rsidR="009960F8" w:rsidRPr="009960F8">
        <w:rPr>
          <w:sz w:val="24"/>
          <w:szCs w:val="24"/>
        </w:rPr>
        <w:t xml:space="preserve"> </w:t>
      </w:r>
      <w:r w:rsidR="003D0775">
        <w:rPr>
          <w:sz w:val="24"/>
          <w:szCs w:val="24"/>
        </w:rPr>
        <w:t xml:space="preserve">(4) </w:t>
      </w:r>
      <w:r w:rsidR="009960F8" w:rsidRPr="009960F8">
        <w:rPr>
          <w:sz w:val="24"/>
          <w:szCs w:val="24"/>
        </w:rPr>
        <w:t>Represent remuneration for insider services</w:t>
      </w:r>
      <w:r w:rsidR="002836A0">
        <w:rPr>
          <w:sz w:val="24"/>
          <w:szCs w:val="24"/>
        </w:rPr>
        <w:t>;</w:t>
      </w:r>
      <w:r w:rsidR="009960F8" w:rsidRPr="009960F8">
        <w:rPr>
          <w:sz w:val="24"/>
          <w:szCs w:val="24"/>
        </w:rPr>
        <w:t xml:space="preserve"> </w:t>
      </w:r>
      <w:r w:rsidR="003D0775">
        <w:rPr>
          <w:sz w:val="24"/>
          <w:szCs w:val="24"/>
        </w:rPr>
        <w:t xml:space="preserve">(5) </w:t>
      </w:r>
      <w:r w:rsidR="009960F8" w:rsidRPr="009960F8">
        <w:rPr>
          <w:sz w:val="24"/>
          <w:szCs w:val="24"/>
        </w:rPr>
        <w:t>Exaggerated owing to self-selection and survivorship bias</w:t>
      </w:r>
      <w:r w:rsidR="002836A0">
        <w:rPr>
          <w:sz w:val="24"/>
          <w:szCs w:val="24"/>
        </w:rPr>
        <w:t>;</w:t>
      </w:r>
      <w:r w:rsidR="009960F8" w:rsidRPr="009960F8">
        <w:rPr>
          <w:sz w:val="24"/>
          <w:szCs w:val="24"/>
        </w:rPr>
        <w:t xml:space="preserve"> </w:t>
      </w:r>
      <w:r w:rsidR="003D0775">
        <w:rPr>
          <w:sz w:val="24"/>
          <w:szCs w:val="24"/>
        </w:rPr>
        <w:t xml:space="preserve">(6) </w:t>
      </w:r>
      <w:r w:rsidR="009960F8" w:rsidRPr="009960F8">
        <w:rPr>
          <w:sz w:val="24"/>
          <w:szCs w:val="24"/>
        </w:rPr>
        <w:t>Suggest implausibly substantial returns</w:t>
      </w:r>
      <w:r w:rsidR="002836A0">
        <w:rPr>
          <w:sz w:val="24"/>
          <w:szCs w:val="24"/>
        </w:rPr>
        <w:t>;</w:t>
      </w:r>
      <w:r w:rsidR="009960F8" w:rsidRPr="009960F8">
        <w:rPr>
          <w:sz w:val="24"/>
          <w:szCs w:val="24"/>
        </w:rPr>
        <w:t xml:space="preserve"> </w:t>
      </w:r>
      <w:r w:rsidR="003D0775">
        <w:rPr>
          <w:sz w:val="24"/>
          <w:szCs w:val="24"/>
        </w:rPr>
        <w:t>(7)</w:t>
      </w:r>
      <w:r w:rsidR="009960F8" w:rsidRPr="009960F8">
        <w:rPr>
          <w:sz w:val="24"/>
          <w:szCs w:val="24"/>
        </w:rPr>
        <w:t xml:space="preserve"> Manifest IPO price speculation</w:t>
      </w:r>
      <w:r w:rsidR="002836A0">
        <w:rPr>
          <w:sz w:val="24"/>
          <w:szCs w:val="24"/>
        </w:rPr>
        <w:t>;</w:t>
      </w:r>
      <w:r w:rsidR="009960F8" w:rsidRPr="009960F8">
        <w:rPr>
          <w:sz w:val="24"/>
          <w:szCs w:val="24"/>
        </w:rPr>
        <w:t xml:space="preserve"> </w:t>
      </w:r>
      <w:r w:rsidR="003D0775">
        <w:rPr>
          <w:sz w:val="24"/>
          <w:szCs w:val="24"/>
        </w:rPr>
        <w:t>(8)</w:t>
      </w:r>
      <w:r w:rsidR="009960F8" w:rsidRPr="009960F8">
        <w:rPr>
          <w:sz w:val="24"/>
          <w:szCs w:val="24"/>
        </w:rPr>
        <w:t xml:space="preserve"> Indicate that IPOs coincide with increasing profitability</w:t>
      </w:r>
      <w:r w:rsidR="002836A0">
        <w:rPr>
          <w:sz w:val="24"/>
          <w:szCs w:val="24"/>
        </w:rPr>
        <w:t>; and</w:t>
      </w:r>
      <w:r w:rsidR="009960F8" w:rsidRPr="009960F8">
        <w:rPr>
          <w:sz w:val="24"/>
          <w:szCs w:val="24"/>
        </w:rPr>
        <w:t xml:space="preserve"> </w:t>
      </w:r>
      <w:r w:rsidR="003D0775">
        <w:rPr>
          <w:sz w:val="24"/>
          <w:szCs w:val="24"/>
        </w:rPr>
        <w:t>(9)</w:t>
      </w:r>
      <w:r w:rsidR="009960F8" w:rsidRPr="009960F8">
        <w:rPr>
          <w:sz w:val="24"/>
          <w:szCs w:val="24"/>
        </w:rPr>
        <w:t xml:space="preserve"> Contain data inaccuracies</w:t>
      </w:r>
      <w:r w:rsidR="003D0775">
        <w:rPr>
          <w:sz w:val="24"/>
          <w:szCs w:val="24"/>
        </w:rPr>
        <w:t>.</w:t>
      </w:r>
      <w:r w:rsidR="007F2F4F">
        <w:rPr>
          <w:sz w:val="24"/>
          <w:szCs w:val="24"/>
        </w:rPr>
        <w:t xml:space="preserve"> </w:t>
      </w:r>
      <w:r w:rsidR="008C3F43" w:rsidRPr="008C3F43">
        <w:rPr>
          <w:sz w:val="24"/>
          <w:szCs w:val="24"/>
        </w:rPr>
        <w:t xml:space="preserve">So, we didn't use this </w:t>
      </w:r>
      <w:r w:rsidR="008D2AFD">
        <w:rPr>
          <w:sz w:val="24"/>
          <w:szCs w:val="24"/>
        </w:rPr>
        <w:t>method</w:t>
      </w:r>
      <w:r w:rsidR="008C3F43" w:rsidRPr="008C3F43">
        <w:rPr>
          <w:sz w:val="24"/>
          <w:szCs w:val="24"/>
        </w:rPr>
        <w:t xml:space="preserve"> in our thesis. </w:t>
      </w:r>
    </w:p>
    <w:p w14:paraId="06BF4B43" w14:textId="586D7159" w:rsidR="00AC07E6" w:rsidRPr="00AC07E6" w:rsidRDefault="008577B3" w:rsidP="00AC07E6">
      <w:pPr>
        <w:rPr>
          <w:sz w:val="24"/>
          <w:szCs w:val="24"/>
        </w:rPr>
      </w:pPr>
      <w:r w:rsidRPr="008577B3">
        <w:rPr>
          <w:sz w:val="24"/>
          <w:szCs w:val="24"/>
        </w:rPr>
        <w:br/>
      </w:r>
      <w:r w:rsidRPr="00A53FB3">
        <w:rPr>
          <w:sz w:val="24"/>
          <w:szCs w:val="24"/>
          <w:u w:val="single"/>
        </w:rPr>
        <w:t xml:space="preserve">Acquisition Research </w:t>
      </w:r>
      <w:r w:rsidRPr="00A53FB3">
        <w:rPr>
          <w:sz w:val="24"/>
          <w:szCs w:val="24"/>
          <w:u w:val="single"/>
        </w:rPr>
        <w:br/>
      </w:r>
      <w:r w:rsidR="007C0A4E" w:rsidRPr="007C0A4E">
        <w:rPr>
          <w:sz w:val="24"/>
          <w:szCs w:val="24"/>
        </w:rPr>
        <w:t xml:space="preserve">An alternative </w:t>
      </w:r>
      <w:r w:rsidR="007C0A4E">
        <w:rPr>
          <w:sz w:val="24"/>
          <w:szCs w:val="24"/>
        </w:rPr>
        <w:t>method</w:t>
      </w:r>
      <w:r w:rsidR="007C0A4E" w:rsidRPr="007C0A4E">
        <w:rPr>
          <w:sz w:val="24"/>
          <w:szCs w:val="24"/>
        </w:rPr>
        <w:t xml:space="preserve"> to assessing DLOM entails comparing the acquisition price multiples of private firms with those of benchmark public companies. This methodology is referred to as the acquisition method for discount computation and is based on research concerning discounts in private firms. This technique contrasts </w:t>
      </w:r>
      <w:r w:rsidR="007C0A4E" w:rsidRPr="007C0A4E">
        <w:rPr>
          <w:sz w:val="24"/>
          <w:szCs w:val="24"/>
        </w:rPr>
        <w:lastRenderedPageBreak/>
        <w:t xml:space="preserve">the acquisition multiples of private firms with the market multiples of similar publicly traded corporations. The primary premise of the studies asserts that private firms are transacted at lower pricing multiples than public corporations, suggesting that this pricing discrepancy may reflect illiquidity. Certain analysts employ these investigations to validate a Discount for Lack of Marketability, whereas others use the </w:t>
      </w:r>
      <w:proofErr w:type="spellStart"/>
      <w:r w:rsidR="007C0A4E" w:rsidRPr="007C0A4E">
        <w:rPr>
          <w:sz w:val="24"/>
          <w:szCs w:val="24"/>
        </w:rPr>
        <w:t>analyzes</w:t>
      </w:r>
      <w:proofErr w:type="spellEnd"/>
      <w:r w:rsidR="007C0A4E" w:rsidRPr="007C0A4E">
        <w:rPr>
          <w:sz w:val="24"/>
          <w:szCs w:val="24"/>
        </w:rPr>
        <w:t xml:space="preserve"> for the selection and adjustment of market multiples in the market approach. </w:t>
      </w:r>
      <w:r w:rsidR="008C3F43" w:rsidRPr="008C3F43">
        <w:rPr>
          <w:sz w:val="24"/>
          <w:szCs w:val="24"/>
        </w:rPr>
        <w:t xml:space="preserve">The Historical Acquisition Studies include the following works: Koeplin Study (2000), Kooli (2003), Officer (2007), Block (2007), Paglia (2010), Gus De Franco (2011), Kim van </w:t>
      </w:r>
      <w:proofErr w:type="spellStart"/>
      <w:r w:rsidR="008C3F43" w:rsidRPr="008C3F43">
        <w:rPr>
          <w:sz w:val="24"/>
          <w:szCs w:val="24"/>
        </w:rPr>
        <w:t>Oeveren</w:t>
      </w:r>
      <w:proofErr w:type="spellEnd"/>
      <w:r w:rsidR="008C3F43" w:rsidRPr="008C3F43">
        <w:rPr>
          <w:sz w:val="24"/>
          <w:szCs w:val="24"/>
        </w:rPr>
        <w:t xml:space="preserve"> (2018), Emanuel Bagna (2020), Peter L Lohrey (2020), Alfred Karlsson &amp; Emil Jönsson (2022), and Patrick Rozario and Kenneth Ma (2024). </w:t>
      </w:r>
    </w:p>
    <w:p w14:paraId="5323423C" w14:textId="419A0100" w:rsidR="00AC07E6" w:rsidRPr="00AC07E6" w:rsidRDefault="008577B3" w:rsidP="00AC07E6">
      <w:pPr>
        <w:rPr>
          <w:sz w:val="24"/>
          <w:szCs w:val="24"/>
        </w:rPr>
      </w:pPr>
      <w:r w:rsidRPr="008577B3">
        <w:rPr>
          <w:sz w:val="24"/>
          <w:szCs w:val="24"/>
        </w:rPr>
        <w:br/>
      </w:r>
      <w:r w:rsidR="00AC07E6" w:rsidRPr="00AC07E6">
        <w:rPr>
          <w:sz w:val="24"/>
          <w:szCs w:val="24"/>
        </w:rPr>
        <w:t xml:space="preserve">While some analysts often use assessments for selecting and adjusting market multiples in the market method to valuation, others frequently use the Acquisition Method to support a Discount for Lack of Marketability. Therefore, our thesis makes use of the Acquisition Method. Although Patrick Rozario and Kenneth Ma (2024) conducted quarterly and annual analyses of the DLOM in Hong Kong, their study </w:t>
      </w:r>
      <w:r w:rsidR="005816B0">
        <w:rPr>
          <w:sz w:val="24"/>
          <w:szCs w:val="24"/>
        </w:rPr>
        <w:t>only provided quarterly figures</w:t>
      </w:r>
      <w:r w:rsidR="00EC0090">
        <w:rPr>
          <w:sz w:val="24"/>
          <w:szCs w:val="24"/>
        </w:rPr>
        <w:t xml:space="preserve"> and analysis but </w:t>
      </w:r>
      <w:r w:rsidR="00AC07E6" w:rsidRPr="00AC07E6">
        <w:rPr>
          <w:sz w:val="24"/>
          <w:szCs w:val="24"/>
        </w:rPr>
        <w:t>did not cover a longer time frame or provide results. As DLOM is usually used in valuations that include long-term cash flow estimates, experts and consumers would find a three- or five-year DLOM outcome more relevant and useful.</w:t>
      </w:r>
      <w:r w:rsidR="008C3F43" w:rsidRPr="008C3F43">
        <w:rPr>
          <w:rFonts w:ascii="Times New Roman" w:eastAsia="Times New Roman" w:hAnsi="Times New Roman" w:cs="Times New Roman"/>
          <w:sz w:val="24"/>
          <w:szCs w:val="24"/>
        </w:rPr>
        <w:t xml:space="preserve"> </w:t>
      </w:r>
      <w:r w:rsidR="008C3F43" w:rsidRPr="005B4404">
        <w:rPr>
          <w:sz w:val="24"/>
          <w:szCs w:val="24"/>
          <w:u w:val="single"/>
        </w:rPr>
        <w:t xml:space="preserve">We </w:t>
      </w:r>
      <w:r w:rsidR="00AF5770">
        <w:rPr>
          <w:sz w:val="24"/>
          <w:szCs w:val="24"/>
          <w:u w:val="single"/>
        </w:rPr>
        <w:t xml:space="preserve">therefore </w:t>
      </w:r>
      <w:r w:rsidR="008C3F43" w:rsidRPr="005B4404">
        <w:rPr>
          <w:sz w:val="24"/>
          <w:szCs w:val="24"/>
          <w:u w:val="single"/>
        </w:rPr>
        <w:t>apply the acquisition method to investigate the DLOM</w:t>
      </w:r>
      <w:r w:rsidR="008C3F43" w:rsidRPr="008C3F43">
        <w:rPr>
          <w:sz w:val="24"/>
          <w:szCs w:val="24"/>
        </w:rPr>
        <w:t xml:space="preserve"> using data from the past five years so that we can give a more thorough study and result. </w:t>
      </w:r>
    </w:p>
    <w:p w14:paraId="4C2E6ABB" w14:textId="77777777" w:rsidR="00AC07E6" w:rsidRPr="00AC07E6" w:rsidRDefault="008577B3" w:rsidP="00AC07E6">
      <w:pPr>
        <w:rPr>
          <w:sz w:val="24"/>
          <w:szCs w:val="24"/>
        </w:rPr>
      </w:pPr>
      <w:r w:rsidRPr="008577B3">
        <w:rPr>
          <w:sz w:val="24"/>
          <w:szCs w:val="24"/>
        </w:rPr>
        <w:br/>
      </w:r>
      <w:r w:rsidRPr="008577B3">
        <w:rPr>
          <w:b/>
          <w:bCs/>
          <w:sz w:val="24"/>
          <w:szCs w:val="24"/>
        </w:rPr>
        <w:t xml:space="preserve">Quantitative </w:t>
      </w:r>
      <w:r>
        <w:rPr>
          <w:b/>
          <w:bCs/>
          <w:sz w:val="24"/>
          <w:szCs w:val="24"/>
        </w:rPr>
        <w:t>Approach</w:t>
      </w:r>
      <w:r w:rsidRPr="008577B3">
        <w:rPr>
          <w:sz w:val="24"/>
          <w:szCs w:val="24"/>
        </w:rPr>
        <w:br/>
      </w:r>
      <w:r w:rsidR="00AC07E6" w:rsidRPr="00AC07E6">
        <w:rPr>
          <w:sz w:val="24"/>
          <w:szCs w:val="24"/>
        </w:rPr>
        <w:t xml:space="preserve">Quantitative research is defined by Alan Bryman et al. (2021) as a methodology that places an emphasis on the quantification of data collection and analysis. It stems from a positivist and empiricist-influenced deductive methodology that places an emphasis on theory evaluation. The use of different quantitative methodologies and approaches allows for this to be achieved, showcasing its wide-ranging research strategy in numerous academic domains. Two quantitative methods exist for calculating the DLOM: shareholder cash flow adjustment models and option pricing models. </w:t>
      </w:r>
    </w:p>
    <w:p w14:paraId="6AD2D529" w14:textId="77777777" w:rsidR="00AC07E6" w:rsidRPr="00AC07E6" w:rsidRDefault="008577B3" w:rsidP="00AC07E6">
      <w:pPr>
        <w:rPr>
          <w:sz w:val="24"/>
          <w:szCs w:val="24"/>
        </w:rPr>
      </w:pPr>
      <w:r w:rsidRPr="008577B3">
        <w:rPr>
          <w:sz w:val="24"/>
          <w:szCs w:val="24"/>
        </w:rPr>
        <w:lastRenderedPageBreak/>
        <w:br/>
      </w:r>
      <w:r w:rsidRPr="00A53FB3">
        <w:rPr>
          <w:sz w:val="24"/>
          <w:szCs w:val="24"/>
          <w:u w:val="single"/>
        </w:rPr>
        <w:t xml:space="preserve">Option Pricing Models </w:t>
      </w:r>
      <w:r w:rsidRPr="00A53FB3">
        <w:rPr>
          <w:sz w:val="24"/>
          <w:szCs w:val="24"/>
          <w:u w:val="single"/>
        </w:rPr>
        <w:br/>
      </w:r>
      <w:r w:rsidR="00AC07E6" w:rsidRPr="00AC07E6">
        <w:rPr>
          <w:sz w:val="24"/>
          <w:szCs w:val="24"/>
        </w:rPr>
        <w:t xml:space="preserve">Over the years, many different option pricing models have emerged, each predicated on a different set of assumptions about the opportunity costs that investors face. It appears that nonmarketable investments may need to be sold at steep discounts. Investors incur opportunity costs due to regulatory limitations on stock resale, which worsen the price penalty associated with illiquidity. Within the context of option pricing, these reductions make sense when one thinks about the underlying investment's intrinsic volatility, risk, holding term, and, on occasion, dividend yields. Opportunity cost, often known as the concept of foregone alternatives, is an economic principle that can be used by option pricing models to assess DLOM. The ability to diversify one's portfolio, take advantage of new and attractive investment opportunities, and earn returns with little outlay of capital is a hallmark of fully marketable asset owners. On the other hand, there is an opportunity cost for investors in nonmarketable assets since they do not have access to these positive liquidity options. To make up for the lost opportunities caused by not being able to resell unmarketable stock because of market frictions, investors need steep discounts. In a made-up scenario, a shareholder might buy a put option to sell their untradeable shares. By utilizing the option's price, which is obtained from option pricing models, one can evaluate the opportunity costs linked to missed financial gains during the security's restriction period. Some notable option pricing models include those proposed by Longstaff (1995), Chaffe (1993), and Finnerty (2012). </w:t>
      </w:r>
    </w:p>
    <w:p w14:paraId="29C90F6F" w14:textId="14DE6883" w:rsidR="00AC07E6" w:rsidRPr="00AC07E6" w:rsidRDefault="008577B3" w:rsidP="00AC07E6">
      <w:pPr>
        <w:rPr>
          <w:sz w:val="24"/>
          <w:szCs w:val="24"/>
        </w:rPr>
      </w:pPr>
      <w:r w:rsidRPr="008577B3">
        <w:rPr>
          <w:sz w:val="24"/>
          <w:szCs w:val="24"/>
        </w:rPr>
        <w:br/>
      </w:r>
      <w:r w:rsidR="00AC07E6" w:rsidRPr="00AC07E6">
        <w:rPr>
          <w:sz w:val="24"/>
          <w:szCs w:val="24"/>
        </w:rPr>
        <w:t xml:space="preserve">But there are a lot of problems with the Option Pricing Model. If anything, Chaffe's model implies that DLOM should go up when interest rates go down, which goes against DLOM theory. </w:t>
      </w:r>
      <w:r w:rsidR="008C3F43" w:rsidRPr="008C3F43">
        <w:rPr>
          <w:sz w:val="24"/>
          <w:szCs w:val="24"/>
        </w:rPr>
        <w:t xml:space="preserve">Limiting the model to corporations that pay dividends, distributions undermine the premise of DLOM by boosting the value of put options and inferred DLOM. For DLOM assessments over long time periods, the model may not be enough because the Black-Scholes put value falls with increasing option term after reaching its peak. </w:t>
      </w:r>
      <w:r w:rsidR="00AC07E6" w:rsidRPr="00AC07E6">
        <w:rPr>
          <w:sz w:val="24"/>
          <w:szCs w:val="24"/>
        </w:rPr>
        <w:t xml:space="preserve">That approach "should be utilized solely as a proxy" because it doesn't take into account other qualitative factors that affect DLOM. Analysts using Longstaff's method are unable to assume that the underlying security will pay dividends. Since distributions should theoretically reduce marketability discounts, the model frequently overestimates the discount on dividend-paying assets. The real </w:t>
      </w:r>
      <w:r w:rsidR="00AC07E6" w:rsidRPr="00AC07E6">
        <w:rPr>
          <w:sz w:val="24"/>
          <w:szCs w:val="24"/>
        </w:rPr>
        <w:lastRenderedPageBreak/>
        <w:t xml:space="preserve">liquidity selection differs from the economic alternative given by the model. According to the Longstaff model, the holder has the opportunity to repurchase the shares at its peak price during the option term. Under no circumstances throughout the duration of the option may the holder sell shares at the then-current market price. Any qualitative elements that can impact the marketability discount are ignored by the model. The actual liquidity option's expiration payouts might be higher in Longstaff's model. </w:t>
      </w:r>
      <w:r w:rsidR="008C3F43" w:rsidRPr="008C3F43">
        <w:rPr>
          <w:sz w:val="24"/>
          <w:szCs w:val="24"/>
        </w:rPr>
        <w:t>If you own an average-</w:t>
      </w:r>
      <w:r w:rsidR="00F801BE" w:rsidRPr="008C3F43">
        <w:rPr>
          <w:sz w:val="24"/>
          <w:szCs w:val="24"/>
        </w:rPr>
        <w:t>strike</w:t>
      </w:r>
      <w:r w:rsidR="008C3F43" w:rsidRPr="008C3F43">
        <w:rPr>
          <w:sz w:val="24"/>
          <w:szCs w:val="24"/>
        </w:rPr>
        <w:t xml:space="preserve"> put option and the option period ends, you can sell your shares at the average realized price from the past. </w:t>
      </w:r>
      <w:r w:rsidR="00AC07E6" w:rsidRPr="00AC07E6">
        <w:rPr>
          <w:sz w:val="24"/>
          <w:szCs w:val="24"/>
        </w:rPr>
        <w:t xml:space="preserve">Because of the high liquidity, the holder can sell it at any time at the market rate. Assuming a high enough dividend yield, the sensitivity analysis of the model shows that the expected DLOM decreases with increasing holding period. This finding is at odds with the DLOM theory. When calculating the marketability discount, the model ignores all qualitative variables. Therefore, our argument does not make use of the Option Pricing Model. </w:t>
      </w:r>
    </w:p>
    <w:p w14:paraId="51B3C7A6" w14:textId="77777777" w:rsidR="007C3D2A" w:rsidRPr="007C3D2A" w:rsidRDefault="008577B3" w:rsidP="007C3D2A">
      <w:pPr>
        <w:rPr>
          <w:sz w:val="24"/>
          <w:szCs w:val="24"/>
        </w:rPr>
      </w:pPr>
      <w:r w:rsidRPr="008577B3">
        <w:rPr>
          <w:sz w:val="24"/>
          <w:szCs w:val="24"/>
        </w:rPr>
        <w:br/>
      </w:r>
      <w:r w:rsidRPr="00A53FB3">
        <w:rPr>
          <w:sz w:val="24"/>
          <w:szCs w:val="24"/>
          <w:u w:val="single"/>
        </w:rPr>
        <w:t xml:space="preserve">Shareholder Cash Flow Adjustment Models </w:t>
      </w:r>
      <w:r w:rsidRPr="00A53FB3">
        <w:rPr>
          <w:sz w:val="24"/>
          <w:szCs w:val="24"/>
          <w:u w:val="single"/>
        </w:rPr>
        <w:br/>
      </w:r>
      <w:r w:rsidR="000E5B49" w:rsidRPr="001A7DA5">
        <w:rPr>
          <w:sz w:val="24"/>
          <w:szCs w:val="24"/>
        </w:rPr>
        <w:t xml:space="preserve">The Quantitative Marketability Discount Model (2020) </w:t>
      </w:r>
      <w:r w:rsidR="000E5B49">
        <w:rPr>
          <w:sz w:val="24"/>
          <w:szCs w:val="24"/>
        </w:rPr>
        <w:t xml:space="preserve">(QMDM) </w:t>
      </w:r>
      <w:r w:rsidR="000E5B49" w:rsidRPr="001A7DA5">
        <w:rPr>
          <w:sz w:val="24"/>
          <w:szCs w:val="24"/>
        </w:rPr>
        <w:t xml:space="preserve">and the NERA CAPM-Based Method (2002) are two notable shareholder cash flow adjustment models. </w:t>
      </w:r>
      <w:r w:rsidR="007C3D2A" w:rsidRPr="007C3D2A">
        <w:rPr>
          <w:sz w:val="24"/>
          <w:szCs w:val="24"/>
        </w:rPr>
        <w:t xml:space="preserve">Based on the correlation between shareholders' valuations of a company and its intrinsic worth, the QMDM theory postulates a marketability discount. The value to shareholders is often lower than the value to the company itself. In privately owned companies, the QMDM's discounted cash flow inputs account for the interests of minority shareholders. Since business estimates are strongly related to shareholder expectations for cash flows, risk, and growth, the QMDM uses a concurrent enterprise valuation with the nonmarketable minority stake appraisal. </w:t>
      </w:r>
    </w:p>
    <w:p w14:paraId="59EFB593" w14:textId="1CA9501E" w:rsidR="001A7DA5" w:rsidRPr="001A7DA5" w:rsidRDefault="008577B3" w:rsidP="001A7DA5">
      <w:pPr>
        <w:rPr>
          <w:sz w:val="24"/>
          <w:szCs w:val="24"/>
        </w:rPr>
      </w:pPr>
      <w:r w:rsidRPr="008577B3">
        <w:rPr>
          <w:sz w:val="24"/>
          <w:szCs w:val="24"/>
        </w:rPr>
        <w:br/>
        <w:t xml:space="preserve">Nonetheless, numerous deficiencies exist in Shareholder Cash Flow Adjustment Models. In evaluating the number of assumptions necessary for the comprehensive </w:t>
      </w:r>
      <w:r w:rsidR="001A7DA5" w:rsidRPr="008577B3">
        <w:rPr>
          <w:sz w:val="24"/>
          <w:szCs w:val="24"/>
        </w:rPr>
        <w:t>evaluation</w:t>
      </w:r>
      <w:r w:rsidRPr="008577B3">
        <w:rPr>
          <w:sz w:val="24"/>
          <w:szCs w:val="24"/>
        </w:rPr>
        <w:t xml:space="preserve"> process, critiques regarding the model's assumption requirements appear trivial. Numerous complex assumptions are necessary to determine the enterprise value, or equity value prior to discounts, which underpins the DLOM process</w:t>
      </w:r>
      <w:r w:rsidR="001A7DA5">
        <w:rPr>
          <w:sz w:val="24"/>
          <w:szCs w:val="24"/>
        </w:rPr>
        <w:t xml:space="preserve">. </w:t>
      </w:r>
      <w:r w:rsidR="001A7DA5" w:rsidRPr="001A7DA5">
        <w:rPr>
          <w:sz w:val="24"/>
          <w:szCs w:val="24"/>
        </w:rPr>
        <w:t xml:space="preserve">Regardless of the method used, there are a number of assumptions that are inherent to valuation. For example, if you want to use discounted future cash flow analysis, you'll need to make a long list of cash flow, growth, and risk assumptions. If you want </w:t>
      </w:r>
      <w:r w:rsidR="001A7DA5" w:rsidRPr="001A7DA5">
        <w:rPr>
          <w:sz w:val="24"/>
          <w:szCs w:val="24"/>
        </w:rPr>
        <w:lastRenderedPageBreak/>
        <w:t xml:space="preserve">to use a market approach, you'll need to find similar transactions and/or publicly traded entities that are related to your interest. Therefore, criticizing the QMDM for over-reliance on assumptions seems narrow-minded. </w:t>
      </w:r>
      <w:r w:rsidR="009F7315" w:rsidRPr="009F7315">
        <w:rPr>
          <w:sz w:val="24"/>
          <w:szCs w:val="24"/>
        </w:rPr>
        <w:t xml:space="preserve">On Mercer's book page 225, you may see a matrix of possible discounts from 5% to 100%. </w:t>
      </w:r>
      <w:r w:rsidR="001A7DA5" w:rsidRPr="001A7DA5">
        <w:rPr>
          <w:sz w:val="24"/>
          <w:szCs w:val="24"/>
        </w:rPr>
        <w:t xml:space="preserve">The NERA CAPM-Based Method's valuation approach, regardless of the value estimate, involves certain assumptions. In addition, the Tabak model's equity risk premium is up for debate. As a result, our argument does not make use of the Shareholder Cash Flow Adjustment Model. </w:t>
      </w:r>
    </w:p>
    <w:p w14:paraId="645C23F8" w14:textId="5C15B6C5" w:rsidR="009271D5" w:rsidRDefault="009271D5" w:rsidP="001A7DA5">
      <w:pPr>
        <w:rPr>
          <w:b/>
          <w:bCs/>
          <w:sz w:val="24"/>
          <w:szCs w:val="24"/>
          <w:u w:val="single"/>
        </w:rPr>
      </w:pPr>
    </w:p>
    <w:p w14:paraId="64F4086C" w14:textId="77777777" w:rsidR="008824A5" w:rsidRDefault="008824A5" w:rsidP="001A7DA5">
      <w:pPr>
        <w:rPr>
          <w:b/>
          <w:bCs/>
          <w:sz w:val="24"/>
          <w:szCs w:val="24"/>
          <w:u w:val="single"/>
        </w:rPr>
      </w:pPr>
    </w:p>
    <w:p w14:paraId="2EA9FB92" w14:textId="77777777" w:rsidR="008824A5" w:rsidRDefault="008824A5" w:rsidP="001A7DA5">
      <w:pPr>
        <w:rPr>
          <w:b/>
          <w:bCs/>
          <w:sz w:val="24"/>
          <w:szCs w:val="24"/>
          <w:u w:val="single"/>
        </w:rPr>
      </w:pPr>
    </w:p>
    <w:p w14:paraId="00423290" w14:textId="77777777" w:rsidR="008824A5" w:rsidRDefault="008824A5" w:rsidP="001A7DA5">
      <w:pPr>
        <w:rPr>
          <w:b/>
          <w:bCs/>
          <w:sz w:val="24"/>
          <w:szCs w:val="24"/>
          <w:u w:val="single"/>
        </w:rPr>
      </w:pPr>
    </w:p>
    <w:p w14:paraId="6AB66A77" w14:textId="77777777" w:rsidR="008824A5" w:rsidRDefault="008824A5" w:rsidP="001A7DA5">
      <w:pPr>
        <w:rPr>
          <w:b/>
          <w:bCs/>
          <w:sz w:val="24"/>
          <w:szCs w:val="24"/>
          <w:u w:val="single"/>
        </w:rPr>
      </w:pPr>
    </w:p>
    <w:p w14:paraId="1033958E" w14:textId="77777777" w:rsidR="008824A5" w:rsidRDefault="008824A5" w:rsidP="001A7DA5">
      <w:pPr>
        <w:rPr>
          <w:b/>
          <w:bCs/>
          <w:sz w:val="24"/>
          <w:szCs w:val="24"/>
          <w:u w:val="single"/>
        </w:rPr>
      </w:pPr>
    </w:p>
    <w:p w14:paraId="79726BC2" w14:textId="77777777" w:rsidR="008824A5" w:rsidRDefault="008824A5" w:rsidP="001A7DA5">
      <w:pPr>
        <w:rPr>
          <w:b/>
          <w:bCs/>
          <w:sz w:val="24"/>
          <w:szCs w:val="24"/>
          <w:u w:val="single"/>
        </w:rPr>
      </w:pPr>
    </w:p>
    <w:p w14:paraId="60273B02" w14:textId="77777777" w:rsidR="008824A5" w:rsidRDefault="008824A5" w:rsidP="001A7DA5">
      <w:pPr>
        <w:rPr>
          <w:b/>
          <w:bCs/>
          <w:sz w:val="24"/>
          <w:szCs w:val="24"/>
          <w:u w:val="single"/>
        </w:rPr>
      </w:pPr>
    </w:p>
    <w:p w14:paraId="60E05FB2" w14:textId="77777777" w:rsidR="008824A5" w:rsidRDefault="008824A5" w:rsidP="001A7DA5">
      <w:pPr>
        <w:rPr>
          <w:b/>
          <w:bCs/>
          <w:sz w:val="24"/>
          <w:szCs w:val="24"/>
          <w:u w:val="single"/>
        </w:rPr>
      </w:pPr>
    </w:p>
    <w:p w14:paraId="6E120702" w14:textId="77777777" w:rsidR="008824A5" w:rsidRDefault="008824A5" w:rsidP="001A7DA5">
      <w:pPr>
        <w:rPr>
          <w:b/>
          <w:bCs/>
          <w:sz w:val="24"/>
          <w:szCs w:val="24"/>
          <w:u w:val="single"/>
        </w:rPr>
      </w:pPr>
    </w:p>
    <w:p w14:paraId="58302A37" w14:textId="77777777" w:rsidR="008824A5" w:rsidRDefault="008824A5" w:rsidP="001A7DA5">
      <w:pPr>
        <w:rPr>
          <w:b/>
          <w:bCs/>
          <w:sz w:val="24"/>
          <w:szCs w:val="24"/>
          <w:u w:val="single"/>
        </w:rPr>
      </w:pPr>
    </w:p>
    <w:p w14:paraId="387CA328" w14:textId="77777777" w:rsidR="008824A5" w:rsidRDefault="008824A5" w:rsidP="001A7DA5">
      <w:pPr>
        <w:rPr>
          <w:b/>
          <w:bCs/>
          <w:sz w:val="24"/>
          <w:szCs w:val="24"/>
          <w:u w:val="single"/>
        </w:rPr>
      </w:pPr>
    </w:p>
    <w:p w14:paraId="3798684C" w14:textId="77777777" w:rsidR="008824A5" w:rsidRDefault="008824A5" w:rsidP="001A7DA5">
      <w:pPr>
        <w:rPr>
          <w:b/>
          <w:bCs/>
          <w:sz w:val="24"/>
          <w:szCs w:val="24"/>
          <w:u w:val="single"/>
        </w:rPr>
      </w:pPr>
    </w:p>
    <w:p w14:paraId="4ED3854E" w14:textId="77777777" w:rsidR="008824A5" w:rsidRDefault="008824A5" w:rsidP="001A7DA5">
      <w:pPr>
        <w:rPr>
          <w:b/>
          <w:bCs/>
          <w:sz w:val="24"/>
          <w:szCs w:val="24"/>
          <w:u w:val="single"/>
        </w:rPr>
      </w:pPr>
    </w:p>
    <w:p w14:paraId="5DEC73F8" w14:textId="77777777" w:rsidR="008824A5" w:rsidRDefault="008824A5" w:rsidP="001A7DA5">
      <w:pPr>
        <w:rPr>
          <w:b/>
          <w:bCs/>
          <w:sz w:val="24"/>
          <w:szCs w:val="24"/>
          <w:u w:val="single"/>
        </w:rPr>
      </w:pPr>
    </w:p>
    <w:p w14:paraId="0799EAA2" w14:textId="77777777" w:rsidR="008824A5" w:rsidRDefault="008824A5" w:rsidP="001A7DA5">
      <w:pPr>
        <w:rPr>
          <w:b/>
          <w:bCs/>
          <w:sz w:val="24"/>
          <w:szCs w:val="24"/>
          <w:u w:val="single"/>
        </w:rPr>
      </w:pPr>
    </w:p>
    <w:p w14:paraId="272492D3" w14:textId="77777777" w:rsidR="008824A5" w:rsidRDefault="008824A5" w:rsidP="001A7DA5">
      <w:pPr>
        <w:rPr>
          <w:b/>
          <w:bCs/>
          <w:sz w:val="24"/>
          <w:szCs w:val="24"/>
          <w:u w:val="single"/>
        </w:rPr>
      </w:pPr>
    </w:p>
    <w:p w14:paraId="396A9D8E" w14:textId="77777777" w:rsidR="008824A5" w:rsidRDefault="008824A5" w:rsidP="001A7DA5">
      <w:pPr>
        <w:rPr>
          <w:b/>
          <w:bCs/>
          <w:sz w:val="24"/>
          <w:szCs w:val="24"/>
          <w:u w:val="single"/>
        </w:rPr>
      </w:pPr>
    </w:p>
    <w:p w14:paraId="0CF8D01A" w14:textId="77777777" w:rsidR="00BA2F56" w:rsidRDefault="00BA2F56" w:rsidP="008B1F7F">
      <w:pPr>
        <w:jc w:val="both"/>
        <w:rPr>
          <w:b/>
          <w:bCs/>
          <w:sz w:val="24"/>
          <w:szCs w:val="24"/>
          <w:u w:val="single"/>
        </w:rPr>
      </w:pPr>
    </w:p>
    <w:p w14:paraId="5F163CA3" w14:textId="77777777" w:rsidR="00864E35" w:rsidRDefault="00864E35" w:rsidP="008B1F7F">
      <w:pPr>
        <w:jc w:val="both"/>
        <w:rPr>
          <w:b/>
          <w:bCs/>
          <w:sz w:val="24"/>
          <w:szCs w:val="24"/>
          <w:u w:val="single"/>
        </w:rPr>
      </w:pPr>
    </w:p>
    <w:p w14:paraId="709ED0D0" w14:textId="77777777" w:rsidR="001A7DA5" w:rsidRDefault="001A7DA5" w:rsidP="008B1F7F">
      <w:pPr>
        <w:jc w:val="both"/>
        <w:rPr>
          <w:b/>
          <w:bCs/>
          <w:sz w:val="24"/>
          <w:szCs w:val="24"/>
          <w:u w:val="single"/>
        </w:rPr>
      </w:pPr>
    </w:p>
    <w:p w14:paraId="2B49B17A" w14:textId="77777777" w:rsidR="006A207C" w:rsidRDefault="006A207C" w:rsidP="008B1F7F">
      <w:pPr>
        <w:jc w:val="both"/>
        <w:rPr>
          <w:b/>
          <w:bCs/>
          <w:sz w:val="24"/>
          <w:szCs w:val="24"/>
          <w:u w:val="single"/>
        </w:rPr>
      </w:pPr>
    </w:p>
    <w:p w14:paraId="03DE18C6" w14:textId="77777777" w:rsidR="006A207C" w:rsidRDefault="006A207C" w:rsidP="008B1F7F">
      <w:pPr>
        <w:jc w:val="both"/>
        <w:rPr>
          <w:b/>
          <w:bCs/>
          <w:sz w:val="24"/>
          <w:szCs w:val="24"/>
          <w:u w:val="single"/>
        </w:rPr>
      </w:pPr>
    </w:p>
    <w:p w14:paraId="2DD61565" w14:textId="77777777" w:rsidR="006A207C" w:rsidRDefault="006A207C" w:rsidP="008B1F7F">
      <w:pPr>
        <w:jc w:val="both"/>
        <w:rPr>
          <w:b/>
          <w:bCs/>
          <w:sz w:val="24"/>
          <w:szCs w:val="24"/>
          <w:u w:val="single"/>
        </w:rPr>
      </w:pPr>
    </w:p>
    <w:p w14:paraId="6324339B" w14:textId="77777777" w:rsidR="001A7DA5" w:rsidRDefault="001A7DA5" w:rsidP="008B1F7F">
      <w:pPr>
        <w:jc w:val="both"/>
        <w:rPr>
          <w:b/>
          <w:bCs/>
          <w:sz w:val="24"/>
          <w:szCs w:val="24"/>
          <w:u w:val="single"/>
        </w:rPr>
      </w:pPr>
    </w:p>
    <w:p w14:paraId="5A4621D5" w14:textId="77777777" w:rsidR="00864E35" w:rsidRDefault="00864E35" w:rsidP="008B1F7F">
      <w:pPr>
        <w:jc w:val="both"/>
        <w:rPr>
          <w:b/>
          <w:bCs/>
          <w:sz w:val="24"/>
          <w:szCs w:val="24"/>
          <w:u w:val="single"/>
        </w:rPr>
      </w:pPr>
    </w:p>
    <w:p w14:paraId="6FA6793C" w14:textId="25CCE3A9" w:rsidR="00096F03" w:rsidRPr="008B1F7F" w:rsidRDefault="008B1F7F" w:rsidP="008B1F7F">
      <w:pPr>
        <w:jc w:val="center"/>
        <w:rPr>
          <w:b/>
          <w:bCs/>
          <w:sz w:val="24"/>
          <w:szCs w:val="24"/>
        </w:rPr>
      </w:pPr>
      <w:bookmarkStart w:id="0" w:name="_Hlk176633564"/>
      <w:r w:rsidRPr="008B1F7F">
        <w:rPr>
          <w:b/>
          <w:bCs/>
          <w:sz w:val="24"/>
          <w:szCs w:val="24"/>
        </w:rPr>
        <w:lastRenderedPageBreak/>
        <w:t>ANNOTATED BIBLIOGRAPHY</w:t>
      </w:r>
    </w:p>
    <w:bookmarkEnd w:id="0"/>
    <w:p w14:paraId="0CAAF9B1" w14:textId="77777777" w:rsidR="0040202D" w:rsidRPr="008B3DE8" w:rsidRDefault="0040202D" w:rsidP="008B1F7F">
      <w:pPr>
        <w:spacing w:line="240" w:lineRule="auto"/>
        <w:jc w:val="both"/>
        <w:rPr>
          <w:rFonts w:eastAsia="Times New Roman"/>
          <w:sz w:val="24"/>
          <w:szCs w:val="24"/>
        </w:rPr>
      </w:pPr>
    </w:p>
    <w:p w14:paraId="1639B18D" w14:textId="28A2788E" w:rsidR="0040202D" w:rsidRPr="00387D57" w:rsidRDefault="00FE3088" w:rsidP="00387D57">
      <w:pPr>
        <w:pStyle w:val="ListParagraph"/>
        <w:numPr>
          <w:ilvl w:val="0"/>
          <w:numId w:val="8"/>
        </w:numPr>
        <w:jc w:val="both"/>
        <w:rPr>
          <w:sz w:val="24"/>
          <w:szCs w:val="24"/>
        </w:rPr>
      </w:pPr>
      <w:r w:rsidRPr="00387D57">
        <w:rPr>
          <w:sz w:val="24"/>
          <w:szCs w:val="24"/>
        </w:rPr>
        <w:t>Aaron M. Stumpf, et al. (2011)</w:t>
      </w:r>
      <w:r w:rsidR="008824A5">
        <w:rPr>
          <w:sz w:val="24"/>
          <w:szCs w:val="24"/>
        </w:rPr>
        <w:t>,</w:t>
      </w:r>
      <w:r w:rsidRPr="00387D57">
        <w:rPr>
          <w:sz w:val="24"/>
          <w:szCs w:val="24"/>
        </w:rPr>
        <w:t xml:space="preserve"> </w:t>
      </w:r>
      <w:r w:rsidR="0040202D" w:rsidRPr="008824A5">
        <w:rPr>
          <w:i/>
          <w:iCs/>
          <w:sz w:val="24"/>
          <w:szCs w:val="24"/>
        </w:rPr>
        <w:t>The SRR Restricted Stock Study</w:t>
      </w:r>
      <w:r w:rsidR="0040202D" w:rsidRPr="00387D57">
        <w:rPr>
          <w:sz w:val="24"/>
          <w:szCs w:val="24"/>
        </w:rPr>
        <w:t>, Business Valuation Review (2011), 30 (1), pp. 7–19.</w:t>
      </w:r>
    </w:p>
    <w:p w14:paraId="3E5D352E" w14:textId="77777777" w:rsidR="0040202D" w:rsidRDefault="0040202D" w:rsidP="008B1F7F">
      <w:pPr>
        <w:jc w:val="both"/>
        <w:rPr>
          <w:sz w:val="24"/>
          <w:szCs w:val="24"/>
        </w:rPr>
      </w:pPr>
    </w:p>
    <w:p w14:paraId="18CE0014" w14:textId="77777777" w:rsidR="0040202D" w:rsidRPr="00387D57" w:rsidRDefault="0040202D" w:rsidP="00387D57">
      <w:pPr>
        <w:pStyle w:val="ListParagraph"/>
        <w:ind w:left="1440"/>
        <w:jc w:val="both"/>
        <w:rPr>
          <w:sz w:val="24"/>
          <w:szCs w:val="24"/>
        </w:rPr>
      </w:pPr>
      <w:r w:rsidRPr="00387D57">
        <w:rPr>
          <w:sz w:val="24"/>
          <w:szCs w:val="24"/>
        </w:rPr>
        <w:t xml:space="preserve">SRR determined the discount for the sample of 98 transactions by comparing the transaction price to the price one day before the announcement. </w:t>
      </w:r>
    </w:p>
    <w:p w14:paraId="31E5B4FE" w14:textId="77777777" w:rsidR="0040202D" w:rsidRDefault="0040202D" w:rsidP="008B1F7F">
      <w:pPr>
        <w:jc w:val="both"/>
        <w:rPr>
          <w:sz w:val="24"/>
          <w:szCs w:val="24"/>
        </w:rPr>
      </w:pPr>
    </w:p>
    <w:p w14:paraId="3E92955E" w14:textId="4211FA2D" w:rsidR="0096155F" w:rsidRPr="0096155F" w:rsidRDefault="0096155F" w:rsidP="0096155F">
      <w:pPr>
        <w:pStyle w:val="ListParagraph"/>
        <w:numPr>
          <w:ilvl w:val="0"/>
          <w:numId w:val="8"/>
        </w:numPr>
        <w:jc w:val="both"/>
        <w:rPr>
          <w:sz w:val="24"/>
          <w:szCs w:val="24"/>
        </w:rPr>
      </w:pPr>
      <w:r w:rsidRPr="0096155F">
        <w:rPr>
          <w:sz w:val="24"/>
          <w:szCs w:val="24"/>
        </w:rPr>
        <w:t>Alan Bryman,</w:t>
      </w:r>
      <w:r>
        <w:rPr>
          <w:sz w:val="24"/>
          <w:szCs w:val="24"/>
        </w:rPr>
        <w:t xml:space="preserve"> </w:t>
      </w:r>
      <w:r w:rsidRPr="00387D57">
        <w:rPr>
          <w:sz w:val="24"/>
          <w:szCs w:val="24"/>
        </w:rPr>
        <w:t>et al.</w:t>
      </w:r>
      <w:r>
        <w:rPr>
          <w:sz w:val="24"/>
          <w:szCs w:val="24"/>
        </w:rPr>
        <w:t xml:space="preserve"> (2021)</w:t>
      </w:r>
      <w:r w:rsidR="008824A5">
        <w:rPr>
          <w:sz w:val="24"/>
          <w:szCs w:val="24"/>
        </w:rPr>
        <w:t>,</w:t>
      </w:r>
      <w:r>
        <w:rPr>
          <w:sz w:val="24"/>
          <w:szCs w:val="24"/>
        </w:rPr>
        <w:t xml:space="preserve"> </w:t>
      </w:r>
      <w:r w:rsidRPr="008824A5">
        <w:rPr>
          <w:i/>
          <w:iCs/>
          <w:sz w:val="24"/>
          <w:szCs w:val="24"/>
        </w:rPr>
        <w:t>Social Research Methods</w:t>
      </w:r>
      <w:r>
        <w:rPr>
          <w:sz w:val="24"/>
          <w:szCs w:val="24"/>
        </w:rPr>
        <w:t xml:space="preserve">, </w:t>
      </w:r>
      <w:r w:rsidRPr="0096155F">
        <w:rPr>
          <w:sz w:val="24"/>
          <w:szCs w:val="24"/>
        </w:rPr>
        <w:t xml:space="preserve">6th </w:t>
      </w:r>
      <w:proofErr w:type="spellStart"/>
      <w:r w:rsidRPr="0096155F">
        <w:rPr>
          <w:sz w:val="24"/>
          <w:szCs w:val="24"/>
        </w:rPr>
        <w:t>ed</w:t>
      </w:r>
      <w:r>
        <w:rPr>
          <w:sz w:val="24"/>
          <w:szCs w:val="24"/>
        </w:rPr>
        <w:t>n</w:t>
      </w:r>
      <w:proofErr w:type="spellEnd"/>
      <w:r>
        <w:rPr>
          <w:sz w:val="24"/>
          <w:szCs w:val="24"/>
        </w:rPr>
        <w:t xml:space="preserve">. </w:t>
      </w:r>
      <w:r w:rsidRPr="0096155F">
        <w:rPr>
          <w:sz w:val="24"/>
          <w:szCs w:val="24"/>
        </w:rPr>
        <w:t>Leicester</w:t>
      </w:r>
      <w:r>
        <w:rPr>
          <w:sz w:val="24"/>
          <w:szCs w:val="24"/>
        </w:rPr>
        <w:t xml:space="preserve">: </w:t>
      </w:r>
      <w:r w:rsidRPr="0096155F">
        <w:rPr>
          <w:sz w:val="24"/>
          <w:szCs w:val="24"/>
        </w:rPr>
        <w:t xml:space="preserve">Oxford University Press </w:t>
      </w:r>
    </w:p>
    <w:p w14:paraId="6A0FAA47" w14:textId="77777777" w:rsidR="0096155F" w:rsidRDefault="0096155F" w:rsidP="0096155F">
      <w:pPr>
        <w:pStyle w:val="ListParagraph"/>
        <w:ind w:left="1440"/>
        <w:jc w:val="both"/>
        <w:rPr>
          <w:sz w:val="24"/>
          <w:szCs w:val="24"/>
        </w:rPr>
      </w:pPr>
    </w:p>
    <w:p w14:paraId="0A01EE18" w14:textId="434FDE4B" w:rsidR="0096155F" w:rsidRDefault="0096155F" w:rsidP="0096155F">
      <w:pPr>
        <w:pStyle w:val="ListParagraph"/>
        <w:ind w:left="1440"/>
        <w:jc w:val="both"/>
        <w:rPr>
          <w:sz w:val="24"/>
          <w:szCs w:val="24"/>
        </w:rPr>
      </w:pPr>
      <w:r w:rsidRPr="0096155F">
        <w:rPr>
          <w:sz w:val="24"/>
          <w:szCs w:val="24"/>
        </w:rPr>
        <w:t xml:space="preserve">It is clear, comprehensive, and pays equal attention to both qualitative and quantitative methods, while offering practical, step-by-step advice to students through all stages of the research process. This includes formulating questions, choosing methods, recruiting participants, </w:t>
      </w:r>
      <w:proofErr w:type="spellStart"/>
      <w:r w:rsidRPr="0096155F">
        <w:rPr>
          <w:sz w:val="24"/>
          <w:szCs w:val="24"/>
        </w:rPr>
        <w:t>analyzing</w:t>
      </w:r>
      <w:proofErr w:type="spellEnd"/>
      <w:r w:rsidRPr="0096155F">
        <w:rPr>
          <w:sz w:val="24"/>
          <w:szCs w:val="24"/>
        </w:rPr>
        <w:t xml:space="preserve"> the data, and writing up the results. </w:t>
      </w:r>
    </w:p>
    <w:p w14:paraId="3678FEB7" w14:textId="77777777" w:rsidR="0096155F" w:rsidRDefault="0096155F" w:rsidP="008B1F7F">
      <w:pPr>
        <w:jc w:val="both"/>
        <w:rPr>
          <w:sz w:val="24"/>
          <w:szCs w:val="24"/>
        </w:rPr>
      </w:pPr>
    </w:p>
    <w:p w14:paraId="545D30D1" w14:textId="6152D714" w:rsidR="0040202D" w:rsidRPr="00387D57" w:rsidRDefault="0040202D" w:rsidP="00387D57">
      <w:pPr>
        <w:pStyle w:val="ListParagraph"/>
        <w:numPr>
          <w:ilvl w:val="0"/>
          <w:numId w:val="8"/>
        </w:numPr>
        <w:jc w:val="both"/>
        <w:rPr>
          <w:sz w:val="24"/>
          <w:szCs w:val="24"/>
        </w:rPr>
      </w:pPr>
      <w:r w:rsidRPr="00387D57">
        <w:rPr>
          <w:sz w:val="24"/>
          <w:szCs w:val="24"/>
        </w:rPr>
        <w:t>Alberto Crisostomo (2020)</w:t>
      </w:r>
      <w:r w:rsidR="008824A5">
        <w:rPr>
          <w:sz w:val="24"/>
          <w:szCs w:val="24"/>
        </w:rPr>
        <w:t>,</w:t>
      </w:r>
      <w:r w:rsidRPr="00387D57">
        <w:rPr>
          <w:sz w:val="24"/>
          <w:szCs w:val="24"/>
        </w:rPr>
        <w:t xml:space="preserve"> </w:t>
      </w:r>
      <w:r w:rsidRPr="008824A5">
        <w:rPr>
          <w:i/>
          <w:iCs/>
          <w:sz w:val="24"/>
          <w:szCs w:val="24"/>
        </w:rPr>
        <w:t>The Discount for Lack of Marketability: An Investigation of Privately Held Companies in North Italy</w:t>
      </w:r>
      <w:r w:rsidRPr="00387D57">
        <w:rPr>
          <w:sz w:val="24"/>
          <w:szCs w:val="24"/>
        </w:rPr>
        <w:t>, Master Thesis, Ca' Foscari University</w:t>
      </w:r>
    </w:p>
    <w:p w14:paraId="162692C7" w14:textId="77777777" w:rsidR="0040202D" w:rsidRDefault="0040202D" w:rsidP="008B1F7F">
      <w:pPr>
        <w:jc w:val="both"/>
        <w:rPr>
          <w:sz w:val="24"/>
          <w:szCs w:val="24"/>
        </w:rPr>
      </w:pPr>
    </w:p>
    <w:p w14:paraId="60D98F64" w14:textId="77777777" w:rsidR="0040202D" w:rsidRPr="00387D57" w:rsidRDefault="0040202D" w:rsidP="00387D57">
      <w:pPr>
        <w:pStyle w:val="ListParagraph"/>
        <w:ind w:left="1440"/>
        <w:jc w:val="both"/>
        <w:rPr>
          <w:sz w:val="24"/>
          <w:szCs w:val="24"/>
        </w:rPr>
      </w:pPr>
      <w:r w:rsidRPr="00387D57">
        <w:rPr>
          <w:sz w:val="24"/>
          <w:szCs w:val="24"/>
        </w:rPr>
        <w:t>Alberto Crisostomo provides a thorough analysis of the DLOM's concept, outlining the aspects that have the greatest impact on its computation as well as how it has evolved over time. He finds that the discount for lack of marketability ranges from 23,96% to 32,44%.</w:t>
      </w:r>
    </w:p>
    <w:p w14:paraId="155EEAE3" w14:textId="77777777" w:rsidR="0040202D" w:rsidRPr="008B3DE8" w:rsidRDefault="0040202D" w:rsidP="008B1F7F">
      <w:pPr>
        <w:spacing w:line="240" w:lineRule="auto"/>
        <w:ind w:left="720"/>
        <w:jc w:val="both"/>
        <w:rPr>
          <w:rFonts w:eastAsia="Times New Roman"/>
          <w:sz w:val="24"/>
          <w:szCs w:val="24"/>
        </w:rPr>
      </w:pPr>
    </w:p>
    <w:p w14:paraId="7565CE18" w14:textId="1F56D5C0" w:rsidR="0040202D" w:rsidRPr="00387D57" w:rsidRDefault="0040202D" w:rsidP="00387D57">
      <w:pPr>
        <w:pStyle w:val="ListParagraph"/>
        <w:numPr>
          <w:ilvl w:val="0"/>
          <w:numId w:val="8"/>
        </w:numPr>
        <w:jc w:val="both"/>
        <w:rPr>
          <w:sz w:val="24"/>
          <w:szCs w:val="24"/>
        </w:rPr>
      </w:pPr>
      <w:r w:rsidRPr="00387D57">
        <w:rPr>
          <w:sz w:val="24"/>
          <w:szCs w:val="24"/>
        </w:rPr>
        <w:t>Alfred Karlsson &amp; Emil Jönsson (2022)</w:t>
      </w:r>
      <w:r w:rsidR="008824A5">
        <w:rPr>
          <w:sz w:val="24"/>
          <w:szCs w:val="24"/>
        </w:rPr>
        <w:t>,</w:t>
      </w:r>
      <w:r w:rsidRPr="00387D57">
        <w:rPr>
          <w:sz w:val="24"/>
          <w:szCs w:val="24"/>
        </w:rPr>
        <w:t xml:space="preserve"> </w:t>
      </w:r>
      <w:r w:rsidRPr="008824A5">
        <w:rPr>
          <w:i/>
          <w:iCs/>
          <w:sz w:val="24"/>
          <w:szCs w:val="24"/>
        </w:rPr>
        <w:t>The Private Company Discount: An acquisition study of public and private companies on the Swedish market</w:t>
      </w:r>
      <w:r w:rsidRPr="00387D57">
        <w:rPr>
          <w:sz w:val="24"/>
          <w:szCs w:val="24"/>
        </w:rPr>
        <w:t>, Bachelor Thesis, Linnaeus University</w:t>
      </w:r>
    </w:p>
    <w:p w14:paraId="5DA0616F" w14:textId="77777777" w:rsidR="0040202D" w:rsidRPr="008B3DE8" w:rsidRDefault="0040202D" w:rsidP="008B1F7F">
      <w:pPr>
        <w:pStyle w:val="FootnoteText"/>
        <w:ind w:left="720"/>
        <w:jc w:val="both"/>
        <w:rPr>
          <w:rFonts w:ascii="Arial" w:hAnsi="Arial" w:cs="Arial"/>
          <w:sz w:val="24"/>
          <w:szCs w:val="24"/>
        </w:rPr>
      </w:pPr>
    </w:p>
    <w:p w14:paraId="6CC6BCC2" w14:textId="6EA8A205" w:rsidR="0040202D" w:rsidRPr="00387D57" w:rsidRDefault="0040202D" w:rsidP="00387D57">
      <w:pPr>
        <w:pStyle w:val="ListParagraph"/>
        <w:ind w:left="1440"/>
        <w:jc w:val="both"/>
        <w:rPr>
          <w:sz w:val="24"/>
          <w:szCs w:val="24"/>
        </w:rPr>
      </w:pPr>
      <w:r w:rsidRPr="00387D57">
        <w:rPr>
          <w:sz w:val="24"/>
          <w:szCs w:val="24"/>
        </w:rPr>
        <w:t>The study will be performed on the Swedish market and all data have been</w:t>
      </w:r>
      <w:r w:rsidR="00387D57">
        <w:rPr>
          <w:sz w:val="24"/>
          <w:szCs w:val="24"/>
        </w:rPr>
        <w:t xml:space="preserve"> </w:t>
      </w:r>
      <w:r w:rsidRPr="00387D57">
        <w:rPr>
          <w:sz w:val="24"/>
          <w:szCs w:val="24"/>
        </w:rPr>
        <w:t xml:space="preserve">collected through Thomson Reuters Eikon Refinitiv. A minimum of </w:t>
      </w:r>
      <w:r w:rsidRPr="00387D57">
        <w:rPr>
          <w:sz w:val="24"/>
          <w:szCs w:val="24"/>
        </w:rPr>
        <w:lastRenderedPageBreak/>
        <w:t>one million US dollars must be the reported deal value for each deal that is offered, and at least 50% of the company's shares must be acquired.</w:t>
      </w:r>
    </w:p>
    <w:p w14:paraId="1F444BB9" w14:textId="77777777" w:rsidR="0040202D" w:rsidRPr="008B3DE8" w:rsidRDefault="0040202D" w:rsidP="008B1F7F">
      <w:pPr>
        <w:pStyle w:val="FootnoteText"/>
        <w:ind w:left="720"/>
        <w:jc w:val="both"/>
        <w:rPr>
          <w:rFonts w:ascii="Arial" w:hAnsi="Arial" w:cs="Arial"/>
          <w:sz w:val="24"/>
          <w:szCs w:val="24"/>
        </w:rPr>
      </w:pPr>
    </w:p>
    <w:p w14:paraId="1A19CBC1" w14:textId="4C276B93" w:rsidR="0040202D" w:rsidRPr="00387D57" w:rsidRDefault="0040202D" w:rsidP="00387D57">
      <w:pPr>
        <w:pStyle w:val="ListParagraph"/>
        <w:numPr>
          <w:ilvl w:val="0"/>
          <w:numId w:val="8"/>
        </w:numPr>
        <w:jc w:val="both"/>
        <w:rPr>
          <w:sz w:val="24"/>
          <w:szCs w:val="24"/>
        </w:rPr>
      </w:pPr>
      <w:r w:rsidRPr="00387D57">
        <w:rPr>
          <w:sz w:val="24"/>
          <w:szCs w:val="24"/>
        </w:rPr>
        <w:t>Arneson, George S. (1981)</w:t>
      </w:r>
      <w:r w:rsidR="008824A5">
        <w:rPr>
          <w:sz w:val="24"/>
          <w:szCs w:val="24"/>
        </w:rPr>
        <w:t>,</w:t>
      </w:r>
      <w:r w:rsidRPr="00387D57">
        <w:rPr>
          <w:sz w:val="24"/>
          <w:szCs w:val="24"/>
        </w:rPr>
        <w:t xml:space="preserve"> </w:t>
      </w:r>
      <w:r w:rsidRPr="008824A5">
        <w:rPr>
          <w:i/>
          <w:iCs/>
          <w:sz w:val="24"/>
          <w:szCs w:val="24"/>
        </w:rPr>
        <w:t>Non</w:t>
      </w:r>
      <w:r w:rsidR="00E67FDF" w:rsidRPr="008824A5">
        <w:rPr>
          <w:i/>
          <w:iCs/>
          <w:sz w:val="24"/>
          <w:szCs w:val="24"/>
        </w:rPr>
        <w:t>-</w:t>
      </w:r>
      <w:r w:rsidRPr="008824A5">
        <w:rPr>
          <w:i/>
          <w:iCs/>
          <w:sz w:val="24"/>
          <w:szCs w:val="24"/>
        </w:rPr>
        <w:t>marketability Discounts Should Exceed Fifty Percent</w:t>
      </w:r>
      <w:r w:rsidRPr="00387D57">
        <w:rPr>
          <w:sz w:val="24"/>
          <w:szCs w:val="24"/>
        </w:rPr>
        <w:t>, Taxes (January), pp. 25–31.</w:t>
      </w:r>
    </w:p>
    <w:p w14:paraId="6AAA72E4" w14:textId="77777777" w:rsidR="0040202D" w:rsidRPr="008B3DE8" w:rsidRDefault="0040202D" w:rsidP="008B1F7F">
      <w:pPr>
        <w:spacing w:line="280" w:lineRule="exact"/>
        <w:ind w:left="720"/>
        <w:jc w:val="both"/>
        <w:rPr>
          <w:sz w:val="24"/>
          <w:szCs w:val="24"/>
        </w:rPr>
      </w:pPr>
    </w:p>
    <w:p w14:paraId="2806957B" w14:textId="77777777" w:rsidR="0040202D" w:rsidRPr="00387D57" w:rsidRDefault="0040202D" w:rsidP="00387D57">
      <w:pPr>
        <w:pStyle w:val="ListParagraph"/>
        <w:ind w:left="1440"/>
        <w:jc w:val="both"/>
        <w:rPr>
          <w:sz w:val="24"/>
          <w:szCs w:val="24"/>
        </w:rPr>
      </w:pPr>
      <w:r w:rsidRPr="00387D57">
        <w:rPr>
          <w:sz w:val="24"/>
          <w:szCs w:val="24"/>
        </w:rPr>
        <w:t xml:space="preserve">Arneson assessed research on investment firms' acquisitions of letter stock. He cited research by Maher and Moroney, which suggested that a closely held company's DLOM should be approximately 35 percent. </w:t>
      </w:r>
    </w:p>
    <w:p w14:paraId="1FA164CE" w14:textId="77777777" w:rsidR="0040202D" w:rsidRDefault="0040202D" w:rsidP="008B1F7F">
      <w:pPr>
        <w:jc w:val="both"/>
        <w:rPr>
          <w:sz w:val="24"/>
          <w:szCs w:val="24"/>
        </w:rPr>
      </w:pPr>
    </w:p>
    <w:p w14:paraId="0DA4F381" w14:textId="09A41820" w:rsidR="0040202D" w:rsidRPr="00387D57" w:rsidRDefault="0040202D" w:rsidP="00387D57">
      <w:pPr>
        <w:pStyle w:val="ListParagraph"/>
        <w:numPr>
          <w:ilvl w:val="0"/>
          <w:numId w:val="8"/>
        </w:numPr>
        <w:jc w:val="both"/>
        <w:rPr>
          <w:sz w:val="24"/>
          <w:szCs w:val="24"/>
        </w:rPr>
      </w:pPr>
      <w:r w:rsidRPr="00387D57">
        <w:rPr>
          <w:sz w:val="24"/>
          <w:szCs w:val="24"/>
        </w:rPr>
        <w:t>Block, S. (2007)</w:t>
      </w:r>
      <w:r w:rsidR="008824A5">
        <w:rPr>
          <w:sz w:val="24"/>
          <w:szCs w:val="24"/>
        </w:rPr>
        <w:t>,</w:t>
      </w:r>
      <w:r w:rsidRPr="00387D57">
        <w:rPr>
          <w:sz w:val="24"/>
          <w:szCs w:val="24"/>
        </w:rPr>
        <w:t xml:space="preserve"> </w:t>
      </w:r>
      <w:r w:rsidRPr="008824A5">
        <w:rPr>
          <w:i/>
          <w:iCs/>
          <w:sz w:val="24"/>
          <w:szCs w:val="24"/>
        </w:rPr>
        <w:t>The Liquidity Discount in Valuing Privately Owned Companies</w:t>
      </w:r>
      <w:r w:rsidRPr="00387D57">
        <w:rPr>
          <w:sz w:val="24"/>
          <w:szCs w:val="24"/>
        </w:rPr>
        <w:t>, The Journal of Applied Finance, 17(2), pp, 33-40.</w:t>
      </w:r>
    </w:p>
    <w:p w14:paraId="0C1E45FA" w14:textId="77777777" w:rsidR="0040202D" w:rsidRPr="008B3DE8" w:rsidRDefault="0040202D" w:rsidP="008B1F7F">
      <w:pPr>
        <w:pStyle w:val="FootnoteText"/>
        <w:ind w:left="720"/>
        <w:jc w:val="both"/>
        <w:rPr>
          <w:rFonts w:ascii="Arial" w:hAnsi="Arial" w:cs="Arial"/>
          <w:sz w:val="24"/>
          <w:szCs w:val="24"/>
        </w:rPr>
      </w:pPr>
    </w:p>
    <w:p w14:paraId="006F3E72" w14:textId="77777777" w:rsidR="0040202D" w:rsidRPr="00387D57" w:rsidRDefault="0040202D" w:rsidP="00387D57">
      <w:pPr>
        <w:pStyle w:val="ListParagraph"/>
        <w:ind w:left="1440"/>
        <w:jc w:val="both"/>
        <w:rPr>
          <w:sz w:val="24"/>
          <w:szCs w:val="24"/>
        </w:rPr>
      </w:pPr>
      <w:r w:rsidRPr="00387D57">
        <w:rPr>
          <w:sz w:val="24"/>
          <w:szCs w:val="24"/>
        </w:rPr>
        <w:t>Private company discount indications of 14% based on enterprise value to book value pricing multiple analyses and 24% based on enterprise value to revenue pricing multiple analyses were reported by the Block study, as published in 2007.</w:t>
      </w:r>
    </w:p>
    <w:p w14:paraId="46BB5ED9" w14:textId="77777777" w:rsidR="0040202D" w:rsidRPr="008B3DE8" w:rsidRDefault="0040202D" w:rsidP="008B1F7F">
      <w:pPr>
        <w:spacing w:line="280" w:lineRule="exact"/>
        <w:ind w:left="720"/>
        <w:jc w:val="both"/>
        <w:rPr>
          <w:sz w:val="24"/>
          <w:szCs w:val="24"/>
        </w:rPr>
      </w:pPr>
    </w:p>
    <w:p w14:paraId="1D3296F5" w14:textId="73237863" w:rsidR="0040202D" w:rsidRPr="00387D57" w:rsidRDefault="0040202D" w:rsidP="00387D57">
      <w:pPr>
        <w:pStyle w:val="ListParagraph"/>
        <w:numPr>
          <w:ilvl w:val="0"/>
          <w:numId w:val="8"/>
        </w:numPr>
        <w:jc w:val="both"/>
        <w:rPr>
          <w:sz w:val="24"/>
          <w:szCs w:val="24"/>
        </w:rPr>
      </w:pPr>
      <w:r w:rsidRPr="00387D57">
        <w:rPr>
          <w:sz w:val="24"/>
          <w:szCs w:val="24"/>
        </w:rPr>
        <w:t xml:space="preserve">BVR Survey </w:t>
      </w:r>
      <w:r w:rsidR="00D259A6" w:rsidRPr="00387D57">
        <w:rPr>
          <w:sz w:val="24"/>
          <w:szCs w:val="24"/>
        </w:rPr>
        <w:t>(2021)</w:t>
      </w:r>
      <w:r w:rsidR="008824A5">
        <w:rPr>
          <w:sz w:val="24"/>
          <w:szCs w:val="24"/>
        </w:rPr>
        <w:t>,</w:t>
      </w:r>
      <w:r w:rsidR="00D259A6" w:rsidRPr="00387D57">
        <w:rPr>
          <w:sz w:val="24"/>
          <w:szCs w:val="24"/>
        </w:rPr>
        <w:t xml:space="preserve"> </w:t>
      </w:r>
      <w:r w:rsidRPr="008824A5">
        <w:rPr>
          <w:i/>
          <w:iCs/>
          <w:sz w:val="24"/>
          <w:szCs w:val="24"/>
        </w:rPr>
        <w:t>Methods Used for Estimating a Discount for Lack of Marketability</w:t>
      </w:r>
      <w:r w:rsidR="00D259A6" w:rsidRPr="00387D57">
        <w:rPr>
          <w:sz w:val="24"/>
          <w:szCs w:val="24"/>
        </w:rPr>
        <w:t xml:space="preserve">, </w:t>
      </w:r>
      <w:r w:rsidRPr="00387D57">
        <w:rPr>
          <w:sz w:val="24"/>
          <w:szCs w:val="24"/>
        </w:rPr>
        <w:t>July 2021, Business Valuation Resources, LLC</w:t>
      </w:r>
      <w:r w:rsidR="00C4113A" w:rsidRPr="00387D57">
        <w:rPr>
          <w:sz w:val="24"/>
          <w:szCs w:val="24"/>
        </w:rPr>
        <w:t xml:space="preserve">. Available at: </w:t>
      </w:r>
      <w:hyperlink r:id="rId12" w:history="1">
        <w:r w:rsidR="00C4113A" w:rsidRPr="00387D57">
          <w:rPr>
            <w:rStyle w:val="Hyperlink"/>
            <w:sz w:val="24"/>
            <w:szCs w:val="24"/>
          </w:rPr>
          <w:t>https://sub.bvresources.com/pdfs/BVR-2021-DLOM-Survey-Results.pdf</w:t>
        </w:r>
      </w:hyperlink>
      <w:r w:rsidR="00C4113A" w:rsidRPr="00387D57">
        <w:rPr>
          <w:sz w:val="24"/>
          <w:szCs w:val="24"/>
        </w:rPr>
        <w:t xml:space="preserve"> [Visited at September 2024]</w:t>
      </w:r>
    </w:p>
    <w:p w14:paraId="38D5F811" w14:textId="77777777" w:rsidR="0040202D" w:rsidRDefault="0040202D" w:rsidP="008B1F7F">
      <w:pPr>
        <w:ind w:left="720"/>
        <w:jc w:val="both"/>
        <w:rPr>
          <w:sz w:val="24"/>
          <w:szCs w:val="24"/>
        </w:rPr>
      </w:pPr>
    </w:p>
    <w:p w14:paraId="039A6D76" w14:textId="77777777" w:rsidR="0040202D" w:rsidRPr="00387D57" w:rsidRDefault="0040202D" w:rsidP="00387D57">
      <w:pPr>
        <w:pStyle w:val="ListParagraph"/>
        <w:ind w:left="1440"/>
        <w:jc w:val="both"/>
        <w:rPr>
          <w:sz w:val="24"/>
          <w:szCs w:val="24"/>
        </w:rPr>
      </w:pPr>
      <w:r w:rsidRPr="00387D57">
        <w:rPr>
          <w:sz w:val="24"/>
          <w:szCs w:val="24"/>
        </w:rPr>
        <w:t>BVR Survey questioned 202 interviewees whether they would apply a DLOM to a 100% interest in a private company. Among the 202 interviewees, 67 (33.17%) answered “Yes”, 54 (26.73%) answered "No”, and 81 (40.10%) answered "Maybe”.</w:t>
      </w:r>
    </w:p>
    <w:p w14:paraId="5665EDB4" w14:textId="77777777" w:rsidR="0040202D" w:rsidRDefault="0040202D" w:rsidP="008B1F7F">
      <w:pPr>
        <w:jc w:val="both"/>
        <w:rPr>
          <w:sz w:val="24"/>
          <w:szCs w:val="24"/>
        </w:rPr>
      </w:pPr>
    </w:p>
    <w:p w14:paraId="1F5D082E" w14:textId="00630E2D" w:rsidR="0040202D" w:rsidRPr="00387D57" w:rsidRDefault="0040202D" w:rsidP="00387D57">
      <w:pPr>
        <w:pStyle w:val="ListParagraph"/>
        <w:numPr>
          <w:ilvl w:val="0"/>
          <w:numId w:val="8"/>
        </w:numPr>
        <w:jc w:val="both"/>
        <w:rPr>
          <w:sz w:val="24"/>
          <w:szCs w:val="24"/>
        </w:rPr>
      </w:pPr>
      <w:r w:rsidRPr="00387D57">
        <w:rPr>
          <w:sz w:val="24"/>
          <w:szCs w:val="24"/>
        </w:rPr>
        <w:t>Chaffe III, D. B. (1993)</w:t>
      </w:r>
      <w:r w:rsidR="008824A5">
        <w:rPr>
          <w:sz w:val="24"/>
          <w:szCs w:val="24"/>
        </w:rPr>
        <w:t>,</w:t>
      </w:r>
      <w:r w:rsidRPr="00387D57">
        <w:rPr>
          <w:sz w:val="24"/>
          <w:szCs w:val="24"/>
        </w:rPr>
        <w:t xml:space="preserve"> </w:t>
      </w:r>
      <w:r w:rsidRPr="008824A5">
        <w:rPr>
          <w:i/>
          <w:iCs/>
          <w:sz w:val="24"/>
          <w:szCs w:val="24"/>
        </w:rPr>
        <w:t>Option pricing as a proxy for discount for lack of marketability in private company valuations</w:t>
      </w:r>
      <w:r w:rsidRPr="00387D57">
        <w:rPr>
          <w:sz w:val="24"/>
          <w:szCs w:val="24"/>
        </w:rPr>
        <w:t>, Business Valuation Review, pp. 182-188</w:t>
      </w:r>
    </w:p>
    <w:p w14:paraId="4F0F94DE" w14:textId="77777777" w:rsidR="0040202D" w:rsidRPr="008B3DE8" w:rsidRDefault="0040202D" w:rsidP="008B1F7F">
      <w:pPr>
        <w:pStyle w:val="FootnoteText"/>
        <w:ind w:left="720"/>
        <w:jc w:val="both"/>
        <w:rPr>
          <w:rFonts w:ascii="Arial" w:hAnsi="Arial" w:cs="Arial"/>
          <w:sz w:val="24"/>
          <w:szCs w:val="24"/>
          <w:lang w:val="en-US"/>
        </w:rPr>
      </w:pPr>
    </w:p>
    <w:p w14:paraId="23CEDF6B" w14:textId="77777777" w:rsidR="0040202D" w:rsidRPr="00387D57" w:rsidRDefault="0040202D" w:rsidP="00387D57">
      <w:pPr>
        <w:pStyle w:val="ListParagraph"/>
        <w:ind w:left="1440"/>
        <w:jc w:val="both"/>
        <w:rPr>
          <w:sz w:val="24"/>
          <w:szCs w:val="24"/>
        </w:rPr>
      </w:pPr>
      <w:r w:rsidRPr="00387D57">
        <w:rPr>
          <w:sz w:val="24"/>
          <w:szCs w:val="24"/>
        </w:rPr>
        <w:t xml:space="preserve">Chaffe proposed that a Black-Scholes option pricing model at-the-money European put option might be used to replicate the marketability </w:t>
      </w:r>
      <w:r w:rsidRPr="00387D57">
        <w:rPr>
          <w:sz w:val="24"/>
          <w:szCs w:val="24"/>
        </w:rPr>
        <w:lastRenderedPageBreak/>
        <w:t xml:space="preserve">discount. An ATM European put option is a financial instrument that gives the holder the choice, but not the duty, to sell shares at the option's expiration date in accordance with the stock's strike price. </w:t>
      </w:r>
    </w:p>
    <w:p w14:paraId="525DCC62" w14:textId="77777777" w:rsidR="0040202D" w:rsidRPr="00800ADE" w:rsidRDefault="0040202D" w:rsidP="008B1F7F">
      <w:pPr>
        <w:pStyle w:val="FootnoteText"/>
        <w:ind w:left="720"/>
        <w:jc w:val="both"/>
        <w:rPr>
          <w:rFonts w:ascii="Arial" w:hAnsi="Arial" w:cs="Arial"/>
          <w:sz w:val="24"/>
          <w:szCs w:val="24"/>
        </w:rPr>
      </w:pPr>
    </w:p>
    <w:p w14:paraId="7376B480" w14:textId="16A516FF" w:rsidR="0040202D" w:rsidRPr="00387D57" w:rsidRDefault="0040202D" w:rsidP="00387D57">
      <w:pPr>
        <w:pStyle w:val="ListParagraph"/>
        <w:numPr>
          <w:ilvl w:val="0"/>
          <w:numId w:val="8"/>
        </w:numPr>
        <w:jc w:val="both"/>
        <w:rPr>
          <w:sz w:val="24"/>
          <w:szCs w:val="24"/>
        </w:rPr>
      </w:pPr>
      <w:r w:rsidRPr="00387D57">
        <w:rPr>
          <w:sz w:val="24"/>
          <w:szCs w:val="24"/>
        </w:rPr>
        <w:t>David Tabak</w:t>
      </w:r>
      <w:r w:rsidR="008824A5">
        <w:rPr>
          <w:sz w:val="24"/>
          <w:szCs w:val="24"/>
        </w:rPr>
        <w:t xml:space="preserve"> (2002) </w:t>
      </w:r>
      <w:r w:rsidRPr="00387D57">
        <w:rPr>
          <w:sz w:val="24"/>
          <w:szCs w:val="24"/>
        </w:rPr>
        <w:t xml:space="preserve">, </w:t>
      </w:r>
      <w:r w:rsidRPr="008824A5">
        <w:rPr>
          <w:i/>
          <w:iCs/>
          <w:sz w:val="24"/>
          <w:szCs w:val="24"/>
        </w:rPr>
        <w:t>A CAPM-Based Approach to Calculating Illiquidity Discounts</w:t>
      </w:r>
      <w:r w:rsidRPr="00387D57">
        <w:rPr>
          <w:sz w:val="24"/>
          <w:szCs w:val="24"/>
        </w:rPr>
        <w:t>, NERA Economic Consulting (Marsh &amp; McLennan Companies), listed on www.nera.com, November 11, 2002.</w:t>
      </w:r>
    </w:p>
    <w:p w14:paraId="2BF777BB" w14:textId="77777777" w:rsidR="0040202D" w:rsidRPr="008B3DE8" w:rsidRDefault="0040202D" w:rsidP="008B1F7F">
      <w:pPr>
        <w:pStyle w:val="FootnoteText"/>
        <w:ind w:left="720"/>
        <w:jc w:val="both"/>
        <w:rPr>
          <w:rFonts w:ascii="Arial" w:hAnsi="Arial" w:cs="Arial"/>
          <w:sz w:val="24"/>
          <w:szCs w:val="24"/>
        </w:rPr>
      </w:pPr>
    </w:p>
    <w:p w14:paraId="4FB903B2" w14:textId="77777777" w:rsidR="0040202D" w:rsidRPr="00387D57" w:rsidRDefault="0040202D" w:rsidP="00387D57">
      <w:pPr>
        <w:pStyle w:val="ListParagraph"/>
        <w:ind w:left="1440"/>
        <w:jc w:val="both"/>
        <w:rPr>
          <w:sz w:val="24"/>
          <w:szCs w:val="24"/>
        </w:rPr>
      </w:pPr>
      <w:r w:rsidRPr="00387D57">
        <w:rPr>
          <w:sz w:val="24"/>
          <w:szCs w:val="24"/>
        </w:rPr>
        <w:t>It integrated the two assumptions into an excess required rate of return that can be objectively evaluated, whereas the QMDM requires separate assumptions for the expected growth rate of the asset and the investor's necessary rate of return.</w:t>
      </w:r>
    </w:p>
    <w:p w14:paraId="07CF9770" w14:textId="77777777" w:rsidR="0040202D" w:rsidRPr="008B3DE8" w:rsidRDefault="0040202D" w:rsidP="008B1F7F">
      <w:pPr>
        <w:pStyle w:val="FootnoteText"/>
        <w:ind w:left="720"/>
        <w:jc w:val="both"/>
        <w:rPr>
          <w:rFonts w:ascii="Arial" w:hAnsi="Arial" w:cs="Arial"/>
          <w:sz w:val="24"/>
          <w:szCs w:val="24"/>
        </w:rPr>
      </w:pPr>
    </w:p>
    <w:p w14:paraId="41F15A03" w14:textId="046A032C" w:rsidR="0040202D" w:rsidRPr="00387D57" w:rsidRDefault="0040202D" w:rsidP="00387D57">
      <w:pPr>
        <w:pStyle w:val="ListParagraph"/>
        <w:numPr>
          <w:ilvl w:val="0"/>
          <w:numId w:val="8"/>
        </w:numPr>
        <w:jc w:val="both"/>
        <w:rPr>
          <w:sz w:val="24"/>
          <w:szCs w:val="24"/>
        </w:rPr>
      </w:pPr>
      <w:r w:rsidRPr="00387D57">
        <w:rPr>
          <w:sz w:val="24"/>
          <w:szCs w:val="24"/>
        </w:rPr>
        <w:t xml:space="preserve">De Franco, Gus and </w:t>
      </w:r>
      <w:proofErr w:type="spellStart"/>
      <w:r w:rsidRPr="00387D57">
        <w:rPr>
          <w:sz w:val="24"/>
          <w:szCs w:val="24"/>
        </w:rPr>
        <w:t>Gavious</w:t>
      </w:r>
      <w:proofErr w:type="spellEnd"/>
      <w:r w:rsidRPr="00387D57">
        <w:rPr>
          <w:sz w:val="24"/>
          <w:szCs w:val="24"/>
        </w:rPr>
        <w:t xml:space="preserve">, Ilanit and Richardson, Gordon D. and Jin, Justin Y., </w:t>
      </w:r>
      <w:r w:rsidRPr="008824A5">
        <w:rPr>
          <w:i/>
          <w:iCs/>
          <w:sz w:val="24"/>
          <w:szCs w:val="24"/>
        </w:rPr>
        <w:t>Do Private Company Targets that Hire Big 4 Auditors Receive Higher Proceeds</w:t>
      </w:r>
      <w:r w:rsidRPr="00387D57">
        <w:rPr>
          <w:sz w:val="24"/>
          <w:szCs w:val="24"/>
        </w:rPr>
        <w:t xml:space="preserve"> (June 22, 2009). Available at SSRN: </w:t>
      </w:r>
      <w:hyperlink r:id="rId13" w:tgtFrame="_blank" w:history="1">
        <w:r w:rsidRPr="008B3DE8">
          <w:t>https://ssrn.com/abstract=1640496</w:t>
        </w:r>
      </w:hyperlink>
      <w:r w:rsidRPr="00387D57">
        <w:rPr>
          <w:sz w:val="24"/>
          <w:szCs w:val="24"/>
        </w:rPr>
        <w:t> or </w:t>
      </w:r>
      <w:hyperlink r:id="rId14" w:tgtFrame="_blank" w:history="1">
        <w:r w:rsidRPr="008B3DE8">
          <w:t>http://dx.doi.org/10.2139/ssrn.1640496</w:t>
        </w:r>
      </w:hyperlink>
    </w:p>
    <w:p w14:paraId="6316F303" w14:textId="77777777" w:rsidR="0040202D" w:rsidRPr="008B3DE8" w:rsidRDefault="0040202D" w:rsidP="008B1F7F">
      <w:pPr>
        <w:pStyle w:val="FootnoteText"/>
        <w:ind w:left="720"/>
        <w:jc w:val="both"/>
        <w:rPr>
          <w:rFonts w:ascii="Arial" w:hAnsi="Arial" w:cs="Arial"/>
          <w:sz w:val="24"/>
          <w:szCs w:val="24"/>
        </w:rPr>
      </w:pPr>
    </w:p>
    <w:p w14:paraId="0275B6B3" w14:textId="77777777" w:rsidR="0040202D" w:rsidRPr="00387D57" w:rsidRDefault="0040202D" w:rsidP="00387D57">
      <w:pPr>
        <w:pStyle w:val="ListParagraph"/>
        <w:ind w:left="1440"/>
        <w:jc w:val="both"/>
        <w:rPr>
          <w:sz w:val="24"/>
          <w:szCs w:val="24"/>
        </w:rPr>
      </w:pPr>
      <w:r w:rsidRPr="00387D57">
        <w:rPr>
          <w:sz w:val="24"/>
          <w:szCs w:val="24"/>
        </w:rPr>
        <w:t>It contrasted purchases of public corporations in 2006 with private acquisitions of 100% ownership stakes in privately owned U.S. companies. There were 2,249 public enterprises and 673 private companies in the sample. According to the survey, marketability reductions ranged from 21% to 37% when purchasing private businesses.</w:t>
      </w:r>
    </w:p>
    <w:p w14:paraId="78EEA71F" w14:textId="77777777" w:rsidR="0040202D" w:rsidRDefault="0040202D" w:rsidP="008B1F7F">
      <w:pPr>
        <w:ind w:left="720"/>
        <w:jc w:val="both"/>
        <w:rPr>
          <w:sz w:val="24"/>
          <w:szCs w:val="24"/>
        </w:rPr>
      </w:pPr>
    </w:p>
    <w:p w14:paraId="768E5602" w14:textId="678E94B8" w:rsidR="0040202D" w:rsidRPr="00387D57" w:rsidRDefault="0040202D" w:rsidP="00387D57">
      <w:pPr>
        <w:pStyle w:val="ListParagraph"/>
        <w:numPr>
          <w:ilvl w:val="0"/>
          <w:numId w:val="8"/>
        </w:numPr>
        <w:jc w:val="both"/>
        <w:rPr>
          <w:sz w:val="24"/>
          <w:szCs w:val="24"/>
        </w:rPr>
      </w:pPr>
      <w:r w:rsidRPr="00387D57">
        <w:rPr>
          <w:sz w:val="24"/>
          <w:szCs w:val="24"/>
        </w:rPr>
        <w:t xml:space="preserve">DONG </w:t>
      </w:r>
      <w:proofErr w:type="spellStart"/>
      <w:r w:rsidRPr="00387D57">
        <w:rPr>
          <w:sz w:val="24"/>
          <w:szCs w:val="24"/>
        </w:rPr>
        <w:t>Jichang</w:t>
      </w:r>
      <w:proofErr w:type="spellEnd"/>
      <w:r w:rsidRPr="00387D57">
        <w:rPr>
          <w:sz w:val="24"/>
          <w:szCs w:val="24"/>
        </w:rPr>
        <w:t xml:space="preserve">, JIAO </w:t>
      </w:r>
      <w:proofErr w:type="spellStart"/>
      <w:r w:rsidRPr="00387D57">
        <w:rPr>
          <w:sz w:val="24"/>
          <w:szCs w:val="24"/>
        </w:rPr>
        <w:t>Danxiao</w:t>
      </w:r>
      <w:proofErr w:type="spellEnd"/>
      <w:r w:rsidRPr="00387D57">
        <w:rPr>
          <w:sz w:val="24"/>
          <w:szCs w:val="24"/>
        </w:rPr>
        <w:t xml:space="preserve">, and SUN </w:t>
      </w:r>
      <w:proofErr w:type="spellStart"/>
      <w:r w:rsidRPr="00387D57">
        <w:rPr>
          <w:sz w:val="24"/>
          <w:szCs w:val="24"/>
        </w:rPr>
        <w:t>Xilong</w:t>
      </w:r>
      <w:proofErr w:type="spellEnd"/>
      <w:r w:rsidRPr="00387D57">
        <w:rPr>
          <w:sz w:val="24"/>
          <w:szCs w:val="24"/>
        </w:rPr>
        <w:t xml:space="preserve"> (2017)</w:t>
      </w:r>
      <w:r w:rsidR="00711055">
        <w:rPr>
          <w:sz w:val="24"/>
          <w:szCs w:val="24"/>
        </w:rPr>
        <w:t>,</w:t>
      </w:r>
      <w:r w:rsidRPr="00387D57">
        <w:rPr>
          <w:sz w:val="24"/>
          <w:szCs w:val="24"/>
        </w:rPr>
        <w:t xml:space="preserve"> </w:t>
      </w:r>
      <w:r w:rsidRPr="00711055">
        <w:rPr>
          <w:i/>
          <w:iCs/>
          <w:sz w:val="24"/>
          <w:szCs w:val="24"/>
        </w:rPr>
        <w:t>Acquisition Discount and Valuation Effect of Private M&amp;As in China</w:t>
      </w:r>
      <w:r w:rsidRPr="00387D57">
        <w:rPr>
          <w:sz w:val="24"/>
          <w:szCs w:val="24"/>
        </w:rPr>
        <w:t xml:space="preserve">, </w:t>
      </w:r>
      <w:r w:rsidRPr="00387D57">
        <w:rPr>
          <w:i/>
          <w:iCs/>
          <w:sz w:val="24"/>
          <w:szCs w:val="24"/>
        </w:rPr>
        <w:t>Journal of Systems Science and Complexity</w:t>
      </w:r>
      <w:r w:rsidRPr="00387D57">
        <w:rPr>
          <w:sz w:val="24"/>
          <w:szCs w:val="24"/>
        </w:rPr>
        <w:t>, 2017, № 6, pp. 1364-1381</w:t>
      </w:r>
    </w:p>
    <w:p w14:paraId="4D868456" w14:textId="77777777" w:rsidR="0040202D" w:rsidRDefault="0040202D" w:rsidP="008B1F7F">
      <w:pPr>
        <w:jc w:val="both"/>
        <w:rPr>
          <w:b/>
          <w:bCs/>
          <w:i/>
          <w:iCs/>
          <w:sz w:val="24"/>
          <w:szCs w:val="24"/>
        </w:rPr>
      </w:pPr>
    </w:p>
    <w:p w14:paraId="3C8FA997" w14:textId="77777777" w:rsidR="0040202D" w:rsidRPr="00387D57" w:rsidRDefault="0040202D" w:rsidP="00387D57">
      <w:pPr>
        <w:pStyle w:val="ListParagraph"/>
        <w:ind w:left="1440"/>
        <w:jc w:val="both"/>
        <w:rPr>
          <w:sz w:val="24"/>
          <w:szCs w:val="24"/>
        </w:rPr>
      </w:pPr>
      <w:r w:rsidRPr="00387D57">
        <w:rPr>
          <w:sz w:val="24"/>
          <w:szCs w:val="24"/>
        </w:rPr>
        <w:t>The authors came to the conclusion that unlisted companies in China are sold at a lower price than listed companies after deciding to use an acquisition strategy to create an acquisition discount for unlisted targets. The liquidity demand and the properties of the bilateral trading components are the primary determinants of the deeper discount.</w:t>
      </w:r>
    </w:p>
    <w:p w14:paraId="6E69D13B" w14:textId="77777777" w:rsidR="0040202D" w:rsidRPr="008B3DE8" w:rsidRDefault="0040202D" w:rsidP="008B1F7F">
      <w:pPr>
        <w:spacing w:line="280" w:lineRule="exact"/>
        <w:ind w:left="720"/>
        <w:jc w:val="both"/>
        <w:rPr>
          <w:sz w:val="24"/>
          <w:szCs w:val="24"/>
        </w:rPr>
      </w:pPr>
    </w:p>
    <w:p w14:paraId="6C8CBA4B" w14:textId="4F8E81D6" w:rsidR="0040202D" w:rsidRPr="00387D57" w:rsidRDefault="0040202D" w:rsidP="00387D57">
      <w:pPr>
        <w:pStyle w:val="ListParagraph"/>
        <w:numPr>
          <w:ilvl w:val="0"/>
          <w:numId w:val="8"/>
        </w:numPr>
        <w:jc w:val="both"/>
        <w:rPr>
          <w:sz w:val="24"/>
          <w:szCs w:val="24"/>
        </w:rPr>
      </w:pPr>
      <w:r w:rsidRPr="00387D57">
        <w:rPr>
          <w:sz w:val="24"/>
          <w:szCs w:val="24"/>
        </w:rPr>
        <w:t>Espen Robak (2007)</w:t>
      </w:r>
      <w:r w:rsidR="00711055">
        <w:rPr>
          <w:sz w:val="24"/>
          <w:szCs w:val="24"/>
        </w:rPr>
        <w:t>,</w:t>
      </w:r>
      <w:r w:rsidRPr="00387D57">
        <w:rPr>
          <w:sz w:val="24"/>
          <w:szCs w:val="24"/>
        </w:rPr>
        <w:t xml:space="preserve"> </w:t>
      </w:r>
      <w:r w:rsidRPr="00711055">
        <w:rPr>
          <w:i/>
          <w:iCs/>
          <w:sz w:val="24"/>
          <w:szCs w:val="24"/>
        </w:rPr>
        <w:t xml:space="preserve">Discounts for Illiquid Shares and Warrants: The </w:t>
      </w:r>
      <w:proofErr w:type="spellStart"/>
      <w:r w:rsidRPr="00711055">
        <w:rPr>
          <w:i/>
          <w:iCs/>
          <w:sz w:val="24"/>
          <w:szCs w:val="24"/>
        </w:rPr>
        <w:t>LiquiStat</w:t>
      </w:r>
      <w:proofErr w:type="spellEnd"/>
      <w:r w:rsidRPr="00711055">
        <w:rPr>
          <w:i/>
          <w:iCs/>
          <w:sz w:val="24"/>
          <w:szCs w:val="24"/>
        </w:rPr>
        <w:t xml:space="preserve"> Database of Transactions on the Restricted Securities Trading Network</w:t>
      </w:r>
      <w:r w:rsidRPr="00387D57">
        <w:rPr>
          <w:sz w:val="24"/>
          <w:szCs w:val="24"/>
        </w:rPr>
        <w:t xml:space="preserve">, </w:t>
      </w:r>
      <w:proofErr w:type="spellStart"/>
      <w:r w:rsidRPr="00387D57">
        <w:rPr>
          <w:sz w:val="24"/>
          <w:szCs w:val="24"/>
        </w:rPr>
        <w:t>Pluris</w:t>
      </w:r>
      <w:proofErr w:type="spellEnd"/>
      <w:r w:rsidRPr="00387D57">
        <w:rPr>
          <w:sz w:val="24"/>
          <w:szCs w:val="24"/>
        </w:rPr>
        <w:t xml:space="preserve"> Valuation Advisors White Paper (January, 2007), pp. 22–32.</w:t>
      </w:r>
    </w:p>
    <w:p w14:paraId="6DD3C4CE" w14:textId="77777777" w:rsidR="0040202D" w:rsidRPr="008B3DE8" w:rsidRDefault="0040202D" w:rsidP="008B1F7F">
      <w:pPr>
        <w:ind w:left="720"/>
        <w:jc w:val="both"/>
        <w:rPr>
          <w:sz w:val="24"/>
          <w:szCs w:val="24"/>
        </w:rPr>
      </w:pPr>
    </w:p>
    <w:p w14:paraId="703212E3" w14:textId="77777777" w:rsidR="0040202D" w:rsidRPr="00387D57" w:rsidRDefault="0040202D" w:rsidP="00387D57">
      <w:pPr>
        <w:pStyle w:val="ListParagraph"/>
        <w:ind w:left="1440"/>
        <w:jc w:val="both"/>
        <w:rPr>
          <w:sz w:val="24"/>
          <w:szCs w:val="24"/>
        </w:rPr>
      </w:pPr>
      <w:r w:rsidRPr="00387D57">
        <w:rPr>
          <w:sz w:val="24"/>
          <w:szCs w:val="24"/>
        </w:rPr>
        <w:t xml:space="preserve">The </w:t>
      </w:r>
      <w:proofErr w:type="spellStart"/>
      <w:r w:rsidRPr="00387D57">
        <w:rPr>
          <w:sz w:val="24"/>
          <w:szCs w:val="24"/>
        </w:rPr>
        <w:t>Pluris</w:t>
      </w:r>
      <w:proofErr w:type="spellEnd"/>
      <w:r w:rsidRPr="00387D57">
        <w:rPr>
          <w:sz w:val="24"/>
          <w:szCs w:val="24"/>
        </w:rPr>
        <w:t xml:space="preserve"> Valuation Advisors’ Database of private sales transactions provided the 61 transactions used in this analysis. The transactions were facilitated by Restricted Stock Partners of New York, who established the Restricted Securities Trading Network. </w:t>
      </w:r>
    </w:p>
    <w:p w14:paraId="4C0B78A3" w14:textId="77777777" w:rsidR="0040202D" w:rsidRPr="008B3DE8" w:rsidRDefault="0040202D" w:rsidP="008B1F7F">
      <w:pPr>
        <w:spacing w:line="280" w:lineRule="exact"/>
        <w:ind w:left="720"/>
        <w:jc w:val="both"/>
        <w:rPr>
          <w:sz w:val="24"/>
          <w:szCs w:val="24"/>
        </w:rPr>
      </w:pPr>
    </w:p>
    <w:p w14:paraId="6F1FEDE3" w14:textId="22E3D83F" w:rsidR="0040202D" w:rsidRPr="00387D57" w:rsidRDefault="0040202D" w:rsidP="00387D57">
      <w:pPr>
        <w:pStyle w:val="ListParagraph"/>
        <w:numPr>
          <w:ilvl w:val="0"/>
          <w:numId w:val="8"/>
        </w:numPr>
        <w:jc w:val="both"/>
        <w:rPr>
          <w:sz w:val="24"/>
          <w:szCs w:val="24"/>
        </w:rPr>
      </w:pPr>
      <w:r w:rsidRPr="00387D57">
        <w:rPr>
          <w:sz w:val="24"/>
          <w:szCs w:val="24"/>
        </w:rPr>
        <w:t>Ezra Angrist, Harry Curtis III, and Daniel Kerrigan</w:t>
      </w:r>
      <w:r w:rsidR="00711055">
        <w:rPr>
          <w:sz w:val="24"/>
          <w:szCs w:val="24"/>
        </w:rPr>
        <w:t xml:space="preserve"> (2011)</w:t>
      </w:r>
      <w:r w:rsidRPr="00387D57">
        <w:rPr>
          <w:sz w:val="24"/>
          <w:szCs w:val="24"/>
        </w:rPr>
        <w:t xml:space="preserve">, </w:t>
      </w:r>
      <w:r w:rsidRPr="00711055">
        <w:rPr>
          <w:i/>
          <w:iCs/>
          <w:sz w:val="24"/>
          <w:szCs w:val="24"/>
        </w:rPr>
        <w:t>Regression Analysis and Discounts for Lack of Marketability</w:t>
      </w:r>
      <w:r w:rsidRPr="00387D57">
        <w:rPr>
          <w:sz w:val="24"/>
          <w:szCs w:val="24"/>
        </w:rPr>
        <w:t>, Business Valuation Review (2011), 30 (1), pp. 36–48.</w:t>
      </w:r>
    </w:p>
    <w:p w14:paraId="36F61427" w14:textId="77777777" w:rsidR="0040202D" w:rsidRPr="008B3DE8" w:rsidRDefault="0040202D" w:rsidP="008B1F7F">
      <w:pPr>
        <w:spacing w:line="240" w:lineRule="auto"/>
        <w:ind w:left="720"/>
        <w:jc w:val="both"/>
        <w:rPr>
          <w:rFonts w:eastAsia="Times New Roman"/>
          <w:sz w:val="24"/>
          <w:szCs w:val="24"/>
        </w:rPr>
      </w:pPr>
    </w:p>
    <w:p w14:paraId="196FEB38" w14:textId="77777777" w:rsidR="0040202D" w:rsidRPr="00387D57" w:rsidRDefault="0040202D" w:rsidP="00387D57">
      <w:pPr>
        <w:pStyle w:val="ListParagraph"/>
        <w:ind w:left="1440"/>
        <w:jc w:val="both"/>
        <w:rPr>
          <w:sz w:val="24"/>
          <w:szCs w:val="24"/>
        </w:rPr>
      </w:pPr>
      <w:r w:rsidRPr="00387D57">
        <w:rPr>
          <w:sz w:val="24"/>
          <w:szCs w:val="24"/>
        </w:rPr>
        <w:t xml:space="preserve">It conducted an analysis of the discounts on restricted stocks as compared to their openly traded counterparts. Numerous updates have been made to this study, the most recent of which examined data from 1980 to 2009. </w:t>
      </w:r>
    </w:p>
    <w:p w14:paraId="759F8F05" w14:textId="77777777" w:rsidR="0040202D" w:rsidRPr="00B02004" w:rsidRDefault="0040202D" w:rsidP="008B1F7F">
      <w:pPr>
        <w:pStyle w:val="FootnoteText"/>
        <w:ind w:left="720"/>
        <w:jc w:val="both"/>
        <w:rPr>
          <w:rFonts w:ascii="Arial" w:hAnsi="Arial" w:cs="Arial"/>
          <w:sz w:val="24"/>
          <w:szCs w:val="24"/>
        </w:rPr>
      </w:pPr>
    </w:p>
    <w:p w14:paraId="053E9E31" w14:textId="04217171" w:rsidR="0040202D" w:rsidRPr="00387D57" w:rsidRDefault="0040202D" w:rsidP="00387D57">
      <w:pPr>
        <w:pStyle w:val="ListParagraph"/>
        <w:numPr>
          <w:ilvl w:val="0"/>
          <w:numId w:val="8"/>
        </w:numPr>
        <w:jc w:val="both"/>
        <w:rPr>
          <w:sz w:val="24"/>
          <w:szCs w:val="24"/>
        </w:rPr>
      </w:pPr>
      <w:r w:rsidRPr="00387D57">
        <w:rPr>
          <w:sz w:val="24"/>
          <w:szCs w:val="24"/>
        </w:rPr>
        <w:t>Finnerty, J. D. (2012)</w:t>
      </w:r>
      <w:r w:rsidR="00711055">
        <w:rPr>
          <w:sz w:val="24"/>
          <w:szCs w:val="24"/>
        </w:rPr>
        <w:t>,</w:t>
      </w:r>
      <w:r w:rsidRPr="00387D57">
        <w:rPr>
          <w:sz w:val="24"/>
          <w:szCs w:val="24"/>
        </w:rPr>
        <w:t xml:space="preserve"> </w:t>
      </w:r>
      <w:r w:rsidRPr="00711055">
        <w:rPr>
          <w:i/>
          <w:iCs/>
          <w:sz w:val="24"/>
          <w:szCs w:val="24"/>
        </w:rPr>
        <w:t>An Average-Strike Put Option Model of the Marketability Discount</w:t>
      </w:r>
      <w:r w:rsidRPr="00387D57">
        <w:rPr>
          <w:sz w:val="24"/>
          <w:szCs w:val="24"/>
        </w:rPr>
        <w:t>. The Journal of Derivatives, 9 (24), pp. 53–69.</w:t>
      </w:r>
    </w:p>
    <w:p w14:paraId="4E477C84" w14:textId="77777777" w:rsidR="0040202D" w:rsidRPr="008B3DE8" w:rsidRDefault="0040202D" w:rsidP="008B1F7F">
      <w:pPr>
        <w:pStyle w:val="FootnoteText"/>
        <w:ind w:left="720"/>
        <w:jc w:val="both"/>
        <w:rPr>
          <w:rFonts w:ascii="Arial" w:hAnsi="Arial" w:cs="Arial"/>
          <w:sz w:val="24"/>
          <w:szCs w:val="24"/>
          <w:lang w:val="en-US"/>
        </w:rPr>
      </w:pPr>
    </w:p>
    <w:p w14:paraId="2780AF11" w14:textId="77777777" w:rsidR="0040202D" w:rsidRPr="00387D57" w:rsidRDefault="0040202D" w:rsidP="00387D57">
      <w:pPr>
        <w:pStyle w:val="ListParagraph"/>
        <w:ind w:left="1440"/>
        <w:jc w:val="both"/>
        <w:rPr>
          <w:sz w:val="24"/>
          <w:szCs w:val="24"/>
        </w:rPr>
      </w:pPr>
      <w:r w:rsidRPr="00387D57">
        <w:rPr>
          <w:sz w:val="24"/>
          <w:szCs w:val="24"/>
        </w:rPr>
        <w:t xml:space="preserve">Finnerty created a model to estimate DLOM using an average-strike put option. Asian options, such as average-strike put options, are a sort of exotic option where the holder has the choice—but not the obligation—to sell the stock at the average realized price during the option's term. </w:t>
      </w:r>
    </w:p>
    <w:p w14:paraId="0EC8F439" w14:textId="1639C4EA" w:rsidR="0040202D" w:rsidRPr="008B3DE8" w:rsidRDefault="0040202D" w:rsidP="00387D57">
      <w:pPr>
        <w:ind w:left="720" w:firstLine="70"/>
        <w:jc w:val="both"/>
        <w:rPr>
          <w:sz w:val="24"/>
          <w:szCs w:val="24"/>
        </w:rPr>
      </w:pPr>
    </w:p>
    <w:p w14:paraId="4E4DE867" w14:textId="27EB9C4A" w:rsidR="0040202D" w:rsidRPr="00387D57" w:rsidRDefault="00711055" w:rsidP="00387D57">
      <w:pPr>
        <w:pStyle w:val="ListParagraph"/>
        <w:numPr>
          <w:ilvl w:val="0"/>
          <w:numId w:val="8"/>
        </w:numPr>
        <w:jc w:val="both"/>
        <w:rPr>
          <w:sz w:val="24"/>
          <w:szCs w:val="24"/>
        </w:rPr>
      </w:pPr>
      <w:r w:rsidRPr="00387D57">
        <w:rPr>
          <w:sz w:val="24"/>
          <w:szCs w:val="24"/>
        </w:rPr>
        <w:t xml:space="preserve">FMV Opinions </w:t>
      </w:r>
      <w:r w:rsidR="0040202D" w:rsidRPr="00387D57">
        <w:rPr>
          <w:sz w:val="24"/>
          <w:szCs w:val="24"/>
        </w:rPr>
        <w:t>(</w:t>
      </w:r>
      <w:r>
        <w:rPr>
          <w:sz w:val="24"/>
          <w:szCs w:val="24"/>
        </w:rPr>
        <w:t>2015</w:t>
      </w:r>
      <w:r w:rsidR="0040202D" w:rsidRPr="00387D57">
        <w:rPr>
          <w:sz w:val="24"/>
          <w:szCs w:val="24"/>
        </w:rPr>
        <w:t xml:space="preserve">), </w:t>
      </w:r>
      <w:r w:rsidR="0040202D" w:rsidRPr="00711055">
        <w:rPr>
          <w:i/>
          <w:iCs/>
          <w:sz w:val="24"/>
          <w:szCs w:val="24"/>
        </w:rPr>
        <w:t>Determining Discounts for Lack of Marketability, A Companion Guide to the FMV Restricted Stock Study</w:t>
      </w:r>
      <w:r w:rsidR="0040202D" w:rsidRPr="00387D57">
        <w:rPr>
          <w:sz w:val="24"/>
          <w:szCs w:val="24"/>
        </w:rPr>
        <w:t xml:space="preserve">, 2015 </w:t>
      </w:r>
      <w:proofErr w:type="spellStart"/>
      <w:r w:rsidR="0040202D" w:rsidRPr="00387D57">
        <w:rPr>
          <w:sz w:val="24"/>
          <w:szCs w:val="24"/>
        </w:rPr>
        <w:t>edn</w:t>
      </w:r>
      <w:proofErr w:type="spellEnd"/>
      <w:r w:rsidR="0040202D" w:rsidRPr="00387D57">
        <w:rPr>
          <w:sz w:val="24"/>
          <w:szCs w:val="24"/>
        </w:rPr>
        <w:t>, FMV Opinions, Inc.</w:t>
      </w:r>
    </w:p>
    <w:p w14:paraId="1DD98C04" w14:textId="77777777" w:rsidR="0040202D" w:rsidRPr="008B3DE8" w:rsidRDefault="0040202D" w:rsidP="008B1F7F">
      <w:pPr>
        <w:spacing w:line="280" w:lineRule="exact"/>
        <w:ind w:left="720"/>
        <w:jc w:val="both"/>
        <w:rPr>
          <w:sz w:val="24"/>
          <w:szCs w:val="24"/>
        </w:rPr>
      </w:pPr>
    </w:p>
    <w:p w14:paraId="3DDD2BB4" w14:textId="77777777" w:rsidR="0040202D" w:rsidRPr="00387D57" w:rsidRDefault="0040202D" w:rsidP="00387D57">
      <w:pPr>
        <w:pStyle w:val="ListParagraph"/>
        <w:ind w:left="1440"/>
        <w:jc w:val="both"/>
        <w:rPr>
          <w:sz w:val="24"/>
          <w:szCs w:val="24"/>
        </w:rPr>
      </w:pPr>
      <w:r w:rsidRPr="00387D57">
        <w:rPr>
          <w:sz w:val="24"/>
          <w:szCs w:val="24"/>
        </w:rPr>
        <w:t xml:space="preserve">Recurrent examinations of the restricted stock transactions in its exclusive transaction database were first published by FMV Opinions </w:t>
      </w:r>
      <w:r w:rsidRPr="00387D57">
        <w:rPr>
          <w:rFonts w:eastAsia="Times New Roman"/>
          <w:color w:val="242021"/>
          <w:sz w:val="24"/>
          <w:szCs w:val="24"/>
        </w:rPr>
        <w:t xml:space="preserve">Inc. </w:t>
      </w:r>
      <w:r w:rsidRPr="00387D57">
        <w:rPr>
          <w:sz w:val="24"/>
          <w:szCs w:val="24"/>
        </w:rPr>
        <w:t xml:space="preserve">in 2001. The studies have been released annually in more recent years. </w:t>
      </w:r>
    </w:p>
    <w:p w14:paraId="68E25F58" w14:textId="77777777" w:rsidR="0040202D" w:rsidRDefault="0040202D" w:rsidP="008B1F7F">
      <w:pPr>
        <w:jc w:val="both"/>
        <w:rPr>
          <w:sz w:val="24"/>
          <w:szCs w:val="24"/>
        </w:rPr>
      </w:pPr>
    </w:p>
    <w:p w14:paraId="4F70B3B2" w14:textId="24FE7EF4" w:rsidR="0040202D" w:rsidRPr="00387D57" w:rsidRDefault="0040202D" w:rsidP="00387D57">
      <w:pPr>
        <w:pStyle w:val="ListParagraph"/>
        <w:numPr>
          <w:ilvl w:val="0"/>
          <w:numId w:val="8"/>
        </w:numPr>
        <w:jc w:val="both"/>
        <w:rPr>
          <w:sz w:val="24"/>
          <w:szCs w:val="24"/>
        </w:rPr>
      </w:pPr>
      <w:r w:rsidRPr="00387D57">
        <w:rPr>
          <w:sz w:val="24"/>
          <w:szCs w:val="24"/>
        </w:rPr>
        <w:lastRenderedPageBreak/>
        <w:t>Francis A. Longstaff (1995)</w:t>
      </w:r>
      <w:r w:rsidR="000C48D1">
        <w:rPr>
          <w:sz w:val="24"/>
          <w:szCs w:val="24"/>
        </w:rPr>
        <w:t>,</w:t>
      </w:r>
      <w:r w:rsidRPr="00387D57">
        <w:rPr>
          <w:sz w:val="24"/>
          <w:szCs w:val="24"/>
        </w:rPr>
        <w:t xml:space="preserve"> </w:t>
      </w:r>
      <w:r w:rsidRPr="000C48D1">
        <w:rPr>
          <w:i/>
          <w:iCs/>
          <w:sz w:val="24"/>
          <w:szCs w:val="24"/>
        </w:rPr>
        <w:t>How Much Can Marketability Affect Security Values</w:t>
      </w:r>
      <w:r w:rsidRPr="00387D57">
        <w:rPr>
          <w:sz w:val="24"/>
          <w:szCs w:val="24"/>
        </w:rPr>
        <w:t>, The Journal of Finance (December 1995), pp. 1767-1774.</w:t>
      </w:r>
    </w:p>
    <w:p w14:paraId="31AA8FC1" w14:textId="77777777" w:rsidR="0040202D" w:rsidRPr="008B3DE8" w:rsidRDefault="0040202D" w:rsidP="008B1F7F">
      <w:pPr>
        <w:pStyle w:val="FootnoteText"/>
        <w:ind w:left="720"/>
        <w:jc w:val="both"/>
        <w:rPr>
          <w:rFonts w:ascii="Arial" w:hAnsi="Arial" w:cs="Arial"/>
          <w:sz w:val="24"/>
          <w:szCs w:val="24"/>
          <w:lang w:val="en-US"/>
        </w:rPr>
      </w:pPr>
    </w:p>
    <w:p w14:paraId="77599BA7" w14:textId="77777777" w:rsidR="0040202D" w:rsidRPr="00387D57" w:rsidRDefault="0040202D" w:rsidP="00387D57">
      <w:pPr>
        <w:pStyle w:val="ListParagraph"/>
        <w:ind w:left="1440"/>
        <w:jc w:val="both"/>
        <w:rPr>
          <w:sz w:val="24"/>
          <w:szCs w:val="24"/>
        </w:rPr>
      </w:pPr>
      <w:r w:rsidRPr="00387D57">
        <w:rPr>
          <w:sz w:val="24"/>
          <w:szCs w:val="24"/>
        </w:rPr>
        <w:t xml:space="preserve">Using a lookback put option, Longstaff offered an alternative approach for calculating DLOM. The right, but not the responsibility, to "look back" and sell the stock for the highest realized price during the option's term is granted to the holder of a lookback put option. </w:t>
      </w:r>
    </w:p>
    <w:p w14:paraId="43B54CE1" w14:textId="77777777" w:rsidR="0040202D" w:rsidRDefault="0040202D" w:rsidP="008B1F7F">
      <w:pPr>
        <w:jc w:val="both"/>
        <w:rPr>
          <w:sz w:val="24"/>
          <w:szCs w:val="24"/>
        </w:rPr>
      </w:pPr>
    </w:p>
    <w:p w14:paraId="1D532D48" w14:textId="119FBA69" w:rsidR="0040202D" w:rsidRPr="00387D57" w:rsidRDefault="0040202D" w:rsidP="00387D57">
      <w:pPr>
        <w:pStyle w:val="ListParagraph"/>
        <w:numPr>
          <w:ilvl w:val="0"/>
          <w:numId w:val="8"/>
        </w:numPr>
        <w:jc w:val="both"/>
        <w:rPr>
          <w:sz w:val="24"/>
          <w:szCs w:val="24"/>
        </w:rPr>
      </w:pPr>
      <w:r w:rsidRPr="00387D57">
        <w:rPr>
          <w:sz w:val="24"/>
          <w:szCs w:val="24"/>
        </w:rPr>
        <w:t>Gelman, M. (1972)</w:t>
      </w:r>
      <w:r w:rsidR="000C48D1">
        <w:rPr>
          <w:sz w:val="24"/>
          <w:szCs w:val="24"/>
        </w:rPr>
        <w:t>,</w:t>
      </w:r>
      <w:r w:rsidRPr="00387D57">
        <w:rPr>
          <w:sz w:val="24"/>
          <w:szCs w:val="24"/>
        </w:rPr>
        <w:t xml:space="preserve"> </w:t>
      </w:r>
      <w:r w:rsidRPr="000C48D1">
        <w:rPr>
          <w:i/>
          <w:iCs/>
          <w:sz w:val="24"/>
          <w:szCs w:val="24"/>
        </w:rPr>
        <w:t>An Economist Financial Analyst’s Approach to Valuing Stock of a Closely Held Company</w:t>
      </w:r>
      <w:r w:rsidRPr="00387D57">
        <w:rPr>
          <w:sz w:val="24"/>
          <w:szCs w:val="24"/>
        </w:rPr>
        <w:t>, The Journal of Taxation, 36(6), pp. 353-354.</w:t>
      </w:r>
    </w:p>
    <w:p w14:paraId="1AFCD8F5" w14:textId="77777777" w:rsidR="0040202D" w:rsidRPr="008B3DE8" w:rsidRDefault="0040202D" w:rsidP="008B1F7F">
      <w:pPr>
        <w:pStyle w:val="FootnoteText"/>
        <w:ind w:left="720"/>
        <w:jc w:val="both"/>
        <w:rPr>
          <w:rFonts w:ascii="Arial" w:hAnsi="Arial" w:cs="Arial"/>
          <w:sz w:val="24"/>
          <w:szCs w:val="24"/>
        </w:rPr>
      </w:pPr>
    </w:p>
    <w:p w14:paraId="711BF283" w14:textId="77777777" w:rsidR="0040202D" w:rsidRPr="00387D57" w:rsidRDefault="0040202D" w:rsidP="00387D57">
      <w:pPr>
        <w:pStyle w:val="ListParagraph"/>
        <w:ind w:left="1440"/>
        <w:jc w:val="both"/>
        <w:rPr>
          <w:sz w:val="24"/>
          <w:szCs w:val="24"/>
        </w:rPr>
      </w:pPr>
      <w:r w:rsidRPr="00387D57">
        <w:rPr>
          <w:sz w:val="24"/>
          <w:szCs w:val="24"/>
        </w:rPr>
        <w:t xml:space="preserve">Gelman examined four investment corporations' 1968–1970 purchases of restricted securities. According to Gelman, investment firms purchase the equities straight from the business or, occasionally, from stockholders who are selling their holdings. Restricted securities are typically acquired for a significant discount to freely-marketable securities of the same class as the firm because their transferability is restricted. </w:t>
      </w:r>
    </w:p>
    <w:p w14:paraId="58337EAE" w14:textId="77777777" w:rsidR="0040202D" w:rsidRPr="008B3DE8" w:rsidRDefault="0040202D" w:rsidP="008B1F7F">
      <w:pPr>
        <w:ind w:left="720"/>
        <w:jc w:val="both"/>
        <w:rPr>
          <w:i/>
          <w:iCs/>
          <w:sz w:val="24"/>
          <w:szCs w:val="24"/>
        </w:rPr>
      </w:pPr>
    </w:p>
    <w:p w14:paraId="4A8FB30D" w14:textId="57D5775F" w:rsidR="0040202D" w:rsidRPr="00387D57" w:rsidRDefault="0040202D" w:rsidP="00387D57">
      <w:pPr>
        <w:pStyle w:val="ListParagraph"/>
        <w:numPr>
          <w:ilvl w:val="0"/>
          <w:numId w:val="8"/>
        </w:numPr>
        <w:jc w:val="both"/>
        <w:rPr>
          <w:sz w:val="24"/>
          <w:szCs w:val="24"/>
        </w:rPr>
      </w:pPr>
      <w:r w:rsidRPr="00387D57">
        <w:rPr>
          <w:sz w:val="24"/>
          <w:szCs w:val="24"/>
        </w:rPr>
        <w:t>Hall, Lance S., and Timothy C. Polacek</w:t>
      </w:r>
      <w:r w:rsidR="000C48D1">
        <w:rPr>
          <w:sz w:val="24"/>
          <w:szCs w:val="24"/>
        </w:rPr>
        <w:t xml:space="preserve"> (1994)</w:t>
      </w:r>
      <w:r w:rsidRPr="00387D57">
        <w:rPr>
          <w:sz w:val="24"/>
          <w:szCs w:val="24"/>
        </w:rPr>
        <w:t xml:space="preserve">, </w:t>
      </w:r>
      <w:r w:rsidRPr="000C48D1">
        <w:rPr>
          <w:i/>
          <w:iCs/>
          <w:sz w:val="24"/>
          <w:szCs w:val="24"/>
        </w:rPr>
        <w:t>Strategies for Obtaining the Largest Valuation Discounts</w:t>
      </w:r>
      <w:r w:rsidRPr="00387D57">
        <w:rPr>
          <w:sz w:val="24"/>
          <w:szCs w:val="24"/>
        </w:rPr>
        <w:t>, Estate Planning, January/February 1994, pp. 38-44.</w:t>
      </w:r>
    </w:p>
    <w:p w14:paraId="05D4CB66" w14:textId="77777777" w:rsidR="0040202D" w:rsidRPr="008B3DE8" w:rsidRDefault="0040202D" w:rsidP="008B1F7F">
      <w:pPr>
        <w:pStyle w:val="FootnoteText"/>
        <w:ind w:left="720"/>
        <w:jc w:val="both"/>
        <w:rPr>
          <w:rFonts w:ascii="Arial" w:hAnsi="Arial" w:cs="Arial"/>
          <w:sz w:val="24"/>
          <w:szCs w:val="24"/>
        </w:rPr>
      </w:pPr>
    </w:p>
    <w:p w14:paraId="4F8BBB15" w14:textId="77777777" w:rsidR="0040202D" w:rsidRPr="00387D57" w:rsidRDefault="0040202D" w:rsidP="00387D57">
      <w:pPr>
        <w:pStyle w:val="ListParagraph"/>
        <w:ind w:left="1440"/>
        <w:jc w:val="both"/>
        <w:rPr>
          <w:sz w:val="24"/>
          <w:szCs w:val="24"/>
        </w:rPr>
      </w:pPr>
      <w:r w:rsidRPr="00387D57">
        <w:rPr>
          <w:sz w:val="24"/>
          <w:szCs w:val="24"/>
        </w:rPr>
        <w:t>It reviewed actual Tax Court cases where a DLOM was allowed. The research conducted by Hall and Polacek affirms that the extent of the discount is frequently determined by the amount of the subject company's earnings, revenues, and the exchange on which the unrestricted stock was sold.</w:t>
      </w:r>
    </w:p>
    <w:p w14:paraId="3E94E2DB" w14:textId="77777777" w:rsidR="0040202D" w:rsidRPr="008B3DE8" w:rsidRDefault="0040202D" w:rsidP="008B1F7F">
      <w:pPr>
        <w:spacing w:line="280" w:lineRule="exact"/>
        <w:ind w:left="720"/>
        <w:jc w:val="both"/>
        <w:rPr>
          <w:sz w:val="24"/>
          <w:szCs w:val="24"/>
        </w:rPr>
      </w:pPr>
    </w:p>
    <w:p w14:paraId="70CFB74F" w14:textId="0B8A8A53" w:rsidR="0040202D" w:rsidRPr="00387D57" w:rsidRDefault="0040202D" w:rsidP="00387D57">
      <w:pPr>
        <w:pStyle w:val="ListParagraph"/>
        <w:numPr>
          <w:ilvl w:val="0"/>
          <w:numId w:val="8"/>
        </w:numPr>
        <w:jc w:val="both"/>
        <w:rPr>
          <w:sz w:val="24"/>
          <w:szCs w:val="24"/>
        </w:rPr>
      </w:pPr>
      <w:r w:rsidRPr="00387D57">
        <w:rPr>
          <w:sz w:val="24"/>
          <w:szCs w:val="24"/>
        </w:rPr>
        <w:t>Hertzel, M., and Smith, R. L. (1993)</w:t>
      </w:r>
      <w:r w:rsidR="00607182">
        <w:rPr>
          <w:sz w:val="24"/>
          <w:szCs w:val="24"/>
        </w:rPr>
        <w:t>,</w:t>
      </w:r>
      <w:r w:rsidRPr="00387D57">
        <w:rPr>
          <w:sz w:val="24"/>
          <w:szCs w:val="24"/>
        </w:rPr>
        <w:t xml:space="preserve"> </w:t>
      </w:r>
      <w:r w:rsidRPr="00607182">
        <w:rPr>
          <w:i/>
          <w:iCs/>
          <w:sz w:val="24"/>
          <w:szCs w:val="24"/>
        </w:rPr>
        <w:t>Market Discounts and Shareholder Gains for Placing Equity Privately</w:t>
      </w:r>
      <w:r w:rsidRPr="00387D57">
        <w:rPr>
          <w:sz w:val="24"/>
          <w:szCs w:val="24"/>
        </w:rPr>
        <w:t>, The Journal of Finance, 48(2), pp. 459-485.</w:t>
      </w:r>
    </w:p>
    <w:p w14:paraId="6BB8440A" w14:textId="77777777" w:rsidR="0040202D" w:rsidRPr="008B3DE8" w:rsidRDefault="0040202D" w:rsidP="008B1F7F">
      <w:pPr>
        <w:ind w:left="720"/>
        <w:jc w:val="both"/>
        <w:rPr>
          <w:i/>
          <w:iCs/>
          <w:sz w:val="24"/>
          <w:szCs w:val="24"/>
        </w:rPr>
      </w:pPr>
    </w:p>
    <w:p w14:paraId="171714AB" w14:textId="77777777" w:rsidR="0040202D" w:rsidRPr="00387D57" w:rsidRDefault="0040202D" w:rsidP="00387D57">
      <w:pPr>
        <w:pStyle w:val="ListParagraph"/>
        <w:ind w:left="1440"/>
        <w:jc w:val="both"/>
        <w:rPr>
          <w:sz w:val="24"/>
          <w:szCs w:val="24"/>
        </w:rPr>
      </w:pPr>
      <w:r w:rsidRPr="00387D57">
        <w:rPr>
          <w:sz w:val="24"/>
          <w:szCs w:val="24"/>
        </w:rPr>
        <w:t xml:space="preserve">In order to determine the causes of discounts on private placements and the ensuing aberrant returns, Hertzel and Smith conducted a study on </w:t>
      </w:r>
      <w:r w:rsidRPr="00387D57">
        <w:rPr>
          <w:sz w:val="24"/>
          <w:szCs w:val="24"/>
        </w:rPr>
        <w:lastRenderedPageBreak/>
        <w:t xml:space="preserve">private placements. "While the illiquidity of unregistered shares offers some insight, it is unclear why investors want such significant discounts and why companies are prepared to grant them. </w:t>
      </w:r>
    </w:p>
    <w:p w14:paraId="6B80A049" w14:textId="77777777" w:rsidR="0040202D" w:rsidRPr="008B3DE8" w:rsidRDefault="0040202D" w:rsidP="008B1F7F">
      <w:pPr>
        <w:spacing w:line="280" w:lineRule="exact"/>
        <w:ind w:left="720"/>
        <w:jc w:val="both"/>
        <w:rPr>
          <w:sz w:val="24"/>
          <w:szCs w:val="24"/>
        </w:rPr>
      </w:pPr>
    </w:p>
    <w:p w14:paraId="40920B41" w14:textId="7F4D2CD2" w:rsidR="0040202D" w:rsidRPr="00387D57" w:rsidRDefault="0040202D" w:rsidP="00387D57">
      <w:pPr>
        <w:pStyle w:val="ListParagraph"/>
        <w:numPr>
          <w:ilvl w:val="0"/>
          <w:numId w:val="8"/>
        </w:numPr>
        <w:jc w:val="both"/>
        <w:rPr>
          <w:sz w:val="24"/>
          <w:szCs w:val="24"/>
        </w:rPr>
      </w:pPr>
      <w:r w:rsidRPr="00387D57">
        <w:rPr>
          <w:sz w:val="24"/>
          <w:szCs w:val="24"/>
        </w:rPr>
        <w:t>Hitchner, et al. (2017)</w:t>
      </w:r>
      <w:r w:rsidR="00607182">
        <w:rPr>
          <w:sz w:val="24"/>
          <w:szCs w:val="24"/>
        </w:rPr>
        <w:t>,</w:t>
      </w:r>
      <w:r w:rsidRPr="00387D57">
        <w:rPr>
          <w:sz w:val="24"/>
          <w:szCs w:val="24"/>
        </w:rPr>
        <w:t xml:space="preserve"> </w:t>
      </w:r>
      <w:r w:rsidRPr="00607182">
        <w:rPr>
          <w:i/>
          <w:iCs/>
          <w:sz w:val="24"/>
          <w:szCs w:val="24"/>
        </w:rPr>
        <w:t>Financial Valuation Applications and Models</w:t>
      </w:r>
      <w:r w:rsidRPr="00387D57">
        <w:rPr>
          <w:sz w:val="24"/>
          <w:szCs w:val="24"/>
        </w:rPr>
        <w:t xml:space="preserve">, 3rd </w:t>
      </w:r>
      <w:proofErr w:type="spellStart"/>
      <w:r w:rsidRPr="00387D57">
        <w:rPr>
          <w:sz w:val="24"/>
          <w:szCs w:val="24"/>
        </w:rPr>
        <w:t>edn</w:t>
      </w:r>
      <w:proofErr w:type="spellEnd"/>
      <w:r w:rsidRPr="00387D57">
        <w:rPr>
          <w:sz w:val="24"/>
          <w:szCs w:val="24"/>
        </w:rPr>
        <w:t>. New Jersey: John Wiley &amp; Sons, Inc., pp. 387-389.</w:t>
      </w:r>
    </w:p>
    <w:p w14:paraId="3DC68478" w14:textId="77777777" w:rsidR="0040202D" w:rsidRPr="008B3DE8" w:rsidRDefault="0040202D" w:rsidP="008B1F7F">
      <w:pPr>
        <w:spacing w:line="240" w:lineRule="auto"/>
        <w:ind w:left="720"/>
        <w:jc w:val="both"/>
        <w:rPr>
          <w:rFonts w:eastAsia="Times New Roman"/>
          <w:sz w:val="24"/>
          <w:szCs w:val="24"/>
        </w:rPr>
      </w:pPr>
    </w:p>
    <w:p w14:paraId="03D4D0DB" w14:textId="77777777" w:rsidR="0040202D" w:rsidRPr="00387D57" w:rsidRDefault="0040202D" w:rsidP="00387D57">
      <w:pPr>
        <w:pStyle w:val="ListParagraph"/>
        <w:ind w:left="1440"/>
        <w:jc w:val="both"/>
        <w:rPr>
          <w:sz w:val="24"/>
          <w:szCs w:val="24"/>
        </w:rPr>
      </w:pPr>
      <w:r w:rsidRPr="00387D57">
        <w:rPr>
          <w:sz w:val="24"/>
          <w:szCs w:val="24"/>
        </w:rPr>
        <w:t xml:space="preserve">In order to ascertain whether the DLOM was higher for transactions that were the furthest from the IPO date, Hitchner/Morris conducted an analysis on the Emory Study data for the period January 1980 through June 1995. </w:t>
      </w:r>
    </w:p>
    <w:p w14:paraId="165D0C32" w14:textId="77777777" w:rsidR="0040202D" w:rsidRDefault="0040202D" w:rsidP="008B1F7F">
      <w:pPr>
        <w:pStyle w:val="FootnoteText"/>
        <w:ind w:left="720"/>
        <w:jc w:val="both"/>
        <w:rPr>
          <w:rFonts w:ascii="Arial" w:hAnsi="Arial" w:cs="Arial"/>
          <w:sz w:val="24"/>
          <w:szCs w:val="24"/>
        </w:rPr>
      </w:pPr>
    </w:p>
    <w:p w14:paraId="258C1A21" w14:textId="71936B55" w:rsidR="00222E86" w:rsidRPr="00222E86" w:rsidRDefault="00222E86" w:rsidP="00222E86">
      <w:pPr>
        <w:pStyle w:val="ListParagraph"/>
        <w:numPr>
          <w:ilvl w:val="0"/>
          <w:numId w:val="8"/>
        </w:numPr>
        <w:jc w:val="both"/>
        <w:rPr>
          <w:sz w:val="24"/>
          <w:szCs w:val="24"/>
        </w:rPr>
      </w:pPr>
      <w:r w:rsidRPr="00222E86">
        <w:rPr>
          <w:sz w:val="24"/>
          <w:szCs w:val="24"/>
        </w:rPr>
        <w:t>James R. Hitchner (2024)</w:t>
      </w:r>
      <w:r w:rsidR="00607182">
        <w:rPr>
          <w:sz w:val="24"/>
          <w:szCs w:val="24"/>
        </w:rPr>
        <w:t>,</w:t>
      </w:r>
      <w:r w:rsidRPr="00222E86">
        <w:rPr>
          <w:sz w:val="24"/>
          <w:szCs w:val="24"/>
        </w:rPr>
        <w:t xml:space="preserve"> </w:t>
      </w:r>
      <w:r w:rsidRPr="00607182">
        <w:rPr>
          <w:i/>
          <w:iCs/>
          <w:sz w:val="24"/>
          <w:szCs w:val="24"/>
        </w:rPr>
        <w:t>Financial Valuation – Applications and Models</w:t>
      </w:r>
      <w:r w:rsidRPr="00222E86">
        <w:rPr>
          <w:sz w:val="24"/>
          <w:szCs w:val="24"/>
        </w:rPr>
        <w:t xml:space="preserve">, 4th </w:t>
      </w:r>
      <w:proofErr w:type="spellStart"/>
      <w:r w:rsidRPr="00222E86">
        <w:rPr>
          <w:sz w:val="24"/>
          <w:szCs w:val="24"/>
        </w:rPr>
        <w:t>Edn</w:t>
      </w:r>
      <w:proofErr w:type="spellEnd"/>
      <w:r w:rsidRPr="00222E86">
        <w:rPr>
          <w:sz w:val="24"/>
          <w:szCs w:val="24"/>
        </w:rPr>
        <w:t>., Canada: John Wiley &amp; Sons, inc., p.412</w:t>
      </w:r>
    </w:p>
    <w:p w14:paraId="31E43DFB" w14:textId="77777777" w:rsidR="00222E86" w:rsidRDefault="00222E86" w:rsidP="008B1F7F">
      <w:pPr>
        <w:pStyle w:val="FootnoteText"/>
        <w:ind w:left="720"/>
        <w:jc w:val="both"/>
        <w:rPr>
          <w:rFonts w:ascii="Arial" w:hAnsi="Arial" w:cs="Arial"/>
          <w:sz w:val="24"/>
          <w:szCs w:val="24"/>
        </w:rPr>
      </w:pPr>
    </w:p>
    <w:p w14:paraId="61CB499F" w14:textId="77777777" w:rsidR="005643A9" w:rsidRPr="005643A9" w:rsidRDefault="005643A9" w:rsidP="005643A9">
      <w:pPr>
        <w:pStyle w:val="ListParagraph"/>
        <w:ind w:left="1440"/>
        <w:jc w:val="both"/>
        <w:rPr>
          <w:sz w:val="24"/>
          <w:szCs w:val="24"/>
        </w:rPr>
      </w:pPr>
      <w:r w:rsidRPr="005643A9">
        <w:rPr>
          <w:sz w:val="24"/>
          <w:szCs w:val="24"/>
        </w:rPr>
        <w:t xml:space="preserve">Defensible and suitable methods for preparing and presenting company values are laid out in this authoritative guide. This new edition, which is a must-have for anyone looking for the latest advice with a focus on models and applications, is compiled with the help of thirty of the best specialists in the area. </w:t>
      </w:r>
    </w:p>
    <w:p w14:paraId="69B50AE3" w14:textId="77777777" w:rsidR="00222E86" w:rsidRDefault="00222E86" w:rsidP="005643A9">
      <w:pPr>
        <w:pStyle w:val="FootnoteText"/>
        <w:jc w:val="both"/>
        <w:rPr>
          <w:rFonts w:ascii="Arial" w:hAnsi="Arial" w:cs="Arial"/>
          <w:sz w:val="24"/>
          <w:szCs w:val="24"/>
        </w:rPr>
      </w:pPr>
    </w:p>
    <w:p w14:paraId="0933DB70" w14:textId="2589C61A" w:rsidR="00C93C9F" w:rsidRPr="00302B1C" w:rsidRDefault="00C93C9F" w:rsidP="00302B1C">
      <w:pPr>
        <w:pStyle w:val="ListParagraph"/>
        <w:numPr>
          <w:ilvl w:val="0"/>
          <w:numId w:val="8"/>
        </w:numPr>
        <w:jc w:val="both"/>
        <w:rPr>
          <w:sz w:val="24"/>
          <w:szCs w:val="24"/>
        </w:rPr>
      </w:pPr>
      <w:hyperlink r:id="rId15" w:history="1">
        <w:r w:rsidRPr="00302B1C">
          <w:t>John W</w:t>
        </w:r>
        <w:r w:rsidR="00302B1C">
          <w:t>.</w:t>
        </w:r>
        <w:r w:rsidRPr="00302B1C">
          <w:t xml:space="preserve"> Creswell</w:t>
        </w:r>
      </w:hyperlink>
      <w:r>
        <w:rPr>
          <w:sz w:val="24"/>
          <w:szCs w:val="24"/>
        </w:rPr>
        <w:t xml:space="preserve"> (2024)</w:t>
      </w:r>
      <w:r w:rsidR="00607182">
        <w:rPr>
          <w:sz w:val="24"/>
          <w:szCs w:val="24"/>
        </w:rPr>
        <w:t>,</w:t>
      </w:r>
      <w:r>
        <w:rPr>
          <w:sz w:val="24"/>
          <w:szCs w:val="24"/>
        </w:rPr>
        <w:t xml:space="preserve"> </w:t>
      </w:r>
      <w:r w:rsidRPr="00607182">
        <w:rPr>
          <w:i/>
          <w:iCs/>
          <w:sz w:val="24"/>
          <w:szCs w:val="24"/>
        </w:rPr>
        <w:t>Educational Research: Planning, Conducting, and Evaluating Quantitative and Qualitative Research</w:t>
      </w:r>
      <w:r w:rsidRPr="00302B1C">
        <w:rPr>
          <w:sz w:val="24"/>
          <w:szCs w:val="24"/>
        </w:rPr>
        <w:t xml:space="preserve">, 7th </w:t>
      </w:r>
      <w:proofErr w:type="spellStart"/>
      <w:r w:rsidRPr="00387D57">
        <w:rPr>
          <w:sz w:val="24"/>
          <w:szCs w:val="24"/>
        </w:rPr>
        <w:t>edn</w:t>
      </w:r>
      <w:proofErr w:type="spellEnd"/>
      <w:r w:rsidRPr="00387D57">
        <w:rPr>
          <w:sz w:val="24"/>
          <w:szCs w:val="24"/>
        </w:rPr>
        <w:t>.</w:t>
      </w:r>
      <w:r w:rsidR="00302B1C">
        <w:rPr>
          <w:sz w:val="24"/>
          <w:szCs w:val="24"/>
        </w:rPr>
        <w:t xml:space="preserve"> </w:t>
      </w:r>
      <w:r w:rsidR="00302B1C" w:rsidRPr="00302B1C">
        <w:rPr>
          <w:sz w:val="24"/>
          <w:szCs w:val="24"/>
        </w:rPr>
        <w:t>Nebraska</w:t>
      </w:r>
      <w:r w:rsidR="00302B1C">
        <w:rPr>
          <w:sz w:val="24"/>
          <w:szCs w:val="24"/>
        </w:rPr>
        <w:t>:</w:t>
      </w:r>
      <w:r>
        <w:rPr>
          <w:sz w:val="24"/>
          <w:szCs w:val="24"/>
        </w:rPr>
        <w:t xml:space="preserve"> Pearson Plc.</w:t>
      </w:r>
    </w:p>
    <w:p w14:paraId="0E1807ED" w14:textId="77777777" w:rsidR="00302B1C" w:rsidRDefault="00302B1C" w:rsidP="00302B1C">
      <w:pPr>
        <w:pStyle w:val="ListParagraph"/>
        <w:ind w:left="1440"/>
        <w:jc w:val="both"/>
        <w:rPr>
          <w:sz w:val="24"/>
          <w:szCs w:val="24"/>
        </w:rPr>
      </w:pPr>
    </w:p>
    <w:p w14:paraId="6806C85B" w14:textId="5787C186" w:rsidR="00C93C9F" w:rsidRDefault="00302B1C" w:rsidP="00302B1C">
      <w:pPr>
        <w:pStyle w:val="ListParagraph"/>
        <w:ind w:left="1440"/>
        <w:jc w:val="both"/>
        <w:rPr>
          <w:sz w:val="24"/>
          <w:szCs w:val="24"/>
        </w:rPr>
      </w:pPr>
      <w:r w:rsidRPr="00302B1C">
        <w:rPr>
          <w:sz w:val="24"/>
          <w:szCs w:val="24"/>
        </w:rPr>
        <w:t>It first examines the general steps in the research process and then details the procedures for conducting specific types of quantitative, qualitative and mixed methods studies. Direct guidance on reading research is offered throughout and helpful features provide opportunities for you to practice and apply what you have learned.</w:t>
      </w:r>
    </w:p>
    <w:p w14:paraId="11872A29" w14:textId="77777777" w:rsidR="00302B1C" w:rsidRPr="008B3DE8" w:rsidRDefault="00302B1C" w:rsidP="008B1F7F">
      <w:pPr>
        <w:pStyle w:val="FootnoteText"/>
        <w:ind w:left="720"/>
        <w:jc w:val="both"/>
        <w:rPr>
          <w:rFonts w:ascii="Arial" w:hAnsi="Arial" w:cs="Arial"/>
          <w:sz w:val="24"/>
          <w:szCs w:val="24"/>
        </w:rPr>
      </w:pPr>
    </w:p>
    <w:p w14:paraId="0AA99B35" w14:textId="0D9B9AAE" w:rsidR="0040202D" w:rsidRPr="00387D57" w:rsidRDefault="0040202D" w:rsidP="00387D57">
      <w:pPr>
        <w:pStyle w:val="ListParagraph"/>
        <w:numPr>
          <w:ilvl w:val="0"/>
          <w:numId w:val="8"/>
        </w:numPr>
        <w:jc w:val="both"/>
        <w:rPr>
          <w:sz w:val="24"/>
          <w:szCs w:val="24"/>
        </w:rPr>
      </w:pPr>
      <w:r w:rsidRPr="00387D57">
        <w:rPr>
          <w:sz w:val="24"/>
          <w:szCs w:val="24"/>
        </w:rPr>
        <w:t xml:space="preserve">John D. Emory (1997), </w:t>
      </w:r>
      <w:r w:rsidRPr="00607182">
        <w:rPr>
          <w:i/>
          <w:iCs/>
          <w:sz w:val="24"/>
          <w:szCs w:val="24"/>
        </w:rPr>
        <w:t>The Value of Marketability as Illustrated in Initial Public Offerings of Common Stock (Eighth in a Series),</w:t>
      </w:r>
      <w:r w:rsidRPr="00387D57">
        <w:rPr>
          <w:sz w:val="24"/>
          <w:szCs w:val="24"/>
        </w:rPr>
        <w:t xml:space="preserve"> November 1995 through April 1997’, Business Valuation Review 16, no. 3 (September 1997): pp. 123–124.</w:t>
      </w:r>
    </w:p>
    <w:p w14:paraId="27B3E6D8" w14:textId="77777777" w:rsidR="0040202D" w:rsidRDefault="0040202D" w:rsidP="008B1F7F">
      <w:pPr>
        <w:ind w:left="720"/>
        <w:jc w:val="both"/>
        <w:rPr>
          <w:sz w:val="24"/>
          <w:szCs w:val="24"/>
        </w:rPr>
      </w:pPr>
    </w:p>
    <w:p w14:paraId="3BABB4DA" w14:textId="77777777" w:rsidR="0040202D" w:rsidRPr="00387D57" w:rsidRDefault="0040202D" w:rsidP="00387D57">
      <w:pPr>
        <w:pStyle w:val="ListParagraph"/>
        <w:ind w:left="1440"/>
        <w:jc w:val="both"/>
        <w:rPr>
          <w:sz w:val="24"/>
          <w:szCs w:val="24"/>
        </w:rPr>
      </w:pPr>
      <w:r w:rsidRPr="00387D57">
        <w:rPr>
          <w:sz w:val="24"/>
          <w:szCs w:val="24"/>
        </w:rPr>
        <w:t xml:space="preserve">Emory examined the prospectuses for nearly 4,000 transactions to find transactions that happened little more than five months before the IPO for studies spanning the years January 1980 to December 2000. </w:t>
      </w:r>
    </w:p>
    <w:p w14:paraId="4545D481" w14:textId="77777777" w:rsidR="0040202D" w:rsidRPr="008B3DE8" w:rsidRDefault="0040202D" w:rsidP="008B1F7F">
      <w:pPr>
        <w:pStyle w:val="FootnoteText"/>
        <w:ind w:left="720"/>
        <w:jc w:val="both"/>
        <w:rPr>
          <w:rFonts w:ascii="Arial" w:hAnsi="Arial" w:cs="Arial"/>
          <w:sz w:val="24"/>
          <w:szCs w:val="24"/>
        </w:rPr>
      </w:pPr>
    </w:p>
    <w:p w14:paraId="22F63361" w14:textId="4C5C57A8" w:rsidR="0040202D" w:rsidRPr="00387D57" w:rsidRDefault="0040202D" w:rsidP="00387D57">
      <w:pPr>
        <w:pStyle w:val="ListParagraph"/>
        <w:numPr>
          <w:ilvl w:val="0"/>
          <w:numId w:val="8"/>
        </w:numPr>
        <w:jc w:val="both"/>
        <w:rPr>
          <w:sz w:val="24"/>
          <w:szCs w:val="24"/>
        </w:rPr>
      </w:pPr>
      <w:r w:rsidRPr="00387D57">
        <w:rPr>
          <w:sz w:val="24"/>
          <w:szCs w:val="24"/>
        </w:rPr>
        <w:t>Johnson, B. A. (1999)</w:t>
      </w:r>
      <w:r w:rsidR="00607182">
        <w:rPr>
          <w:sz w:val="24"/>
          <w:szCs w:val="24"/>
        </w:rPr>
        <w:t>,</w:t>
      </w:r>
      <w:r w:rsidRPr="00387D57">
        <w:rPr>
          <w:sz w:val="24"/>
          <w:szCs w:val="24"/>
        </w:rPr>
        <w:t xml:space="preserve"> </w:t>
      </w:r>
      <w:r w:rsidRPr="00607182">
        <w:rPr>
          <w:i/>
          <w:iCs/>
          <w:sz w:val="24"/>
          <w:szCs w:val="24"/>
        </w:rPr>
        <w:t>Restricted Stock Discounts</w:t>
      </w:r>
      <w:r w:rsidRPr="00387D57">
        <w:rPr>
          <w:sz w:val="24"/>
          <w:szCs w:val="24"/>
        </w:rPr>
        <w:t>. Shannon Pratt's Business Valuation Update, 5(3).</w:t>
      </w:r>
    </w:p>
    <w:p w14:paraId="5A1DD3E6" w14:textId="77777777" w:rsidR="0040202D" w:rsidRPr="008B3DE8" w:rsidRDefault="0040202D" w:rsidP="008B1F7F">
      <w:pPr>
        <w:pStyle w:val="FootnoteText"/>
        <w:ind w:left="720"/>
        <w:jc w:val="both"/>
        <w:rPr>
          <w:rFonts w:ascii="Arial" w:hAnsi="Arial" w:cs="Arial"/>
          <w:i/>
          <w:iCs/>
          <w:sz w:val="24"/>
          <w:szCs w:val="24"/>
        </w:rPr>
      </w:pPr>
    </w:p>
    <w:p w14:paraId="4556F938" w14:textId="77777777" w:rsidR="0040202D" w:rsidRPr="00387D57" w:rsidRDefault="0040202D" w:rsidP="00387D57">
      <w:pPr>
        <w:pStyle w:val="ListParagraph"/>
        <w:ind w:left="1440"/>
        <w:jc w:val="both"/>
        <w:rPr>
          <w:sz w:val="24"/>
          <w:szCs w:val="24"/>
        </w:rPr>
      </w:pPr>
      <w:r w:rsidRPr="00387D57">
        <w:rPr>
          <w:sz w:val="24"/>
          <w:szCs w:val="24"/>
        </w:rPr>
        <w:t xml:space="preserve">It examined seventy-two private placements that took place between 1991 and 1995. The five years that followed the relaxation of Rule 144 restrictions under Rule 144A, which let eligible institutional investors to trade unregistered securities without registering them, were represented by this era. </w:t>
      </w:r>
    </w:p>
    <w:p w14:paraId="34A3AAF1" w14:textId="77777777" w:rsidR="0040202D" w:rsidRDefault="0040202D" w:rsidP="008B1F7F">
      <w:pPr>
        <w:jc w:val="both"/>
        <w:rPr>
          <w:sz w:val="24"/>
          <w:szCs w:val="24"/>
        </w:rPr>
      </w:pPr>
    </w:p>
    <w:p w14:paraId="05E1B1FA" w14:textId="77777777" w:rsidR="0040202D" w:rsidRPr="00387D57" w:rsidRDefault="0040202D" w:rsidP="00387D57">
      <w:pPr>
        <w:pStyle w:val="ListParagraph"/>
        <w:numPr>
          <w:ilvl w:val="0"/>
          <w:numId w:val="8"/>
        </w:numPr>
        <w:jc w:val="both"/>
        <w:rPr>
          <w:sz w:val="24"/>
          <w:szCs w:val="24"/>
        </w:rPr>
      </w:pPr>
      <w:r w:rsidRPr="00387D57">
        <w:rPr>
          <w:sz w:val="24"/>
          <w:szCs w:val="24"/>
        </w:rPr>
        <w:t xml:space="preserve">James R. Hitchner (2017), </w:t>
      </w:r>
      <w:r w:rsidRPr="002A1838">
        <w:rPr>
          <w:i/>
          <w:iCs/>
          <w:sz w:val="24"/>
          <w:szCs w:val="24"/>
        </w:rPr>
        <w:t>Financial Valuation Applications and Models</w:t>
      </w:r>
      <w:r w:rsidRPr="00387D57">
        <w:rPr>
          <w:sz w:val="24"/>
          <w:szCs w:val="24"/>
        </w:rPr>
        <w:t xml:space="preserve">, </w:t>
      </w:r>
      <w:r>
        <w:t>4</w:t>
      </w:r>
      <w:r w:rsidRPr="00387D57">
        <w:rPr>
          <w:vertAlign w:val="superscript"/>
        </w:rPr>
        <w:t>th</w:t>
      </w:r>
      <w:r>
        <w:t xml:space="preserve"> </w:t>
      </w:r>
      <w:proofErr w:type="spellStart"/>
      <w:r>
        <w:t>Edn</w:t>
      </w:r>
      <w:proofErr w:type="spellEnd"/>
      <w:r>
        <w:t xml:space="preserve">, </w:t>
      </w:r>
      <w:r w:rsidRPr="00387D57">
        <w:rPr>
          <w:sz w:val="24"/>
          <w:szCs w:val="24"/>
        </w:rPr>
        <w:t>New Jersey: John Wiley &amp; Sons, Inc. pp. 392-493.</w:t>
      </w:r>
    </w:p>
    <w:p w14:paraId="3E756FCE" w14:textId="77777777" w:rsidR="0040202D" w:rsidRDefault="0040202D" w:rsidP="008B1F7F">
      <w:pPr>
        <w:jc w:val="both"/>
        <w:rPr>
          <w:sz w:val="24"/>
          <w:szCs w:val="24"/>
        </w:rPr>
      </w:pPr>
    </w:p>
    <w:p w14:paraId="3A4EFD37" w14:textId="77777777" w:rsidR="0040202D" w:rsidRPr="00387D57" w:rsidRDefault="0040202D" w:rsidP="00387D57">
      <w:pPr>
        <w:pStyle w:val="ListParagraph"/>
        <w:ind w:left="1440"/>
        <w:jc w:val="both"/>
        <w:rPr>
          <w:sz w:val="24"/>
          <w:szCs w:val="24"/>
        </w:rPr>
      </w:pPr>
      <w:r w:rsidRPr="00387D57">
        <w:rPr>
          <w:sz w:val="24"/>
          <w:szCs w:val="24"/>
        </w:rPr>
        <w:t>It gives an overview of research that supports discounts for unmarketability and talks about what kinds of underlying income streams these discounts would apply to.</w:t>
      </w:r>
    </w:p>
    <w:p w14:paraId="0354F67C" w14:textId="77777777" w:rsidR="0040202D" w:rsidRDefault="0040202D" w:rsidP="008B1F7F">
      <w:pPr>
        <w:jc w:val="both"/>
        <w:rPr>
          <w:sz w:val="24"/>
          <w:szCs w:val="24"/>
        </w:rPr>
      </w:pPr>
    </w:p>
    <w:p w14:paraId="6D809BCE" w14:textId="401DFE38" w:rsidR="0040202D" w:rsidRPr="00387D57" w:rsidRDefault="0040202D" w:rsidP="00387D57">
      <w:pPr>
        <w:pStyle w:val="ListParagraph"/>
        <w:numPr>
          <w:ilvl w:val="0"/>
          <w:numId w:val="8"/>
        </w:numPr>
        <w:jc w:val="both"/>
        <w:rPr>
          <w:sz w:val="24"/>
          <w:szCs w:val="24"/>
        </w:rPr>
      </w:pPr>
      <w:r w:rsidRPr="00387D57">
        <w:rPr>
          <w:sz w:val="24"/>
          <w:szCs w:val="24"/>
        </w:rPr>
        <w:t>James R. Hitchner (2017)</w:t>
      </w:r>
      <w:r w:rsidR="002A1838">
        <w:rPr>
          <w:sz w:val="24"/>
          <w:szCs w:val="24"/>
        </w:rPr>
        <w:t>,</w:t>
      </w:r>
      <w:r w:rsidRPr="00387D57">
        <w:rPr>
          <w:sz w:val="24"/>
          <w:szCs w:val="24"/>
        </w:rPr>
        <w:t xml:space="preserve"> </w:t>
      </w:r>
      <w:r w:rsidRPr="002A1838">
        <w:rPr>
          <w:i/>
          <w:iCs/>
          <w:sz w:val="24"/>
          <w:szCs w:val="24"/>
        </w:rPr>
        <w:t>Financial Valuation Workbook</w:t>
      </w:r>
      <w:r w:rsidRPr="00387D57">
        <w:rPr>
          <w:sz w:val="24"/>
          <w:szCs w:val="24"/>
        </w:rPr>
        <w:t>,</w:t>
      </w:r>
      <w:r w:rsidRPr="00B53A34">
        <w:t xml:space="preserve"> </w:t>
      </w:r>
      <w:r>
        <w:t>4</w:t>
      </w:r>
      <w:r w:rsidRPr="00387D57">
        <w:rPr>
          <w:vertAlign w:val="superscript"/>
        </w:rPr>
        <w:t>th</w:t>
      </w:r>
      <w:r>
        <w:t xml:space="preserve"> </w:t>
      </w:r>
      <w:proofErr w:type="spellStart"/>
      <w:r>
        <w:t>Edn</w:t>
      </w:r>
      <w:proofErr w:type="spellEnd"/>
      <w:r>
        <w:t xml:space="preserve">, </w:t>
      </w:r>
      <w:r w:rsidRPr="00387D57">
        <w:rPr>
          <w:sz w:val="24"/>
          <w:szCs w:val="24"/>
        </w:rPr>
        <w:t>New Jersey: John Wiley &amp; Sons, Inc.</w:t>
      </w:r>
    </w:p>
    <w:p w14:paraId="79E626D8" w14:textId="77777777" w:rsidR="0040202D" w:rsidRDefault="0040202D" w:rsidP="008B1F7F">
      <w:pPr>
        <w:jc w:val="both"/>
        <w:rPr>
          <w:sz w:val="24"/>
          <w:szCs w:val="24"/>
        </w:rPr>
      </w:pPr>
    </w:p>
    <w:p w14:paraId="0D6D2ABA" w14:textId="77777777" w:rsidR="0040202D" w:rsidRPr="008B3DE8" w:rsidRDefault="0040202D" w:rsidP="00387D57">
      <w:pPr>
        <w:pStyle w:val="ListParagraph"/>
        <w:ind w:left="1440"/>
        <w:jc w:val="both"/>
        <w:rPr>
          <w:sz w:val="24"/>
          <w:szCs w:val="24"/>
        </w:rPr>
      </w:pPr>
      <w:r w:rsidRPr="00B53A34">
        <w:rPr>
          <w:sz w:val="24"/>
          <w:szCs w:val="24"/>
        </w:rPr>
        <w:t>This book includes valuation techniques that professionals can use to prepare business valuations and discount for lack of marketability, as well as educational exercises that walk the reader through a thorough business valuation.</w:t>
      </w:r>
    </w:p>
    <w:p w14:paraId="77B7BAA2" w14:textId="77777777" w:rsidR="0040202D" w:rsidRDefault="0040202D" w:rsidP="008B1F7F">
      <w:pPr>
        <w:jc w:val="both"/>
        <w:rPr>
          <w:sz w:val="24"/>
          <w:szCs w:val="24"/>
        </w:rPr>
      </w:pPr>
    </w:p>
    <w:p w14:paraId="5E7FBF94" w14:textId="4185ABD6" w:rsidR="0040202D" w:rsidRPr="00387D57" w:rsidRDefault="0040202D" w:rsidP="00387D57">
      <w:pPr>
        <w:pStyle w:val="ListParagraph"/>
        <w:numPr>
          <w:ilvl w:val="0"/>
          <w:numId w:val="8"/>
        </w:numPr>
        <w:jc w:val="both"/>
        <w:rPr>
          <w:sz w:val="24"/>
          <w:szCs w:val="24"/>
        </w:rPr>
      </w:pPr>
      <w:r w:rsidRPr="00387D57">
        <w:rPr>
          <w:sz w:val="24"/>
          <w:szCs w:val="24"/>
        </w:rPr>
        <w:t xml:space="preserve">Johan Van den </w:t>
      </w:r>
      <w:proofErr w:type="spellStart"/>
      <w:r w:rsidRPr="00387D57">
        <w:rPr>
          <w:sz w:val="24"/>
          <w:szCs w:val="24"/>
        </w:rPr>
        <w:t>Cruijce</w:t>
      </w:r>
      <w:proofErr w:type="spellEnd"/>
      <w:r w:rsidRPr="00387D57">
        <w:rPr>
          <w:sz w:val="24"/>
          <w:szCs w:val="24"/>
        </w:rPr>
        <w:t xml:space="preserve"> (2022)</w:t>
      </w:r>
      <w:r w:rsidR="002A1838">
        <w:rPr>
          <w:sz w:val="24"/>
          <w:szCs w:val="24"/>
        </w:rPr>
        <w:t>,</w:t>
      </w:r>
      <w:r w:rsidRPr="00387D57">
        <w:rPr>
          <w:sz w:val="24"/>
          <w:szCs w:val="24"/>
        </w:rPr>
        <w:t xml:space="preserve"> </w:t>
      </w:r>
      <w:r w:rsidRPr="002A1838">
        <w:rPr>
          <w:i/>
          <w:iCs/>
          <w:sz w:val="24"/>
          <w:szCs w:val="24"/>
        </w:rPr>
        <w:t>Determinants of the Discount for Lack of Marketability</w:t>
      </w:r>
      <w:r w:rsidRPr="00387D57">
        <w:rPr>
          <w:sz w:val="24"/>
          <w:szCs w:val="24"/>
        </w:rPr>
        <w:t xml:space="preserve">, </w:t>
      </w:r>
      <w:r w:rsidRPr="00387D57">
        <w:rPr>
          <w:i/>
          <w:iCs/>
          <w:sz w:val="24"/>
          <w:szCs w:val="24"/>
        </w:rPr>
        <w:t>The European Business Valuation Magazine</w:t>
      </w:r>
      <w:r w:rsidRPr="00387D57">
        <w:rPr>
          <w:sz w:val="24"/>
          <w:szCs w:val="24"/>
        </w:rPr>
        <w:t>, 1 (2), pp. 4-11</w:t>
      </w:r>
    </w:p>
    <w:p w14:paraId="65E56BCD" w14:textId="77777777" w:rsidR="0040202D" w:rsidRDefault="0040202D" w:rsidP="008B1F7F">
      <w:pPr>
        <w:jc w:val="both"/>
        <w:rPr>
          <w:b/>
          <w:bCs/>
          <w:sz w:val="24"/>
          <w:szCs w:val="24"/>
          <w:lang w:val="en-US"/>
        </w:rPr>
      </w:pPr>
    </w:p>
    <w:p w14:paraId="2D658BEA" w14:textId="77777777" w:rsidR="0040202D" w:rsidRPr="00387D57" w:rsidRDefault="0040202D" w:rsidP="00387D57">
      <w:pPr>
        <w:pStyle w:val="ListParagraph"/>
        <w:ind w:left="1440"/>
        <w:jc w:val="both"/>
        <w:rPr>
          <w:sz w:val="24"/>
          <w:szCs w:val="24"/>
        </w:rPr>
      </w:pPr>
      <w:r w:rsidRPr="00387D57">
        <w:rPr>
          <w:sz w:val="24"/>
          <w:szCs w:val="24"/>
        </w:rPr>
        <w:lastRenderedPageBreak/>
        <w:t>He provide evidence of factors that contribute to a more accurate approach and demonstrate how the industry practice of using average DLOMs to value any private company produces inaccurate results.</w:t>
      </w:r>
    </w:p>
    <w:p w14:paraId="2BB54DD3" w14:textId="77777777" w:rsidR="0040202D" w:rsidRPr="008B3DE8" w:rsidRDefault="0040202D" w:rsidP="008B1F7F">
      <w:pPr>
        <w:pStyle w:val="FootnoteText"/>
        <w:ind w:left="720"/>
        <w:jc w:val="both"/>
        <w:rPr>
          <w:rFonts w:ascii="Arial" w:hAnsi="Arial" w:cs="Arial"/>
          <w:sz w:val="24"/>
          <w:szCs w:val="24"/>
        </w:rPr>
      </w:pPr>
    </w:p>
    <w:p w14:paraId="65776BDF" w14:textId="72FD36EC" w:rsidR="0040202D" w:rsidRPr="00387D57" w:rsidRDefault="0040202D" w:rsidP="00387D57">
      <w:pPr>
        <w:pStyle w:val="ListParagraph"/>
        <w:numPr>
          <w:ilvl w:val="0"/>
          <w:numId w:val="8"/>
        </w:numPr>
        <w:jc w:val="both"/>
        <w:rPr>
          <w:sz w:val="24"/>
          <w:szCs w:val="24"/>
        </w:rPr>
      </w:pPr>
      <w:r w:rsidRPr="00387D57">
        <w:rPr>
          <w:sz w:val="24"/>
          <w:szCs w:val="24"/>
        </w:rPr>
        <w:t>Karen H. Wruck (1989)</w:t>
      </w:r>
      <w:r w:rsidR="002A1838">
        <w:rPr>
          <w:sz w:val="24"/>
          <w:szCs w:val="24"/>
        </w:rPr>
        <w:t>,</w:t>
      </w:r>
      <w:r w:rsidRPr="00387D57">
        <w:rPr>
          <w:sz w:val="24"/>
          <w:szCs w:val="24"/>
        </w:rPr>
        <w:t xml:space="preserve"> </w:t>
      </w:r>
      <w:r w:rsidRPr="002A1838">
        <w:rPr>
          <w:i/>
          <w:iCs/>
          <w:sz w:val="24"/>
          <w:szCs w:val="24"/>
        </w:rPr>
        <w:t>Equity Ownership Concentration and Firm Value</w:t>
      </w:r>
      <w:r w:rsidRPr="00387D57">
        <w:rPr>
          <w:sz w:val="24"/>
          <w:szCs w:val="24"/>
        </w:rPr>
        <w:t>, The Journal of Financial Economics, 23(1989), pp. 3–28.</w:t>
      </w:r>
    </w:p>
    <w:p w14:paraId="31722A25" w14:textId="77777777" w:rsidR="0040202D" w:rsidRPr="008B3DE8" w:rsidRDefault="0040202D" w:rsidP="008B1F7F">
      <w:pPr>
        <w:spacing w:line="280" w:lineRule="exact"/>
        <w:ind w:left="720"/>
        <w:jc w:val="both"/>
        <w:rPr>
          <w:sz w:val="24"/>
          <w:szCs w:val="24"/>
        </w:rPr>
      </w:pPr>
    </w:p>
    <w:p w14:paraId="03C7A902" w14:textId="77777777" w:rsidR="0040202D" w:rsidRPr="00387D57" w:rsidRDefault="0040202D" w:rsidP="00387D57">
      <w:pPr>
        <w:pStyle w:val="ListParagraph"/>
        <w:ind w:left="1440"/>
        <w:jc w:val="both"/>
        <w:rPr>
          <w:sz w:val="24"/>
          <w:szCs w:val="24"/>
        </w:rPr>
      </w:pPr>
      <w:proofErr w:type="spellStart"/>
      <w:r w:rsidRPr="00387D57">
        <w:rPr>
          <w:sz w:val="24"/>
          <w:szCs w:val="24"/>
        </w:rPr>
        <w:t>Dr.</w:t>
      </w:r>
      <w:proofErr w:type="spellEnd"/>
      <w:r w:rsidRPr="00387D57">
        <w:rPr>
          <w:sz w:val="24"/>
          <w:szCs w:val="24"/>
        </w:rPr>
        <w:t xml:space="preserve"> Wruck looked into the impact of ownership concentration on the value of the company as well as the reasons behind the typical anomalous return that comes from the news of a private equity sale as opposed to the negative</w:t>
      </w:r>
    </w:p>
    <w:p w14:paraId="1DAB63DB" w14:textId="77777777" w:rsidR="0040202D" w:rsidRPr="008B3DE8" w:rsidRDefault="0040202D" w:rsidP="008B1F7F">
      <w:pPr>
        <w:pStyle w:val="FootnoteText"/>
        <w:ind w:left="720"/>
        <w:jc w:val="both"/>
        <w:rPr>
          <w:rFonts w:ascii="Arial" w:hAnsi="Arial" w:cs="Arial"/>
          <w:sz w:val="24"/>
          <w:szCs w:val="24"/>
        </w:rPr>
      </w:pPr>
    </w:p>
    <w:p w14:paraId="53228FE4" w14:textId="5AEC2E7B" w:rsidR="0040202D" w:rsidRPr="00387D57" w:rsidRDefault="0040202D" w:rsidP="00387D57">
      <w:pPr>
        <w:pStyle w:val="ListParagraph"/>
        <w:numPr>
          <w:ilvl w:val="0"/>
          <w:numId w:val="8"/>
        </w:numPr>
        <w:jc w:val="both"/>
        <w:rPr>
          <w:rFonts w:eastAsia="Times New Roman"/>
          <w:sz w:val="24"/>
          <w:szCs w:val="24"/>
        </w:rPr>
      </w:pPr>
      <w:r w:rsidRPr="00387D57">
        <w:rPr>
          <w:sz w:val="24"/>
          <w:szCs w:val="24"/>
        </w:rPr>
        <w:t xml:space="preserve">Kathryn F. </w:t>
      </w:r>
      <w:proofErr w:type="spellStart"/>
      <w:r w:rsidRPr="00387D57">
        <w:rPr>
          <w:sz w:val="24"/>
          <w:szCs w:val="24"/>
        </w:rPr>
        <w:t>Aschwald</w:t>
      </w:r>
      <w:proofErr w:type="spellEnd"/>
      <w:r w:rsidRPr="00387D57">
        <w:rPr>
          <w:sz w:val="24"/>
          <w:szCs w:val="24"/>
        </w:rPr>
        <w:t xml:space="preserve"> (2000)</w:t>
      </w:r>
      <w:r w:rsidR="002A1838">
        <w:rPr>
          <w:sz w:val="24"/>
          <w:szCs w:val="24"/>
        </w:rPr>
        <w:t>,</w:t>
      </w:r>
      <w:r w:rsidRPr="00387D57">
        <w:rPr>
          <w:sz w:val="24"/>
          <w:szCs w:val="24"/>
        </w:rPr>
        <w:t xml:space="preserve"> </w:t>
      </w:r>
      <w:r w:rsidRPr="002A1838">
        <w:rPr>
          <w:i/>
          <w:iCs/>
          <w:sz w:val="24"/>
          <w:szCs w:val="24"/>
        </w:rPr>
        <w:t>Restricted Stock Discounts Decline as Result of 1-Year Holding Period – Studies After 1990 “No Longer Relevant” for Lack of Market ability Discounts</w:t>
      </w:r>
      <w:r w:rsidRPr="00387D57">
        <w:rPr>
          <w:sz w:val="24"/>
          <w:szCs w:val="24"/>
        </w:rPr>
        <w:t>, Shannon Pratt’s Business Valuation Update 6, no. 5 (May 2000), pp. 1-5.</w:t>
      </w:r>
      <w:r w:rsidRPr="00387D57">
        <w:rPr>
          <w:sz w:val="24"/>
          <w:szCs w:val="24"/>
        </w:rPr>
        <w:br/>
      </w:r>
    </w:p>
    <w:p w14:paraId="6FF6F4AB" w14:textId="77777777" w:rsidR="0040202D" w:rsidRPr="00387D57" w:rsidRDefault="0040202D" w:rsidP="00387D57">
      <w:pPr>
        <w:pStyle w:val="ListParagraph"/>
        <w:ind w:left="1440"/>
        <w:jc w:val="both"/>
        <w:rPr>
          <w:sz w:val="24"/>
          <w:szCs w:val="24"/>
        </w:rPr>
      </w:pPr>
      <w:r w:rsidRPr="00387D57">
        <w:rPr>
          <w:sz w:val="24"/>
          <w:szCs w:val="24"/>
        </w:rPr>
        <w:t>For the indicated periods, only private equity placements were analysed in the two studies. The value of the stock swapped in acquisitions is determined by the two studies using long restriction periods and economic variables unique to the Company.</w:t>
      </w:r>
    </w:p>
    <w:p w14:paraId="701531F7" w14:textId="77777777" w:rsidR="0040202D" w:rsidRDefault="0040202D" w:rsidP="008B1F7F">
      <w:pPr>
        <w:jc w:val="both"/>
        <w:rPr>
          <w:sz w:val="24"/>
          <w:szCs w:val="24"/>
        </w:rPr>
      </w:pPr>
    </w:p>
    <w:p w14:paraId="782AB5A8" w14:textId="6807730C" w:rsidR="0040202D" w:rsidRPr="00387D57" w:rsidRDefault="0040202D" w:rsidP="00387D57">
      <w:pPr>
        <w:pStyle w:val="ListParagraph"/>
        <w:numPr>
          <w:ilvl w:val="0"/>
          <w:numId w:val="8"/>
        </w:numPr>
        <w:jc w:val="both"/>
        <w:rPr>
          <w:sz w:val="24"/>
          <w:szCs w:val="24"/>
        </w:rPr>
      </w:pPr>
      <w:r w:rsidRPr="00387D57">
        <w:rPr>
          <w:sz w:val="24"/>
          <w:szCs w:val="24"/>
        </w:rPr>
        <w:t xml:space="preserve">Kim van </w:t>
      </w:r>
      <w:proofErr w:type="spellStart"/>
      <w:r w:rsidRPr="00387D57">
        <w:rPr>
          <w:sz w:val="24"/>
          <w:szCs w:val="24"/>
        </w:rPr>
        <w:t>Oeveren</w:t>
      </w:r>
      <w:proofErr w:type="spellEnd"/>
      <w:r w:rsidRPr="00387D57">
        <w:rPr>
          <w:sz w:val="24"/>
          <w:szCs w:val="24"/>
        </w:rPr>
        <w:t xml:space="preserve"> (2018)</w:t>
      </w:r>
      <w:r w:rsidR="002A1838">
        <w:rPr>
          <w:sz w:val="24"/>
          <w:szCs w:val="24"/>
        </w:rPr>
        <w:t>,</w:t>
      </w:r>
      <w:r w:rsidRPr="00387D57">
        <w:rPr>
          <w:sz w:val="24"/>
          <w:szCs w:val="24"/>
        </w:rPr>
        <w:t xml:space="preserve"> </w:t>
      </w:r>
      <w:r w:rsidRPr="002A1838">
        <w:rPr>
          <w:i/>
          <w:iCs/>
          <w:sz w:val="24"/>
          <w:szCs w:val="24"/>
        </w:rPr>
        <w:t>The Private Company Discount- An acquisition study on private firms within the US</w:t>
      </w:r>
      <w:r w:rsidRPr="00387D57">
        <w:rPr>
          <w:sz w:val="24"/>
          <w:szCs w:val="24"/>
        </w:rPr>
        <w:t>, Master Thesis, Tilburg University</w:t>
      </w:r>
    </w:p>
    <w:p w14:paraId="1987E1A6" w14:textId="77777777" w:rsidR="0040202D" w:rsidRPr="008B3DE8" w:rsidRDefault="0040202D" w:rsidP="008B1F7F">
      <w:pPr>
        <w:ind w:left="720"/>
        <w:jc w:val="both"/>
        <w:rPr>
          <w:sz w:val="24"/>
          <w:szCs w:val="24"/>
        </w:rPr>
      </w:pPr>
    </w:p>
    <w:p w14:paraId="0CE85B46" w14:textId="77777777" w:rsidR="0040202D" w:rsidRPr="00387D57" w:rsidRDefault="0040202D" w:rsidP="00387D57">
      <w:pPr>
        <w:pStyle w:val="ListParagraph"/>
        <w:ind w:left="1440"/>
        <w:jc w:val="both"/>
        <w:rPr>
          <w:sz w:val="24"/>
          <w:szCs w:val="24"/>
        </w:rPr>
      </w:pPr>
      <w:r w:rsidRPr="00387D57">
        <w:rPr>
          <w:sz w:val="24"/>
          <w:szCs w:val="24"/>
        </w:rPr>
        <w:t xml:space="preserve">The sample takes into account all domestic M&amp;A deals that were done in the US between 1985 and 2017. The SDC Platinum database is where the data came from. All completed deals up to 31/12/2017 are included. It only took into account deals that have disclosed value. </w:t>
      </w:r>
    </w:p>
    <w:p w14:paraId="49024839" w14:textId="77777777" w:rsidR="0040202D" w:rsidRDefault="0040202D" w:rsidP="008B1F7F">
      <w:pPr>
        <w:jc w:val="both"/>
        <w:rPr>
          <w:sz w:val="24"/>
          <w:szCs w:val="24"/>
        </w:rPr>
      </w:pPr>
    </w:p>
    <w:p w14:paraId="77998A98" w14:textId="2B1BE406" w:rsidR="0040202D" w:rsidRPr="00387D57" w:rsidRDefault="0040202D" w:rsidP="00387D57">
      <w:pPr>
        <w:pStyle w:val="ListParagraph"/>
        <w:numPr>
          <w:ilvl w:val="0"/>
          <w:numId w:val="8"/>
        </w:numPr>
        <w:jc w:val="both"/>
        <w:rPr>
          <w:sz w:val="24"/>
          <w:szCs w:val="24"/>
        </w:rPr>
      </w:pPr>
      <w:r w:rsidRPr="00387D57">
        <w:rPr>
          <w:sz w:val="24"/>
          <w:szCs w:val="24"/>
        </w:rPr>
        <w:t>Koeplin, J., Sarin, A., &amp; Shapiro, A. C. (2000)</w:t>
      </w:r>
      <w:r w:rsidR="002A1838">
        <w:rPr>
          <w:sz w:val="24"/>
          <w:szCs w:val="24"/>
        </w:rPr>
        <w:t>,</w:t>
      </w:r>
      <w:r w:rsidRPr="00387D57">
        <w:rPr>
          <w:sz w:val="24"/>
          <w:szCs w:val="24"/>
        </w:rPr>
        <w:t xml:space="preserve"> </w:t>
      </w:r>
      <w:r w:rsidRPr="002A1838">
        <w:rPr>
          <w:i/>
          <w:iCs/>
          <w:sz w:val="24"/>
          <w:szCs w:val="24"/>
        </w:rPr>
        <w:t>The Private Company Discount</w:t>
      </w:r>
      <w:r w:rsidRPr="00387D57">
        <w:rPr>
          <w:sz w:val="24"/>
          <w:szCs w:val="24"/>
        </w:rPr>
        <w:t>, The Journal of Applied Corporate Finance, 12(4)</w:t>
      </w:r>
    </w:p>
    <w:p w14:paraId="5866EBE4" w14:textId="77777777" w:rsidR="0040202D" w:rsidRPr="008B3DE8" w:rsidRDefault="0040202D" w:rsidP="008B1F7F">
      <w:pPr>
        <w:ind w:left="720"/>
        <w:jc w:val="both"/>
        <w:rPr>
          <w:sz w:val="24"/>
          <w:szCs w:val="24"/>
        </w:rPr>
      </w:pPr>
    </w:p>
    <w:p w14:paraId="7F7481A3" w14:textId="77777777" w:rsidR="0040202D" w:rsidRPr="00387D57" w:rsidRDefault="0040202D" w:rsidP="00387D57">
      <w:pPr>
        <w:pStyle w:val="ListParagraph"/>
        <w:ind w:left="1440"/>
        <w:jc w:val="both"/>
        <w:rPr>
          <w:sz w:val="24"/>
          <w:szCs w:val="24"/>
        </w:rPr>
      </w:pPr>
      <w:r w:rsidRPr="00387D57">
        <w:rPr>
          <w:sz w:val="24"/>
          <w:szCs w:val="24"/>
        </w:rPr>
        <w:lastRenderedPageBreak/>
        <w:t xml:space="preserve">It shows matching pairs of transactions for acquisitions made between 1984 and 1998. These are made by finding a public business transaction for every purchase made by a private company during that time frame. </w:t>
      </w:r>
    </w:p>
    <w:p w14:paraId="339E3510" w14:textId="77777777" w:rsidR="0040202D" w:rsidRPr="008B3DE8" w:rsidRDefault="0040202D" w:rsidP="008B1F7F">
      <w:pPr>
        <w:pStyle w:val="FootnoteText"/>
        <w:ind w:left="720"/>
        <w:jc w:val="both"/>
        <w:rPr>
          <w:rFonts w:ascii="Arial" w:hAnsi="Arial" w:cs="Arial"/>
          <w:sz w:val="24"/>
          <w:szCs w:val="24"/>
        </w:rPr>
      </w:pPr>
    </w:p>
    <w:p w14:paraId="5766818D" w14:textId="59132F9F" w:rsidR="0040202D" w:rsidRPr="00387D57" w:rsidRDefault="0040202D" w:rsidP="00387D57">
      <w:pPr>
        <w:pStyle w:val="ListParagraph"/>
        <w:numPr>
          <w:ilvl w:val="0"/>
          <w:numId w:val="8"/>
        </w:numPr>
        <w:jc w:val="both"/>
        <w:rPr>
          <w:sz w:val="24"/>
          <w:szCs w:val="24"/>
        </w:rPr>
      </w:pPr>
      <w:r w:rsidRPr="00387D57">
        <w:rPr>
          <w:sz w:val="24"/>
          <w:szCs w:val="24"/>
        </w:rPr>
        <w:t xml:space="preserve">Kooli, M., Kortas, M., &amp; </w:t>
      </w:r>
      <w:proofErr w:type="spellStart"/>
      <w:r w:rsidRPr="00387D57">
        <w:rPr>
          <w:sz w:val="24"/>
          <w:szCs w:val="24"/>
        </w:rPr>
        <w:t>L'Her</w:t>
      </w:r>
      <w:proofErr w:type="spellEnd"/>
      <w:r w:rsidRPr="00387D57">
        <w:rPr>
          <w:sz w:val="24"/>
          <w:szCs w:val="24"/>
        </w:rPr>
        <w:t>, J.-F. (2003)</w:t>
      </w:r>
      <w:r w:rsidR="002A1838">
        <w:rPr>
          <w:sz w:val="24"/>
          <w:szCs w:val="24"/>
        </w:rPr>
        <w:t>,</w:t>
      </w:r>
      <w:r w:rsidRPr="00387D57">
        <w:rPr>
          <w:sz w:val="24"/>
          <w:szCs w:val="24"/>
        </w:rPr>
        <w:t xml:space="preserve"> </w:t>
      </w:r>
      <w:r w:rsidRPr="002A1838">
        <w:rPr>
          <w:i/>
          <w:iCs/>
          <w:sz w:val="24"/>
          <w:szCs w:val="24"/>
        </w:rPr>
        <w:t>A New Examination of the Private Company Discount: The Acquisition Approach</w:t>
      </w:r>
      <w:r w:rsidRPr="00387D57">
        <w:rPr>
          <w:sz w:val="24"/>
          <w:szCs w:val="24"/>
        </w:rPr>
        <w:t>, The Journal of Private Equity</w:t>
      </w:r>
    </w:p>
    <w:p w14:paraId="1284D6CA" w14:textId="77777777" w:rsidR="0040202D" w:rsidRPr="008B3DE8" w:rsidRDefault="0040202D" w:rsidP="008B1F7F">
      <w:pPr>
        <w:pStyle w:val="FootnoteText"/>
        <w:ind w:left="720"/>
        <w:jc w:val="both"/>
        <w:rPr>
          <w:rFonts w:ascii="Arial" w:hAnsi="Arial" w:cs="Arial"/>
          <w:i/>
          <w:iCs/>
          <w:sz w:val="24"/>
          <w:szCs w:val="24"/>
        </w:rPr>
      </w:pPr>
    </w:p>
    <w:p w14:paraId="0D30D1B0" w14:textId="77777777" w:rsidR="0040202D" w:rsidRPr="00387D57" w:rsidRDefault="0040202D" w:rsidP="00387D57">
      <w:pPr>
        <w:pStyle w:val="ListParagraph"/>
        <w:ind w:left="1440"/>
        <w:jc w:val="both"/>
        <w:rPr>
          <w:sz w:val="24"/>
          <w:szCs w:val="24"/>
        </w:rPr>
      </w:pPr>
      <w:r w:rsidRPr="00387D57">
        <w:rPr>
          <w:sz w:val="24"/>
          <w:szCs w:val="24"/>
        </w:rPr>
        <w:t xml:space="preserve">A study conducted in 2003 by Kooli was based on a sample of 331 private firm transactions that occurred between 1995 and 2002 and were found through a search of the SDC and Done Deals databases. It's interesting that Kooli did not leave out financial firms. </w:t>
      </w:r>
    </w:p>
    <w:p w14:paraId="24E8F94C" w14:textId="77777777" w:rsidR="0040202D" w:rsidRDefault="0040202D" w:rsidP="008B1F7F">
      <w:pPr>
        <w:ind w:left="720"/>
        <w:jc w:val="both"/>
        <w:rPr>
          <w:sz w:val="24"/>
          <w:szCs w:val="24"/>
        </w:rPr>
      </w:pPr>
    </w:p>
    <w:p w14:paraId="4F77B93F" w14:textId="7AB48264" w:rsidR="00833A4E" w:rsidRPr="00833A4E" w:rsidRDefault="0040202D" w:rsidP="00833A4E">
      <w:pPr>
        <w:pStyle w:val="ListParagraph"/>
        <w:numPr>
          <w:ilvl w:val="0"/>
          <w:numId w:val="8"/>
        </w:numPr>
        <w:jc w:val="both"/>
        <w:rPr>
          <w:sz w:val="24"/>
          <w:szCs w:val="24"/>
        </w:rPr>
      </w:pPr>
      <w:r w:rsidRPr="00387D57">
        <w:rPr>
          <w:sz w:val="24"/>
          <w:szCs w:val="24"/>
        </w:rPr>
        <w:t>Leslie Rodríguez-Valencia</w:t>
      </w:r>
      <w:r w:rsidRPr="00387D57">
        <w:rPr>
          <w:rFonts w:hint="eastAsia"/>
          <w:sz w:val="24"/>
          <w:szCs w:val="24"/>
        </w:rPr>
        <w:t xml:space="preserve">, </w:t>
      </w:r>
      <w:r w:rsidRPr="00387D57">
        <w:rPr>
          <w:sz w:val="24"/>
          <w:szCs w:val="24"/>
        </w:rPr>
        <w:t>Prosper Lamothe-Fernández</w:t>
      </w:r>
      <w:r w:rsidRPr="00387D57">
        <w:rPr>
          <w:rFonts w:hint="eastAsia"/>
          <w:sz w:val="24"/>
          <w:szCs w:val="24"/>
        </w:rPr>
        <w:t xml:space="preserve">, and </w:t>
      </w:r>
      <w:r w:rsidRPr="00387D57">
        <w:rPr>
          <w:sz w:val="24"/>
          <w:szCs w:val="24"/>
        </w:rPr>
        <w:t>David Alaminos</w:t>
      </w:r>
      <w:r w:rsidRPr="00387D57">
        <w:rPr>
          <w:rFonts w:hint="eastAsia"/>
          <w:sz w:val="24"/>
          <w:szCs w:val="24"/>
        </w:rPr>
        <w:t xml:space="preserve"> (2023)</w:t>
      </w:r>
      <w:r w:rsidR="002A1838">
        <w:rPr>
          <w:sz w:val="24"/>
          <w:szCs w:val="24"/>
        </w:rPr>
        <w:t>,</w:t>
      </w:r>
      <w:r w:rsidRPr="00387D57">
        <w:rPr>
          <w:rFonts w:hint="eastAsia"/>
          <w:sz w:val="24"/>
          <w:szCs w:val="24"/>
        </w:rPr>
        <w:t xml:space="preserve"> </w:t>
      </w:r>
      <w:r w:rsidR="00833A4E" w:rsidRPr="002A1838">
        <w:rPr>
          <w:i/>
          <w:iCs/>
          <w:sz w:val="24"/>
          <w:szCs w:val="24"/>
        </w:rPr>
        <w:t>The market value of SMEs: a comparative study between private and listed firms in alternative stock markets</w:t>
      </w:r>
      <w:r w:rsidR="00833A4E" w:rsidRPr="00833A4E">
        <w:rPr>
          <w:sz w:val="24"/>
          <w:szCs w:val="24"/>
        </w:rPr>
        <w:t>, Annals of Finance, 2023, vol 19, issue 1, No. 4, pp.95-117</w:t>
      </w:r>
    </w:p>
    <w:p w14:paraId="4B08D67D" w14:textId="77777777" w:rsidR="0040202D" w:rsidRDefault="0040202D" w:rsidP="008B1F7F">
      <w:pPr>
        <w:jc w:val="both"/>
        <w:rPr>
          <w:sz w:val="24"/>
          <w:szCs w:val="24"/>
        </w:rPr>
      </w:pPr>
    </w:p>
    <w:p w14:paraId="2D194A69" w14:textId="77777777" w:rsidR="0040202D" w:rsidRPr="00387D57" w:rsidRDefault="0040202D" w:rsidP="00387D57">
      <w:pPr>
        <w:pStyle w:val="ListParagraph"/>
        <w:ind w:left="1440"/>
        <w:jc w:val="both"/>
        <w:rPr>
          <w:sz w:val="24"/>
          <w:szCs w:val="24"/>
        </w:rPr>
      </w:pPr>
      <w:r w:rsidRPr="00387D57">
        <w:rPr>
          <w:sz w:val="24"/>
          <w:szCs w:val="24"/>
        </w:rPr>
        <w:t xml:space="preserve">Through the use of a comparable multiples technique and a private discount approach that incorporates value estimates derived from discounted cash flow predictions, this study seeks to compare the market values of small and medium-sized enterprises (SMEs) that are publicly listed and those that are privately held in alternative stock exchanges. </w:t>
      </w:r>
    </w:p>
    <w:p w14:paraId="3E485F2F" w14:textId="77777777" w:rsidR="0040202D" w:rsidRDefault="0040202D" w:rsidP="008B1F7F">
      <w:pPr>
        <w:pStyle w:val="FootnoteText"/>
        <w:ind w:left="720"/>
        <w:jc w:val="both"/>
        <w:rPr>
          <w:rFonts w:ascii="Arial" w:hAnsi="Arial" w:cs="Arial"/>
          <w:sz w:val="24"/>
          <w:szCs w:val="24"/>
        </w:rPr>
      </w:pPr>
    </w:p>
    <w:p w14:paraId="5EA36093" w14:textId="5D5F99F8" w:rsidR="00833A4E" w:rsidRPr="00833A4E" w:rsidRDefault="00833A4E" w:rsidP="00833A4E">
      <w:pPr>
        <w:pStyle w:val="ListParagraph"/>
        <w:numPr>
          <w:ilvl w:val="0"/>
          <w:numId w:val="8"/>
        </w:numPr>
        <w:jc w:val="both"/>
        <w:rPr>
          <w:sz w:val="24"/>
          <w:szCs w:val="24"/>
        </w:rPr>
      </w:pPr>
      <w:r w:rsidRPr="00833A4E">
        <w:rPr>
          <w:sz w:val="24"/>
          <w:szCs w:val="24"/>
        </w:rPr>
        <w:t>Lucas Parris</w:t>
      </w:r>
      <w:r>
        <w:rPr>
          <w:sz w:val="24"/>
          <w:szCs w:val="24"/>
        </w:rPr>
        <w:t xml:space="preserve"> (2022), </w:t>
      </w:r>
      <w:r w:rsidRPr="002A1838">
        <w:rPr>
          <w:i/>
          <w:iCs/>
          <w:sz w:val="24"/>
          <w:szCs w:val="24"/>
        </w:rPr>
        <w:t>International Valuation Glossary – Business Valuation</w:t>
      </w:r>
      <w:r w:rsidRPr="00833A4E">
        <w:rPr>
          <w:sz w:val="24"/>
          <w:szCs w:val="24"/>
        </w:rPr>
        <w:t>, American Society of Appraisers.</w:t>
      </w:r>
    </w:p>
    <w:p w14:paraId="24428CC2" w14:textId="77777777" w:rsidR="00833A4E" w:rsidRDefault="00833A4E" w:rsidP="008B1F7F">
      <w:pPr>
        <w:pStyle w:val="FootnoteText"/>
        <w:ind w:left="720"/>
        <w:jc w:val="both"/>
        <w:rPr>
          <w:rFonts w:ascii="Arial" w:hAnsi="Arial" w:cs="Arial"/>
          <w:sz w:val="24"/>
          <w:szCs w:val="24"/>
        </w:rPr>
      </w:pPr>
    </w:p>
    <w:p w14:paraId="0866C648" w14:textId="281F4EA7" w:rsidR="00471B7D" w:rsidRDefault="00471B7D" w:rsidP="00471B7D">
      <w:pPr>
        <w:pStyle w:val="ListParagraph"/>
        <w:ind w:left="1440"/>
        <w:jc w:val="both"/>
        <w:rPr>
          <w:sz w:val="24"/>
          <w:szCs w:val="24"/>
        </w:rPr>
      </w:pPr>
      <w:r>
        <w:rPr>
          <w:sz w:val="24"/>
          <w:szCs w:val="24"/>
        </w:rPr>
        <w:t>T</w:t>
      </w:r>
      <w:r w:rsidRPr="00471B7D">
        <w:rPr>
          <w:sz w:val="24"/>
          <w:szCs w:val="24"/>
        </w:rPr>
        <w:t>he Glossary aims to provide a common understanding of technical terms used within</w:t>
      </w:r>
      <w:r>
        <w:rPr>
          <w:sz w:val="24"/>
          <w:szCs w:val="24"/>
        </w:rPr>
        <w:t xml:space="preserve"> </w:t>
      </w:r>
      <w:r w:rsidRPr="00471B7D">
        <w:rPr>
          <w:sz w:val="24"/>
          <w:szCs w:val="24"/>
        </w:rPr>
        <w:t>the various sub-practice areas of business valuation, and for those operating in different markets.</w:t>
      </w:r>
      <w:r>
        <w:rPr>
          <w:sz w:val="24"/>
          <w:szCs w:val="24"/>
        </w:rPr>
        <w:t xml:space="preserve"> </w:t>
      </w:r>
      <w:r w:rsidRPr="00471B7D">
        <w:rPr>
          <w:sz w:val="24"/>
          <w:szCs w:val="24"/>
        </w:rPr>
        <w:t>Users of valuation services are encouraged to familiarize themselves with the appropriate context,</w:t>
      </w:r>
      <w:r>
        <w:rPr>
          <w:sz w:val="24"/>
          <w:szCs w:val="24"/>
        </w:rPr>
        <w:t xml:space="preserve"> </w:t>
      </w:r>
      <w:r w:rsidRPr="00471B7D">
        <w:rPr>
          <w:sz w:val="24"/>
          <w:szCs w:val="24"/>
        </w:rPr>
        <w:t>as not all terms are applicable to every use.</w:t>
      </w:r>
    </w:p>
    <w:p w14:paraId="61CF1EA1" w14:textId="77777777" w:rsidR="00471B7D" w:rsidRPr="008B3DE8" w:rsidRDefault="00471B7D" w:rsidP="008B1F7F">
      <w:pPr>
        <w:pStyle w:val="FootnoteText"/>
        <w:ind w:left="720"/>
        <w:jc w:val="both"/>
        <w:rPr>
          <w:rFonts w:ascii="Arial" w:hAnsi="Arial" w:cs="Arial"/>
          <w:sz w:val="24"/>
          <w:szCs w:val="24"/>
        </w:rPr>
      </w:pPr>
    </w:p>
    <w:p w14:paraId="79785B06" w14:textId="12CA6C96" w:rsidR="0040202D" w:rsidRPr="00387D57" w:rsidRDefault="0040202D" w:rsidP="00387D57">
      <w:pPr>
        <w:pStyle w:val="ListParagraph"/>
        <w:numPr>
          <w:ilvl w:val="0"/>
          <w:numId w:val="8"/>
        </w:numPr>
        <w:jc w:val="both"/>
        <w:rPr>
          <w:sz w:val="24"/>
          <w:szCs w:val="24"/>
        </w:rPr>
      </w:pPr>
      <w:r w:rsidRPr="00387D57">
        <w:rPr>
          <w:sz w:val="24"/>
          <w:szCs w:val="24"/>
        </w:rPr>
        <w:lastRenderedPageBreak/>
        <w:t>Maher, J. Michael (1976)</w:t>
      </w:r>
      <w:r w:rsidR="002A1838">
        <w:rPr>
          <w:sz w:val="24"/>
          <w:szCs w:val="24"/>
        </w:rPr>
        <w:t>,</w:t>
      </w:r>
      <w:r w:rsidRPr="00387D57">
        <w:rPr>
          <w:sz w:val="24"/>
          <w:szCs w:val="24"/>
        </w:rPr>
        <w:t xml:space="preserve"> </w:t>
      </w:r>
      <w:r w:rsidRPr="002A1838">
        <w:rPr>
          <w:i/>
          <w:iCs/>
          <w:sz w:val="24"/>
          <w:szCs w:val="24"/>
        </w:rPr>
        <w:t>Discounts for Lack of Marketability for Closely Held Business Interests</w:t>
      </w:r>
      <w:r w:rsidRPr="00387D57">
        <w:rPr>
          <w:sz w:val="24"/>
          <w:szCs w:val="24"/>
        </w:rPr>
        <w:t>, Taxes – The Tax Magazine, pp. 562-571.</w:t>
      </w:r>
    </w:p>
    <w:p w14:paraId="1948E3ED" w14:textId="77777777" w:rsidR="0040202D" w:rsidRPr="008B3DE8" w:rsidRDefault="0040202D" w:rsidP="008B1F7F">
      <w:pPr>
        <w:pStyle w:val="FootnoteText"/>
        <w:ind w:left="720"/>
        <w:jc w:val="both"/>
        <w:rPr>
          <w:rFonts w:ascii="Arial" w:hAnsi="Arial" w:cs="Arial"/>
          <w:sz w:val="24"/>
          <w:szCs w:val="24"/>
        </w:rPr>
      </w:pPr>
    </w:p>
    <w:p w14:paraId="1C5CC08F" w14:textId="77777777" w:rsidR="0040202D" w:rsidRPr="00387D57" w:rsidRDefault="0040202D" w:rsidP="00387D57">
      <w:pPr>
        <w:pStyle w:val="ListParagraph"/>
        <w:ind w:left="1440"/>
        <w:jc w:val="both"/>
        <w:rPr>
          <w:sz w:val="24"/>
          <w:szCs w:val="24"/>
        </w:rPr>
      </w:pPr>
      <w:r w:rsidRPr="00387D57">
        <w:rPr>
          <w:sz w:val="24"/>
          <w:szCs w:val="24"/>
        </w:rPr>
        <w:t xml:space="preserve">It conducted a further well-researched analysis, which was published in Taxes, on the lack of marketability discounts for closely held business ownership interests. Maher's analytical approach was comparable to Moroney's in that it contrasted the market prices of limited equities with the prices paid for stocks that were not restricted. </w:t>
      </w:r>
    </w:p>
    <w:p w14:paraId="2D53F00A" w14:textId="77777777" w:rsidR="0040202D" w:rsidRDefault="0040202D" w:rsidP="008B1F7F">
      <w:pPr>
        <w:jc w:val="both"/>
        <w:rPr>
          <w:sz w:val="24"/>
          <w:szCs w:val="24"/>
        </w:rPr>
      </w:pPr>
    </w:p>
    <w:p w14:paraId="082C6B0E" w14:textId="5F396B90" w:rsidR="0040202D" w:rsidRPr="00387D57" w:rsidRDefault="0040202D" w:rsidP="00387D57">
      <w:pPr>
        <w:pStyle w:val="ListParagraph"/>
        <w:numPr>
          <w:ilvl w:val="0"/>
          <w:numId w:val="8"/>
        </w:numPr>
        <w:jc w:val="both"/>
        <w:rPr>
          <w:sz w:val="24"/>
          <w:szCs w:val="24"/>
        </w:rPr>
      </w:pPr>
      <w:r w:rsidRPr="00387D57">
        <w:rPr>
          <w:sz w:val="24"/>
          <w:szCs w:val="24"/>
        </w:rPr>
        <w:t>Mercer (2020)</w:t>
      </w:r>
      <w:r w:rsidR="002A1838">
        <w:rPr>
          <w:sz w:val="24"/>
          <w:szCs w:val="24"/>
        </w:rPr>
        <w:t>,</w:t>
      </w:r>
      <w:r w:rsidRPr="00387D57">
        <w:rPr>
          <w:sz w:val="24"/>
          <w:szCs w:val="24"/>
        </w:rPr>
        <w:t xml:space="preserve"> </w:t>
      </w:r>
      <w:r w:rsidRPr="00387D57">
        <w:rPr>
          <w:i/>
          <w:iCs/>
          <w:sz w:val="24"/>
          <w:szCs w:val="24"/>
        </w:rPr>
        <w:t>Business Valuation: An Integrated Theory</w:t>
      </w:r>
      <w:r w:rsidRPr="00387D57">
        <w:rPr>
          <w:sz w:val="24"/>
          <w:szCs w:val="24"/>
        </w:rPr>
        <w:t xml:space="preserve">, 3rd </w:t>
      </w:r>
      <w:proofErr w:type="spellStart"/>
      <w:r w:rsidRPr="00387D57">
        <w:rPr>
          <w:sz w:val="24"/>
          <w:szCs w:val="24"/>
        </w:rPr>
        <w:t>edn</w:t>
      </w:r>
      <w:proofErr w:type="spellEnd"/>
      <w:r w:rsidRPr="00387D57">
        <w:rPr>
          <w:sz w:val="24"/>
          <w:szCs w:val="24"/>
        </w:rPr>
        <w:t>, New Jersey: John Wiley &amp; Sons, Inc. pp. 175-176</w:t>
      </w:r>
    </w:p>
    <w:p w14:paraId="2B13AD23" w14:textId="77777777" w:rsidR="0040202D" w:rsidRPr="008B3DE8" w:rsidRDefault="0040202D" w:rsidP="008B1F7F">
      <w:pPr>
        <w:ind w:left="720"/>
        <w:jc w:val="both"/>
        <w:rPr>
          <w:sz w:val="24"/>
          <w:szCs w:val="24"/>
        </w:rPr>
      </w:pPr>
    </w:p>
    <w:p w14:paraId="2CE5E245" w14:textId="77777777" w:rsidR="0040202D" w:rsidRPr="00387D57" w:rsidRDefault="0040202D" w:rsidP="00387D57">
      <w:pPr>
        <w:pStyle w:val="ListParagraph"/>
        <w:ind w:left="1440"/>
        <w:jc w:val="both"/>
        <w:rPr>
          <w:sz w:val="24"/>
          <w:szCs w:val="24"/>
        </w:rPr>
      </w:pPr>
      <w:r w:rsidRPr="00387D57">
        <w:rPr>
          <w:sz w:val="24"/>
          <w:szCs w:val="24"/>
        </w:rPr>
        <w:t>Mercer’s QMDM is a shareholder-level cash flow model. All the discounted cash flow inputs in QMDM, however, are customized to take into account the interests of private company owners, such as the long-term growth rate, discount rate, and distribution of dividends.</w:t>
      </w:r>
    </w:p>
    <w:p w14:paraId="0A2640A5" w14:textId="77777777" w:rsidR="0040202D" w:rsidRDefault="0040202D" w:rsidP="008B1F7F">
      <w:pPr>
        <w:jc w:val="both"/>
        <w:rPr>
          <w:sz w:val="24"/>
          <w:szCs w:val="24"/>
        </w:rPr>
      </w:pPr>
    </w:p>
    <w:p w14:paraId="788AA9AB" w14:textId="01628E5F" w:rsidR="0040202D" w:rsidRPr="00387D57" w:rsidRDefault="0040202D" w:rsidP="00387D57">
      <w:pPr>
        <w:pStyle w:val="ListParagraph"/>
        <w:numPr>
          <w:ilvl w:val="0"/>
          <w:numId w:val="8"/>
        </w:numPr>
        <w:jc w:val="both"/>
        <w:rPr>
          <w:sz w:val="24"/>
          <w:szCs w:val="24"/>
        </w:rPr>
      </w:pPr>
      <w:r w:rsidRPr="00387D57">
        <w:rPr>
          <w:sz w:val="24"/>
          <w:szCs w:val="24"/>
        </w:rPr>
        <w:t>Michael Gregory</w:t>
      </w:r>
      <w:r w:rsidRPr="00387D57">
        <w:rPr>
          <w:rFonts w:hint="eastAsia"/>
          <w:sz w:val="24"/>
          <w:szCs w:val="24"/>
        </w:rPr>
        <w:t xml:space="preserve"> (2024)</w:t>
      </w:r>
      <w:r w:rsidR="008F05A4">
        <w:rPr>
          <w:sz w:val="24"/>
          <w:szCs w:val="24"/>
        </w:rPr>
        <w:t>,</w:t>
      </w:r>
      <w:r w:rsidRPr="00387D57">
        <w:rPr>
          <w:sz w:val="24"/>
          <w:szCs w:val="24"/>
        </w:rPr>
        <w:t xml:space="preserve"> </w:t>
      </w:r>
      <w:r w:rsidRPr="008F05A4">
        <w:rPr>
          <w:i/>
          <w:iCs/>
          <w:sz w:val="24"/>
          <w:szCs w:val="24"/>
        </w:rPr>
        <w:t>Gregory Reveals What’s Going on With</w:t>
      </w:r>
      <w:r w:rsidRPr="008F05A4">
        <w:rPr>
          <w:rFonts w:hint="eastAsia"/>
          <w:i/>
          <w:iCs/>
          <w:sz w:val="24"/>
          <w:szCs w:val="24"/>
        </w:rPr>
        <w:t xml:space="preserve"> </w:t>
      </w:r>
      <w:r w:rsidRPr="008F05A4">
        <w:rPr>
          <w:i/>
          <w:iCs/>
          <w:sz w:val="24"/>
          <w:szCs w:val="24"/>
        </w:rPr>
        <w:t>the IRS and Tax Valuations</w:t>
      </w:r>
      <w:r w:rsidRPr="008F05A4">
        <w:rPr>
          <w:rFonts w:hint="eastAsia"/>
          <w:b/>
          <w:bCs/>
          <w:i/>
          <w:iCs/>
          <w:sz w:val="24"/>
          <w:szCs w:val="24"/>
        </w:rPr>
        <w:t>,</w:t>
      </w:r>
      <w:r w:rsidRPr="008F05A4">
        <w:rPr>
          <w:i/>
          <w:iCs/>
          <w:sz w:val="24"/>
          <w:szCs w:val="24"/>
        </w:rPr>
        <w:t xml:space="preserve"> </w:t>
      </w:r>
      <w:r w:rsidRPr="008F05A4">
        <w:rPr>
          <w:rFonts w:hint="eastAsia"/>
          <w:i/>
          <w:iCs/>
          <w:sz w:val="24"/>
          <w:szCs w:val="24"/>
        </w:rPr>
        <w:t xml:space="preserve"> </w:t>
      </w:r>
      <w:r w:rsidRPr="008F05A4">
        <w:rPr>
          <w:i/>
          <w:iCs/>
          <w:sz w:val="24"/>
          <w:szCs w:val="24"/>
        </w:rPr>
        <w:t>Business Valuation Update</w:t>
      </w:r>
      <w:r w:rsidRPr="00387D57">
        <w:rPr>
          <w:sz w:val="24"/>
          <w:szCs w:val="24"/>
        </w:rPr>
        <w:t xml:space="preserve">, </w:t>
      </w:r>
      <w:r w:rsidRPr="00387D57">
        <w:rPr>
          <w:rFonts w:hint="eastAsia"/>
          <w:sz w:val="24"/>
          <w:szCs w:val="24"/>
        </w:rPr>
        <w:t>B</w:t>
      </w:r>
      <w:r w:rsidRPr="00387D57">
        <w:rPr>
          <w:sz w:val="24"/>
          <w:szCs w:val="24"/>
        </w:rPr>
        <w:t>usiness Valuation Resources,</w:t>
      </w:r>
      <w:r w:rsidRPr="00387D57">
        <w:rPr>
          <w:rFonts w:hint="eastAsia"/>
          <w:sz w:val="24"/>
          <w:szCs w:val="24"/>
        </w:rPr>
        <w:t xml:space="preserve"> </w:t>
      </w:r>
      <w:r w:rsidRPr="00387D57">
        <w:rPr>
          <w:sz w:val="24"/>
          <w:szCs w:val="24"/>
        </w:rPr>
        <w:t>LLC</w:t>
      </w:r>
      <w:r w:rsidRPr="00387D57">
        <w:rPr>
          <w:rFonts w:hint="eastAsia"/>
          <w:sz w:val="24"/>
          <w:szCs w:val="24"/>
        </w:rPr>
        <w:t>, August 2024</w:t>
      </w:r>
    </w:p>
    <w:p w14:paraId="7A9BFA02" w14:textId="77777777" w:rsidR="0040202D" w:rsidRDefault="0040202D" w:rsidP="008B1F7F">
      <w:pPr>
        <w:jc w:val="both"/>
        <w:rPr>
          <w:sz w:val="24"/>
          <w:szCs w:val="24"/>
        </w:rPr>
      </w:pPr>
    </w:p>
    <w:p w14:paraId="4CD3065A" w14:textId="5582C5EF" w:rsidR="0040202D" w:rsidRPr="00387D57" w:rsidRDefault="0040202D" w:rsidP="00387D57">
      <w:pPr>
        <w:pStyle w:val="ListParagraph"/>
        <w:ind w:left="1440"/>
        <w:jc w:val="both"/>
        <w:rPr>
          <w:sz w:val="24"/>
          <w:szCs w:val="24"/>
        </w:rPr>
      </w:pPr>
      <w:r w:rsidRPr="00387D57">
        <w:rPr>
          <w:sz w:val="24"/>
          <w:szCs w:val="24"/>
        </w:rPr>
        <w:t xml:space="preserve">Gregory provided a helpful chart about debt liability management (DLOM) that illustrates appropriate DLOM approaches for different kinds of organizations and circumstances, as per the IRS's input. </w:t>
      </w:r>
    </w:p>
    <w:p w14:paraId="56A78CA0" w14:textId="77777777" w:rsidR="0040202D" w:rsidRPr="008B3DE8" w:rsidRDefault="0040202D" w:rsidP="008B1F7F">
      <w:pPr>
        <w:spacing w:line="280" w:lineRule="exact"/>
        <w:ind w:left="720"/>
        <w:jc w:val="both"/>
        <w:rPr>
          <w:sz w:val="24"/>
          <w:szCs w:val="24"/>
        </w:rPr>
      </w:pPr>
    </w:p>
    <w:p w14:paraId="74CABF79" w14:textId="4E535DAB" w:rsidR="0040202D" w:rsidRPr="00387D57" w:rsidRDefault="0040202D" w:rsidP="00387D57">
      <w:pPr>
        <w:pStyle w:val="ListParagraph"/>
        <w:numPr>
          <w:ilvl w:val="0"/>
          <w:numId w:val="8"/>
        </w:numPr>
        <w:jc w:val="both"/>
        <w:rPr>
          <w:sz w:val="24"/>
          <w:szCs w:val="24"/>
        </w:rPr>
      </w:pPr>
      <w:r w:rsidRPr="00387D57">
        <w:rPr>
          <w:sz w:val="24"/>
          <w:szCs w:val="24"/>
        </w:rPr>
        <w:t>Michael J. Barclay, Clifford G. Holderness, and Dennis P. Sheehan (2007)</w:t>
      </w:r>
      <w:r w:rsidR="008F05A4">
        <w:rPr>
          <w:sz w:val="24"/>
          <w:szCs w:val="24"/>
        </w:rPr>
        <w:t>,</w:t>
      </w:r>
      <w:r w:rsidRPr="00387D57">
        <w:rPr>
          <w:sz w:val="24"/>
          <w:szCs w:val="24"/>
        </w:rPr>
        <w:t xml:space="preserve"> </w:t>
      </w:r>
      <w:r w:rsidRPr="008F05A4">
        <w:rPr>
          <w:i/>
          <w:iCs/>
          <w:sz w:val="24"/>
          <w:szCs w:val="24"/>
        </w:rPr>
        <w:t>Private Placements and Managerial Entrenchment</w:t>
      </w:r>
      <w:r w:rsidRPr="00387D57">
        <w:rPr>
          <w:sz w:val="24"/>
          <w:szCs w:val="24"/>
        </w:rPr>
        <w:t>, The Journal of Corporate Finance, 13 (2007), pp. 461–484.</w:t>
      </w:r>
    </w:p>
    <w:p w14:paraId="21206DA2" w14:textId="77777777" w:rsidR="0040202D" w:rsidRPr="008B3DE8" w:rsidRDefault="0040202D" w:rsidP="008B1F7F">
      <w:pPr>
        <w:spacing w:line="280" w:lineRule="exact"/>
        <w:ind w:left="720"/>
        <w:jc w:val="both"/>
        <w:rPr>
          <w:sz w:val="24"/>
          <w:szCs w:val="24"/>
        </w:rPr>
      </w:pPr>
    </w:p>
    <w:p w14:paraId="741AB03F" w14:textId="77777777" w:rsidR="0040202D" w:rsidRPr="00387D57" w:rsidRDefault="0040202D" w:rsidP="00387D57">
      <w:pPr>
        <w:pStyle w:val="ListParagraph"/>
        <w:ind w:left="1440"/>
        <w:jc w:val="both"/>
        <w:rPr>
          <w:sz w:val="24"/>
          <w:szCs w:val="24"/>
        </w:rPr>
      </w:pPr>
      <w:r w:rsidRPr="00387D57">
        <w:rPr>
          <w:sz w:val="24"/>
          <w:szCs w:val="24"/>
        </w:rPr>
        <w:t xml:space="preserve">To find out why purchasers and sellers of private placements of stock do such, Barclay et al. conducted an extensive study on private placements of large-percentage blocks of stock. From 1979 to 1997, a sample of 594 private placement deals were found by searching the Dow Jones News Service database. </w:t>
      </w:r>
    </w:p>
    <w:p w14:paraId="3EE85D45" w14:textId="77777777" w:rsidR="0040202D" w:rsidRPr="008B3DE8" w:rsidRDefault="0040202D" w:rsidP="008B1F7F">
      <w:pPr>
        <w:pStyle w:val="FootnoteText"/>
        <w:jc w:val="both"/>
        <w:rPr>
          <w:rFonts w:ascii="Arial" w:hAnsi="Arial" w:cs="Arial"/>
          <w:sz w:val="24"/>
          <w:szCs w:val="24"/>
        </w:rPr>
      </w:pPr>
    </w:p>
    <w:p w14:paraId="734EE79F" w14:textId="5535531F" w:rsidR="0040202D" w:rsidRPr="00387D57" w:rsidRDefault="0040202D" w:rsidP="00387D57">
      <w:pPr>
        <w:pStyle w:val="ListParagraph"/>
        <w:numPr>
          <w:ilvl w:val="0"/>
          <w:numId w:val="8"/>
        </w:numPr>
        <w:jc w:val="both"/>
        <w:rPr>
          <w:sz w:val="24"/>
          <w:szCs w:val="24"/>
        </w:rPr>
      </w:pPr>
      <w:r w:rsidRPr="00387D57">
        <w:rPr>
          <w:sz w:val="24"/>
          <w:szCs w:val="24"/>
        </w:rPr>
        <w:t>Moroney, Robert E. (1973)</w:t>
      </w:r>
      <w:r w:rsidR="008F05A4">
        <w:rPr>
          <w:sz w:val="24"/>
          <w:szCs w:val="24"/>
        </w:rPr>
        <w:t>,</w:t>
      </w:r>
      <w:r w:rsidRPr="00387D57">
        <w:rPr>
          <w:sz w:val="24"/>
          <w:szCs w:val="24"/>
        </w:rPr>
        <w:t xml:space="preserve"> </w:t>
      </w:r>
      <w:r w:rsidRPr="008F05A4">
        <w:rPr>
          <w:i/>
          <w:iCs/>
          <w:sz w:val="24"/>
          <w:szCs w:val="24"/>
        </w:rPr>
        <w:t>Most Courts Overvalue Closely Held Stocks,</w:t>
      </w:r>
      <w:r w:rsidRPr="00387D57">
        <w:rPr>
          <w:sz w:val="24"/>
          <w:szCs w:val="24"/>
        </w:rPr>
        <w:t> Taxes</w:t>
      </w:r>
      <w:r w:rsidR="008F05A4">
        <w:rPr>
          <w:sz w:val="24"/>
          <w:szCs w:val="24"/>
        </w:rPr>
        <w:t xml:space="preserve">: </w:t>
      </w:r>
      <w:r w:rsidRPr="00387D57">
        <w:rPr>
          <w:sz w:val="24"/>
          <w:szCs w:val="24"/>
        </w:rPr>
        <w:t>The Tax Magazine, pp. 144-155.</w:t>
      </w:r>
    </w:p>
    <w:p w14:paraId="3518AA82" w14:textId="77777777" w:rsidR="0040202D" w:rsidRPr="008B3DE8" w:rsidRDefault="0040202D" w:rsidP="008B1F7F">
      <w:pPr>
        <w:pStyle w:val="FootnoteText"/>
        <w:ind w:left="720"/>
        <w:jc w:val="both"/>
        <w:rPr>
          <w:rFonts w:ascii="Arial" w:hAnsi="Arial" w:cs="Arial"/>
          <w:sz w:val="24"/>
          <w:szCs w:val="24"/>
        </w:rPr>
      </w:pPr>
    </w:p>
    <w:p w14:paraId="0E521EDD" w14:textId="77777777" w:rsidR="0040202D" w:rsidRPr="00387D57" w:rsidRDefault="0040202D" w:rsidP="00387D57">
      <w:pPr>
        <w:pStyle w:val="ListParagraph"/>
        <w:ind w:left="1440"/>
        <w:jc w:val="both"/>
        <w:rPr>
          <w:sz w:val="24"/>
          <w:szCs w:val="24"/>
        </w:rPr>
      </w:pPr>
      <w:r w:rsidRPr="00387D57">
        <w:rPr>
          <w:sz w:val="24"/>
          <w:szCs w:val="24"/>
        </w:rPr>
        <w:t xml:space="preserve">Moroney analysis the price of 146 acquisitions of restricted stock by 10 investment companies. Moroney compares the evidence of the real cash deals with the lower average price reductions determined by most previous court rulings on gift and estate tax issues due to lack of marketability. </w:t>
      </w:r>
    </w:p>
    <w:p w14:paraId="069A3ADB" w14:textId="77777777" w:rsidR="0040202D" w:rsidRDefault="0040202D" w:rsidP="008B1F7F">
      <w:pPr>
        <w:jc w:val="both"/>
        <w:rPr>
          <w:sz w:val="24"/>
          <w:szCs w:val="24"/>
        </w:rPr>
      </w:pPr>
    </w:p>
    <w:p w14:paraId="65D08C18" w14:textId="42C38F47" w:rsidR="0040202D" w:rsidRPr="00387D57" w:rsidRDefault="0040202D" w:rsidP="00387D57">
      <w:pPr>
        <w:pStyle w:val="ListParagraph"/>
        <w:numPr>
          <w:ilvl w:val="0"/>
          <w:numId w:val="8"/>
        </w:numPr>
        <w:jc w:val="both"/>
        <w:rPr>
          <w:sz w:val="24"/>
          <w:szCs w:val="24"/>
        </w:rPr>
      </w:pPr>
      <w:r w:rsidRPr="00387D57">
        <w:rPr>
          <w:sz w:val="24"/>
          <w:szCs w:val="24"/>
        </w:rPr>
        <w:t>Mukesh Bajaj, Stephen P. Ferris, David J. Denis, and Atulya Sarin (2001)</w:t>
      </w:r>
      <w:r w:rsidR="008F05A4">
        <w:rPr>
          <w:sz w:val="24"/>
          <w:szCs w:val="24"/>
        </w:rPr>
        <w:t>,</w:t>
      </w:r>
      <w:r w:rsidRPr="00387D57">
        <w:rPr>
          <w:sz w:val="24"/>
          <w:szCs w:val="24"/>
        </w:rPr>
        <w:t xml:space="preserve"> </w:t>
      </w:r>
      <w:r w:rsidRPr="008F05A4">
        <w:rPr>
          <w:i/>
          <w:iCs/>
          <w:sz w:val="24"/>
          <w:szCs w:val="24"/>
        </w:rPr>
        <w:t>Firm Value and Marketability Discounts</w:t>
      </w:r>
      <w:r w:rsidRPr="00387D57">
        <w:rPr>
          <w:sz w:val="24"/>
          <w:szCs w:val="24"/>
        </w:rPr>
        <w:t xml:space="preserve">, The Journal of Corporation Law </w:t>
      </w:r>
    </w:p>
    <w:p w14:paraId="0C9B58D4" w14:textId="77777777" w:rsidR="0040202D" w:rsidRPr="008B3DE8" w:rsidRDefault="0040202D" w:rsidP="008B1F7F">
      <w:pPr>
        <w:spacing w:line="280" w:lineRule="exact"/>
        <w:ind w:left="720"/>
        <w:jc w:val="both"/>
        <w:rPr>
          <w:sz w:val="24"/>
          <w:szCs w:val="24"/>
        </w:rPr>
      </w:pPr>
    </w:p>
    <w:p w14:paraId="3EAB63E7" w14:textId="77777777" w:rsidR="0040202D" w:rsidRPr="00387D57" w:rsidRDefault="0040202D" w:rsidP="00387D57">
      <w:pPr>
        <w:pStyle w:val="ListParagraph"/>
        <w:ind w:left="1440"/>
        <w:jc w:val="both"/>
        <w:rPr>
          <w:sz w:val="24"/>
          <w:szCs w:val="24"/>
        </w:rPr>
      </w:pPr>
      <w:r w:rsidRPr="00387D57">
        <w:rPr>
          <w:sz w:val="24"/>
          <w:szCs w:val="24"/>
        </w:rPr>
        <w:t xml:space="preserve">Bajaj located every private placement that was finished between January 1, 1990, and December 31, 1995, and that was recorded in Securities Data Corporation's electronic database. Information from the Dow Jones News Retrieval Service was compared to the data. </w:t>
      </w:r>
    </w:p>
    <w:p w14:paraId="5024792C" w14:textId="77777777" w:rsidR="0040202D" w:rsidRPr="008B3DE8" w:rsidRDefault="0040202D" w:rsidP="008B1F7F">
      <w:pPr>
        <w:pStyle w:val="FootnoteText"/>
        <w:ind w:left="720"/>
        <w:jc w:val="both"/>
        <w:rPr>
          <w:rFonts w:ascii="Arial" w:hAnsi="Arial" w:cs="Arial"/>
          <w:sz w:val="24"/>
          <w:szCs w:val="24"/>
        </w:rPr>
      </w:pPr>
    </w:p>
    <w:p w14:paraId="2249682D" w14:textId="0DEDE166" w:rsidR="0040202D" w:rsidRPr="00387D57" w:rsidRDefault="0040202D" w:rsidP="00387D57">
      <w:pPr>
        <w:pStyle w:val="ListParagraph"/>
        <w:numPr>
          <w:ilvl w:val="0"/>
          <w:numId w:val="8"/>
        </w:numPr>
        <w:jc w:val="both"/>
        <w:rPr>
          <w:sz w:val="24"/>
          <w:szCs w:val="24"/>
        </w:rPr>
      </w:pPr>
      <w:r w:rsidRPr="00387D57">
        <w:rPr>
          <w:sz w:val="24"/>
          <w:szCs w:val="24"/>
        </w:rPr>
        <w:t>Officer, M. S. (2006)</w:t>
      </w:r>
      <w:r w:rsidR="008F05A4">
        <w:rPr>
          <w:sz w:val="24"/>
          <w:szCs w:val="24"/>
        </w:rPr>
        <w:t>,</w:t>
      </w:r>
      <w:r w:rsidRPr="00387D57">
        <w:rPr>
          <w:sz w:val="24"/>
          <w:szCs w:val="24"/>
        </w:rPr>
        <w:t xml:space="preserve"> </w:t>
      </w:r>
      <w:r w:rsidRPr="008F05A4">
        <w:rPr>
          <w:i/>
          <w:iCs/>
          <w:sz w:val="24"/>
          <w:szCs w:val="24"/>
        </w:rPr>
        <w:t>The price of corporate liquidity: Acquisition discounts for unlisted targets</w:t>
      </w:r>
      <w:r w:rsidRPr="00387D57">
        <w:rPr>
          <w:sz w:val="24"/>
          <w:szCs w:val="24"/>
        </w:rPr>
        <w:t>, The Journal of Financial Economics, pp. 571-598.</w:t>
      </w:r>
    </w:p>
    <w:p w14:paraId="752E3BFE" w14:textId="77777777" w:rsidR="0040202D" w:rsidRPr="008B3DE8" w:rsidRDefault="0040202D" w:rsidP="008B1F7F">
      <w:pPr>
        <w:pStyle w:val="FootnoteText"/>
        <w:ind w:left="720"/>
        <w:jc w:val="both"/>
        <w:rPr>
          <w:rFonts w:ascii="Arial" w:hAnsi="Arial" w:cs="Arial"/>
          <w:sz w:val="24"/>
          <w:szCs w:val="24"/>
        </w:rPr>
      </w:pPr>
    </w:p>
    <w:p w14:paraId="09C08194" w14:textId="77777777" w:rsidR="0040202D" w:rsidRPr="00387D57" w:rsidRDefault="0040202D" w:rsidP="00387D57">
      <w:pPr>
        <w:pStyle w:val="ListParagraph"/>
        <w:ind w:left="1440"/>
        <w:jc w:val="both"/>
        <w:rPr>
          <w:sz w:val="24"/>
          <w:szCs w:val="24"/>
        </w:rPr>
      </w:pPr>
      <w:r w:rsidRPr="00387D57">
        <w:rPr>
          <w:sz w:val="24"/>
          <w:szCs w:val="24"/>
        </w:rPr>
        <w:t xml:space="preserve">Officer compared "acquisition multiples for unlisted targets to acquisition multiples for portfolios of comparable (industry- and size-matched) publicly-traded targets" in a study that employed a methodology akin to that of Koeplin and Kooli. </w:t>
      </w:r>
    </w:p>
    <w:p w14:paraId="29D22A79" w14:textId="77777777" w:rsidR="0040202D" w:rsidRPr="008B3DE8" w:rsidRDefault="0040202D" w:rsidP="008B1F7F">
      <w:pPr>
        <w:pStyle w:val="FootnoteText"/>
        <w:ind w:left="720"/>
        <w:jc w:val="both"/>
        <w:rPr>
          <w:rFonts w:ascii="Arial" w:hAnsi="Arial" w:cs="Arial"/>
          <w:sz w:val="24"/>
          <w:szCs w:val="24"/>
        </w:rPr>
      </w:pPr>
    </w:p>
    <w:p w14:paraId="7EB4388C" w14:textId="35F8B166" w:rsidR="0040202D" w:rsidRPr="00387D57" w:rsidRDefault="0040202D" w:rsidP="00387D57">
      <w:pPr>
        <w:pStyle w:val="ListParagraph"/>
        <w:numPr>
          <w:ilvl w:val="0"/>
          <w:numId w:val="8"/>
        </w:numPr>
        <w:jc w:val="both"/>
        <w:rPr>
          <w:sz w:val="24"/>
          <w:szCs w:val="24"/>
        </w:rPr>
      </w:pPr>
      <w:r w:rsidRPr="00387D57">
        <w:rPr>
          <w:sz w:val="24"/>
          <w:szCs w:val="24"/>
        </w:rPr>
        <w:t xml:space="preserve">Paglia, J. K., &amp; </w:t>
      </w:r>
      <w:proofErr w:type="spellStart"/>
      <w:r w:rsidRPr="00387D57">
        <w:rPr>
          <w:sz w:val="24"/>
          <w:szCs w:val="24"/>
        </w:rPr>
        <w:t>Harjoto</w:t>
      </w:r>
      <w:proofErr w:type="spellEnd"/>
      <w:r w:rsidRPr="00387D57">
        <w:rPr>
          <w:sz w:val="24"/>
          <w:szCs w:val="24"/>
        </w:rPr>
        <w:t>, M. A. (2010)</w:t>
      </w:r>
      <w:r w:rsidR="008F05A4">
        <w:rPr>
          <w:sz w:val="24"/>
          <w:szCs w:val="24"/>
        </w:rPr>
        <w:t>,</w:t>
      </w:r>
      <w:r w:rsidRPr="00387D57">
        <w:rPr>
          <w:sz w:val="24"/>
          <w:szCs w:val="24"/>
        </w:rPr>
        <w:t xml:space="preserve"> </w:t>
      </w:r>
      <w:r w:rsidRPr="008F05A4">
        <w:rPr>
          <w:i/>
          <w:iCs/>
          <w:sz w:val="24"/>
          <w:szCs w:val="24"/>
        </w:rPr>
        <w:t>The Discount for Lack of Marketability in Privately Owned Companies: A Multiples Approach</w:t>
      </w:r>
      <w:r w:rsidRPr="00387D57">
        <w:rPr>
          <w:sz w:val="24"/>
          <w:szCs w:val="24"/>
        </w:rPr>
        <w:t>, The Journal of Business Valuation and Economic Loss, 5(1), pp. 1-26.</w:t>
      </w:r>
    </w:p>
    <w:p w14:paraId="62EA55D5" w14:textId="77777777" w:rsidR="0040202D" w:rsidRPr="008B3DE8" w:rsidRDefault="0040202D" w:rsidP="008B1F7F">
      <w:pPr>
        <w:pStyle w:val="FootnoteText"/>
        <w:ind w:left="720"/>
        <w:jc w:val="both"/>
        <w:rPr>
          <w:rFonts w:ascii="Arial" w:hAnsi="Arial" w:cs="Arial"/>
          <w:sz w:val="24"/>
          <w:szCs w:val="24"/>
        </w:rPr>
      </w:pPr>
    </w:p>
    <w:p w14:paraId="52EBB9B3" w14:textId="77777777" w:rsidR="0040202D" w:rsidRPr="00387D57" w:rsidRDefault="0040202D" w:rsidP="00387D57">
      <w:pPr>
        <w:pStyle w:val="ListParagraph"/>
        <w:ind w:left="1440"/>
        <w:jc w:val="both"/>
        <w:rPr>
          <w:sz w:val="24"/>
          <w:szCs w:val="24"/>
        </w:rPr>
      </w:pPr>
      <w:r w:rsidRPr="00387D57">
        <w:rPr>
          <w:sz w:val="24"/>
          <w:szCs w:val="24"/>
        </w:rPr>
        <w:t xml:space="preserve">An analysis of 674 private firm transaction multiples in comparison to publicly traded guideline market trading price multiples was released by Paglia in 2010. </w:t>
      </w:r>
    </w:p>
    <w:p w14:paraId="383FE264" w14:textId="77777777" w:rsidR="0040202D" w:rsidRDefault="0040202D" w:rsidP="008B1F7F">
      <w:pPr>
        <w:jc w:val="both"/>
        <w:rPr>
          <w:sz w:val="24"/>
          <w:szCs w:val="24"/>
        </w:rPr>
      </w:pPr>
    </w:p>
    <w:p w14:paraId="05DCF26B" w14:textId="77777777" w:rsidR="0040202D" w:rsidRPr="00387D57" w:rsidRDefault="0040202D" w:rsidP="00387D57">
      <w:pPr>
        <w:pStyle w:val="ListParagraph"/>
        <w:numPr>
          <w:ilvl w:val="0"/>
          <w:numId w:val="8"/>
        </w:numPr>
        <w:jc w:val="both"/>
        <w:rPr>
          <w:sz w:val="24"/>
          <w:szCs w:val="24"/>
        </w:rPr>
      </w:pPr>
      <w:r w:rsidRPr="00387D57">
        <w:rPr>
          <w:sz w:val="24"/>
          <w:szCs w:val="24"/>
        </w:rPr>
        <w:lastRenderedPageBreak/>
        <w:t xml:space="preserve">Patrick Rozario and Kenneth Ma (2024), </w:t>
      </w:r>
      <w:r w:rsidRPr="008F05A4">
        <w:rPr>
          <w:i/>
          <w:iCs/>
          <w:sz w:val="24"/>
          <w:szCs w:val="24"/>
        </w:rPr>
        <w:t>Control Premium &amp; Discount For Lack of Marketability Study</w:t>
      </w:r>
      <w:r w:rsidRPr="00387D57">
        <w:rPr>
          <w:sz w:val="24"/>
          <w:szCs w:val="24"/>
        </w:rPr>
        <w:t>, Issue 3, Moore Hong Kong</w:t>
      </w:r>
    </w:p>
    <w:p w14:paraId="084CAF6B" w14:textId="77777777" w:rsidR="0040202D" w:rsidRDefault="0040202D" w:rsidP="008B1F7F">
      <w:pPr>
        <w:jc w:val="both"/>
        <w:rPr>
          <w:sz w:val="24"/>
          <w:szCs w:val="24"/>
        </w:rPr>
      </w:pPr>
    </w:p>
    <w:p w14:paraId="00F2465C" w14:textId="77777777" w:rsidR="0040202D" w:rsidRPr="00387D57" w:rsidRDefault="0040202D" w:rsidP="00387D57">
      <w:pPr>
        <w:pStyle w:val="ListParagraph"/>
        <w:ind w:left="1440"/>
        <w:jc w:val="both"/>
        <w:rPr>
          <w:sz w:val="24"/>
          <w:szCs w:val="24"/>
        </w:rPr>
      </w:pPr>
      <w:r w:rsidRPr="00387D57">
        <w:rPr>
          <w:sz w:val="24"/>
          <w:szCs w:val="24"/>
        </w:rPr>
        <w:t>It quarterly summarised the circulars included valuation reports with the adoption of discounts for lack of marketability in Hong Kong Stock Exchange.</w:t>
      </w:r>
    </w:p>
    <w:p w14:paraId="6981EA85" w14:textId="77777777" w:rsidR="0040202D" w:rsidRDefault="0040202D" w:rsidP="008B1F7F">
      <w:pPr>
        <w:jc w:val="both"/>
        <w:rPr>
          <w:sz w:val="24"/>
          <w:szCs w:val="24"/>
        </w:rPr>
      </w:pPr>
    </w:p>
    <w:p w14:paraId="380EEBE0" w14:textId="71B18526" w:rsidR="0040202D" w:rsidRPr="00387D57" w:rsidRDefault="0040202D" w:rsidP="00387D57">
      <w:pPr>
        <w:pStyle w:val="ListParagraph"/>
        <w:numPr>
          <w:ilvl w:val="0"/>
          <w:numId w:val="8"/>
        </w:numPr>
        <w:jc w:val="both"/>
        <w:rPr>
          <w:sz w:val="24"/>
          <w:szCs w:val="24"/>
        </w:rPr>
      </w:pPr>
      <w:r w:rsidRPr="00387D57">
        <w:rPr>
          <w:sz w:val="24"/>
          <w:szCs w:val="24"/>
        </w:rPr>
        <w:t>Peter L. Lohrey</w:t>
      </w:r>
      <w:r w:rsidR="008F05A4">
        <w:rPr>
          <w:sz w:val="24"/>
          <w:szCs w:val="24"/>
        </w:rPr>
        <w:t xml:space="preserve"> (2020)</w:t>
      </w:r>
      <w:r w:rsidRPr="00387D57">
        <w:rPr>
          <w:sz w:val="24"/>
          <w:szCs w:val="24"/>
        </w:rPr>
        <w:t xml:space="preserve">, </w:t>
      </w:r>
      <w:r w:rsidRPr="008F05A4">
        <w:rPr>
          <w:i/>
          <w:iCs/>
          <w:sz w:val="24"/>
          <w:szCs w:val="24"/>
        </w:rPr>
        <w:t>The Dodd-Frank Act and the Private Company Discount: An Empirical Investigation, American Accounting Association</w:t>
      </w:r>
      <w:r w:rsidRPr="00387D57">
        <w:rPr>
          <w:sz w:val="24"/>
          <w:szCs w:val="24"/>
        </w:rPr>
        <w:t>, The Journal of Forensic Accounting Research, 5(1), pp. 298–318</w:t>
      </w:r>
    </w:p>
    <w:p w14:paraId="2F7BC379" w14:textId="77777777" w:rsidR="0040202D" w:rsidRPr="008B3DE8" w:rsidRDefault="0040202D" w:rsidP="008B1F7F">
      <w:pPr>
        <w:spacing w:line="240" w:lineRule="auto"/>
        <w:ind w:left="720"/>
        <w:jc w:val="both"/>
        <w:rPr>
          <w:rFonts w:eastAsia="Times New Roman"/>
          <w:sz w:val="24"/>
          <w:szCs w:val="24"/>
        </w:rPr>
      </w:pPr>
    </w:p>
    <w:p w14:paraId="3A06BD4B" w14:textId="77777777" w:rsidR="0040202D" w:rsidRPr="00387D57" w:rsidRDefault="0040202D" w:rsidP="00387D57">
      <w:pPr>
        <w:pStyle w:val="ListParagraph"/>
        <w:ind w:left="1440"/>
        <w:jc w:val="both"/>
        <w:rPr>
          <w:sz w:val="24"/>
          <w:szCs w:val="24"/>
        </w:rPr>
      </w:pPr>
      <w:r w:rsidRPr="00387D57">
        <w:rPr>
          <w:sz w:val="24"/>
          <w:szCs w:val="24"/>
        </w:rPr>
        <w:t>This study uses acquisition data to perform an empirical investigation into value of private companies. It reviews the literature that examines whether unlisted target companies are acquired at a discount compared to the prices paid for publicly</w:t>
      </w:r>
      <w:r w:rsidRPr="00387D57">
        <w:rPr>
          <w:rFonts w:hint="eastAsia"/>
          <w:sz w:val="24"/>
          <w:szCs w:val="24"/>
        </w:rPr>
        <w:t xml:space="preserve"> </w:t>
      </w:r>
      <w:r w:rsidRPr="00387D57">
        <w:rPr>
          <w:sz w:val="24"/>
          <w:szCs w:val="24"/>
        </w:rPr>
        <w:t>traded target companies.</w:t>
      </w:r>
    </w:p>
    <w:p w14:paraId="2F98B2E6" w14:textId="77777777" w:rsidR="0040202D" w:rsidRPr="008B3DE8" w:rsidRDefault="0040202D" w:rsidP="008B1F7F">
      <w:pPr>
        <w:spacing w:line="280" w:lineRule="exact"/>
        <w:ind w:left="720"/>
        <w:jc w:val="both"/>
        <w:rPr>
          <w:sz w:val="24"/>
          <w:szCs w:val="24"/>
        </w:rPr>
      </w:pPr>
    </w:p>
    <w:p w14:paraId="1013F46E" w14:textId="15D6CA11" w:rsidR="0040202D" w:rsidRPr="00387D57" w:rsidRDefault="0040202D" w:rsidP="00387D57">
      <w:pPr>
        <w:pStyle w:val="ListParagraph"/>
        <w:numPr>
          <w:ilvl w:val="0"/>
          <w:numId w:val="8"/>
        </w:numPr>
        <w:jc w:val="both"/>
        <w:rPr>
          <w:sz w:val="24"/>
          <w:szCs w:val="24"/>
        </w:rPr>
      </w:pPr>
      <w:r w:rsidRPr="00387D57">
        <w:rPr>
          <w:sz w:val="24"/>
          <w:szCs w:val="24"/>
        </w:rPr>
        <w:t xml:space="preserve">Pittock, William F., and Charles H. Stryker, </w:t>
      </w:r>
      <w:r w:rsidRPr="0026064E">
        <w:rPr>
          <w:i/>
          <w:iCs/>
          <w:sz w:val="24"/>
          <w:szCs w:val="24"/>
        </w:rPr>
        <w:t>Revenue Ruling 77-276 Revisited</w:t>
      </w:r>
      <w:r w:rsidR="0026064E">
        <w:rPr>
          <w:sz w:val="24"/>
          <w:szCs w:val="24"/>
        </w:rPr>
        <w:t xml:space="preserve">, </w:t>
      </w:r>
      <w:r w:rsidRPr="00387D57">
        <w:rPr>
          <w:sz w:val="24"/>
          <w:szCs w:val="24"/>
        </w:rPr>
        <w:t>SRC Quarterly Reports, Spring 1983, pp. 1-3.</w:t>
      </w:r>
    </w:p>
    <w:p w14:paraId="6894CF63" w14:textId="77777777" w:rsidR="0040202D" w:rsidRPr="008B3DE8" w:rsidRDefault="0040202D" w:rsidP="008B1F7F">
      <w:pPr>
        <w:pStyle w:val="FootnoteText"/>
        <w:ind w:left="720"/>
        <w:jc w:val="both"/>
        <w:rPr>
          <w:rFonts w:ascii="Arial" w:hAnsi="Arial" w:cs="Arial"/>
          <w:sz w:val="24"/>
          <w:szCs w:val="24"/>
        </w:rPr>
      </w:pPr>
    </w:p>
    <w:p w14:paraId="2FE50858" w14:textId="77777777" w:rsidR="0040202D" w:rsidRPr="00387D57" w:rsidRDefault="0040202D" w:rsidP="00387D57">
      <w:pPr>
        <w:pStyle w:val="ListParagraph"/>
        <w:ind w:left="1440"/>
        <w:jc w:val="both"/>
        <w:rPr>
          <w:sz w:val="24"/>
          <w:szCs w:val="24"/>
        </w:rPr>
      </w:pPr>
      <w:r w:rsidRPr="00387D57">
        <w:rPr>
          <w:sz w:val="24"/>
          <w:szCs w:val="24"/>
        </w:rPr>
        <w:t>It examined 28 restricted stock purchases following the format of the SEC Study on letter stock. They discovered that the median discount at which limited stocks sold was 45 percent by comparing their value to public equities issued by the same corporation.</w:t>
      </w:r>
    </w:p>
    <w:p w14:paraId="72B8B8CC" w14:textId="77777777" w:rsidR="0040202D" w:rsidRDefault="0040202D" w:rsidP="008B1F7F">
      <w:pPr>
        <w:jc w:val="both"/>
        <w:rPr>
          <w:sz w:val="24"/>
          <w:szCs w:val="24"/>
        </w:rPr>
      </w:pPr>
    </w:p>
    <w:p w14:paraId="33965449" w14:textId="77FA9A84" w:rsidR="0040202D" w:rsidRPr="00387D57" w:rsidRDefault="0040202D" w:rsidP="00387D57">
      <w:pPr>
        <w:pStyle w:val="ListParagraph"/>
        <w:numPr>
          <w:ilvl w:val="0"/>
          <w:numId w:val="8"/>
        </w:numPr>
        <w:jc w:val="both"/>
        <w:rPr>
          <w:sz w:val="24"/>
          <w:szCs w:val="24"/>
        </w:rPr>
      </w:pPr>
      <w:r w:rsidRPr="00387D57">
        <w:rPr>
          <w:sz w:val="24"/>
          <w:szCs w:val="24"/>
        </w:rPr>
        <w:t>SHANNON P. PRATT (2012)</w:t>
      </w:r>
      <w:r w:rsidR="00C51C8F">
        <w:rPr>
          <w:sz w:val="24"/>
          <w:szCs w:val="24"/>
        </w:rPr>
        <w:t>,</w:t>
      </w:r>
      <w:r w:rsidRPr="00387D57">
        <w:rPr>
          <w:sz w:val="24"/>
          <w:szCs w:val="24"/>
        </w:rPr>
        <w:t xml:space="preserve"> </w:t>
      </w:r>
      <w:r w:rsidRPr="00C51C8F">
        <w:rPr>
          <w:i/>
          <w:iCs/>
          <w:sz w:val="24"/>
          <w:szCs w:val="24"/>
        </w:rPr>
        <w:t xml:space="preserve">Business Valuation </w:t>
      </w:r>
      <w:r w:rsidR="00C51C8F">
        <w:rPr>
          <w:i/>
          <w:iCs/>
          <w:sz w:val="24"/>
          <w:szCs w:val="24"/>
        </w:rPr>
        <w:t>D</w:t>
      </w:r>
      <w:r w:rsidRPr="00C51C8F">
        <w:rPr>
          <w:i/>
          <w:iCs/>
          <w:sz w:val="24"/>
          <w:szCs w:val="24"/>
        </w:rPr>
        <w:t>iscounts and Premiums</w:t>
      </w:r>
      <w:r w:rsidRPr="00387D57">
        <w:rPr>
          <w:sz w:val="24"/>
          <w:szCs w:val="24"/>
        </w:rPr>
        <w:t>, 2</w:t>
      </w:r>
      <w:r w:rsidRPr="00387D57">
        <w:rPr>
          <w:sz w:val="24"/>
          <w:szCs w:val="24"/>
          <w:vertAlign w:val="superscript"/>
        </w:rPr>
        <w:t>nd</w:t>
      </w:r>
      <w:r w:rsidRPr="00387D57">
        <w:rPr>
          <w:sz w:val="24"/>
          <w:szCs w:val="24"/>
        </w:rPr>
        <w:t xml:space="preserve"> </w:t>
      </w:r>
      <w:proofErr w:type="spellStart"/>
      <w:r w:rsidRPr="00387D57">
        <w:rPr>
          <w:sz w:val="24"/>
          <w:szCs w:val="24"/>
        </w:rPr>
        <w:t>Edn</w:t>
      </w:r>
      <w:proofErr w:type="spellEnd"/>
      <w:r w:rsidR="00C51C8F">
        <w:rPr>
          <w:sz w:val="24"/>
          <w:szCs w:val="24"/>
        </w:rPr>
        <w:t>.</w:t>
      </w:r>
      <w:r w:rsidRPr="00387D57">
        <w:rPr>
          <w:sz w:val="24"/>
          <w:szCs w:val="24"/>
        </w:rPr>
        <w:t>, New Jersey: John Wiley &amp; Sons, Inc.</w:t>
      </w:r>
    </w:p>
    <w:p w14:paraId="292C36D5" w14:textId="77777777" w:rsidR="0040202D" w:rsidRDefault="0040202D" w:rsidP="008B1F7F">
      <w:pPr>
        <w:jc w:val="both"/>
        <w:rPr>
          <w:sz w:val="24"/>
          <w:szCs w:val="24"/>
        </w:rPr>
      </w:pPr>
    </w:p>
    <w:p w14:paraId="204059B4" w14:textId="77777777" w:rsidR="0040202D" w:rsidRPr="00387D57" w:rsidRDefault="0040202D" w:rsidP="00387D57">
      <w:pPr>
        <w:pStyle w:val="ListParagraph"/>
        <w:ind w:left="1440"/>
        <w:jc w:val="both"/>
        <w:rPr>
          <w:sz w:val="24"/>
          <w:szCs w:val="24"/>
        </w:rPr>
      </w:pPr>
      <w:r w:rsidRPr="00387D57">
        <w:rPr>
          <w:sz w:val="24"/>
          <w:szCs w:val="24"/>
        </w:rPr>
        <w:t>Shannon Pratt skilfully and logically explains the various discounts or premiums that may be applicable, depending on the basic valuation approach used, and how the valuation approaches used affect the level. Shannon Pratt addresses the three basic approaches to conducting a valuation: the income approach, the market approach, and the asset approach.</w:t>
      </w:r>
    </w:p>
    <w:p w14:paraId="5FBE1D70" w14:textId="77777777" w:rsidR="0040202D" w:rsidRPr="00A7659B" w:rsidRDefault="0040202D" w:rsidP="008B1F7F">
      <w:pPr>
        <w:ind w:left="720"/>
        <w:jc w:val="both"/>
        <w:rPr>
          <w:sz w:val="24"/>
          <w:szCs w:val="24"/>
        </w:rPr>
      </w:pPr>
    </w:p>
    <w:p w14:paraId="1B7C43BB" w14:textId="77777777" w:rsidR="0040202D" w:rsidRPr="00387D57" w:rsidRDefault="0040202D" w:rsidP="00387D57">
      <w:pPr>
        <w:pStyle w:val="ListParagraph"/>
        <w:numPr>
          <w:ilvl w:val="0"/>
          <w:numId w:val="8"/>
        </w:numPr>
        <w:jc w:val="both"/>
        <w:rPr>
          <w:sz w:val="24"/>
          <w:szCs w:val="24"/>
        </w:rPr>
      </w:pPr>
      <w:r w:rsidRPr="00387D57">
        <w:rPr>
          <w:sz w:val="24"/>
          <w:szCs w:val="24"/>
        </w:rPr>
        <w:lastRenderedPageBreak/>
        <w:t xml:space="preserve">Shannon P. Pratt (2022), </w:t>
      </w:r>
      <w:r w:rsidRPr="00C51C8F">
        <w:rPr>
          <w:i/>
          <w:iCs/>
          <w:sz w:val="24"/>
          <w:szCs w:val="24"/>
        </w:rPr>
        <w:t>Valuing a Business: The Analysis and Appraisal of Closely Held Companies</w:t>
      </w:r>
      <w:r w:rsidRPr="00387D57">
        <w:rPr>
          <w:sz w:val="24"/>
          <w:szCs w:val="24"/>
        </w:rPr>
        <w:t xml:space="preserve">, 6th </w:t>
      </w:r>
      <w:proofErr w:type="spellStart"/>
      <w:r w:rsidRPr="00387D57">
        <w:rPr>
          <w:sz w:val="24"/>
          <w:szCs w:val="24"/>
        </w:rPr>
        <w:t>edn</w:t>
      </w:r>
      <w:proofErr w:type="spellEnd"/>
      <w:r w:rsidRPr="00387D57">
        <w:rPr>
          <w:sz w:val="24"/>
          <w:szCs w:val="24"/>
        </w:rPr>
        <w:t>, New York: McGraw-Hill, pp. 425.</w:t>
      </w:r>
    </w:p>
    <w:p w14:paraId="093F21F2" w14:textId="77777777" w:rsidR="0040202D" w:rsidRPr="008B3DE8" w:rsidRDefault="0040202D" w:rsidP="008B1F7F">
      <w:pPr>
        <w:spacing w:line="280" w:lineRule="exact"/>
        <w:ind w:left="720"/>
        <w:jc w:val="both"/>
        <w:rPr>
          <w:sz w:val="24"/>
          <w:szCs w:val="24"/>
        </w:rPr>
      </w:pPr>
    </w:p>
    <w:p w14:paraId="5605FF8E" w14:textId="77777777" w:rsidR="0040202D" w:rsidRPr="00387D57" w:rsidRDefault="0040202D" w:rsidP="00387D57">
      <w:pPr>
        <w:pStyle w:val="ListParagraph"/>
        <w:ind w:left="1440"/>
        <w:jc w:val="both"/>
        <w:rPr>
          <w:sz w:val="24"/>
          <w:szCs w:val="24"/>
        </w:rPr>
      </w:pPr>
      <w:r w:rsidRPr="00387D57">
        <w:rPr>
          <w:sz w:val="24"/>
          <w:szCs w:val="24"/>
        </w:rPr>
        <w:t xml:space="preserve">The purpose of the study was to present more recent data on DLOM for restricted stock transactions. Shannon Pratt (2012) claims that the report was initially created to bolster his claims in a Tax Court case. He eliminated all the blatant insider trades, corrected the price to reflect the date's difference from the IPO's pricing, and took industry P/E ratios into consideration. </w:t>
      </w:r>
    </w:p>
    <w:p w14:paraId="3F29BEBB" w14:textId="77777777" w:rsidR="0040202D" w:rsidRPr="008B3DE8" w:rsidRDefault="0040202D" w:rsidP="008B1F7F">
      <w:pPr>
        <w:ind w:left="720"/>
        <w:jc w:val="both"/>
        <w:rPr>
          <w:sz w:val="24"/>
          <w:szCs w:val="24"/>
        </w:rPr>
      </w:pPr>
    </w:p>
    <w:p w14:paraId="3F86E519" w14:textId="7B103EBF" w:rsidR="0040202D" w:rsidRPr="00387D57" w:rsidRDefault="0040202D" w:rsidP="00387D57">
      <w:pPr>
        <w:pStyle w:val="ListParagraph"/>
        <w:numPr>
          <w:ilvl w:val="0"/>
          <w:numId w:val="8"/>
        </w:numPr>
        <w:jc w:val="both"/>
        <w:rPr>
          <w:sz w:val="24"/>
          <w:szCs w:val="24"/>
        </w:rPr>
      </w:pPr>
      <w:r w:rsidRPr="00387D57">
        <w:rPr>
          <w:sz w:val="24"/>
          <w:szCs w:val="24"/>
        </w:rPr>
        <w:t>Securities and Exchange Commission (1971)</w:t>
      </w:r>
      <w:r w:rsidR="00C51C8F">
        <w:rPr>
          <w:sz w:val="24"/>
          <w:szCs w:val="24"/>
        </w:rPr>
        <w:t>,</w:t>
      </w:r>
      <w:r w:rsidRPr="00387D57">
        <w:rPr>
          <w:sz w:val="24"/>
          <w:szCs w:val="24"/>
        </w:rPr>
        <w:t xml:space="preserve"> </w:t>
      </w:r>
      <w:r w:rsidRPr="00C51C8F">
        <w:rPr>
          <w:i/>
          <w:iCs/>
          <w:sz w:val="24"/>
          <w:szCs w:val="24"/>
        </w:rPr>
        <w:t>Discounts Involved in Purchases of Common Stock Institutional Investor Study Report</w:t>
      </w:r>
      <w:r w:rsidRPr="00387D57">
        <w:rPr>
          <w:sz w:val="24"/>
          <w:szCs w:val="24"/>
        </w:rPr>
        <w:t>. Do. No. 92-64, Part 5, pp. 2444- 2456.</w:t>
      </w:r>
    </w:p>
    <w:p w14:paraId="350FCFC4" w14:textId="77777777" w:rsidR="0040202D" w:rsidRPr="008B3DE8" w:rsidRDefault="0040202D" w:rsidP="008B1F7F">
      <w:pPr>
        <w:pStyle w:val="FootnoteText"/>
        <w:ind w:left="720"/>
        <w:jc w:val="both"/>
        <w:rPr>
          <w:rFonts w:ascii="Arial" w:hAnsi="Arial" w:cs="Arial"/>
          <w:sz w:val="24"/>
          <w:szCs w:val="24"/>
          <w:lang w:val="en-US"/>
        </w:rPr>
      </w:pPr>
    </w:p>
    <w:p w14:paraId="3AA26A52" w14:textId="77777777" w:rsidR="0040202D" w:rsidRPr="00387D57" w:rsidRDefault="0040202D" w:rsidP="00387D57">
      <w:pPr>
        <w:pStyle w:val="ListParagraph"/>
        <w:ind w:left="1440"/>
        <w:jc w:val="both"/>
        <w:rPr>
          <w:sz w:val="24"/>
          <w:szCs w:val="24"/>
        </w:rPr>
      </w:pPr>
      <w:r w:rsidRPr="00387D57">
        <w:rPr>
          <w:sz w:val="24"/>
          <w:szCs w:val="24"/>
        </w:rPr>
        <w:t xml:space="preserve">It compared the prices at which transactions of restricted securities were made to the prices of publicly traded stocks from the same companies in a study that was published in March 1971 and reviewed purchases of restricted securities by investment companies for the period of January 1, 1966, through June 30, 1969. </w:t>
      </w:r>
    </w:p>
    <w:p w14:paraId="03D596A5" w14:textId="77777777" w:rsidR="0040202D" w:rsidRDefault="0040202D" w:rsidP="008B1F7F">
      <w:pPr>
        <w:jc w:val="both"/>
        <w:rPr>
          <w:sz w:val="24"/>
          <w:szCs w:val="24"/>
        </w:rPr>
      </w:pPr>
    </w:p>
    <w:p w14:paraId="3400FD07" w14:textId="1F7F8B50" w:rsidR="0040202D" w:rsidRPr="00387D57" w:rsidRDefault="0040202D" w:rsidP="00387D57">
      <w:pPr>
        <w:pStyle w:val="ListParagraph"/>
        <w:numPr>
          <w:ilvl w:val="0"/>
          <w:numId w:val="8"/>
        </w:numPr>
        <w:jc w:val="both"/>
        <w:rPr>
          <w:sz w:val="24"/>
          <w:szCs w:val="24"/>
        </w:rPr>
      </w:pPr>
      <w:r w:rsidRPr="00387D57">
        <w:rPr>
          <w:sz w:val="24"/>
          <w:szCs w:val="24"/>
        </w:rPr>
        <w:t>Stout Risius Ross (2023)</w:t>
      </w:r>
      <w:r w:rsidR="00C51C8F">
        <w:rPr>
          <w:sz w:val="24"/>
          <w:szCs w:val="24"/>
        </w:rPr>
        <w:t>,</w:t>
      </w:r>
      <w:r w:rsidRPr="00387D57">
        <w:rPr>
          <w:sz w:val="24"/>
          <w:szCs w:val="24"/>
        </w:rPr>
        <w:t xml:space="preserve"> </w:t>
      </w:r>
      <w:r w:rsidRPr="00C51C8F">
        <w:rPr>
          <w:i/>
          <w:iCs/>
          <w:sz w:val="24"/>
          <w:szCs w:val="24"/>
        </w:rPr>
        <w:t>The Stout Restricted Stock Study Companion Guide</w:t>
      </w:r>
      <w:r w:rsidRPr="00387D57">
        <w:rPr>
          <w:sz w:val="24"/>
          <w:szCs w:val="24"/>
        </w:rPr>
        <w:t xml:space="preserve">, 2023 </w:t>
      </w:r>
      <w:proofErr w:type="spellStart"/>
      <w:r w:rsidRPr="00387D57">
        <w:rPr>
          <w:sz w:val="24"/>
          <w:szCs w:val="24"/>
        </w:rPr>
        <w:t>edn</w:t>
      </w:r>
      <w:proofErr w:type="spellEnd"/>
      <w:r w:rsidRPr="00387D57">
        <w:rPr>
          <w:sz w:val="24"/>
          <w:szCs w:val="24"/>
        </w:rPr>
        <w:t>, Stout Risius Ross, LLC</w:t>
      </w:r>
    </w:p>
    <w:p w14:paraId="24F7BB27" w14:textId="77777777" w:rsidR="0040202D" w:rsidRPr="008B3DE8" w:rsidRDefault="0040202D" w:rsidP="008B1F7F">
      <w:pPr>
        <w:ind w:left="720"/>
        <w:jc w:val="both"/>
        <w:rPr>
          <w:sz w:val="24"/>
          <w:szCs w:val="24"/>
        </w:rPr>
      </w:pPr>
    </w:p>
    <w:p w14:paraId="4ED39731" w14:textId="77777777" w:rsidR="0040202D" w:rsidRPr="00387D57" w:rsidRDefault="0040202D" w:rsidP="00387D57">
      <w:pPr>
        <w:pStyle w:val="ListParagraph"/>
        <w:ind w:left="1440"/>
        <w:jc w:val="both"/>
        <w:rPr>
          <w:sz w:val="24"/>
          <w:szCs w:val="24"/>
        </w:rPr>
      </w:pPr>
      <w:r w:rsidRPr="00387D57">
        <w:rPr>
          <w:sz w:val="24"/>
          <w:szCs w:val="24"/>
        </w:rPr>
        <w:t xml:space="preserve">Searches conducted across multiple sources, such as 10K Wizard, Security Data Corp., EDGAR and EDGAR Pro, Dow Jones News Retrieval, Disclosure </w:t>
      </w:r>
      <w:proofErr w:type="spellStart"/>
      <w:r w:rsidRPr="00387D57">
        <w:rPr>
          <w:sz w:val="24"/>
          <w:szCs w:val="24"/>
        </w:rPr>
        <w:t>CompactD</w:t>
      </w:r>
      <w:proofErr w:type="spellEnd"/>
      <w:r w:rsidRPr="00387D57">
        <w:rPr>
          <w:sz w:val="24"/>
          <w:szCs w:val="24"/>
        </w:rPr>
        <w:t xml:space="preserve">, and S&amp;P Corporate Transactions Records, yielded the majority of the transactions included in the study. </w:t>
      </w:r>
    </w:p>
    <w:p w14:paraId="265C0C58" w14:textId="77777777" w:rsidR="0040202D" w:rsidRDefault="0040202D" w:rsidP="008E2CCE">
      <w:pPr>
        <w:pStyle w:val="FootnoteText"/>
        <w:jc w:val="both"/>
        <w:rPr>
          <w:rFonts w:ascii="Arial" w:hAnsi="Arial" w:cs="Arial"/>
          <w:sz w:val="24"/>
          <w:szCs w:val="24"/>
        </w:rPr>
      </w:pPr>
    </w:p>
    <w:p w14:paraId="4A4A6E59" w14:textId="6DFC117E" w:rsidR="004839EF" w:rsidRPr="005E2BDF" w:rsidRDefault="008E2CCE" w:rsidP="005E2BDF">
      <w:pPr>
        <w:pStyle w:val="ListParagraph"/>
        <w:numPr>
          <w:ilvl w:val="0"/>
          <w:numId w:val="8"/>
        </w:numPr>
        <w:jc w:val="both"/>
        <w:rPr>
          <w:sz w:val="24"/>
          <w:szCs w:val="24"/>
        </w:rPr>
      </w:pPr>
      <w:r>
        <w:rPr>
          <w:sz w:val="24"/>
          <w:szCs w:val="24"/>
        </w:rPr>
        <w:t xml:space="preserve">T. </w:t>
      </w:r>
      <w:r w:rsidR="00DC494E">
        <w:rPr>
          <w:sz w:val="24"/>
          <w:szCs w:val="24"/>
        </w:rPr>
        <w:t xml:space="preserve">Koller </w:t>
      </w:r>
      <w:r w:rsidR="00DC494E" w:rsidRPr="008577B3">
        <w:rPr>
          <w:sz w:val="24"/>
          <w:szCs w:val="24"/>
        </w:rPr>
        <w:t>et al.</w:t>
      </w:r>
      <w:r w:rsidR="005E2BDF">
        <w:rPr>
          <w:sz w:val="24"/>
          <w:szCs w:val="24"/>
        </w:rPr>
        <w:t xml:space="preserve">(2020), </w:t>
      </w:r>
      <w:r w:rsidR="004839EF" w:rsidRPr="00C51C8F">
        <w:rPr>
          <w:i/>
          <w:iCs/>
          <w:sz w:val="24"/>
          <w:szCs w:val="24"/>
        </w:rPr>
        <w:t>Valuation: Measuring and Managing the Value of Companies</w:t>
      </w:r>
      <w:r w:rsidR="00D35516" w:rsidRPr="00FD7F3F">
        <w:rPr>
          <w:sz w:val="24"/>
          <w:szCs w:val="24"/>
        </w:rPr>
        <w:t xml:space="preserve">, 7th </w:t>
      </w:r>
      <w:proofErr w:type="spellStart"/>
      <w:r w:rsidR="00D35516" w:rsidRPr="00FD7F3F">
        <w:rPr>
          <w:sz w:val="24"/>
          <w:szCs w:val="24"/>
        </w:rPr>
        <w:t>Edn</w:t>
      </w:r>
      <w:proofErr w:type="spellEnd"/>
      <w:r w:rsidR="00D35516" w:rsidRPr="00FD7F3F">
        <w:rPr>
          <w:sz w:val="24"/>
          <w:szCs w:val="24"/>
        </w:rPr>
        <w:t xml:space="preserve">., </w:t>
      </w:r>
      <w:r w:rsidR="00FD7F3F" w:rsidRPr="00FD7F3F">
        <w:rPr>
          <w:sz w:val="24"/>
          <w:szCs w:val="24"/>
        </w:rPr>
        <w:t>New Jersey: John Wiley &amp; Sons, Inc.,</w:t>
      </w:r>
      <w:r w:rsidR="00FD7F3F" w:rsidRPr="005E2BDF">
        <w:rPr>
          <w:sz w:val="24"/>
          <w:szCs w:val="24"/>
        </w:rPr>
        <w:t xml:space="preserve"> </w:t>
      </w:r>
    </w:p>
    <w:p w14:paraId="2DF4745A" w14:textId="77777777" w:rsidR="008E2CCE" w:rsidRDefault="008E2CCE" w:rsidP="008E2CCE">
      <w:pPr>
        <w:pStyle w:val="FootnoteText"/>
        <w:jc w:val="both"/>
        <w:rPr>
          <w:rFonts w:ascii="Arial" w:hAnsi="Arial" w:cs="Arial"/>
          <w:sz w:val="24"/>
          <w:szCs w:val="24"/>
        </w:rPr>
      </w:pPr>
    </w:p>
    <w:p w14:paraId="54DCCE39" w14:textId="6B7E3C84" w:rsidR="005E2BDF" w:rsidRDefault="00D973DC" w:rsidP="00D973DC">
      <w:pPr>
        <w:pStyle w:val="ListParagraph"/>
        <w:ind w:left="1440"/>
        <w:jc w:val="both"/>
        <w:rPr>
          <w:sz w:val="24"/>
          <w:szCs w:val="24"/>
        </w:rPr>
      </w:pPr>
      <w:r w:rsidRPr="00D973DC">
        <w:rPr>
          <w:sz w:val="24"/>
          <w:szCs w:val="24"/>
        </w:rPr>
        <w:t xml:space="preserve">This book provides useful information including complete, detailed guidance on every crucial aspect of corporate valuation, explanation of the strategies, techniques, and nuances of valuation that every manager </w:t>
      </w:r>
      <w:r w:rsidRPr="00D973DC">
        <w:rPr>
          <w:sz w:val="24"/>
          <w:szCs w:val="24"/>
        </w:rPr>
        <w:lastRenderedPageBreak/>
        <w:t>needs to know, and details on both core and advanced valuation techniques and management strategies.</w:t>
      </w:r>
    </w:p>
    <w:p w14:paraId="75022C3D" w14:textId="77777777" w:rsidR="005E2BDF" w:rsidRPr="008B3DE8" w:rsidRDefault="005E2BDF" w:rsidP="008E2CCE">
      <w:pPr>
        <w:pStyle w:val="FootnoteText"/>
        <w:jc w:val="both"/>
        <w:rPr>
          <w:rFonts w:ascii="Arial" w:hAnsi="Arial" w:cs="Arial"/>
          <w:sz w:val="24"/>
          <w:szCs w:val="24"/>
        </w:rPr>
      </w:pPr>
    </w:p>
    <w:p w14:paraId="345241C5" w14:textId="028E131A" w:rsidR="0040202D" w:rsidRPr="00387D57" w:rsidRDefault="0040202D" w:rsidP="00387D57">
      <w:pPr>
        <w:pStyle w:val="ListParagraph"/>
        <w:numPr>
          <w:ilvl w:val="0"/>
          <w:numId w:val="8"/>
        </w:numPr>
        <w:jc w:val="both"/>
        <w:rPr>
          <w:sz w:val="24"/>
          <w:szCs w:val="24"/>
        </w:rPr>
      </w:pPr>
      <w:r w:rsidRPr="00387D57">
        <w:rPr>
          <w:sz w:val="24"/>
          <w:szCs w:val="24"/>
        </w:rPr>
        <w:t>Trout, R. R. (1977)</w:t>
      </w:r>
      <w:r w:rsidR="00C51C8F">
        <w:rPr>
          <w:sz w:val="24"/>
          <w:szCs w:val="24"/>
        </w:rPr>
        <w:t>,</w:t>
      </w:r>
      <w:r w:rsidRPr="00387D57">
        <w:rPr>
          <w:sz w:val="24"/>
          <w:szCs w:val="24"/>
        </w:rPr>
        <w:t xml:space="preserve"> </w:t>
      </w:r>
      <w:r w:rsidRPr="00C51C8F">
        <w:rPr>
          <w:i/>
          <w:iCs/>
          <w:sz w:val="24"/>
          <w:szCs w:val="24"/>
        </w:rPr>
        <w:t>Estimation of the discount associated with the transfer of restricted securities</w:t>
      </w:r>
      <w:r w:rsidRPr="00387D57">
        <w:rPr>
          <w:sz w:val="24"/>
          <w:szCs w:val="24"/>
        </w:rPr>
        <w:t>. Taxes, 55, pp. 381–385..</w:t>
      </w:r>
    </w:p>
    <w:p w14:paraId="52B1E613" w14:textId="77777777" w:rsidR="0040202D" w:rsidRPr="008B3DE8" w:rsidRDefault="0040202D" w:rsidP="008B1F7F">
      <w:pPr>
        <w:pStyle w:val="FootnoteText"/>
        <w:ind w:left="720"/>
        <w:jc w:val="both"/>
        <w:rPr>
          <w:rFonts w:ascii="Arial" w:hAnsi="Arial" w:cs="Arial"/>
          <w:sz w:val="24"/>
          <w:szCs w:val="24"/>
          <w:lang w:val="en-US"/>
        </w:rPr>
      </w:pPr>
    </w:p>
    <w:p w14:paraId="0DD459FF" w14:textId="77777777" w:rsidR="0040202D" w:rsidRPr="00387D57" w:rsidRDefault="0040202D" w:rsidP="00387D57">
      <w:pPr>
        <w:pStyle w:val="ListParagraph"/>
        <w:ind w:left="1440"/>
        <w:jc w:val="both"/>
        <w:rPr>
          <w:sz w:val="24"/>
          <w:szCs w:val="24"/>
        </w:rPr>
      </w:pPr>
      <w:r w:rsidRPr="00387D57">
        <w:rPr>
          <w:sz w:val="24"/>
          <w:szCs w:val="24"/>
        </w:rPr>
        <w:t xml:space="preserve">Robert Trout conducted research on mutual fund purchases of limited stocks, just like Gelman. His period of time was 1968–1972. He made use of three additional fund in addition to the three Gelman had studied. </w:t>
      </w:r>
    </w:p>
    <w:p w14:paraId="268D3F1D" w14:textId="77777777" w:rsidR="0040202D" w:rsidRPr="008B3DE8" w:rsidRDefault="0040202D" w:rsidP="008B1F7F">
      <w:pPr>
        <w:spacing w:line="280" w:lineRule="exact"/>
        <w:ind w:left="720"/>
        <w:jc w:val="both"/>
        <w:rPr>
          <w:sz w:val="24"/>
          <w:szCs w:val="24"/>
        </w:rPr>
      </w:pPr>
    </w:p>
    <w:p w14:paraId="13BB0D36" w14:textId="2FDE69D0" w:rsidR="0040202D" w:rsidRPr="00387D57" w:rsidRDefault="0040202D" w:rsidP="00387D57">
      <w:pPr>
        <w:pStyle w:val="ListParagraph"/>
        <w:numPr>
          <w:ilvl w:val="0"/>
          <w:numId w:val="8"/>
        </w:numPr>
        <w:jc w:val="both"/>
        <w:rPr>
          <w:sz w:val="24"/>
          <w:szCs w:val="24"/>
        </w:rPr>
      </w:pPr>
      <w:r w:rsidRPr="00387D57">
        <w:rPr>
          <w:sz w:val="24"/>
          <w:szCs w:val="24"/>
        </w:rPr>
        <w:t xml:space="preserve">Valuation Advisors </w:t>
      </w:r>
      <w:r w:rsidR="00ED368A">
        <w:rPr>
          <w:sz w:val="24"/>
          <w:szCs w:val="24"/>
        </w:rPr>
        <w:t xml:space="preserve">(2007), </w:t>
      </w:r>
      <w:r w:rsidRPr="00C51C8F">
        <w:rPr>
          <w:i/>
          <w:iCs/>
          <w:sz w:val="24"/>
          <w:szCs w:val="24"/>
        </w:rPr>
        <w:t>Lack of Marketability Discount Study—DLOM Database (Discount for Lack of  Marketability),</w:t>
      </w:r>
      <w:r w:rsidRPr="00387D57">
        <w:rPr>
          <w:sz w:val="24"/>
          <w:szCs w:val="24"/>
        </w:rPr>
        <w:t xml:space="preserve"> Business Valuation Resources</w:t>
      </w:r>
    </w:p>
    <w:p w14:paraId="09F683A6" w14:textId="77777777" w:rsidR="0040202D" w:rsidRPr="008B3DE8" w:rsidRDefault="0040202D" w:rsidP="008B1F7F">
      <w:pPr>
        <w:spacing w:line="280" w:lineRule="exact"/>
        <w:ind w:left="720"/>
        <w:jc w:val="both"/>
        <w:rPr>
          <w:sz w:val="24"/>
          <w:szCs w:val="24"/>
        </w:rPr>
      </w:pPr>
    </w:p>
    <w:p w14:paraId="51251F2A" w14:textId="77777777" w:rsidR="0040202D" w:rsidRPr="00387D57" w:rsidRDefault="0040202D" w:rsidP="00387D57">
      <w:pPr>
        <w:pStyle w:val="ListParagraph"/>
        <w:ind w:left="1440"/>
        <w:jc w:val="both"/>
        <w:rPr>
          <w:sz w:val="24"/>
          <w:szCs w:val="24"/>
        </w:rPr>
      </w:pPr>
      <w:r w:rsidRPr="00387D57">
        <w:rPr>
          <w:sz w:val="24"/>
          <w:szCs w:val="24"/>
        </w:rPr>
        <w:t xml:space="preserve">It conducts a comparative analysis between the pre-IPO prices of common stock, convertible preferred stock, and common stock options and the IPO stock price. </w:t>
      </w:r>
    </w:p>
    <w:p w14:paraId="18298060" w14:textId="77777777" w:rsidR="0040202D" w:rsidRPr="008B3DE8" w:rsidRDefault="0040202D" w:rsidP="008B1F7F">
      <w:pPr>
        <w:spacing w:line="280" w:lineRule="exact"/>
        <w:ind w:left="720"/>
        <w:jc w:val="both"/>
        <w:rPr>
          <w:sz w:val="24"/>
          <w:szCs w:val="24"/>
        </w:rPr>
      </w:pPr>
    </w:p>
    <w:p w14:paraId="0B2EAEDB" w14:textId="77777777" w:rsidR="0040202D" w:rsidRPr="00387D57" w:rsidRDefault="0040202D" w:rsidP="00387D57">
      <w:pPr>
        <w:pStyle w:val="ListParagraph"/>
        <w:numPr>
          <w:ilvl w:val="0"/>
          <w:numId w:val="8"/>
        </w:numPr>
        <w:jc w:val="both"/>
        <w:rPr>
          <w:sz w:val="24"/>
          <w:szCs w:val="24"/>
        </w:rPr>
      </w:pPr>
      <w:r w:rsidRPr="00387D57">
        <w:rPr>
          <w:sz w:val="24"/>
          <w:szCs w:val="24"/>
        </w:rPr>
        <w:t xml:space="preserve">William Harris (2011), </w:t>
      </w:r>
      <w:r w:rsidRPr="00886C48">
        <w:rPr>
          <w:i/>
          <w:iCs/>
          <w:sz w:val="24"/>
          <w:szCs w:val="24"/>
        </w:rPr>
        <w:t>‘</w:t>
      </w:r>
      <w:proofErr w:type="spellStart"/>
      <w:r w:rsidRPr="00886C48">
        <w:rPr>
          <w:i/>
          <w:iCs/>
          <w:sz w:val="24"/>
          <w:szCs w:val="24"/>
        </w:rPr>
        <w:t>Trugman</w:t>
      </w:r>
      <w:proofErr w:type="spellEnd"/>
      <w:r w:rsidRPr="00886C48">
        <w:rPr>
          <w:i/>
          <w:iCs/>
          <w:sz w:val="24"/>
          <w:szCs w:val="24"/>
        </w:rPr>
        <w:t xml:space="preserve"> Valuation Advisors, Inc. (TVA), Restricted Stock Study’</w:t>
      </w:r>
      <w:r w:rsidRPr="00387D57">
        <w:rPr>
          <w:sz w:val="24"/>
          <w:szCs w:val="24"/>
        </w:rPr>
        <w:t>, Business Valuation Review (Winter 2011): pp. 132–139.</w:t>
      </w:r>
    </w:p>
    <w:p w14:paraId="18F6C215" w14:textId="77777777" w:rsidR="0040202D" w:rsidRPr="008B3DE8" w:rsidRDefault="0040202D" w:rsidP="008B1F7F">
      <w:pPr>
        <w:spacing w:line="280" w:lineRule="exact"/>
        <w:ind w:left="720"/>
        <w:jc w:val="both"/>
        <w:rPr>
          <w:sz w:val="24"/>
          <w:szCs w:val="24"/>
        </w:rPr>
      </w:pPr>
    </w:p>
    <w:p w14:paraId="4D804DC9" w14:textId="77777777" w:rsidR="0040202D" w:rsidRPr="00387D57" w:rsidRDefault="0040202D" w:rsidP="00387D57">
      <w:pPr>
        <w:pStyle w:val="ListParagraph"/>
        <w:ind w:left="1440"/>
        <w:jc w:val="both"/>
        <w:rPr>
          <w:sz w:val="24"/>
          <w:szCs w:val="24"/>
        </w:rPr>
      </w:pPr>
      <w:r w:rsidRPr="00387D57">
        <w:rPr>
          <w:sz w:val="24"/>
          <w:szCs w:val="24"/>
        </w:rPr>
        <w:t xml:space="preserve">It examines stock discounts that occurred between January 2007 and December 2008, a time of intense financial market volatility and widespread investor concern. In the first study, 80 transactions were examined to see if greater indicated DLOM was a direct result of the economic downturn. </w:t>
      </w:r>
    </w:p>
    <w:p w14:paraId="4E34EDA9" w14:textId="77777777" w:rsidR="0040202D" w:rsidRPr="008B3DE8" w:rsidRDefault="0040202D" w:rsidP="008B1F7F">
      <w:pPr>
        <w:spacing w:line="280" w:lineRule="exact"/>
        <w:ind w:left="720"/>
        <w:jc w:val="both"/>
        <w:rPr>
          <w:sz w:val="24"/>
          <w:szCs w:val="24"/>
        </w:rPr>
      </w:pPr>
    </w:p>
    <w:p w14:paraId="5F8E5DD6" w14:textId="29AFF407" w:rsidR="0040202D" w:rsidRPr="00387D57" w:rsidRDefault="0040202D" w:rsidP="00387D57">
      <w:pPr>
        <w:pStyle w:val="ListParagraph"/>
        <w:numPr>
          <w:ilvl w:val="0"/>
          <w:numId w:val="8"/>
        </w:numPr>
        <w:jc w:val="both"/>
        <w:rPr>
          <w:sz w:val="24"/>
          <w:szCs w:val="24"/>
        </w:rPr>
      </w:pPr>
      <w:r w:rsidRPr="00387D57">
        <w:rPr>
          <w:sz w:val="24"/>
          <w:szCs w:val="24"/>
        </w:rPr>
        <w:t>William L. Silber (1991)</w:t>
      </w:r>
      <w:r w:rsidR="00CF1C48">
        <w:rPr>
          <w:sz w:val="24"/>
          <w:szCs w:val="24"/>
        </w:rPr>
        <w:t>,</w:t>
      </w:r>
      <w:r w:rsidRPr="00387D57">
        <w:rPr>
          <w:sz w:val="24"/>
          <w:szCs w:val="24"/>
        </w:rPr>
        <w:t xml:space="preserve"> </w:t>
      </w:r>
      <w:r w:rsidRPr="00CF1C48">
        <w:rPr>
          <w:i/>
          <w:iCs/>
          <w:sz w:val="24"/>
          <w:szCs w:val="24"/>
        </w:rPr>
        <w:t>Discounts of Restricted Stock: The Impact of Illiquidity on Stock Prices</w:t>
      </w:r>
      <w:r w:rsidRPr="00387D57">
        <w:rPr>
          <w:sz w:val="24"/>
          <w:szCs w:val="24"/>
        </w:rPr>
        <w:t>, The Financial Analysts Journal, pp. 60–64.</w:t>
      </w:r>
    </w:p>
    <w:p w14:paraId="73B2B4BA" w14:textId="77777777" w:rsidR="0040202D" w:rsidRPr="008B3DE8" w:rsidRDefault="0040202D" w:rsidP="008B1F7F">
      <w:pPr>
        <w:spacing w:line="280" w:lineRule="exact"/>
        <w:ind w:left="720"/>
        <w:jc w:val="both"/>
        <w:rPr>
          <w:sz w:val="24"/>
          <w:szCs w:val="24"/>
        </w:rPr>
      </w:pPr>
    </w:p>
    <w:p w14:paraId="29CC498B" w14:textId="77777777" w:rsidR="0040202D" w:rsidRPr="00387D57" w:rsidRDefault="0040202D" w:rsidP="00387D57">
      <w:pPr>
        <w:pStyle w:val="ListParagraph"/>
        <w:ind w:left="1440"/>
        <w:jc w:val="both"/>
        <w:rPr>
          <w:sz w:val="24"/>
          <w:szCs w:val="24"/>
        </w:rPr>
      </w:pPr>
      <w:r w:rsidRPr="00387D57">
        <w:rPr>
          <w:sz w:val="24"/>
          <w:szCs w:val="24"/>
        </w:rPr>
        <w:t xml:space="preserve">The study's objective is to present proof of the influence of liquidity on restricted stock pricing. It's interesting to note that Silber included marketability as a variable in his formulas. Silber used the block size expressed as a percentage of the total number of outstanding shares to determine marketability. </w:t>
      </w:r>
    </w:p>
    <w:p w14:paraId="58A0CAF8" w14:textId="77777777" w:rsidR="00A02CE5" w:rsidRDefault="00A02CE5" w:rsidP="00D21CAB">
      <w:pPr>
        <w:rPr>
          <w:sz w:val="24"/>
          <w:szCs w:val="24"/>
        </w:rPr>
      </w:pPr>
    </w:p>
    <w:p w14:paraId="39A47390" w14:textId="263B0E10" w:rsidR="0065191D" w:rsidRPr="008A6630" w:rsidRDefault="00C11BE1" w:rsidP="008A6630">
      <w:pPr>
        <w:pStyle w:val="ListParagraph"/>
        <w:numPr>
          <w:ilvl w:val="0"/>
          <w:numId w:val="8"/>
        </w:numPr>
        <w:jc w:val="both"/>
        <w:rPr>
          <w:sz w:val="24"/>
          <w:szCs w:val="24"/>
        </w:rPr>
      </w:pPr>
      <w:r w:rsidRPr="008577B3">
        <w:rPr>
          <w:sz w:val="24"/>
          <w:szCs w:val="24"/>
        </w:rPr>
        <w:lastRenderedPageBreak/>
        <w:t>Z. Christopher Mercer et al. (2011)</w:t>
      </w:r>
      <w:r w:rsidR="00CF1C48">
        <w:rPr>
          <w:sz w:val="24"/>
          <w:szCs w:val="24"/>
        </w:rPr>
        <w:t>,</w:t>
      </w:r>
      <w:r w:rsidR="00131227">
        <w:rPr>
          <w:sz w:val="24"/>
          <w:szCs w:val="24"/>
        </w:rPr>
        <w:t xml:space="preserve"> </w:t>
      </w:r>
      <w:r w:rsidR="0065191D" w:rsidRPr="00CF1C48">
        <w:rPr>
          <w:i/>
          <w:iCs/>
          <w:sz w:val="24"/>
          <w:szCs w:val="24"/>
        </w:rPr>
        <w:t>Buy-Sell Agreements for Closely Held and Family Business</w:t>
      </w:r>
      <w:r w:rsidR="0065191D" w:rsidRPr="008A6630">
        <w:rPr>
          <w:sz w:val="24"/>
          <w:szCs w:val="24"/>
        </w:rPr>
        <w:t xml:space="preserve">, </w:t>
      </w:r>
      <w:r w:rsidR="00122D65" w:rsidRPr="008A6630">
        <w:rPr>
          <w:sz w:val="24"/>
          <w:szCs w:val="24"/>
        </w:rPr>
        <w:t xml:space="preserve">New York: </w:t>
      </w:r>
      <w:r w:rsidR="00B05D91" w:rsidRPr="008A6630">
        <w:rPr>
          <w:sz w:val="24"/>
          <w:szCs w:val="24"/>
        </w:rPr>
        <w:t>Peabody Publishing, LP</w:t>
      </w:r>
    </w:p>
    <w:p w14:paraId="5BE21B20" w14:textId="77777777" w:rsidR="00122D65" w:rsidRDefault="00122D65" w:rsidP="0065191D">
      <w:pPr>
        <w:rPr>
          <w:b/>
          <w:bCs/>
          <w:sz w:val="24"/>
          <w:szCs w:val="24"/>
        </w:rPr>
      </w:pPr>
    </w:p>
    <w:p w14:paraId="480E38CC" w14:textId="5BD8893C" w:rsidR="00122D65" w:rsidRPr="008A6630" w:rsidRDefault="000B15FA" w:rsidP="008A6630">
      <w:pPr>
        <w:pStyle w:val="ListParagraph"/>
        <w:ind w:left="1440"/>
        <w:jc w:val="both"/>
        <w:rPr>
          <w:sz w:val="24"/>
          <w:szCs w:val="24"/>
        </w:rPr>
      </w:pPr>
      <w:r w:rsidRPr="008A6630">
        <w:rPr>
          <w:sz w:val="24"/>
          <w:szCs w:val="24"/>
        </w:rPr>
        <w:t>It pro</w:t>
      </w:r>
      <w:r w:rsidR="008A6630" w:rsidRPr="008A6630">
        <w:rPr>
          <w:sz w:val="24"/>
          <w:szCs w:val="24"/>
        </w:rPr>
        <w:t xml:space="preserve">vides you a </w:t>
      </w:r>
      <w:r w:rsidRPr="008A6630">
        <w:rPr>
          <w:sz w:val="24"/>
          <w:szCs w:val="24"/>
        </w:rPr>
        <w:t>guide for understanding what your agreement says from business and valuation perspectives.  The book includes a comprehensive and yet understandable roadmap for business owners and their advisers.  </w:t>
      </w:r>
    </w:p>
    <w:p w14:paraId="3735682E" w14:textId="74F225C0" w:rsidR="00C11BE1" w:rsidRDefault="00C11BE1" w:rsidP="00D21CAB">
      <w:pPr>
        <w:rPr>
          <w:sz w:val="24"/>
          <w:szCs w:val="24"/>
        </w:rPr>
      </w:pPr>
    </w:p>
    <w:sectPr w:rsidR="00C11B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F334D3" w14:textId="77777777" w:rsidR="006C7F8D" w:rsidRDefault="006C7F8D" w:rsidP="006C143A">
      <w:pPr>
        <w:spacing w:line="240" w:lineRule="auto"/>
      </w:pPr>
      <w:r>
        <w:separator/>
      </w:r>
    </w:p>
  </w:endnote>
  <w:endnote w:type="continuationSeparator" w:id="0">
    <w:p w14:paraId="5C9E226F" w14:textId="77777777" w:rsidR="006C7F8D" w:rsidRDefault="006C7F8D" w:rsidP="006C14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Montserrat-Regular">
    <w:altName w:val="Montserra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7183D2" w14:textId="77777777" w:rsidR="006C7F8D" w:rsidRDefault="006C7F8D" w:rsidP="006C143A">
      <w:pPr>
        <w:spacing w:line="240" w:lineRule="auto"/>
      </w:pPr>
      <w:r>
        <w:separator/>
      </w:r>
    </w:p>
  </w:footnote>
  <w:footnote w:type="continuationSeparator" w:id="0">
    <w:p w14:paraId="58D5CF33" w14:textId="77777777" w:rsidR="006C7F8D" w:rsidRDefault="006C7F8D" w:rsidP="006C14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302A6"/>
    <w:multiLevelType w:val="hybridMultilevel"/>
    <w:tmpl w:val="0382DB8A"/>
    <w:lvl w:ilvl="0" w:tplc="DC64A03E">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20DC4320"/>
    <w:multiLevelType w:val="hybridMultilevel"/>
    <w:tmpl w:val="1340C050"/>
    <w:lvl w:ilvl="0" w:tplc="FA423858">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211B361B"/>
    <w:multiLevelType w:val="hybridMultilevel"/>
    <w:tmpl w:val="0A628C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1091AC2"/>
    <w:multiLevelType w:val="hybridMultilevel"/>
    <w:tmpl w:val="0382DB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C3A70F2"/>
    <w:multiLevelType w:val="hybridMultilevel"/>
    <w:tmpl w:val="0A628C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3935502"/>
    <w:multiLevelType w:val="hybridMultilevel"/>
    <w:tmpl w:val="0382DB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659356B"/>
    <w:multiLevelType w:val="hybridMultilevel"/>
    <w:tmpl w:val="308E42C4"/>
    <w:lvl w:ilvl="0" w:tplc="3C09000F">
      <w:start w:val="1"/>
      <w:numFmt w:val="decimal"/>
      <w:lvlText w:val="%1."/>
      <w:lvlJc w:val="left"/>
      <w:pPr>
        <w:ind w:left="720" w:hanging="360"/>
      </w:p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727E2619"/>
    <w:multiLevelType w:val="hybridMultilevel"/>
    <w:tmpl w:val="0A628CD4"/>
    <w:lvl w:ilvl="0" w:tplc="DC0A2A38">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191068897">
    <w:abstractNumId w:val="0"/>
  </w:num>
  <w:num w:numId="2" w16cid:durableId="1186747306">
    <w:abstractNumId w:val="7"/>
  </w:num>
  <w:num w:numId="3" w16cid:durableId="1436170903">
    <w:abstractNumId w:val="2"/>
  </w:num>
  <w:num w:numId="4" w16cid:durableId="1058161797">
    <w:abstractNumId w:val="4"/>
  </w:num>
  <w:num w:numId="5" w16cid:durableId="1240602012">
    <w:abstractNumId w:val="3"/>
  </w:num>
  <w:num w:numId="6" w16cid:durableId="35929909">
    <w:abstractNumId w:val="5"/>
  </w:num>
  <w:num w:numId="7" w16cid:durableId="1790391979">
    <w:abstractNumId w:val="1"/>
  </w:num>
  <w:num w:numId="8" w16cid:durableId="721706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438"/>
    <w:rsid w:val="00001791"/>
    <w:rsid w:val="000049A4"/>
    <w:rsid w:val="0001334A"/>
    <w:rsid w:val="000150C1"/>
    <w:rsid w:val="0002179A"/>
    <w:rsid w:val="000218EC"/>
    <w:rsid w:val="00025CB4"/>
    <w:rsid w:val="000271B5"/>
    <w:rsid w:val="000273C0"/>
    <w:rsid w:val="000312A9"/>
    <w:rsid w:val="00036E1B"/>
    <w:rsid w:val="00040A4C"/>
    <w:rsid w:val="00043439"/>
    <w:rsid w:val="000464C4"/>
    <w:rsid w:val="00050248"/>
    <w:rsid w:val="000543EA"/>
    <w:rsid w:val="000543FD"/>
    <w:rsid w:val="000568DB"/>
    <w:rsid w:val="000607DE"/>
    <w:rsid w:val="00064174"/>
    <w:rsid w:val="00065CA8"/>
    <w:rsid w:val="00074A82"/>
    <w:rsid w:val="000750B7"/>
    <w:rsid w:val="00096F03"/>
    <w:rsid w:val="000B15FA"/>
    <w:rsid w:val="000B3359"/>
    <w:rsid w:val="000B390D"/>
    <w:rsid w:val="000B6D5B"/>
    <w:rsid w:val="000C0C7F"/>
    <w:rsid w:val="000C0E23"/>
    <w:rsid w:val="000C4248"/>
    <w:rsid w:val="000C48D1"/>
    <w:rsid w:val="000D6CCD"/>
    <w:rsid w:val="000E1E3E"/>
    <w:rsid w:val="000E5B49"/>
    <w:rsid w:val="000F107A"/>
    <w:rsid w:val="000F4171"/>
    <w:rsid w:val="001021AF"/>
    <w:rsid w:val="00103DEF"/>
    <w:rsid w:val="0010460D"/>
    <w:rsid w:val="0011411F"/>
    <w:rsid w:val="00114C0D"/>
    <w:rsid w:val="00122D65"/>
    <w:rsid w:val="00122F24"/>
    <w:rsid w:val="001259AC"/>
    <w:rsid w:val="00126262"/>
    <w:rsid w:val="00126A73"/>
    <w:rsid w:val="00131227"/>
    <w:rsid w:val="00133E52"/>
    <w:rsid w:val="00134131"/>
    <w:rsid w:val="00134774"/>
    <w:rsid w:val="00135D29"/>
    <w:rsid w:val="00136766"/>
    <w:rsid w:val="001375D0"/>
    <w:rsid w:val="00142ABC"/>
    <w:rsid w:val="001441A4"/>
    <w:rsid w:val="00151B5F"/>
    <w:rsid w:val="00156A94"/>
    <w:rsid w:val="001570AF"/>
    <w:rsid w:val="00164198"/>
    <w:rsid w:val="00170738"/>
    <w:rsid w:val="0017557A"/>
    <w:rsid w:val="00182E16"/>
    <w:rsid w:val="00185568"/>
    <w:rsid w:val="00186CA6"/>
    <w:rsid w:val="001A0404"/>
    <w:rsid w:val="001A13A5"/>
    <w:rsid w:val="001A224C"/>
    <w:rsid w:val="001A294D"/>
    <w:rsid w:val="001A32CD"/>
    <w:rsid w:val="001A651D"/>
    <w:rsid w:val="001A7129"/>
    <w:rsid w:val="001A7DA5"/>
    <w:rsid w:val="001B3113"/>
    <w:rsid w:val="001B5C5F"/>
    <w:rsid w:val="001B63B2"/>
    <w:rsid w:val="001B77A3"/>
    <w:rsid w:val="001C0FFF"/>
    <w:rsid w:val="001D270F"/>
    <w:rsid w:val="001D2E40"/>
    <w:rsid w:val="001D7F4D"/>
    <w:rsid w:val="001F02D4"/>
    <w:rsid w:val="001F389C"/>
    <w:rsid w:val="001F404A"/>
    <w:rsid w:val="00205C32"/>
    <w:rsid w:val="00207DAF"/>
    <w:rsid w:val="00220B93"/>
    <w:rsid w:val="00222E86"/>
    <w:rsid w:val="002249A7"/>
    <w:rsid w:val="00226150"/>
    <w:rsid w:val="002309FA"/>
    <w:rsid w:val="00233B81"/>
    <w:rsid w:val="00245ADA"/>
    <w:rsid w:val="00246D0E"/>
    <w:rsid w:val="002536C9"/>
    <w:rsid w:val="002560D5"/>
    <w:rsid w:val="00260352"/>
    <w:rsid w:val="0026064E"/>
    <w:rsid w:val="00264424"/>
    <w:rsid w:val="00270157"/>
    <w:rsid w:val="0027307A"/>
    <w:rsid w:val="0027607C"/>
    <w:rsid w:val="002818D1"/>
    <w:rsid w:val="00281B30"/>
    <w:rsid w:val="002836A0"/>
    <w:rsid w:val="002839D3"/>
    <w:rsid w:val="00284C7F"/>
    <w:rsid w:val="002865DB"/>
    <w:rsid w:val="002920C4"/>
    <w:rsid w:val="002960F1"/>
    <w:rsid w:val="002A1838"/>
    <w:rsid w:val="002A4CAB"/>
    <w:rsid w:val="002A62C2"/>
    <w:rsid w:val="002B03E8"/>
    <w:rsid w:val="002B1E79"/>
    <w:rsid w:val="002B24CF"/>
    <w:rsid w:val="002C4216"/>
    <w:rsid w:val="002C4A3E"/>
    <w:rsid w:val="002D0158"/>
    <w:rsid w:val="002D5290"/>
    <w:rsid w:val="002E3FF5"/>
    <w:rsid w:val="00302B1C"/>
    <w:rsid w:val="00306CF2"/>
    <w:rsid w:val="0031124E"/>
    <w:rsid w:val="00312856"/>
    <w:rsid w:val="00312BF1"/>
    <w:rsid w:val="0032468A"/>
    <w:rsid w:val="0032660A"/>
    <w:rsid w:val="00326B6F"/>
    <w:rsid w:val="003278B3"/>
    <w:rsid w:val="0033117D"/>
    <w:rsid w:val="0033691C"/>
    <w:rsid w:val="0033791B"/>
    <w:rsid w:val="003414D1"/>
    <w:rsid w:val="0034387F"/>
    <w:rsid w:val="00343D3D"/>
    <w:rsid w:val="00350000"/>
    <w:rsid w:val="003610EC"/>
    <w:rsid w:val="00367400"/>
    <w:rsid w:val="00367667"/>
    <w:rsid w:val="00367810"/>
    <w:rsid w:val="0037201D"/>
    <w:rsid w:val="003807EF"/>
    <w:rsid w:val="00384DBE"/>
    <w:rsid w:val="003855E8"/>
    <w:rsid w:val="00385CDC"/>
    <w:rsid w:val="00387D57"/>
    <w:rsid w:val="00394164"/>
    <w:rsid w:val="003A1864"/>
    <w:rsid w:val="003B106E"/>
    <w:rsid w:val="003B1E80"/>
    <w:rsid w:val="003B492A"/>
    <w:rsid w:val="003B5371"/>
    <w:rsid w:val="003B5E45"/>
    <w:rsid w:val="003C0EE0"/>
    <w:rsid w:val="003C19A5"/>
    <w:rsid w:val="003C23F3"/>
    <w:rsid w:val="003C4A1F"/>
    <w:rsid w:val="003D0775"/>
    <w:rsid w:val="003D2D8A"/>
    <w:rsid w:val="003D4ED6"/>
    <w:rsid w:val="003E37D2"/>
    <w:rsid w:val="003E53B7"/>
    <w:rsid w:val="003F527B"/>
    <w:rsid w:val="00401B25"/>
    <w:rsid w:val="0040202D"/>
    <w:rsid w:val="00404225"/>
    <w:rsid w:val="00405F7E"/>
    <w:rsid w:val="004066D7"/>
    <w:rsid w:val="00407591"/>
    <w:rsid w:val="00410487"/>
    <w:rsid w:val="004113F0"/>
    <w:rsid w:val="00412C25"/>
    <w:rsid w:val="00417D81"/>
    <w:rsid w:val="00425992"/>
    <w:rsid w:val="004259D3"/>
    <w:rsid w:val="0042682E"/>
    <w:rsid w:val="00431236"/>
    <w:rsid w:val="004367DA"/>
    <w:rsid w:val="00437830"/>
    <w:rsid w:val="0044363C"/>
    <w:rsid w:val="004479AF"/>
    <w:rsid w:val="00452CCD"/>
    <w:rsid w:val="004538DA"/>
    <w:rsid w:val="00455ACE"/>
    <w:rsid w:val="00461C19"/>
    <w:rsid w:val="00470CFE"/>
    <w:rsid w:val="00471B7D"/>
    <w:rsid w:val="004733AE"/>
    <w:rsid w:val="00474979"/>
    <w:rsid w:val="00476EFD"/>
    <w:rsid w:val="0047792E"/>
    <w:rsid w:val="00481C3C"/>
    <w:rsid w:val="0048226A"/>
    <w:rsid w:val="004839EF"/>
    <w:rsid w:val="00483DDF"/>
    <w:rsid w:val="0048548D"/>
    <w:rsid w:val="00492FF1"/>
    <w:rsid w:val="00495629"/>
    <w:rsid w:val="004979C9"/>
    <w:rsid w:val="004A757E"/>
    <w:rsid w:val="004B46EE"/>
    <w:rsid w:val="004B470A"/>
    <w:rsid w:val="004C3FC7"/>
    <w:rsid w:val="004C5D0B"/>
    <w:rsid w:val="004D316B"/>
    <w:rsid w:val="004F2CCE"/>
    <w:rsid w:val="004F5960"/>
    <w:rsid w:val="004F59F5"/>
    <w:rsid w:val="00501D73"/>
    <w:rsid w:val="00502F3F"/>
    <w:rsid w:val="005078C0"/>
    <w:rsid w:val="00516B04"/>
    <w:rsid w:val="00517AAF"/>
    <w:rsid w:val="005204EA"/>
    <w:rsid w:val="00522193"/>
    <w:rsid w:val="00523AD4"/>
    <w:rsid w:val="00532D4F"/>
    <w:rsid w:val="00533309"/>
    <w:rsid w:val="005353FF"/>
    <w:rsid w:val="00535D06"/>
    <w:rsid w:val="00542804"/>
    <w:rsid w:val="00550A59"/>
    <w:rsid w:val="00553103"/>
    <w:rsid w:val="005540FF"/>
    <w:rsid w:val="005547EF"/>
    <w:rsid w:val="00555E5E"/>
    <w:rsid w:val="00556DF4"/>
    <w:rsid w:val="005611B6"/>
    <w:rsid w:val="005643A9"/>
    <w:rsid w:val="005663ED"/>
    <w:rsid w:val="005670C0"/>
    <w:rsid w:val="00570B20"/>
    <w:rsid w:val="00575BDC"/>
    <w:rsid w:val="005816B0"/>
    <w:rsid w:val="00585AC7"/>
    <w:rsid w:val="00587628"/>
    <w:rsid w:val="00594DEB"/>
    <w:rsid w:val="005A77BE"/>
    <w:rsid w:val="005B4404"/>
    <w:rsid w:val="005B69DD"/>
    <w:rsid w:val="005B7588"/>
    <w:rsid w:val="005C4F6C"/>
    <w:rsid w:val="005D2C29"/>
    <w:rsid w:val="005D4E3B"/>
    <w:rsid w:val="005D4E7E"/>
    <w:rsid w:val="005D50B5"/>
    <w:rsid w:val="005D69EB"/>
    <w:rsid w:val="005D6D61"/>
    <w:rsid w:val="005E1A3F"/>
    <w:rsid w:val="005E2BDF"/>
    <w:rsid w:val="005E4AB8"/>
    <w:rsid w:val="005E6B19"/>
    <w:rsid w:val="005E7B4D"/>
    <w:rsid w:val="005E7B9C"/>
    <w:rsid w:val="005F0B78"/>
    <w:rsid w:val="005F22C2"/>
    <w:rsid w:val="005F24DF"/>
    <w:rsid w:val="005F31B9"/>
    <w:rsid w:val="005F36BD"/>
    <w:rsid w:val="005F7A32"/>
    <w:rsid w:val="00600865"/>
    <w:rsid w:val="00601F5E"/>
    <w:rsid w:val="006053A9"/>
    <w:rsid w:val="00606A95"/>
    <w:rsid w:val="00607182"/>
    <w:rsid w:val="00614977"/>
    <w:rsid w:val="00615721"/>
    <w:rsid w:val="00617C80"/>
    <w:rsid w:val="006233CE"/>
    <w:rsid w:val="0062449F"/>
    <w:rsid w:val="00624DBF"/>
    <w:rsid w:val="006325B1"/>
    <w:rsid w:val="006374EA"/>
    <w:rsid w:val="00641309"/>
    <w:rsid w:val="0064194F"/>
    <w:rsid w:val="00644873"/>
    <w:rsid w:val="00645AD2"/>
    <w:rsid w:val="00650D22"/>
    <w:rsid w:val="0065191D"/>
    <w:rsid w:val="006531A7"/>
    <w:rsid w:val="006545BF"/>
    <w:rsid w:val="00656DA4"/>
    <w:rsid w:val="006636A9"/>
    <w:rsid w:val="00663D9D"/>
    <w:rsid w:val="00671ED3"/>
    <w:rsid w:val="00673343"/>
    <w:rsid w:val="00680C54"/>
    <w:rsid w:val="00690E81"/>
    <w:rsid w:val="00693406"/>
    <w:rsid w:val="00693F34"/>
    <w:rsid w:val="006967B8"/>
    <w:rsid w:val="00697918"/>
    <w:rsid w:val="006A128A"/>
    <w:rsid w:val="006A207C"/>
    <w:rsid w:val="006A2891"/>
    <w:rsid w:val="006A644B"/>
    <w:rsid w:val="006A7466"/>
    <w:rsid w:val="006C143A"/>
    <w:rsid w:val="006C4441"/>
    <w:rsid w:val="006C59A4"/>
    <w:rsid w:val="006C7F8D"/>
    <w:rsid w:val="006D6513"/>
    <w:rsid w:val="006F4B34"/>
    <w:rsid w:val="006F7D46"/>
    <w:rsid w:val="00711055"/>
    <w:rsid w:val="007113BC"/>
    <w:rsid w:val="007113E7"/>
    <w:rsid w:val="007155AD"/>
    <w:rsid w:val="007207A3"/>
    <w:rsid w:val="00721233"/>
    <w:rsid w:val="0072538B"/>
    <w:rsid w:val="007347FB"/>
    <w:rsid w:val="00744C0E"/>
    <w:rsid w:val="00747B02"/>
    <w:rsid w:val="00751C0F"/>
    <w:rsid w:val="00761B5B"/>
    <w:rsid w:val="007622EF"/>
    <w:rsid w:val="0076279E"/>
    <w:rsid w:val="00763EC9"/>
    <w:rsid w:val="00764461"/>
    <w:rsid w:val="007654EB"/>
    <w:rsid w:val="00767DD6"/>
    <w:rsid w:val="007755F0"/>
    <w:rsid w:val="007768A9"/>
    <w:rsid w:val="00776D8D"/>
    <w:rsid w:val="00790809"/>
    <w:rsid w:val="007922D2"/>
    <w:rsid w:val="00794309"/>
    <w:rsid w:val="007B5C77"/>
    <w:rsid w:val="007C0A4E"/>
    <w:rsid w:val="007C0EBE"/>
    <w:rsid w:val="007C11E0"/>
    <w:rsid w:val="007C3D2A"/>
    <w:rsid w:val="007C56E8"/>
    <w:rsid w:val="007C79CF"/>
    <w:rsid w:val="007C7F80"/>
    <w:rsid w:val="007D67AB"/>
    <w:rsid w:val="007E3E5D"/>
    <w:rsid w:val="007F2054"/>
    <w:rsid w:val="007F2F4F"/>
    <w:rsid w:val="00800B58"/>
    <w:rsid w:val="00804747"/>
    <w:rsid w:val="00804ADA"/>
    <w:rsid w:val="00806BB3"/>
    <w:rsid w:val="00815B85"/>
    <w:rsid w:val="008160A7"/>
    <w:rsid w:val="008166D9"/>
    <w:rsid w:val="00817C95"/>
    <w:rsid w:val="00824BD2"/>
    <w:rsid w:val="0083383E"/>
    <w:rsid w:val="00833A4E"/>
    <w:rsid w:val="0085181B"/>
    <w:rsid w:val="008561A5"/>
    <w:rsid w:val="008577B3"/>
    <w:rsid w:val="00860FF0"/>
    <w:rsid w:val="00864A2C"/>
    <w:rsid w:val="00864E35"/>
    <w:rsid w:val="00871438"/>
    <w:rsid w:val="00872F70"/>
    <w:rsid w:val="0087547F"/>
    <w:rsid w:val="008824A5"/>
    <w:rsid w:val="00885600"/>
    <w:rsid w:val="00886C48"/>
    <w:rsid w:val="00887B43"/>
    <w:rsid w:val="0089067B"/>
    <w:rsid w:val="00891CA9"/>
    <w:rsid w:val="00892100"/>
    <w:rsid w:val="008944D2"/>
    <w:rsid w:val="0089656C"/>
    <w:rsid w:val="008A01A5"/>
    <w:rsid w:val="008A1830"/>
    <w:rsid w:val="008A2C85"/>
    <w:rsid w:val="008A6630"/>
    <w:rsid w:val="008B1F7F"/>
    <w:rsid w:val="008B3DE8"/>
    <w:rsid w:val="008B79B5"/>
    <w:rsid w:val="008C3F43"/>
    <w:rsid w:val="008C49BC"/>
    <w:rsid w:val="008C7FB2"/>
    <w:rsid w:val="008D2AFD"/>
    <w:rsid w:val="008D466F"/>
    <w:rsid w:val="008D4BFC"/>
    <w:rsid w:val="008D4F62"/>
    <w:rsid w:val="008D55DA"/>
    <w:rsid w:val="008D62E8"/>
    <w:rsid w:val="008E080B"/>
    <w:rsid w:val="008E0F3B"/>
    <w:rsid w:val="008E1591"/>
    <w:rsid w:val="008E2CCE"/>
    <w:rsid w:val="008E5405"/>
    <w:rsid w:val="008E74C1"/>
    <w:rsid w:val="008F05A4"/>
    <w:rsid w:val="008F0FD8"/>
    <w:rsid w:val="008F2026"/>
    <w:rsid w:val="008F431C"/>
    <w:rsid w:val="008F49C8"/>
    <w:rsid w:val="008F53BA"/>
    <w:rsid w:val="008F7221"/>
    <w:rsid w:val="0091325D"/>
    <w:rsid w:val="0091410F"/>
    <w:rsid w:val="00915CAA"/>
    <w:rsid w:val="00920CFC"/>
    <w:rsid w:val="00921913"/>
    <w:rsid w:val="0092705F"/>
    <w:rsid w:val="009271D5"/>
    <w:rsid w:val="00936A70"/>
    <w:rsid w:val="009417E2"/>
    <w:rsid w:val="00943389"/>
    <w:rsid w:val="0094511D"/>
    <w:rsid w:val="00950979"/>
    <w:rsid w:val="009535B9"/>
    <w:rsid w:val="0095625F"/>
    <w:rsid w:val="00957A74"/>
    <w:rsid w:val="00957EFB"/>
    <w:rsid w:val="0096155F"/>
    <w:rsid w:val="00962F57"/>
    <w:rsid w:val="009631F5"/>
    <w:rsid w:val="00971B9A"/>
    <w:rsid w:val="009737E6"/>
    <w:rsid w:val="00974557"/>
    <w:rsid w:val="00975EA6"/>
    <w:rsid w:val="00983ED0"/>
    <w:rsid w:val="00987AF6"/>
    <w:rsid w:val="00990C10"/>
    <w:rsid w:val="00991846"/>
    <w:rsid w:val="009960F8"/>
    <w:rsid w:val="009A52C8"/>
    <w:rsid w:val="009A63C2"/>
    <w:rsid w:val="009B169C"/>
    <w:rsid w:val="009B4BD6"/>
    <w:rsid w:val="009B4FAB"/>
    <w:rsid w:val="009C0887"/>
    <w:rsid w:val="009C273A"/>
    <w:rsid w:val="009C4EB9"/>
    <w:rsid w:val="009D0AB8"/>
    <w:rsid w:val="009E48EE"/>
    <w:rsid w:val="009E564A"/>
    <w:rsid w:val="009F0711"/>
    <w:rsid w:val="009F539F"/>
    <w:rsid w:val="009F55C6"/>
    <w:rsid w:val="009F7315"/>
    <w:rsid w:val="00A00631"/>
    <w:rsid w:val="00A02CE5"/>
    <w:rsid w:val="00A0399F"/>
    <w:rsid w:val="00A078A2"/>
    <w:rsid w:val="00A1226B"/>
    <w:rsid w:val="00A1600B"/>
    <w:rsid w:val="00A20562"/>
    <w:rsid w:val="00A302C1"/>
    <w:rsid w:val="00A335C8"/>
    <w:rsid w:val="00A35E1B"/>
    <w:rsid w:val="00A367EC"/>
    <w:rsid w:val="00A40CE6"/>
    <w:rsid w:val="00A524AB"/>
    <w:rsid w:val="00A52B24"/>
    <w:rsid w:val="00A53FB3"/>
    <w:rsid w:val="00A6448F"/>
    <w:rsid w:val="00A65606"/>
    <w:rsid w:val="00A75FC2"/>
    <w:rsid w:val="00A81176"/>
    <w:rsid w:val="00A876D5"/>
    <w:rsid w:val="00A87736"/>
    <w:rsid w:val="00A91DB1"/>
    <w:rsid w:val="00A94F56"/>
    <w:rsid w:val="00A95A07"/>
    <w:rsid w:val="00A9681E"/>
    <w:rsid w:val="00AA0B35"/>
    <w:rsid w:val="00AA161C"/>
    <w:rsid w:val="00AB477E"/>
    <w:rsid w:val="00AB5ACF"/>
    <w:rsid w:val="00AB7098"/>
    <w:rsid w:val="00AB72CD"/>
    <w:rsid w:val="00AC07E6"/>
    <w:rsid w:val="00AC1134"/>
    <w:rsid w:val="00AC28B4"/>
    <w:rsid w:val="00AC2A37"/>
    <w:rsid w:val="00AE1280"/>
    <w:rsid w:val="00AE2DE7"/>
    <w:rsid w:val="00AF5770"/>
    <w:rsid w:val="00B038E7"/>
    <w:rsid w:val="00B05D91"/>
    <w:rsid w:val="00B06CA0"/>
    <w:rsid w:val="00B06E61"/>
    <w:rsid w:val="00B06F2C"/>
    <w:rsid w:val="00B10376"/>
    <w:rsid w:val="00B128DD"/>
    <w:rsid w:val="00B14882"/>
    <w:rsid w:val="00B35AD4"/>
    <w:rsid w:val="00B4300A"/>
    <w:rsid w:val="00B430B0"/>
    <w:rsid w:val="00B44A3D"/>
    <w:rsid w:val="00B53A34"/>
    <w:rsid w:val="00B5719A"/>
    <w:rsid w:val="00B60AA6"/>
    <w:rsid w:val="00B621A6"/>
    <w:rsid w:val="00B643ED"/>
    <w:rsid w:val="00B65194"/>
    <w:rsid w:val="00B66F92"/>
    <w:rsid w:val="00B7524C"/>
    <w:rsid w:val="00B7664D"/>
    <w:rsid w:val="00B81687"/>
    <w:rsid w:val="00B829B6"/>
    <w:rsid w:val="00B849A0"/>
    <w:rsid w:val="00B85163"/>
    <w:rsid w:val="00B8603C"/>
    <w:rsid w:val="00B96026"/>
    <w:rsid w:val="00BA059E"/>
    <w:rsid w:val="00BA2F56"/>
    <w:rsid w:val="00BA4329"/>
    <w:rsid w:val="00BB21D5"/>
    <w:rsid w:val="00BB3075"/>
    <w:rsid w:val="00BB6321"/>
    <w:rsid w:val="00BB7A9C"/>
    <w:rsid w:val="00BC1741"/>
    <w:rsid w:val="00BD0D27"/>
    <w:rsid w:val="00BE05E8"/>
    <w:rsid w:val="00BE1A60"/>
    <w:rsid w:val="00BE1F34"/>
    <w:rsid w:val="00BE4D04"/>
    <w:rsid w:val="00BE624D"/>
    <w:rsid w:val="00BE7FBB"/>
    <w:rsid w:val="00BF1871"/>
    <w:rsid w:val="00BF2724"/>
    <w:rsid w:val="00BF65A3"/>
    <w:rsid w:val="00BF6716"/>
    <w:rsid w:val="00BF7DD8"/>
    <w:rsid w:val="00C0101A"/>
    <w:rsid w:val="00C017D7"/>
    <w:rsid w:val="00C05436"/>
    <w:rsid w:val="00C107F0"/>
    <w:rsid w:val="00C11BE1"/>
    <w:rsid w:val="00C14FC8"/>
    <w:rsid w:val="00C15709"/>
    <w:rsid w:val="00C166A1"/>
    <w:rsid w:val="00C17C2A"/>
    <w:rsid w:val="00C2183C"/>
    <w:rsid w:val="00C31562"/>
    <w:rsid w:val="00C326E2"/>
    <w:rsid w:val="00C37A38"/>
    <w:rsid w:val="00C4113A"/>
    <w:rsid w:val="00C457E7"/>
    <w:rsid w:val="00C45C68"/>
    <w:rsid w:val="00C46656"/>
    <w:rsid w:val="00C5055E"/>
    <w:rsid w:val="00C51C8F"/>
    <w:rsid w:val="00C540E9"/>
    <w:rsid w:val="00C577AB"/>
    <w:rsid w:val="00C6097E"/>
    <w:rsid w:val="00C679A6"/>
    <w:rsid w:val="00C7330E"/>
    <w:rsid w:val="00C80495"/>
    <w:rsid w:val="00C835B0"/>
    <w:rsid w:val="00C93802"/>
    <w:rsid w:val="00C93C9F"/>
    <w:rsid w:val="00CA2BD8"/>
    <w:rsid w:val="00CA47F6"/>
    <w:rsid w:val="00CA4D4D"/>
    <w:rsid w:val="00CA7C03"/>
    <w:rsid w:val="00CB5A80"/>
    <w:rsid w:val="00CB5F9F"/>
    <w:rsid w:val="00CC1823"/>
    <w:rsid w:val="00CC2AEE"/>
    <w:rsid w:val="00CC48A1"/>
    <w:rsid w:val="00CD2767"/>
    <w:rsid w:val="00CD3736"/>
    <w:rsid w:val="00CE0F9B"/>
    <w:rsid w:val="00CE328C"/>
    <w:rsid w:val="00CE61F1"/>
    <w:rsid w:val="00CF1C48"/>
    <w:rsid w:val="00CF35A5"/>
    <w:rsid w:val="00D0207F"/>
    <w:rsid w:val="00D10CDF"/>
    <w:rsid w:val="00D13BEB"/>
    <w:rsid w:val="00D20FFD"/>
    <w:rsid w:val="00D210B2"/>
    <w:rsid w:val="00D21CAB"/>
    <w:rsid w:val="00D259A6"/>
    <w:rsid w:val="00D318A1"/>
    <w:rsid w:val="00D35516"/>
    <w:rsid w:val="00D42A18"/>
    <w:rsid w:val="00D43F41"/>
    <w:rsid w:val="00D600D6"/>
    <w:rsid w:val="00D61F50"/>
    <w:rsid w:val="00D729E7"/>
    <w:rsid w:val="00D8010D"/>
    <w:rsid w:val="00D8248D"/>
    <w:rsid w:val="00D83FF3"/>
    <w:rsid w:val="00D8701C"/>
    <w:rsid w:val="00D92BCE"/>
    <w:rsid w:val="00D93962"/>
    <w:rsid w:val="00D95542"/>
    <w:rsid w:val="00D96ED6"/>
    <w:rsid w:val="00D973DC"/>
    <w:rsid w:val="00DA18AA"/>
    <w:rsid w:val="00DA2A05"/>
    <w:rsid w:val="00DA3CA5"/>
    <w:rsid w:val="00DA42C9"/>
    <w:rsid w:val="00DA4706"/>
    <w:rsid w:val="00DA4B04"/>
    <w:rsid w:val="00DA7475"/>
    <w:rsid w:val="00DA7792"/>
    <w:rsid w:val="00DB0BA8"/>
    <w:rsid w:val="00DC0D03"/>
    <w:rsid w:val="00DC139C"/>
    <w:rsid w:val="00DC2419"/>
    <w:rsid w:val="00DC494E"/>
    <w:rsid w:val="00DC4D8C"/>
    <w:rsid w:val="00DC5239"/>
    <w:rsid w:val="00DD1F66"/>
    <w:rsid w:val="00DE056B"/>
    <w:rsid w:val="00DE4843"/>
    <w:rsid w:val="00DE5493"/>
    <w:rsid w:val="00DF4780"/>
    <w:rsid w:val="00E00023"/>
    <w:rsid w:val="00E001C5"/>
    <w:rsid w:val="00E0532D"/>
    <w:rsid w:val="00E11E21"/>
    <w:rsid w:val="00E122DB"/>
    <w:rsid w:val="00E1327F"/>
    <w:rsid w:val="00E16DAF"/>
    <w:rsid w:val="00E234BC"/>
    <w:rsid w:val="00E30434"/>
    <w:rsid w:val="00E3185A"/>
    <w:rsid w:val="00E36B9C"/>
    <w:rsid w:val="00E40A2D"/>
    <w:rsid w:val="00E41538"/>
    <w:rsid w:val="00E424B9"/>
    <w:rsid w:val="00E4342D"/>
    <w:rsid w:val="00E43B8F"/>
    <w:rsid w:val="00E45E23"/>
    <w:rsid w:val="00E50FE2"/>
    <w:rsid w:val="00E527FB"/>
    <w:rsid w:val="00E534C8"/>
    <w:rsid w:val="00E601BF"/>
    <w:rsid w:val="00E60E04"/>
    <w:rsid w:val="00E64CBB"/>
    <w:rsid w:val="00E67773"/>
    <w:rsid w:val="00E67FDF"/>
    <w:rsid w:val="00E74D09"/>
    <w:rsid w:val="00E7616B"/>
    <w:rsid w:val="00E76FA2"/>
    <w:rsid w:val="00E77315"/>
    <w:rsid w:val="00E80856"/>
    <w:rsid w:val="00E83FA3"/>
    <w:rsid w:val="00E846EB"/>
    <w:rsid w:val="00E853B6"/>
    <w:rsid w:val="00EA0126"/>
    <w:rsid w:val="00EB6616"/>
    <w:rsid w:val="00EB738A"/>
    <w:rsid w:val="00EB74DE"/>
    <w:rsid w:val="00EC0090"/>
    <w:rsid w:val="00EC387C"/>
    <w:rsid w:val="00EC6BC1"/>
    <w:rsid w:val="00ED368A"/>
    <w:rsid w:val="00ED36A1"/>
    <w:rsid w:val="00ED5268"/>
    <w:rsid w:val="00EE1ECF"/>
    <w:rsid w:val="00EF3F83"/>
    <w:rsid w:val="00EF481B"/>
    <w:rsid w:val="00EF7721"/>
    <w:rsid w:val="00F128E6"/>
    <w:rsid w:val="00F12BB6"/>
    <w:rsid w:val="00F245F3"/>
    <w:rsid w:val="00F2493E"/>
    <w:rsid w:val="00F30E23"/>
    <w:rsid w:val="00F31CAB"/>
    <w:rsid w:val="00F33628"/>
    <w:rsid w:val="00F37587"/>
    <w:rsid w:val="00F401CD"/>
    <w:rsid w:val="00F456FB"/>
    <w:rsid w:val="00F52C69"/>
    <w:rsid w:val="00F52D51"/>
    <w:rsid w:val="00F61265"/>
    <w:rsid w:val="00F6401E"/>
    <w:rsid w:val="00F67648"/>
    <w:rsid w:val="00F72D30"/>
    <w:rsid w:val="00F7554D"/>
    <w:rsid w:val="00F77612"/>
    <w:rsid w:val="00F801BE"/>
    <w:rsid w:val="00F8033A"/>
    <w:rsid w:val="00F82781"/>
    <w:rsid w:val="00F82D83"/>
    <w:rsid w:val="00F92F40"/>
    <w:rsid w:val="00F94428"/>
    <w:rsid w:val="00F97201"/>
    <w:rsid w:val="00FB1325"/>
    <w:rsid w:val="00FB17F5"/>
    <w:rsid w:val="00FB78EF"/>
    <w:rsid w:val="00FC03BA"/>
    <w:rsid w:val="00FC0635"/>
    <w:rsid w:val="00FC6840"/>
    <w:rsid w:val="00FD0DD1"/>
    <w:rsid w:val="00FD3983"/>
    <w:rsid w:val="00FD6793"/>
    <w:rsid w:val="00FD7C2B"/>
    <w:rsid w:val="00FD7F3F"/>
    <w:rsid w:val="00FE00F3"/>
    <w:rsid w:val="00FE3088"/>
    <w:rsid w:val="00FE6745"/>
    <w:rsid w:val="00FE6972"/>
    <w:rsid w:val="00FE7A37"/>
    <w:rsid w:val="00FF2B10"/>
    <w:rsid w:val="00FF5CC7"/>
    <w:rsid w:val="00FF71C7"/>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B03E"/>
  <w15:chartTrackingRefBased/>
  <w15:docId w15:val="{8AF3CDC6-05FA-4CB8-BE94-8D5976310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HK"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D36A1"/>
    <w:pPr>
      <w:spacing w:after="0" w:line="360" w:lineRule="auto"/>
    </w:pPr>
    <w:rPr>
      <w:rFonts w:ascii="Arial" w:eastAsia="等线" w:hAnsi="Arial" w:cs="Arial"/>
      <w:kern w:val="0"/>
      <w:sz w:val="22"/>
      <w:szCs w:val="22"/>
      <w14:ligatures w14:val="none"/>
    </w:rPr>
  </w:style>
  <w:style w:type="paragraph" w:styleId="Heading1">
    <w:name w:val="heading 1"/>
    <w:basedOn w:val="Normal"/>
    <w:next w:val="Normal"/>
    <w:link w:val="Heading1Char"/>
    <w:uiPriority w:val="9"/>
    <w:qFormat/>
    <w:rsid w:val="008714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14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14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4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4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4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4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4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4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4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14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14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4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14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14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4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4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438"/>
    <w:rPr>
      <w:rFonts w:eastAsiaTheme="majorEastAsia" w:cstheme="majorBidi"/>
      <w:color w:val="272727" w:themeColor="text1" w:themeTint="D8"/>
    </w:rPr>
  </w:style>
  <w:style w:type="paragraph" w:styleId="Title">
    <w:name w:val="Title"/>
    <w:basedOn w:val="Normal"/>
    <w:next w:val="Normal"/>
    <w:link w:val="TitleChar"/>
    <w:uiPriority w:val="10"/>
    <w:qFormat/>
    <w:rsid w:val="00871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4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4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4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438"/>
    <w:pPr>
      <w:spacing w:before="160"/>
      <w:jc w:val="center"/>
    </w:pPr>
    <w:rPr>
      <w:i/>
      <w:iCs/>
      <w:color w:val="404040" w:themeColor="text1" w:themeTint="BF"/>
    </w:rPr>
  </w:style>
  <w:style w:type="character" w:customStyle="1" w:styleId="QuoteChar">
    <w:name w:val="Quote Char"/>
    <w:basedOn w:val="DefaultParagraphFont"/>
    <w:link w:val="Quote"/>
    <w:uiPriority w:val="29"/>
    <w:rsid w:val="00871438"/>
    <w:rPr>
      <w:i/>
      <w:iCs/>
      <w:color w:val="404040" w:themeColor="text1" w:themeTint="BF"/>
    </w:rPr>
  </w:style>
  <w:style w:type="paragraph" w:styleId="ListParagraph">
    <w:name w:val="List Paragraph"/>
    <w:basedOn w:val="Normal"/>
    <w:uiPriority w:val="34"/>
    <w:qFormat/>
    <w:rsid w:val="00871438"/>
    <w:pPr>
      <w:ind w:left="720"/>
      <w:contextualSpacing/>
    </w:pPr>
  </w:style>
  <w:style w:type="character" w:styleId="IntenseEmphasis">
    <w:name w:val="Intense Emphasis"/>
    <w:basedOn w:val="DefaultParagraphFont"/>
    <w:uiPriority w:val="21"/>
    <w:qFormat/>
    <w:rsid w:val="00871438"/>
    <w:rPr>
      <w:i/>
      <w:iCs/>
      <w:color w:val="0F4761" w:themeColor="accent1" w:themeShade="BF"/>
    </w:rPr>
  </w:style>
  <w:style w:type="paragraph" w:styleId="IntenseQuote">
    <w:name w:val="Intense Quote"/>
    <w:basedOn w:val="Normal"/>
    <w:next w:val="Normal"/>
    <w:link w:val="IntenseQuoteChar"/>
    <w:uiPriority w:val="30"/>
    <w:qFormat/>
    <w:rsid w:val="008714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438"/>
    <w:rPr>
      <w:i/>
      <w:iCs/>
      <w:color w:val="0F4761" w:themeColor="accent1" w:themeShade="BF"/>
    </w:rPr>
  </w:style>
  <w:style w:type="character" w:styleId="IntenseReference">
    <w:name w:val="Intense Reference"/>
    <w:basedOn w:val="DefaultParagraphFont"/>
    <w:uiPriority w:val="32"/>
    <w:qFormat/>
    <w:rsid w:val="00871438"/>
    <w:rPr>
      <w:b/>
      <w:bCs/>
      <w:smallCaps/>
      <w:color w:val="0F4761" w:themeColor="accent1" w:themeShade="BF"/>
      <w:spacing w:val="5"/>
    </w:rPr>
  </w:style>
  <w:style w:type="paragraph" w:styleId="FootnoteText">
    <w:name w:val="footnote text"/>
    <w:basedOn w:val="Normal"/>
    <w:link w:val="FootnoteTextChar"/>
    <w:uiPriority w:val="99"/>
    <w:semiHidden/>
    <w:unhideWhenUsed/>
    <w:rsid w:val="00ED36A1"/>
    <w:rPr>
      <w:rFonts w:ascii="Aptos" w:hAnsi="Aptos" w:cs="Times New Roman"/>
      <w:kern w:val="2"/>
      <w:sz w:val="20"/>
      <w:szCs w:val="20"/>
    </w:rPr>
  </w:style>
  <w:style w:type="character" w:customStyle="1" w:styleId="FootnoteTextChar">
    <w:name w:val="Footnote Text Char"/>
    <w:basedOn w:val="DefaultParagraphFont"/>
    <w:link w:val="FootnoteText"/>
    <w:uiPriority w:val="99"/>
    <w:semiHidden/>
    <w:rsid w:val="00ED36A1"/>
    <w:rPr>
      <w:rFonts w:ascii="Aptos" w:eastAsia="等线" w:hAnsi="Aptos" w:cs="Times New Roman"/>
      <w:sz w:val="20"/>
      <w:szCs w:val="20"/>
      <w14:ligatures w14:val="none"/>
    </w:rPr>
  </w:style>
  <w:style w:type="character" w:styleId="FootnoteReference">
    <w:name w:val="footnote reference"/>
    <w:uiPriority w:val="99"/>
    <w:semiHidden/>
    <w:unhideWhenUsed/>
    <w:rsid w:val="00ED36A1"/>
    <w:rPr>
      <w:vertAlign w:val="superscript"/>
    </w:rPr>
  </w:style>
  <w:style w:type="paragraph" w:styleId="BodyText">
    <w:name w:val="Body Text"/>
    <w:basedOn w:val="Normal"/>
    <w:link w:val="BodyTextChar"/>
    <w:uiPriority w:val="1"/>
    <w:qFormat/>
    <w:rsid w:val="005D4E7E"/>
    <w:rPr>
      <w:b/>
      <w:bCs/>
      <w:u w:val="single"/>
    </w:rPr>
  </w:style>
  <w:style w:type="character" w:customStyle="1" w:styleId="BodyTextChar">
    <w:name w:val="Body Text Char"/>
    <w:basedOn w:val="DefaultParagraphFont"/>
    <w:link w:val="BodyText"/>
    <w:uiPriority w:val="99"/>
    <w:rsid w:val="005D4E7E"/>
    <w:rPr>
      <w:rFonts w:ascii="Arial" w:eastAsia="等线" w:hAnsi="Arial" w:cs="Arial"/>
      <w:b/>
      <w:bCs/>
      <w:kern w:val="0"/>
      <w:sz w:val="22"/>
      <w:szCs w:val="22"/>
      <w:u w:val="single"/>
      <w14:ligatures w14:val="none"/>
    </w:rPr>
  </w:style>
  <w:style w:type="character" w:styleId="Hyperlink">
    <w:name w:val="Hyperlink"/>
    <w:basedOn w:val="DefaultParagraphFont"/>
    <w:uiPriority w:val="99"/>
    <w:unhideWhenUsed/>
    <w:rsid w:val="002818D1"/>
    <w:rPr>
      <w:color w:val="467886" w:themeColor="hyperlink"/>
      <w:u w:val="single"/>
    </w:rPr>
  </w:style>
  <w:style w:type="character" w:styleId="UnresolvedMention">
    <w:name w:val="Unresolved Mention"/>
    <w:basedOn w:val="DefaultParagraphFont"/>
    <w:uiPriority w:val="99"/>
    <w:semiHidden/>
    <w:unhideWhenUsed/>
    <w:rsid w:val="002818D1"/>
    <w:rPr>
      <w:color w:val="605E5C"/>
      <w:shd w:val="clear" w:color="auto" w:fill="E1DFDD"/>
    </w:rPr>
  </w:style>
  <w:style w:type="character" w:customStyle="1" w:styleId="fontstyle01">
    <w:name w:val="fontstyle01"/>
    <w:basedOn w:val="DefaultParagraphFont"/>
    <w:rsid w:val="001F389C"/>
    <w:rPr>
      <w:rFonts w:ascii="Montserrat-Regular" w:hAnsi="Montserrat-Regular" w:hint="default"/>
      <w:b w:val="0"/>
      <w:bCs w:val="0"/>
      <w:i w:val="0"/>
      <w:iCs w:val="0"/>
      <w:color w:val="3C3C3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76156">
      <w:bodyDiv w:val="1"/>
      <w:marLeft w:val="0"/>
      <w:marRight w:val="0"/>
      <w:marTop w:val="0"/>
      <w:marBottom w:val="0"/>
      <w:divBdr>
        <w:top w:val="none" w:sz="0" w:space="0" w:color="auto"/>
        <w:left w:val="none" w:sz="0" w:space="0" w:color="auto"/>
        <w:bottom w:val="none" w:sz="0" w:space="0" w:color="auto"/>
        <w:right w:val="none" w:sz="0" w:space="0" w:color="auto"/>
      </w:divBdr>
    </w:div>
    <w:div w:id="23602110">
      <w:bodyDiv w:val="1"/>
      <w:marLeft w:val="0"/>
      <w:marRight w:val="0"/>
      <w:marTop w:val="0"/>
      <w:marBottom w:val="0"/>
      <w:divBdr>
        <w:top w:val="none" w:sz="0" w:space="0" w:color="auto"/>
        <w:left w:val="none" w:sz="0" w:space="0" w:color="auto"/>
        <w:bottom w:val="none" w:sz="0" w:space="0" w:color="auto"/>
        <w:right w:val="none" w:sz="0" w:space="0" w:color="auto"/>
      </w:divBdr>
    </w:div>
    <w:div w:id="48892472">
      <w:bodyDiv w:val="1"/>
      <w:marLeft w:val="0"/>
      <w:marRight w:val="0"/>
      <w:marTop w:val="0"/>
      <w:marBottom w:val="0"/>
      <w:divBdr>
        <w:top w:val="none" w:sz="0" w:space="0" w:color="auto"/>
        <w:left w:val="none" w:sz="0" w:space="0" w:color="auto"/>
        <w:bottom w:val="none" w:sz="0" w:space="0" w:color="auto"/>
        <w:right w:val="none" w:sz="0" w:space="0" w:color="auto"/>
      </w:divBdr>
    </w:div>
    <w:div w:id="59714533">
      <w:bodyDiv w:val="1"/>
      <w:marLeft w:val="0"/>
      <w:marRight w:val="0"/>
      <w:marTop w:val="0"/>
      <w:marBottom w:val="0"/>
      <w:divBdr>
        <w:top w:val="none" w:sz="0" w:space="0" w:color="auto"/>
        <w:left w:val="none" w:sz="0" w:space="0" w:color="auto"/>
        <w:bottom w:val="none" w:sz="0" w:space="0" w:color="auto"/>
        <w:right w:val="none" w:sz="0" w:space="0" w:color="auto"/>
      </w:divBdr>
    </w:div>
    <w:div w:id="99952863">
      <w:bodyDiv w:val="1"/>
      <w:marLeft w:val="0"/>
      <w:marRight w:val="0"/>
      <w:marTop w:val="0"/>
      <w:marBottom w:val="0"/>
      <w:divBdr>
        <w:top w:val="none" w:sz="0" w:space="0" w:color="auto"/>
        <w:left w:val="none" w:sz="0" w:space="0" w:color="auto"/>
        <w:bottom w:val="none" w:sz="0" w:space="0" w:color="auto"/>
        <w:right w:val="none" w:sz="0" w:space="0" w:color="auto"/>
      </w:divBdr>
    </w:div>
    <w:div w:id="143399962">
      <w:bodyDiv w:val="1"/>
      <w:marLeft w:val="0"/>
      <w:marRight w:val="0"/>
      <w:marTop w:val="0"/>
      <w:marBottom w:val="0"/>
      <w:divBdr>
        <w:top w:val="none" w:sz="0" w:space="0" w:color="auto"/>
        <w:left w:val="none" w:sz="0" w:space="0" w:color="auto"/>
        <w:bottom w:val="none" w:sz="0" w:space="0" w:color="auto"/>
        <w:right w:val="none" w:sz="0" w:space="0" w:color="auto"/>
      </w:divBdr>
    </w:div>
    <w:div w:id="144932400">
      <w:bodyDiv w:val="1"/>
      <w:marLeft w:val="0"/>
      <w:marRight w:val="0"/>
      <w:marTop w:val="0"/>
      <w:marBottom w:val="0"/>
      <w:divBdr>
        <w:top w:val="none" w:sz="0" w:space="0" w:color="auto"/>
        <w:left w:val="none" w:sz="0" w:space="0" w:color="auto"/>
        <w:bottom w:val="none" w:sz="0" w:space="0" w:color="auto"/>
        <w:right w:val="none" w:sz="0" w:space="0" w:color="auto"/>
      </w:divBdr>
    </w:div>
    <w:div w:id="174081366">
      <w:bodyDiv w:val="1"/>
      <w:marLeft w:val="0"/>
      <w:marRight w:val="0"/>
      <w:marTop w:val="0"/>
      <w:marBottom w:val="0"/>
      <w:divBdr>
        <w:top w:val="none" w:sz="0" w:space="0" w:color="auto"/>
        <w:left w:val="none" w:sz="0" w:space="0" w:color="auto"/>
        <w:bottom w:val="none" w:sz="0" w:space="0" w:color="auto"/>
        <w:right w:val="none" w:sz="0" w:space="0" w:color="auto"/>
      </w:divBdr>
    </w:div>
    <w:div w:id="175310892">
      <w:bodyDiv w:val="1"/>
      <w:marLeft w:val="0"/>
      <w:marRight w:val="0"/>
      <w:marTop w:val="0"/>
      <w:marBottom w:val="0"/>
      <w:divBdr>
        <w:top w:val="none" w:sz="0" w:space="0" w:color="auto"/>
        <w:left w:val="none" w:sz="0" w:space="0" w:color="auto"/>
        <w:bottom w:val="none" w:sz="0" w:space="0" w:color="auto"/>
        <w:right w:val="none" w:sz="0" w:space="0" w:color="auto"/>
      </w:divBdr>
    </w:div>
    <w:div w:id="177890425">
      <w:bodyDiv w:val="1"/>
      <w:marLeft w:val="0"/>
      <w:marRight w:val="0"/>
      <w:marTop w:val="0"/>
      <w:marBottom w:val="0"/>
      <w:divBdr>
        <w:top w:val="none" w:sz="0" w:space="0" w:color="auto"/>
        <w:left w:val="none" w:sz="0" w:space="0" w:color="auto"/>
        <w:bottom w:val="none" w:sz="0" w:space="0" w:color="auto"/>
        <w:right w:val="none" w:sz="0" w:space="0" w:color="auto"/>
      </w:divBdr>
    </w:div>
    <w:div w:id="190579882">
      <w:bodyDiv w:val="1"/>
      <w:marLeft w:val="0"/>
      <w:marRight w:val="0"/>
      <w:marTop w:val="0"/>
      <w:marBottom w:val="0"/>
      <w:divBdr>
        <w:top w:val="none" w:sz="0" w:space="0" w:color="auto"/>
        <w:left w:val="none" w:sz="0" w:space="0" w:color="auto"/>
        <w:bottom w:val="none" w:sz="0" w:space="0" w:color="auto"/>
        <w:right w:val="none" w:sz="0" w:space="0" w:color="auto"/>
      </w:divBdr>
    </w:div>
    <w:div w:id="191891129">
      <w:bodyDiv w:val="1"/>
      <w:marLeft w:val="0"/>
      <w:marRight w:val="0"/>
      <w:marTop w:val="0"/>
      <w:marBottom w:val="0"/>
      <w:divBdr>
        <w:top w:val="none" w:sz="0" w:space="0" w:color="auto"/>
        <w:left w:val="none" w:sz="0" w:space="0" w:color="auto"/>
        <w:bottom w:val="none" w:sz="0" w:space="0" w:color="auto"/>
        <w:right w:val="none" w:sz="0" w:space="0" w:color="auto"/>
      </w:divBdr>
    </w:div>
    <w:div w:id="213659651">
      <w:bodyDiv w:val="1"/>
      <w:marLeft w:val="0"/>
      <w:marRight w:val="0"/>
      <w:marTop w:val="0"/>
      <w:marBottom w:val="0"/>
      <w:divBdr>
        <w:top w:val="none" w:sz="0" w:space="0" w:color="auto"/>
        <w:left w:val="none" w:sz="0" w:space="0" w:color="auto"/>
        <w:bottom w:val="none" w:sz="0" w:space="0" w:color="auto"/>
        <w:right w:val="none" w:sz="0" w:space="0" w:color="auto"/>
      </w:divBdr>
    </w:div>
    <w:div w:id="230967696">
      <w:bodyDiv w:val="1"/>
      <w:marLeft w:val="0"/>
      <w:marRight w:val="0"/>
      <w:marTop w:val="0"/>
      <w:marBottom w:val="0"/>
      <w:divBdr>
        <w:top w:val="none" w:sz="0" w:space="0" w:color="auto"/>
        <w:left w:val="none" w:sz="0" w:space="0" w:color="auto"/>
        <w:bottom w:val="none" w:sz="0" w:space="0" w:color="auto"/>
        <w:right w:val="none" w:sz="0" w:space="0" w:color="auto"/>
      </w:divBdr>
    </w:div>
    <w:div w:id="238442148">
      <w:bodyDiv w:val="1"/>
      <w:marLeft w:val="0"/>
      <w:marRight w:val="0"/>
      <w:marTop w:val="0"/>
      <w:marBottom w:val="0"/>
      <w:divBdr>
        <w:top w:val="none" w:sz="0" w:space="0" w:color="auto"/>
        <w:left w:val="none" w:sz="0" w:space="0" w:color="auto"/>
        <w:bottom w:val="none" w:sz="0" w:space="0" w:color="auto"/>
        <w:right w:val="none" w:sz="0" w:space="0" w:color="auto"/>
      </w:divBdr>
      <w:divsChild>
        <w:div w:id="3944628">
          <w:marLeft w:val="0"/>
          <w:marRight w:val="0"/>
          <w:marTop w:val="0"/>
          <w:marBottom w:val="0"/>
          <w:divBdr>
            <w:top w:val="none" w:sz="0" w:space="0" w:color="auto"/>
            <w:left w:val="none" w:sz="0" w:space="0" w:color="auto"/>
            <w:bottom w:val="none" w:sz="0" w:space="0" w:color="auto"/>
            <w:right w:val="none" w:sz="0" w:space="0" w:color="auto"/>
          </w:divBdr>
        </w:div>
        <w:div w:id="1865748680">
          <w:marLeft w:val="0"/>
          <w:marRight w:val="0"/>
          <w:marTop w:val="0"/>
          <w:marBottom w:val="0"/>
          <w:divBdr>
            <w:top w:val="none" w:sz="0" w:space="0" w:color="auto"/>
            <w:left w:val="none" w:sz="0" w:space="0" w:color="auto"/>
            <w:bottom w:val="none" w:sz="0" w:space="0" w:color="auto"/>
            <w:right w:val="none" w:sz="0" w:space="0" w:color="auto"/>
          </w:divBdr>
        </w:div>
        <w:div w:id="1321156459">
          <w:marLeft w:val="0"/>
          <w:marRight w:val="0"/>
          <w:marTop w:val="0"/>
          <w:marBottom w:val="0"/>
          <w:divBdr>
            <w:top w:val="none" w:sz="0" w:space="0" w:color="auto"/>
            <w:left w:val="none" w:sz="0" w:space="0" w:color="auto"/>
            <w:bottom w:val="none" w:sz="0" w:space="0" w:color="auto"/>
            <w:right w:val="none" w:sz="0" w:space="0" w:color="auto"/>
          </w:divBdr>
        </w:div>
      </w:divsChild>
    </w:div>
    <w:div w:id="267007161">
      <w:bodyDiv w:val="1"/>
      <w:marLeft w:val="0"/>
      <w:marRight w:val="0"/>
      <w:marTop w:val="0"/>
      <w:marBottom w:val="0"/>
      <w:divBdr>
        <w:top w:val="none" w:sz="0" w:space="0" w:color="auto"/>
        <w:left w:val="none" w:sz="0" w:space="0" w:color="auto"/>
        <w:bottom w:val="none" w:sz="0" w:space="0" w:color="auto"/>
        <w:right w:val="none" w:sz="0" w:space="0" w:color="auto"/>
      </w:divBdr>
    </w:div>
    <w:div w:id="274093979">
      <w:bodyDiv w:val="1"/>
      <w:marLeft w:val="0"/>
      <w:marRight w:val="0"/>
      <w:marTop w:val="0"/>
      <w:marBottom w:val="0"/>
      <w:divBdr>
        <w:top w:val="none" w:sz="0" w:space="0" w:color="auto"/>
        <w:left w:val="none" w:sz="0" w:space="0" w:color="auto"/>
        <w:bottom w:val="none" w:sz="0" w:space="0" w:color="auto"/>
        <w:right w:val="none" w:sz="0" w:space="0" w:color="auto"/>
      </w:divBdr>
    </w:div>
    <w:div w:id="280187669">
      <w:bodyDiv w:val="1"/>
      <w:marLeft w:val="0"/>
      <w:marRight w:val="0"/>
      <w:marTop w:val="0"/>
      <w:marBottom w:val="0"/>
      <w:divBdr>
        <w:top w:val="none" w:sz="0" w:space="0" w:color="auto"/>
        <w:left w:val="none" w:sz="0" w:space="0" w:color="auto"/>
        <w:bottom w:val="none" w:sz="0" w:space="0" w:color="auto"/>
        <w:right w:val="none" w:sz="0" w:space="0" w:color="auto"/>
      </w:divBdr>
    </w:div>
    <w:div w:id="287928932">
      <w:bodyDiv w:val="1"/>
      <w:marLeft w:val="0"/>
      <w:marRight w:val="0"/>
      <w:marTop w:val="0"/>
      <w:marBottom w:val="0"/>
      <w:divBdr>
        <w:top w:val="none" w:sz="0" w:space="0" w:color="auto"/>
        <w:left w:val="none" w:sz="0" w:space="0" w:color="auto"/>
        <w:bottom w:val="none" w:sz="0" w:space="0" w:color="auto"/>
        <w:right w:val="none" w:sz="0" w:space="0" w:color="auto"/>
      </w:divBdr>
    </w:div>
    <w:div w:id="311099645">
      <w:bodyDiv w:val="1"/>
      <w:marLeft w:val="0"/>
      <w:marRight w:val="0"/>
      <w:marTop w:val="0"/>
      <w:marBottom w:val="0"/>
      <w:divBdr>
        <w:top w:val="none" w:sz="0" w:space="0" w:color="auto"/>
        <w:left w:val="none" w:sz="0" w:space="0" w:color="auto"/>
        <w:bottom w:val="none" w:sz="0" w:space="0" w:color="auto"/>
        <w:right w:val="none" w:sz="0" w:space="0" w:color="auto"/>
      </w:divBdr>
    </w:div>
    <w:div w:id="312177116">
      <w:bodyDiv w:val="1"/>
      <w:marLeft w:val="0"/>
      <w:marRight w:val="0"/>
      <w:marTop w:val="0"/>
      <w:marBottom w:val="0"/>
      <w:divBdr>
        <w:top w:val="none" w:sz="0" w:space="0" w:color="auto"/>
        <w:left w:val="none" w:sz="0" w:space="0" w:color="auto"/>
        <w:bottom w:val="none" w:sz="0" w:space="0" w:color="auto"/>
        <w:right w:val="none" w:sz="0" w:space="0" w:color="auto"/>
      </w:divBdr>
    </w:div>
    <w:div w:id="337856287">
      <w:bodyDiv w:val="1"/>
      <w:marLeft w:val="0"/>
      <w:marRight w:val="0"/>
      <w:marTop w:val="0"/>
      <w:marBottom w:val="0"/>
      <w:divBdr>
        <w:top w:val="none" w:sz="0" w:space="0" w:color="auto"/>
        <w:left w:val="none" w:sz="0" w:space="0" w:color="auto"/>
        <w:bottom w:val="none" w:sz="0" w:space="0" w:color="auto"/>
        <w:right w:val="none" w:sz="0" w:space="0" w:color="auto"/>
      </w:divBdr>
    </w:div>
    <w:div w:id="358898527">
      <w:bodyDiv w:val="1"/>
      <w:marLeft w:val="0"/>
      <w:marRight w:val="0"/>
      <w:marTop w:val="0"/>
      <w:marBottom w:val="0"/>
      <w:divBdr>
        <w:top w:val="none" w:sz="0" w:space="0" w:color="auto"/>
        <w:left w:val="none" w:sz="0" w:space="0" w:color="auto"/>
        <w:bottom w:val="none" w:sz="0" w:space="0" w:color="auto"/>
        <w:right w:val="none" w:sz="0" w:space="0" w:color="auto"/>
      </w:divBdr>
    </w:div>
    <w:div w:id="366103375">
      <w:bodyDiv w:val="1"/>
      <w:marLeft w:val="0"/>
      <w:marRight w:val="0"/>
      <w:marTop w:val="0"/>
      <w:marBottom w:val="0"/>
      <w:divBdr>
        <w:top w:val="none" w:sz="0" w:space="0" w:color="auto"/>
        <w:left w:val="none" w:sz="0" w:space="0" w:color="auto"/>
        <w:bottom w:val="none" w:sz="0" w:space="0" w:color="auto"/>
        <w:right w:val="none" w:sz="0" w:space="0" w:color="auto"/>
      </w:divBdr>
    </w:div>
    <w:div w:id="370307641">
      <w:bodyDiv w:val="1"/>
      <w:marLeft w:val="0"/>
      <w:marRight w:val="0"/>
      <w:marTop w:val="0"/>
      <w:marBottom w:val="0"/>
      <w:divBdr>
        <w:top w:val="none" w:sz="0" w:space="0" w:color="auto"/>
        <w:left w:val="none" w:sz="0" w:space="0" w:color="auto"/>
        <w:bottom w:val="none" w:sz="0" w:space="0" w:color="auto"/>
        <w:right w:val="none" w:sz="0" w:space="0" w:color="auto"/>
      </w:divBdr>
    </w:div>
    <w:div w:id="375200754">
      <w:bodyDiv w:val="1"/>
      <w:marLeft w:val="0"/>
      <w:marRight w:val="0"/>
      <w:marTop w:val="0"/>
      <w:marBottom w:val="0"/>
      <w:divBdr>
        <w:top w:val="none" w:sz="0" w:space="0" w:color="auto"/>
        <w:left w:val="none" w:sz="0" w:space="0" w:color="auto"/>
        <w:bottom w:val="none" w:sz="0" w:space="0" w:color="auto"/>
        <w:right w:val="none" w:sz="0" w:space="0" w:color="auto"/>
      </w:divBdr>
      <w:divsChild>
        <w:div w:id="1205211837">
          <w:marLeft w:val="0"/>
          <w:marRight w:val="0"/>
          <w:marTop w:val="0"/>
          <w:marBottom w:val="0"/>
          <w:divBdr>
            <w:top w:val="none" w:sz="0" w:space="0" w:color="auto"/>
            <w:left w:val="none" w:sz="0" w:space="0" w:color="auto"/>
            <w:bottom w:val="none" w:sz="0" w:space="0" w:color="auto"/>
            <w:right w:val="none" w:sz="0" w:space="0" w:color="auto"/>
          </w:divBdr>
        </w:div>
        <w:div w:id="2083790056">
          <w:marLeft w:val="0"/>
          <w:marRight w:val="0"/>
          <w:marTop w:val="0"/>
          <w:marBottom w:val="0"/>
          <w:divBdr>
            <w:top w:val="none" w:sz="0" w:space="0" w:color="auto"/>
            <w:left w:val="none" w:sz="0" w:space="0" w:color="auto"/>
            <w:bottom w:val="none" w:sz="0" w:space="0" w:color="auto"/>
            <w:right w:val="none" w:sz="0" w:space="0" w:color="auto"/>
          </w:divBdr>
        </w:div>
        <w:div w:id="2038463150">
          <w:marLeft w:val="0"/>
          <w:marRight w:val="0"/>
          <w:marTop w:val="0"/>
          <w:marBottom w:val="0"/>
          <w:divBdr>
            <w:top w:val="none" w:sz="0" w:space="0" w:color="auto"/>
            <w:left w:val="none" w:sz="0" w:space="0" w:color="auto"/>
            <w:bottom w:val="none" w:sz="0" w:space="0" w:color="auto"/>
            <w:right w:val="none" w:sz="0" w:space="0" w:color="auto"/>
          </w:divBdr>
        </w:div>
      </w:divsChild>
    </w:div>
    <w:div w:id="377976713">
      <w:bodyDiv w:val="1"/>
      <w:marLeft w:val="0"/>
      <w:marRight w:val="0"/>
      <w:marTop w:val="0"/>
      <w:marBottom w:val="0"/>
      <w:divBdr>
        <w:top w:val="none" w:sz="0" w:space="0" w:color="auto"/>
        <w:left w:val="none" w:sz="0" w:space="0" w:color="auto"/>
        <w:bottom w:val="none" w:sz="0" w:space="0" w:color="auto"/>
        <w:right w:val="none" w:sz="0" w:space="0" w:color="auto"/>
      </w:divBdr>
    </w:div>
    <w:div w:id="391075103">
      <w:bodyDiv w:val="1"/>
      <w:marLeft w:val="0"/>
      <w:marRight w:val="0"/>
      <w:marTop w:val="0"/>
      <w:marBottom w:val="0"/>
      <w:divBdr>
        <w:top w:val="none" w:sz="0" w:space="0" w:color="auto"/>
        <w:left w:val="none" w:sz="0" w:space="0" w:color="auto"/>
        <w:bottom w:val="none" w:sz="0" w:space="0" w:color="auto"/>
        <w:right w:val="none" w:sz="0" w:space="0" w:color="auto"/>
      </w:divBdr>
    </w:div>
    <w:div w:id="421031219">
      <w:bodyDiv w:val="1"/>
      <w:marLeft w:val="0"/>
      <w:marRight w:val="0"/>
      <w:marTop w:val="0"/>
      <w:marBottom w:val="0"/>
      <w:divBdr>
        <w:top w:val="none" w:sz="0" w:space="0" w:color="auto"/>
        <w:left w:val="none" w:sz="0" w:space="0" w:color="auto"/>
        <w:bottom w:val="none" w:sz="0" w:space="0" w:color="auto"/>
        <w:right w:val="none" w:sz="0" w:space="0" w:color="auto"/>
      </w:divBdr>
    </w:div>
    <w:div w:id="422264947">
      <w:bodyDiv w:val="1"/>
      <w:marLeft w:val="0"/>
      <w:marRight w:val="0"/>
      <w:marTop w:val="0"/>
      <w:marBottom w:val="0"/>
      <w:divBdr>
        <w:top w:val="none" w:sz="0" w:space="0" w:color="auto"/>
        <w:left w:val="none" w:sz="0" w:space="0" w:color="auto"/>
        <w:bottom w:val="none" w:sz="0" w:space="0" w:color="auto"/>
        <w:right w:val="none" w:sz="0" w:space="0" w:color="auto"/>
      </w:divBdr>
    </w:div>
    <w:div w:id="442458918">
      <w:bodyDiv w:val="1"/>
      <w:marLeft w:val="0"/>
      <w:marRight w:val="0"/>
      <w:marTop w:val="0"/>
      <w:marBottom w:val="0"/>
      <w:divBdr>
        <w:top w:val="none" w:sz="0" w:space="0" w:color="auto"/>
        <w:left w:val="none" w:sz="0" w:space="0" w:color="auto"/>
        <w:bottom w:val="none" w:sz="0" w:space="0" w:color="auto"/>
        <w:right w:val="none" w:sz="0" w:space="0" w:color="auto"/>
      </w:divBdr>
    </w:div>
    <w:div w:id="453641500">
      <w:bodyDiv w:val="1"/>
      <w:marLeft w:val="0"/>
      <w:marRight w:val="0"/>
      <w:marTop w:val="0"/>
      <w:marBottom w:val="0"/>
      <w:divBdr>
        <w:top w:val="none" w:sz="0" w:space="0" w:color="auto"/>
        <w:left w:val="none" w:sz="0" w:space="0" w:color="auto"/>
        <w:bottom w:val="none" w:sz="0" w:space="0" w:color="auto"/>
        <w:right w:val="none" w:sz="0" w:space="0" w:color="auto"/>
      </w:divBdr>
    </w:div>
    <w:div w:id="480852388">
      <w:bodyDiv w:val="1"/>
      <w:marLeft w:val="0"/>
      <w:marRight w:val="0"/>
      <w:marTop w:val="0"/>
      <w:marBottom w:val="0"/>
      <w:divBdr>
        <w:top w:val="none" w:sz="0" w:space="0" w:color="auto"/>
        <w:left w:val="none" w:sz="0" w:space="0" w:color="auto"/>
        <w:bottom w:val="none" w:sz="0" w:space="0" w:color="auto"/>
        <w:right w:val="none" w:sz="0" w:space="0" w:color="auto"/>
      </w:divBdr>
    </w:div>
    <w:div w:id="483475247">
      <w:bodyDiv w:val="1"/>
      <w:marLeft w:val="0"/>
      <w:marRight w:val="0"/>
      <w:marTop w:val="0"/>
      <w:marBottom w:val="0"/>
      <w:divBdr>
        <w:top w:val="none" w:sz="0" w:space="0" w:color="auto"/>
        <w:left w:val="none" w:sz="0" w:space="0" w:color="auto"/>
        <w:bottom w:val="none" w:sz="0" w:space="0" w:color="auto"/>
        <w:right w:val="none" w:sz="0" w:space="0" w:color="auto"/>
      </w:divBdr>
    </w:div>
    <w:div w:id="499277272">
      <w:bodyDiv w:val="1"/>
      <w:marLeft w:val="0"/>
      <w:marRight w:val="0"/>
      <w:marTop w:val="0"/>
      <w:marBottom w:val="0"/>
      <w:divBdr>
        <w:top w:val="none" w:sz="0" w:space="0" w:color="auto"/>
        <w:left w:val="none" w:sz="0" w:space="0" w:color="auto"/>
        <w:bottom w:val="none" w:sz="0" w:space="0" w:color="auto"/>
        <w:right w:val="none" w:sz="0" w:space="0" w:color="auto"/>
      </w:divBdr>
    </w:div>
    <w:div w:id="503906811">
      <w:bodyDiv w:val="1"/>
      <w:marLeft w:val="0"/>
      <w:marRight w:val="0"/>
      <w:marTop w:val="0"/>
      <w:marBottom w:val="0"/>
      <w:divBdr>
        <w:top w:val="none" w:sz="0" w:space="0" w:color="auto"/>
        <w:left w:val="none" w:sz="0" w:space="0" w:color="auto"/>
        <w:bottom w:val="none" w:sz="0" w:space="0" w:color="auto"/>
        <w:right w:val="none" w:sz="0" w:space="0" w:color="auto"/>
      </w:divBdr>
    </w:div>
    <w:div w:id="509376516">
      <w:bodyDiv w:val="1"/>
      <w:marLeft w:val="0"/>
      <w:marRight w:val="0"/>
      <w:marTop w:val="0"/>
      <w:marBottom w:val="0"/>
      <w:divBdr>
        <w:top w:val="none" w:sz="0" w:space="0" w:color="auto"/>
        <w:left w:val="none" w:sz="0" w:space="0" w:color="auto"/>
        <w:bottom w:val="none" w:sz="0" w:space="0" w:color="auto"/>
        <w:right w:val="none" w:sz="0" w:space="0" w:color="auto"/>
      </w:divBdr>
    </w:div>
    <w:div w:id="513151896">
      <w:bodyDiv w:val="1"/>
      <w:marLeft w:val="0"/>
      <w:marRight w:val="0"/>
      <w:marTop w:val="0"/>
      <w:marBottom w:val="0"/>
      <w:divBdr>
        <w:top w:val="none" w:sz="0" w:space="0" w:color="auto"/>
        <w:left w:val="none" w:sz="0" w:space="0" w:color="auto"/>
        <w:bottom w:val="none" w:sz="0" w:space="0" w:color="auto"/>
        <w:right w:val="none" w:sz="0" w:space="0" w:color="auto"/>
      </w:divBdr>
    </w:div>
    <w:div w:id="555092252">
      <w:bodyDiv w:val="1"/>
      <w:marLeft w:val="0"/>
      <w:marRight w:val="0"/>
      <w:marTop w:val="0"/>
      <w:marBottom w:val="0"/>
      <w:divBdr>
        <w:top w:val="none" w:sz="0" w:space="0" w:color="auto"/>
        <w:left w:val="none" w:sz="0" w:space="0" w:color="auto"/>
        <w:bottom w:val="none" w:sz="0" w:space="0" w:color="auto"/>
        <w:right w:val="none" w:sz="0" w:space="0" w:color="auto"/>
      </w:divBdr>
    </w:div>
    <w:div w:id="600727645">
      <w:bodyDiv w:val="1"/>
      <w:marLeft w:val="0"/>
      <w:marRight w:val="0"/>
      <w:marTop w:val="0"/>
      <w:marBottom w:val="0"/>
      <w:divBdr>
        <w:top w:val="none" w:sz="0" w:space="0" w:color="auto"/>
        <w:left w:val="none" w:sz="0" w:space="0" w:color="auto"/>
        <w:bottom w:val="none" w:sz="0" w:space="0" w:color="auto"/>
        <w:right w:val="none" w:sz="0" w:space="0" w:color="auto"/>
      </w:divBdr>
    </w:div>
    <w:div w:id="605234939">
      <w:bodyDiv w:val="1"/>
      <w:marLeft w:val="0"/>
      <w:marRight w:val="0"/>
      <w:marTop w:val="0"/>
      <w:marBottom w:val="0"/>
      <w:divBdr>
        <w:top w:val="none" w:sz="0" w:space="0" w:color="auto"/>
        <w:left w:val="none" w:sz="0" w:space="0" w:color="auto"/>
        <w:bottom w:val="none" w:sz="0" w:space="0" w:color="auto"/>
        <w:right w:val="none" w:sz="0" w:space="0" w:color="auto"/>
      </w:divBdr>
    </w:div>
    <w:div w:id="608120894">
      <w:bodyDiv w:val="1"/>
      <w:marLeft w:val="0"/>
      <w:marRight w:val="0"/>
      <w:marTop w:val="0"/>
      <w:marBottom w:val="0"/>
      <w:divBdr>
        <w:top w:val="none" w:sz="0" w:space="0" w:color="auto"/>
        <w:left w:val="none" w:sz="0" w:space="0" w:color="auto"/>
        <w:bottom w:val="none" w:sz="0" w:space="0" w:color="auto"/>
        <w:right w:val="none" w:sz="0" w:space="0" w:color="auto"/>
      </w:divBdr>
    </w:div>
    <w:div w:id="614557560">
      <w:bodyDiv w:val="1"/>
      <w:marLeft w:val="0"/>
      <w:marRight w:val="0"/>
      <w:marTop w:val="0"/>
      <w:marBottom w:val="0"/>
      <w:divBdr>
        <w:top w:val="none" w:sz="0" w:space="0" w:color="auto"/>
        <w:left w:val="none" w:sz="0" w:space="0" w:color="auto"/>
        <w:bottom w:val="none" w:sz="0" w:space="0" w:color="auto"/>
        <w:right w:val="none" w:sz="0" w:space="0" w:color="auto"/>
      </w:divBdr>
    </w:div>
    <w:div w:id="614797861">
      <w:bodyDiv w:val="1"/>
      <w:marLeft w:val="0"/>
      <w:marRight w:val="0"/>
      <w:marTop w:val="0"/>
      <w:marBottom w:val="0"/>
      <w:divBdr>
        <w:top w:val="none" w:sz="0" w:space="0" w:color="auto"/>
        <w:left w:val="none" w:sz="0" w:space="0" w:color="auto"/>
        <w:bottom w:val="none" w:sz="0" w:space="0" w:color="auto"/>
        <w:right w:val="none" w:sz="0" w:space="0" w:color="auto"/>
      </w:divBdr>
    </w:div>
    <w:div w:id="642932053">
      <w:bodyDiv w:val="1"/>
      <w:marLeft w:val="0"/>
      <w:marRight w:val="0"/>
      <w:marTop w:val="0"/>
      <w:marBottom w:val="0"/>
      <w:divBdr>
        <w:top w:val="none" w:sz="0" w:space="0" w:color="auto"/>
        <w:left w:val="none" w:sz="0" w:space="0" w:color="auto"/>
        <w:bottom w:val="none" w:sz="0" w:space="0" w:color="auto"/>
        <w:right w:val="none" w:sz="0" w:space="0" w:color="auto"/>
      </w:divBdr>
    </w:div>
    <w:div w:id="700857606">
      <w:bodyDiv w:val="1"/>
      <w:marLeft w:val="0"/>
      <w:marRight w:val="0"/>
      <w:marTop w:val="0"/>
      <w:marBottom w:val="0"/>
      <w:divBdr>
        <w:top w:val="none" w:sz="0" w:space="0" w:color="auto"/>
        <w:left w:val="none" w:sz="0" w:space="0" w:color="auto"/>
        <w:bottom w:val="none" w:sz="0" w:space="0" w:color="auto"/>
        <w:right w:val="none" w:sz="0" w:space="0" w:color="auto"/>
      </w:divBdr>
    </w:div>
    <w:div w:id="721634735">
      <w:bodyDiv w:val="1"/>
      <w:marLeft w:val="0"/>
      <w:marRight w:val="0"/>
      <w:marTop w:val="0"/>
      <w:marBottom w:val="0"/>
      <w:divBdr>
        <w:top w:val="none" w:sz="0" w:space="0" w:color="auto"/>
        <w:left w:val="none" w:sz="0" w:space="0" w:color="auto"/>
        <w:bottom w:val="none" w:sz="0" w:space="0" w:color="auto"/>
        <w:right w:val="none" w:sz="0" w:space="0" w:color="auto"/>
      </w:divBdr>
    </w:div>
    <w:div w:id="722797407">
      <w:bodyDiv w:val="1"/>
      <w:marLeft w:val="0"/>
      <w:marRight w:val="0"/>
      <w:marTop w:val="0"/>
      <w:marBottom w:val="0"/>
      <w:divBdr>
        <w:top w:val="none" w:sz="0" w:space="0" w:color="auto"/>
        <w:left w:val="none" w:sz="0" w:space="0" w:color="auto"/>
        <w:bottom w:val="none" w:sz="0" w:space="0" w:color="auto"/>
        <w:right w:val="none" w:sz="0" w:space="0" w:color="auto"/>
      </w:divBdr>
    </w:div>
    <w:div w:id="755052767">
      <w:bodyDiv w:val="1"/>
      <w:marLeft w:val="0"/>
      <w:marRight w:val="0"/>
      <w:marTop w:val="0"/>
      <w:marBottom w:val="0"/>
      <w:divBdr>
        <w:top w:val="none" w:sz="0" w:space="0" w:color="auto"/>
        <w:left w:val="none" w:sz="0" w:space="0" w:color="auto"/>
        <w:bottom w:val="none" w:sz="0" w:space="0" w:color="auto"/>
        <w:right w:val="none" w:sz="0" w:space="0" w:color="auto"/>
      </w:divBdr>
    </w:div>
    <w:div w:id="759566754">
      <w:bodyDiv w:val="1"/>
      <w:marLeft w:val="0"/>
      <w:marRight w:val="0"/>
      <w:marTop w:val="0"/>
      <w:marBottom w:val="0"/>
      <w:divBdr>
        <w:top w:val="none" w:sz="0" w:space="0" w:color="auto"/>
        <w:left w:val="none" w:sz="0" w:space="0" w:color="auto"/>
        <w:bottom w:val="none" w:sz="0" w:space="0" w:color="auto"/>
        <w:right w:val="none" w:sz="0" w:space="0" w:color="auto"/>
      </w:divBdr>
    </w:div>
    <w:div w:id="795292113">
      <w:bodyDiv w:val="1"/>
      <w:marLeft w:val="0"/>
      <w:marRight w:val="0"/>
      <w:marTop w:val="0"/>
      <w:marBottom w:val="0"/>
      <w:divBdr>
        <w:top w:val="none" w:sz="0" w:space="0" w:color="auto"/>
        <w:left w:val="none" w:sz="0" w:space="0" w:color="auto"/>
        <w:bottom w:val="none" w:sz="0" w:space="0" w:color="auto"/>
        <w:right w:val="none" w:sz="0" w:space="0" w:color="auto"/>
      </w:divBdr>
    </w:div>
    <w:div w:id="803039993">
      <w:bodyDiv w:val="1"/>
      <w:marLeft w:val="0"/>
      <w:marRight w:val="0"/>
      <w:marTop w:val="0"/>
      <w:marBottom w:val="0"/>
      <w:divBdr>
        <w:top w:val="none" w:sz="0" w:space="0" w:color="auto"/>
        <w:left w:val="none" w:sz="0" w:space="0" w:color="auto"/>
        <w:bottom w:val="none" w:sz="0" w:space="0" w:color="auto"/>
        <w:right w:val="none" w:sz="0" w:space="0" w:color="auto"/>
      </w:divBdr>
    </w:div>
    <w:div w:id="804926415">
      <w:bodyDiv w:val="1"/>
      <w:marLeft w:val="0"/>
      <w:marRight w:val="0"/>
      <w:marTop w:val="0"/>
      <w:marBottom w:val="0"/>
      <w:divBdr>
        <w:top w:val="none" w:sz="0" w:space="0" w:color="auto"/>
        <w:left w:val="none" w:sz="0" w:space="0" w:color="auto"/>
        <w:bottom w:val="none" w:sz="0" w:space="0" w:color="auto"/>
        <w:right w:val="none" w:sz="0" w:space="0" w:color="auto"/>
      </w:divBdr>
    </w:div>
    <w:div w:id="812602549">
      <w:bodyDiv w:val="1"/>
      <w:marLeft w:val="0"/>
      <w:marRight w:val="0"/>
      <w:marTop w:val="0"/>
      <w:marBottom w:val="0"/>
      <w:divBdr>
        <w:top w:val="none" w:sz="0" w:space="0" w:color="auto"/>
        <w:left w:val="none" w:sz="0" w:space="0" w:color="auto"/>
        <w:bottom w:val="none" w:sz="0" w:space="0" w:color="auto"/>
        <w:right w:val="none" w:sz="0" w:space="0" w:color="auto"/>
      </w:divBdr>
    </w:div>
    <w:div w:id="819423682">
      <w:bodyDiv w:val="1"/>
      <w:marLeft w:val="0"/>
      <w:marRight w:val="0"/>
      <w:marTop w:val="0"/>
      <w:marBottom w:val="0"/>
      <w:divBdr>
        <w:top w:val="none" w:sz="0" w:space="0" w:color="auto"/>
        <w:left w:val="none" w:sz="0" w:space="0" w:color="auto"/>
        <w:bottom w:val="none" w:sz="0" w:space="0" w:color="auto"/>
        <w:right w:val="none" w:sz="0" w:space="0" w:color="auto"/>
      </w:divBdr>
    </w:div>
    <w:div w:id="824011794">
      <w:bodyDiv w:val="1"/>
      <w:marLeft w:val="0"/>
      <w:marRight w:val="0"/>
      <w:marTop w:val="0"/>
      <w:marBottom w:val="0"/>
      <w:divBdr>
        <w:top w:val="none" w:sz="0" w:space="0" w:color="auto"/>
        <w:left w:val="none" w:sz="0" w:space="0" w:color="auto"/>
        <w:bottom w:val="none" w:sz="0" w:space="0" w:color="auto"/>
        <w:right w:val="none" w:sz="0" w:space="0" w:color="auto"/>
      </w:divBdr>
    </w:div>
    <w:div w:id="832646738">
      <w:bodyDiv w:val="1"/>
      <w:marLeft w:val="0"/>
      <w:marRight w:val="0"/>
      <w:marTop w:val="0"/>
      <w:marBottom w:val="0"/>
      <w:divBdr>
        <w:top w:val="none" w:sz="0" w:space="0" w:color="auto"/>
        <w:left w:val="none" w:sz="0" w:space="0" w:color="auto"/>
        <w:bottom w:val="none" w:sz="0" w:space="0" w:color="auto"/>
        <w:right w:val="none" w:sz="0" w:space="0" w:color="auto"/>
      </w:divBdr>
    </w:div>
    <w:div w:id="845365391">
      <w:bodyDiv w:val="1"/>
      <w:marLeft w:val="0"/>
      <w:marRight w:val="0"/>
      <w:marTop w:val="0"/>
      <w:marBottom w:val="0"/>
      <w:divBdr>
        <w:top w:val="none" w:sz="0" w:space="0" w:color="auto"/>
        <w:left w:val="none" w:sz="0" w:space="0" w:color="auto"/>
        <w:bottom w:val="none" w:sz="0" w:space="0" w:color="auto"/>
        <w:right w:val="none" w:sz="0" w:space="0" w:color="auto"/>
      </w:divBdr>
    </w:div>
    <w:div w:id="849679430">
      <w:bodyDiv w:val="1"/>
      <w:marLeft w:val="0"/>
      <w:marRight w:val="0"/>
      <w:marTop w:val="0"/>
      <w:marBottom w:val="0"/>
      <w:divBdr>
        <w:top w:val="none" w:sz="0" w:space="0" w:color="auto"/>
        <w:left w:val="none" w:sz="0" w:space="0" w:color="auto"/>
        <w:bottom w:val="none" w:sz="0" w:space="0" w:color="auto"/>
        <w:right w:val="none" w:sz="0" w:space="0" w:color="auto"/>
      </w:divBdr>
    </w:div>
    <w:div w:id="850871535">
      <w:bodyDiv w:val="1"/>
      <w:marLeft w:val="0"/>
      <w:marRight w:val="0"/>
      <w:marTop w:val="0"/>
      <w:marBottom w:val="0"/>
      <w:divBdr>
        <w:top w:val="none" w:sz="0" w:space="0" w:color="auto"/>
        <w:left w:val="none" w:sz="0" w:space="0" w:color="auto"/>
        <w:bottom w:val="none" w:sz="0" w:space="0" w:color="auto"/>
        <w:right w:val="none" w:sz="0" w:space="0" w:color="auto"/>
      </w:divBdr>
    </w:div>
    <w:div w:id="866061191">
      <w:bodyDiv w:val="1"/>
      <w:marLeft w:val="0"/>
      <w:marRight w:val="0"/>
      <w:marTop w:val="0"/>
      <w:marBottom w:val="0"/>
      <w:divBdr>
        <w:top w:val="none" w:sz="0" w:space="0" w:color="auto"/>
        <w:left w:val="none" w:sz="0" w:space="0" w:color="auto"/>
        <w:bottom w:val="none" w:sz="0" w:space="0" w:color="auto"/>
        <w:right w:val="none" w:sz="0" w:space="0" w:color="auto"/>
      </w:divBdr>
    </w:div>
    <w:div w:id="873689090">
      <w:bodyDiv w:val="1"/>
      <w:marLeft w:val="0"/>
      <w:marRight w:val="0"/>
      <w:marTop w:val="0"/>
      <w:marBottom w:val="0"/>
      <w:divBdr>
        <w:top w:val="none" w:sz="0" w:space="0" w:color="auto"/>
        <w:left w:val="none" w:sz="0" w:space="0" w:color="auto"/>
        <w:bottom w:val="none" w:sz="0" w:space="0" w:color="auto"/>
        <w:right w:val="none" w:sz="0" w:space="0" w:color="auto"/>
      </w:divBdr>
    </w:div>
    <w:div w:id="894239796">
      <w:bodyDiv w:val="1"/>
      <w:marLeft w:val="0"/>
      <w:marRight w:val="0"/>
      <w:marTop w:val="0"/>
      <w:marBottom w:val="0"/>
      <w:divBdr>
        <w:top w:val="none" w:sz="0" w:space="0" w:color="auto"/>
        <w:left w:val="none" w:sz="0" w:space="0" w:color="auto"/>
        <w:bottom w:val="none" w:sz="0" w:space="0" w:color="auto"/>
        <w:right w:val="none" w:sz="0" w:space="0" w:color="auto"/>
      </w:divBdr>
    </w:div>
    <w:div w:id="910386357">
      <w:bodyDiv w:val="1"/>
      <w:marLeft w:val="0"/>
      <w:marRight w:val="0"/>
      <w:marTop w:val="0"/>
      <w:marBottom w:val="0"/>
      <w:divBdr>
        <w:top w:val="none" w:sz="0" w:space="0" w:color="auto"/>
        <w:left w:val="none" w:sz="0" w:space="0" w:color="auto"/>
        <w:bottom w:val="none" w:sz="0" w:space="0" w:color="auto"/>
        <w:right w:val="none" w:sz="0" w:space="0" w:color="auto"/>
      </w:divBdr>
    </w:div>
    <w:div w:id="912203333">
      <w:bodyDiv w:val="1"/>
      <w:marLeft w:val="0"/>
      <w:marRight w:val="0"/>
      <w:marTop w:val="0"/>
      <w:marBottom w:val="0"/>
      <w:divBdr>
        <w:top w:val="none" w:sz="0" w:space="0" w:color="auto"/>
        <w:left w:val="none" w:sz="0" w:space="0" w:color="auto"/>
        <w:bottom w:val="none" w:sz="0" w:space="0" w:color="auto"/>
        <w:right w:val="none" w:sz="0" w:space="0" w:color="auto"/>
      </w:divBdr>
    </w:div>
    <w:div w:id="928545782">
      <w:bodyDiv w:val="1"/>
      <w:marLeft w:val="0"/>
      <w:marRight w:val="0"/>
      <w:marTop w:val="0"/>
      <w:marBottom w:val="0"/>
      <w:divBdr>
        <w:top w:val="none" w:sz="0" w:space="0" w:color="auto"/>
        <w:left w:val="none" w:sz="0" w:space="0" w:color="auto"/>
        <w:bottom w:val="none" w:sz="0" w:space="0" w:color="auto"/>
        <w:right w:val="none" w:sz="0" w:space="0" w:color="auto"/>
      </w:divBdr>
    </w:div>
    <w:div w:id="933705662">
      <w:bodyDiv w:val="1"/>
      <w:marLeft w:val="0"/>
      <w:marRight w:val="0"/>
      <w:marTop w:val="0"/>
      <w:marBottom w:val="0"/>
      <w:divBdr>
        <w:top w:val="none" w:sz="0" w:space="0" w:color="auto"/>
        <w:left w:val="none" w:sz="0" w:space="0" w:color="auto"/>
        <w:bottom w:val="none" w:sz="0" w:space="0" w:color="auto"/>
        <w:right w:val="none" w:sz="0" w:space="0" w:color="auto"/>
      </w:divBdr>
    </w:div>
    <w:div w:id="943851711">
      <w:bodyDiv w:val="1"/>
      <w:marLeft w:val="0"/>
      <w:marRight w:val="0"/>
      <w:marTop w:val="0"/>
      <w:marBottom w:val="0"/>
      <w:divBdr>
        <w:top w:val="none" w:sz="0" w:space="0" w:color="auto"/>
        <w:left w:val="none" w:sz="0" w:space="0" w:color="auto"/>
        <w:bottom w:val="none" w:sz="0" w:space="0" w:color="auto"/>
        <w:right w:val="none" w:sz="0" w:space="0" w:color="auto"/>
      </w:divBdr>
    </w:div>
    <w:div w:id="946814909">
      <w:bodyDiv w:val="1"/>
      <w:marLeft w:val="0"/>
      <w:marRight w:val="0"/>
      <w:marTop w:val="0"/>
      <w:marBottom w:val="0"/>
      <w:divBdr>
        <w:top w:val="none" w:sz="0" w:space="0" w:color="auto"/>
        <w:left w:val="none" w:sz="0" w:space="0" w:color="auto"/>
        <w:bottom w:val="none" w:sz="0" w:space="0" w:color="auto"/>
        <w:right w:val="none" w:sz="0" w:space="0" w:color="auto"/>
      </w:divBdr>
    </w:div>
    <w:div w:id="958299918">
      <w:bodyDiv w:val="1"/>
      <w:marLeft w:val="0"/>
      <w:marRight w:val="0"/>
      <w:marTop w:val="0"/>
      <w:marBottom w:val="0"/>
      <w:divBdr>
        <w:top w:val="none" w:sz="0" w:space="0" w:color="auto"/>
        <w:left w:val="none" w:sz="0" w:space="0" w:color="auto"/>
        <w:bottom w:val="none" w:sz="0" w:space="0" w:color="auto"/>
        <w:right w:val="none" w:sz="0" w:space="0" w:color="auto"/>
      </w:divBdr>
    </w:div>
    <w:div w:id="970749632">
      <w:bodyDiv w:val="1"/>
      <w:marLeft w:val="0"/>
      <w:marRight w:val="0"/>
      <w:marTop w:val="0"/>
      <w:marBottom w:val="0"/>
      <w:divBdr>
        <w:top w:val="none" w:sz="0" w:space="0" w:color="auto"/>
        <w:left w:val="none" w:sz="0" w:space="0" w:color="auto"/>
        <w:bottom w:val="none" w:sz="0" w:space="0" w:color="auto"/>
        <w:right w:val="none" w:sz="0" w:space="0" w:color="auto"/>
      </w:divBdr>
    </w:div>
    <w:div w:id="1021517173">
      <w:bodyDiv w:val="1"/>
      <w:marLeft w:val="0"/>
      <w:marRight w:val="0"/>
      <w:marTop w:val="0"/>
      <w:marBottom w:val="0"/>
      <w:divBdr>
        <w:top w:val="none" w:sz="0" w:space="0" w:color="auto"/>
        <w:left w:val="none" w:sz="0" w:space="0" w:color="auto"/>
        <w:bottom w:val="none" w:sz="0" w:space="0" w:color="auto"/>
        <w:right w:val="none" w:sz="0" w:space="0" w:color="auto"/>
      </w:divBdr>
    </w:div>
    <w:div w:id="1023433049">
      <w:bodyDiv w:val="1"/>
      <w:marLeft w:val="0"/>
      <w:marRight w:val="0"/>
      <w:marTop w:val="0"/>
      <w:marBottom w:val="0"/>
      <w:divBdr>
        <w:top w:val="none" w:sz="0" w:space="0" w:color="auto"/>
        <w:left w:val="none" w:sz="0" w:space="0" w:color="auto"/>
        <w:bottom w:val="none" w:sz="0" w:space="0" w:color="auto"/>
        <w:right w:val="none" w:sz="0" w:space="0" w:color="auto"/>
      </w:divBdr>
    </w:div>
    <w:div w:id="1036463775">
      <w:bodyDiv w:val="1"/>
      <w:marLeft w:val="0"/>
      <w:marRight w:val="0"/>
      <w:marTop w:val="0"/>
      <w:marBottom w:val="0"/>
      <w:divBdr>
        <w:top w:val="none" w:sz="0" w:space="0" w:color="auto"/>
        <w:left w:val="none" w:sz="0" w:space="0" w:color="auto"/>
        <w:bottom w:val="none" w:sz="0" w:space="0" w:color="auto"/>
        <w:right w:val="none" w:sz="0" w:space="0" w:color="auto"/>
      </w:divBdr>
    </w:div>
    <w:div w:id="1054279623">
      <w:bodyDiv w:val="1"/>
      <w:marLeft w:val="0"/>
      <w:marRight w:val="0"/>
      <w:marTop w:val="0"/>
      <w:marBottom w:val="0"/>
      <w:divBdr>
        <w:top w:val="none" w:sz="0" w:space="0" w:color="auto"/>
        <w:left w:val="none" w:sz="0" w:space="0" w:color="auto"/>
        <w:bottom w:val="none" w:sz="0" w:space="0" w:color="auto"/>
        <w:right w:val="none" w:sz="0" w:space="0" w:color="auto"/>
      </w:divBdr>
    </w:div>
    <w:div w:id="1067072117">
      <w:bodyDiv w:val="1"/>
      <w:marLeft w:val="0"/>
      <w:marRight w:val="0"/>
      <w:marTop w:val="0"/>
      <w:marBottom w:val="0"/>
      <w:divBdr>
        <w:top w:val="none" w:sz="0" w:space="0" w:color="auto"/>
        <w:left w:val="none" w:sz="0" w:space="0" w:color="auto"/>
        <w:bottom w:val="none" w:sz="0" w:space="0" w:color="auto"/>
        <w:right w:val="none" w:sz="0" w:space="0" w:color="auto"/>
      </w:divBdr>
    </w:div>
    <w:div w:id="1079668926">
      <w:bodyDiv w:val="1"/>
      <w:marLeft w:val="0"/>
      <w:marRight w:val="0"/>
      <w:marTop w:val="0"/>
      <w:marBottom w:val="0"/>
      <w:divBdr>
        <w:top w:val="none" w:sz="0" w:space="0" w:color="auto"/>
        <w:left w:val="none" w:sz="0" w:space="0" w:color="auto"/>
        <w:bottom w:val="none" w:sz="0" w:space="0" w:color="auto"/>
        <w:right w:val="none" w:sz="0" w:space="0" w:color="auto"/>
      </w:divBdr>
    </w:div>
    <w:div w:id="1081291289">
      <w:bodyDiv w:val="1"/>
      <w:marLeft w:val="0"/>
      <w:marRight w:val="0"/>
      <w:marTop w:val="0"/>
      <w:marBottom w:val="0"/>
      <w:divBdr>
        <w:top w:val="none" w:sz="0" w:space="0" w:color="auto"/>
        <w:left w:val="none" w:sz="0" w:space="0" w:color="auto"/>
        <w:bottom w:val="none" w:sz="0" w:space="0" w:color="auto"/>
        <w:right w:val="none" w:sz="0" w:space="0" w:color="auto"/>
      </w:divBdr>
    </w:div>
    <w:div w:id="1082069893">
      <w:bodyDiv w:val="1"/>
      <w:marLeft w:val="0"/>
      <w:marRight w:val="0"/>
      <w:marTop w:val="0"/>
      <w:marBottom w:val="0"/>
      <w:divBdr>
        <w:top w:val="none" w:sz="0" w:space="0" w:color="auto"/>
        <w:left w:val="none" w:sz="0" w:space="0" w:color="auto"/>
        <w:bottom w:val="none" w:sz="0" w:space="0" w:color="auto"/>
        <w:right w:val="none" w:sz="0" w:space="0" w:color="auto"/>
      </w:divBdr>
    </w:div>
    <w:div w:id="1178233165">
      <w:bodyDiv w:val="1"/>
      <w:marLeft w:val="0"/>
      <w:marRight w:val="0"/>
      <w:marTop w:val="0"/>
      <w:marBottom w:val="0"/>
      <w:divBdr>
        <w:top w:val="none" w:sz="0" w:space="0" w:color="auto"/>
        <w:left w:val="none" w:sz="0" w:space="0" w:color="auto"/>
        <w:bottom w:val="none" w:sz="0" w:space="0" w:color="auto"/>
        <w:right w:val="none" w:sz="0" w:space="0" w:color="auto"/>
      </w:divBdr>
    </w:div>
    <w:div w:id="1180700067">
      <w:bodyDiv w:val="1"/>
      <w:marLeft w:val="0"/>
      <w:marRight w:val="0"/>
      <w:marTop w:val="0"/>
      <w:marBottom w:val="0"/>
      <w:divBdr>
        <w:top w:val="none" w:sz="0" w:space="0" w:color="auto"/>
        <w:left w:val="none" w:sz="0" w:space="0" w:color="auto"/>
        <w:bottom w:val="none" w:sz="0" w:space="0" w:color="auto"/>
        <w:right w:val="none" w:sz="0" w:space="0" w:color="auto"/>
      </w:divBdr>
    </w:div>
    <w:div w:id="1193684797">
      <w:bodyDiv w:val="1"/>
      <w:marLeft w:val="0"/>
      <w:marRight w:val="0"/>
      <w:marTop w:val="0"/>
      <w:marBottom w:val="0"/>
      <w:divBdr>
        <w:top w:val="none" w:sz="0" w:space="0" w:color="auto"/>
        <w:left w:val="none" w:sz="0" w:space="0" w:color="auto"/>
        <w:bottom w:val="none" w:sz="0" w:space="0" w:color="auto"/>
        <w:right w:val="none" w:sz="0" w:space="0" w:color="auto"/>
      </w:divBdr>
    </w:div>
    <w:div w:id="1216553022">
      <w:bodyDiv w:val="1"/>
      <w:marLeft w:val="0"/>
      <w:marRight w:val="0"/>
      <w:marTop w:val="0"/>
      <w:marBottom w:val="0"/>
      <w:divBdr>
        <w:top w:val="none" w:sz="0" w:space="0" w:color="auto"/>
        <w:left w:val="none" w:sz="0" w:space="0" w:color="auto"/>
        <w:bottom w:val="none" w:sz="0" w:space="0" w:color="auto"/>
        <w:right w:val="none" w:sz="0" w:space="0" w:color="auto"/>
      </w:divBdr>
    </w:div>
    <w:div w:id="1239250485">
      <w:bodyDiv w:val="1"/>
      <w:marLeft w:val="0"/>
      <w:marRight w:val="0"/>
      <w:marTop w:val="0"/>
      <w:marBottom w:val="0"/>
      <w:divBdr>
        <w:top w:val="none" w:sz="0" w:space="0" w:color="auto"/>
        <w:left w:val="none" w:sz="0" w:space="0" w:color="auto"/>
        <w:bottom w:val="none" w:sz="0" w:space="0" w:color="auto"/>
        <w:right w:val="none" w:sz="0" w:space="0" w:color="auto"/>
      </w:divBdr>
    </w:div>
    <w:div w:id="1243249016">
      <w:bodyDiv w:val="1"/>
      <w:marLeft w:val="0"/>
      <w:marRight w:val="0"/>
      <w:marTop w:val="0"/>
      <w:marBottom w:val="0"/>
      <w:divBdr>
        <w:top w:val="none" w:sz="0" w:space="0" w:color="auto"/>
        <w:left w:val="none" w:sz="0" w:space="0" w:color="auto"/>
        <w:bottom w:val="none" w:sz="0" w:space="0" w:color="auto"/>
        <w:right w:val="none" w:sz="0" w:space="0" w:color="auto"/>
      </w:divBdr>
    </w:div>
    <w:div w:id="1290939484">
      <w:bodyDiv w:val="1"/>
      <w:marLeft w:val="0"/>
      <w:marRight w:val="0"/>
      <w:marTop w:val="0"/>
      <w:marBottom w:val="0"/>
      <w:divBdr>
        <w:top w:val="none" w:sz="0" w:space="0" w:color="auto"/>
        <w:left w:val="none" w:sz="0" w:space="0" w:color="auto"/>
        <w:bottom w:val="none" w:sz="0" w:space="0" w:color="auto"/>
        <w:right w:val="none" w:sz="0" w:space="0" w:color="auto"/>
      </w:divBdr>
    </w:div>
    <w:div w:id="1292436912">
      <w:bodyDiv w:val="1"/>
      <w:marLeft w:val="0"/>
      <w:marRight w:val="0"/>
      <w:marTop w:val="0"/>
      <w:marBottom w:val="0"/>
      <w:divBdr>
        <w:top w:val="none" w:sz="0" w:space="0" w:color="auto"/>
        <w:left w:val="none" w:sz="0" w:space="0" w:color="auto"/>
        <w:bottom w:val="none" w:sz="0" w:space="0" w:color="auto"/>
        <w:right w:val="none" w:sz="0" w:space="0" w:color="auto"/>
      </w:divBdr>
    </w:div>
    <w:div w:id="1363554939">
      <w:bodyDiv w:val="1"/>
      <w:marLeft w:val="0"/>
      <w:marRight w:val="0"/>
      <w:marTop w:val="0"/>
      <w:marBottom w:val="0"/>
      <w:divBdr>
        <w:top w:val="none" w:sz="0" w:space="0" w:color="auto"/>
        <w:left w:val="none" w:sz="0" w:space="0" w:color="auto"/>
        <w:bottom w:val="none" w:sz="0" w:space="0" w:color="auto"/>
        <w:right w:val="none" w:sz="0" w:space="0" w:color="auto"/>
      </w:divBdr>
    </w:div>
    <w:div w:id="1368333103">
      <w:bodyDiv w:val="1"/>
      <w:marLeft w:val="0"/>
      <w:marRight w:val="0"/>
      <w:marTop w:val="0"/>
      <w:marBottom w:val="0"/>
      <w:divBdr>
        <w:top w:val="none" w:sz="0" w:space="0" w:color="auto"/>
        <w:left w:val="none" w:sz="0" w:space="0" w:color="auto"/>
        <w:bottom w:val="none" w:sz="0" w:space="0" w:color="auto"/>
        <w:right w:val="none" w:sz="0" w:space="0" w:color="auto"/>
      </w:divBdr>
    </w:div>
    <w:div w:id="1385987219">
      <w:bodyDiv w:val="1"/>
      <w:marLeft w:val="0"/>
      <w:marRight w:val="0"/>
      <w:marTop w:val="0"/>
      <w:marBottom w:val="0"/>
      <w:divBdr>
        <w:top w:val="none" w:sz="0" w:space="0" w:color="auto"/>
        <w:left w:val="none" w:sz="0" w:space="0" w:color="auto"/>
        <w:bottom w:val="none" w:sz="0" w:space="0" w:color="auto"/>
        <w:right w:val="none" w:sz="0" w:space="0" w:color="auto"/>
      </w:divBdr>
    </w:div>
    <w:div w:id="1394893766">
      <w:bodyDiv w:val="1"/>
      <w:marLeft w:val="0"/>
      <w:marRight w:val="0"/>
      <w:marTop w:val="0"/>
      <w:marBottom w:val="0"/>
      <w:divBdr>
        <w:top w:val="none" w:sz="0" w:space="0" w:color="auto"/>
        <w:left w:val="none" w:sz="0" w:space="0" w:color="auto"/>
        <w:bottom w:val="none" w:sz="0" w:space="0" w:color="auto"/>
        <w:right w:val="none" w:sz="0" w:space="0" w:color="auto"/>
      </w:divBdr>
    </w:div>
    <w:div w:id="1430783173">
      <w:bodyDiv w:val="1"/>
      <w:marLeft w:val="0"/>
      <w:marRight w:val="0"/>
      <w:marTop w:val="0"/>
      <w:marBottom w:val="0"/>
      <w:divBdr>
        <w:top w:val="none" w:sz="0" w:space="0" w:color="auto"/>
        <w:left w:val="none" w:sz="0" w:space="0" w:color="auto"/>
        <w:bottom w:val="none" w:sz="0" w:space="0" w:color="auto"/>
        <w:right w:val="none" w:sz="0" w:space="0" w:color="auto"/>
      </w:divBdr>
    </w:div>
    <w:div w:id="1443527366">
      <w:bodyDiv w:val="1"/>
      <w:marLeft w:val="0"/>
      <w:marRight w:val="0"/>
      <w:marTop w:val="0"/>
      <w:marBottom w:val="0"/>
      <w:divBdr>
        <w:top w:val="none" w:sz="0" w:space="0" w:color="auto"/>
        <w:left w:val="none" w:sz="0" w:space="0" w:color="auto"/>
        <w:bottom w:val="none" w:sz="0" w:space="0" w:color="auto"/>
        <w:right w:val="none" w:sz="0" w:space="0" w:color="auto"/>
      </w:divBdr>
    </w:div>
    <w:div w:id="1469200331">
      <w:bodyDiv w:val="1"/>
      <w:marLeft w:val="0"/>
      <w:marRight w:val="0"/>
      <w:marTop w:val="0"/>
      <w:marBottom w:val="0"/>
      <w:divBdr>
        <w:top w:val="none" w:sz="0" w:space="0" w:color="auto"/>
        <w:left w:val="none" w:sz="0" w:space="0" w:color="auto"/>
        <w:bottom w:val="none" w:sz="0" w:space="0" w:color="auto"/>
        <w:right w:val="none" w:sz="0" w:space="0" w:color="auto"/>
      </w:divBdr>
    </w:div>
    <w:div w:id="1473211806">
      <w:bodyDiv w:val="1"/>
      <w:marLeft w:val="0"/>
      <w:marRight w:val="0"/>
      <w:marTop w:val="0"/>
      <w:marBottom w:val="0"/>
      <w:divBdr>
        <w:top w:val="none" w:sz="0" w:space="0" w:color="auto"/>
        <w:left w:val="none" w:sz="0" w:space="0" w:color="auto"/>
        <w:bottom w:val="none" w:sz="0" w:space="0" w:color="auto"/>
        <w:right w:val="none" w:sz="0" w:space="0" w:color="auto"/>
      </w:divBdr>
    </w:div>
    <w:div w:id="1478110303">
      <w:bodyDiv w:val="1"/>
      <w:marLeft w:val="0"/>
      <w:marRight w:val="0"/>
      <w:marTop w:val="0"/>
      <w:marBottom w:val="0"/>
      <w:divBdr>
        <w:top w:val="none" w:sz="0" w:space="0" w:color="auto"/>
        <w:left w:val="none" w:sz="0" w:space="0" w:color="auto"/>
        <w:bottom w:val="none" w:sz="0" w:space="0" w:color="auto"/>
        <w:right w:val="none" w:sz="0" w:space="0" w:color="auto"/>
      </w:divBdr>
    </w:div>
    <w:div w:id="1509246691">
      <w:bodyDiv w:val="1"/>
      <w:marLeft w:val="0"/>
      <w:marRight w:val="0"/>
      <w:marTop w:val="0"/>
      <w:marBottom w:val="0"/>
      <w:divBdr>
        <w:top w:val="none" w:sz="0" w:space="0" w:color="auto"/>
        <w:left w:val="none" w:sz="0" w:space="0" w:color="auto"/>
        <w:bottom w:val="none" w:sz="0" w:space="0" w:color="auto"/>
        <w:right w:val="none" w:sz="0" w:space="0" w:color="auto"/>
      </w:divBdr>
    </w:div>
    <w:div w:id="1528832102">
      <w:bodyDiv w:val="1"/>
      <w:marLeft w:val="0"/>
      <w:marRight w:val="0"/>
      <w:marTop w:val="0"/>
      <w:marBottom w:val="0"/>
      <w:divBdr>
        <w:top w:val="none" w:sz="0" w:space="0" w:color="auto"/>
        <w:left w:val="none" w:sz="0" w:space="0" w:color="auto"/>
        <w:bottom w:val="none" w:sz="0" w:space="0" w:color="auto"/>
        <w:right w:val="none" w:sz="0" w:space="0" w:color="auto"/>
      </w:divBdr>
    </w:div>
    <w:div w:id="1529025282">
      <w:bodyDiv w:val="1"/>
      <w:marLeft w:val="0"/>
      <w:marRight w:val="0"/>
      <w:marTop w:val="0"/>
      <w:marBottom w:val="0"/>
      <w:divBdr>
        <w:top w:val="none" w:sz="0" w:space="0" w:color="auto"/>
        <w:left w:val="none" w:sz="0" w:space="0" w:color="auto"/>
        <w:bottom w:val="none" w:sz="0" w:space="0" w:color="auto"/>
        <w:right w:val="none" w:sz="0" w:space="0" w:color="auto"/>
      </w:divBdr>
    </w:div>
    <w:div w:id="1540505950">
      <w:bodyDiv w:val="1"/>
      <w:marLeft w:val="0"/>
      <w:marRight w:val="0"/>
      <w:marTop w:val="0"/>
      <w:marBottom w:val="0"/>
      <w:divBdr>
        <w:top w:val="none" w:sz="0" w:space="0" w:color="auto"/>
        <w:left w:val="none" w:sz="0" w:space="0" w:color="auto"/>
        <w:bottom w:val="none" w:sz="0" w:space="0" w:color="auto"/>
        <w:right w:val="none" w:sz="0" w:space="0" w:color="auto"/>
      </w:divBdr>
    </w:div>
    <w:div w:id="1541434703">
      <w:bodyDiv w:val="1"/>
      <w:marLeft w:val="0"/>
      <w:marRight w:val="0"/>
      <w:marTop w:val="0"/>
      <w:marBottom w:val="0"/>
      <w:divBdr>
        <w:top w:val="none" w:sz="0" w:space="0" w:color="auto"/>
        <w:left w:val="none" w:sz="0" w:space="0" w:color="auto"/>
        <w:bottom w:val="none" w:sz="0" w:space="0" w:color="auto"/>
        <w:right w:val="none" w:sz="0" w:space="0" w:color="auto"/>
      </w:divBdr>
    </w:div>
    <w:div w:id="1567253750">
      <w:bodyDiv w:val="1"/>
      <w:marLeft w:val="0"/>
      <w:marRight w:val="0"/>
      <w:marTop w:val="0"/>
      <w:marBottom w:val="0"/>
      <w:divBdr>
        <w:top w:val="none" w:sz="0" w:space="0" w:color="auto"/>
        <w:left w:val="none" w:sz="0" w:space="0" w:color="auto"/>
        <w:bottom w:val="none" w:sz="0" w:space="0" w:color="auto"/>
        <w:right w:val="none" w:sz="0" w:space="0" w:color="auto"/>
      </w:divBdr>
    </w:div>
    <w:div w:id="1616786856">
      <w:bodyDiv w:val="1"/>
      <w:marLeft w:val="0"/>
      <w:marRight w:val="0"/>
      <w:marTop w:val="0"/>
      <w:marBottom w:val="0"/>
      <w:divBdr>
        <w:top w:val="none" w:sz="0" w:space="0" w:color="auto"/>
        <w:left w:val="none" w:sz="0" w:space="0" w:color="auto"/>
        <w:bottom w:val="none" w:sz="0" w:space="0" w:color="auto"/>
        <w:right w:val="none" w:sz="0" w:space="0" w:color="auto"/>
      </w:divBdr>
    </w:div>
    <w:div w:id="1663966553">
      <w:bodyDiv w:val="1"/>
      <w:marLeft w:val="0"/>
      <w:marRight w:val="0"/>
      <w:marTop w:val="0"/>
      <w:marBottom w:val="0"/>
      <w:divBdr>
        <w:top w:val="none" w:sz="0" w:space="0" w:color="auto"/>
        <w:left w:val="none" w:sz="0" w:space="0" w:color="auto"/>
        <w:bottom w:val="none" w:sz="0" w:space="0" w:color="auto"/>
        <w:right w:val="none" w:sz="0" w:space="0" w:color="auto"/>
      </w:divBdr>
    </w:div>
    <w:div w:id="1665889169">
      <w:bodyDiv w:val="1"/>
      <w:marLeft w:val="0"/>
      <w:marRight w:val="0"/>
      <w:marTop w:val="0"/>
      <w:marBottom w:val="0"/>
      <w:divBdr>
        <w:top w:val="none" w:sz="0" w:space="0" w:color="auto"/>
        <w:left w:val="none" w:sz="0" w:space="0" w:color="auto"/>
        <w:bottom w:val="none" w:sz="0" w:space="0" w:color="auto"/>
        <w:right w:val="none" w:sz="0" w:space="0" w:color="auto"/>
      </w:divBdr>
    </w:div>
    <w:div w:id="1675842287">
      <w:bodyDiv w:val="1"/>
      <w:marLeft w:val="0"/>
      <w:marRight w:val="0"/>
      <w:marTop w:val="0"/>
      <w:marBottom w:val="0"/>
      <w:divBdr>
        <w:top w:val="none" w:sz="0" w:space="0" w:color="auto"/>
        <w:left w:val="none" w:sz="0" w:space="0" w:color="auto"/>
        <w:bottom w:val="none" w:sz="0" w:space="0" w:color="auto"/>
        <w:right w:val="none" w:sz="0" w:space="0" w:color="auto"/>
      </w:divBdr>
    </w:div>
    <w:div w:id="1686663113">
      <w:bodyDiv w:val="1"/>
      <w:marLeft w:val="0"/>
      <w:marRight w:val="0"/>
      <w:marTop w:val="0"/>
      <w:marBottom w:val="0"/>
      <w:divBdr>
        <w:top w:val="none" w:sz="0" w:space="0" w:color="auto"/>
        <w:left w:val="none" w:sz="0" w:space="0" w:color="auto"/>
        <w:bottom w:val="none" w:sz="0" w:space="0" w:color="auto"/>
        <w:right w:val="none" w:sz="0" w:space="0" w:color="auto"/>
      </w:divBdr>
    </w:div>
    <w:div w:id="1691685350">
      <w:bodyDiv w:val="1"/>
      <w:marLeft w:val="0"/>
      <w:marRight w:val="0"/>
      <w:marTop w:val="0"/>
      <w:marBottom w:val="0"/>
      <w:divBdr>
        <w:top w:val="none" w:sz="0" w:space="0" w:color="auto"/>
        <w:left w:val="none" w:sz="0" w:space="0" w:color="auto"/>
        <w:bottom w:val="none" w:sz="0" w:space="0" w:color="auto"/>
        <w:right w:val="none" w:sz="0" w:space="0" w:color="auto"/>
      </w:divBdr>
    </w:div>
    <w:div w:id="1703046589">
      <w:bodyDiv w:val="1"/>
      <w:marLeft w:val="0"/>
      <w:marRight w:val="0"/>
      <w:marTop w:val="0"/>
      <w:marBottom w:val="0"/>
      <w:divBdr>
        <w:top w:val="none" w:sz="0" w:space="0" w:color="auto"/>
        <w:left w:val="none" w:sz="0" w:space="0" w:color="auto"/>
        <w:bottom w:val="none" w:sz="0" w:space="0" w:color="auto"/>
        <w:right w:val="none" w:sz="0" w:space="0" w:color="auto"/>
      </w:divBdr>
    </w:div>
    <w:div w:id="1762263547">
      <w:bodyDiv w:val="1"/>
      <w:marLeft w:val="0"/>
      <w:marRight w:val="0"/>
      <w:marTop w:val="0"/>
      <w:marBottom w:val="0"/>
      <w:divBdr>
        <w:top w:val="none" w:sz="0" w:space="0" w:color="auto"/>
        <w:left w:val="none" w:sz="0" w:space="0" w:color="auto"/>
        <w:bottom w:val="none" w:sz="0" w:space="0" w:color="auto"/>
        <w:right w:val="none" w:sz="0" w:space="0" w:color="auto"/>
      </w:divBdr>
    </w:div>
    <w:div w:id="1763526122">
      <w:bodyDiv w:val="1"/>
      <w:marLeft w:val="0"/>
      <w:marRight w:val="0"/>
      <w:marTop w:val="0"/>
      <w:marBottom w:val="0"/>
      <w:divBdr>
        <w:top w:val="none" w:sz="0" w:space="0" w:color="auto"/>
        <w:left w:val="none" w:sz="0" w:space="0" w:color="auto"/>
        <w:bottom w:val="none" w:sz="0" w:space="0" w:color="auto"/>
        <w:right w:val="none" w:sz="0" w:space="0" w:color="auto"/>
      </w:divBdr>
    </w:div>
    <w:div w:id="1776050576">
      <w:bodyDiv w:val="1"/>
      <w:marLeft w:val="0"/>
      <w:marRight w:val="0"/>
      <w:marTop w:val="0"/>
      <w:marBottom w:val="0"/>
      <w:divBdr>
        <w:top w:val="none" w:sz="0" w:space="0" w:color="auto"/>
        <w:left w:val="none" w:sz="0" w:space="0" w:color="auto"/>
        <w:bottom w:val="none" w:sz="0" w:space="0" w:color="auto"/>
        <w:right w:val="none" w:sz="0" w:space="0" w:color="auto"/>
      </w:divBdr>
    </w:div>
    <w:div w:id="1781879131">
      <w:bodyDiv w:val="1"/>
      <w:marLeft w:val="0"/>
      <w:marRight w:val="0"/>
      <w:marTop w:val="0"/>
      <w:marBottom w:val="0"/>
      <w:divBdr>
        <w:top w:val="none" w:sz="0" w:space="0" w:color="auto"/>
        <w:left w:val="none" w:sz="0" w:space="0" w:color="auto"/>
        <w:bottom w:val="none" w:sz="0" w:space="0" w:color="auto"/>
        <w:right w:val="none" w:sz="0" w:space="0" w:color="auto"/>
      </w:divBdr>
    </w:div>
    <w:div w:id="1790588317">
      <w:bodyDiv w:val="1"/>
      <w:marLeft w:val="0"/>
      <w:marRight w:val="0"/>
      <w:marTop w:val="0"/>
      <w:marBottom w:val="0"/>
      <w:divBdr>
        <w:top w:val="none" w:sz="0" w:space="0" w:color="auto"/>
        <w:left w:val="none" w:sz="0" w:space="0" w:color="auto"/>
        <w:bottom w:val="none" w:sz="0" w:space="0" w:color="auto"/>
        <w:right w:val="none" w:sz="0" w:space="0" w:color="auto"/>
      </w:divBdr>
    </w:div>
    <w:div w:id="1806658682">
      <w:bodyDiv w:val="1"/>
      <w:marLeft w:val="0"/>
      <w:marRight w:val="0"/>
      <w:marTop w:val="0"/>
      <w:marBottom w:val="0"/>
      <w:divBdr>
        <w:top w:val="none" w:sz="0" w:space="0" w:color="auto"/>
        <w:left w:val="none" w:sz="0" w:space="0" w:color="auto"/>
        <w:bottom w:val="none" w:sz="0" w:space="0" w:color="auto"/>
        <w:right w:val="none" w:sz="0" w:space="0" w:color="auto"/>
      </w:divBdr>
    </w:div>
    <w:div w:id="1820340841">
      <w:bodyDiv w:val="1"/>
      <w:marLeft w:val="0"/>
      <w:marRight w:val="0"/>
      <w:marTop w:val="0"/>
      <w:marBottom w:val="0"/>
      <w:divBdr>
        <w:top w:val="none" w:sz="0" w:space="0" w:color="auto"/>
        <w:left w:val="none" w:sz="0" w:space="0" w:color="auto"/>
        <w:bottom w:val="none" w:sz="0" w:space="0" w:color="auto"/>
        <w:right w:val="none" w:sz="0" w:space="0" w:color="auto"/>
      </w:divBdr>
    </w:div>
    <w:div w:id="1867788752">
      <w:bodyDiv w:val="1"/>
      <w:marLeft w:val="0"/>
      <w:marRight w:val="0"/>
      <w:marTop w:val="0"/>
      <w:marBottom w:val="0"/>
      <w:divBdr>
        <w:top w:val="none" w:sz="0" w:space="0" w:color="auto"/>
        <w:left w:val="none" w:sz="0" w:space="0" w:color="auto"/>
        <w:bottom w:val="none" w:sz="0" w:space="0" w:color="auto"/>
        <w:right w:val="none" w:sz="0" w:space="0" w:color="auto"/>
      </w:divBdr>
    </w:div>
    <w:div w:id="1898667192">
      <w:bodyDiv w:val="1"/>
      <w:marLeft w:val="0"/>
      <w:marRight w:val="0"/>
      <w:marTop w:val="0"/>
      <w:marBottom w:val="0"/>
      <w:divBdr>
        <w:top w:val="none" w:sz="0" w:space="0" w:color="auto"/>
        <w:left w:val="none" w:sz="0" w:space="0" w:color="auto"/>
        <w:bottom w:val="none" w:sz="0" w:space="0" w:color="auto"/>
        <w:right w:val="none" w:sz="0" w:space="0" w:color="auto"/>
      </w:divBdr>
    </w:div>
    <w:div w:id="1918050006">
      <w:bodyDiv w:val="1"/>
      <w:marLeft w:val="0"/>
      <w:marRight w:val="0"/>
      <w:marTop w:val="0"/>
      <w:marBottom w:val="0"/>
      <w:divBdr>
        <w:top w:val="none" w:sz="0" w:space="0" w:color="auto"/>
        <w:left w:val="none" w:sz="0" w:space="0" w:color="auto"/>
        <w:bottom w:val="none" w:sz="0" w:space="0" w:color="auto"/>
        <w:right w:val="none" w:sz="0" w:space="0" w:color="auto"/>
      </w:divBdr>
    </w:div>
    <w:div w:id="1922792684">
      <w:bodyDiv w:val="1"/>
      <w:marLeft w:val="0"/>
      <w:marRight w:val="0"/>
      <w:marTop w:val="0"/>
      <w:marBottom w:val="0"/>
      <w:divBdr>
        <w:top w:val="none" w:sz="0" w:space="0" w:color="auto"/>
        <w:left w:val="none" w:sz="0" w:space="0" w:color="auto"/>
        <w:bottom w:val="none" w:sz="0" w:space="0" w:color="auto"/>
        <w:right w:val="none" w:sz="0" w:space="0" w:color="auto"/>
      </w:divBdr>
    </w:div>
    <w:div w:id="1940479303">
      <w:bodyDiv w:val="1"/>
      <w:marLeft w:val="0"/>
      <w:marRight w:val="0"/>
      <w:marTop w:val="0"/>
      <w:marBottom w:val="0"/>
      <w:divBdr>
        <w:top w:val="none" w:sz="0" w:space="0" w:color="auto"/>
        <w:left w:val="none" w:sz="0" w:space="0" w:color="auto"/>
        <w:bottom w:val="none" w:sz="0" w:space="0" w:color="auto"/>
        <w:right w:val="none" w:sz="0" w:space="0" w:color="auto"/>
      </w:divBdr>
    </w:div>
    <w:div w:id="1958096297">
      <w:bodyDiv w:val="1"/>
      <w:marLeft w:val="0"/>
      <w:marRight w:val="0"/>
      <w:marTop w:val="0"/>
      <w:marBottom w:val="0"/>
      <w:divBdr>
        <w:top w:val="none" w:sz="0" w:space="0" w:color="auto"/>
        <w:left w:val="none" w:sz="0" w:space="0" w:color="auto"/>
        <w:bottom w:val="none" w:sz="0" w:space="0" w:color="auto"/>
        <w:right w:val="none" w:sz="0" w:space="0" w:color="auto"/>
      </w:divBdr>
    </w:div>
    <w:div w:id="1959995136">
      <w:bodyDiv w:val="1"/>
      <w:marLeft w:val="0"/>
      <w:marRight w:val="0"/>
      <w:marTop w:val="0"/>
      <w:marBottom w:val="0"/>
      <w:divBdr>
        <w:top w:val="none" w:sz="0" w:space="0" w:color="auto"/>
        <w:left w:val="none" w:sz="0" w:space="0" w:color="auto"/>
        <w:bottom w:val="none" w:sz="0" w:space="0" w:color="auto"/>
        <w:right w:val="none" w:sz="0" w:space="0" w:color="auto"/>
      </w:divBdr>
    </w:div>
    <w:div w:id="1963340344">
      <w:bodyDiv w:val="1"/>
      <w:marLeft w:val="0"/>
      <w:marRight w:val="0"/>
      <w:marTop w:val="0"/>
      <w:marBottom w:val="0"/>
      <w:divBdr>
        <w:top w:val="none" w:sz="0" w:space="0" w:color="auto"/>
        <w:left w:val="none" w:sz="0" w:space="0" w:color="auto"/>
        <w:bottom w:val="none" w:sz="0" w:space="0" w:color="auto"/>
        <w:right w:val="none" w:sz="0" w:space="0" w:color="auto"/>
      </w:divBdr>
    </w:div>
    <w:div w:id="1970167109">
      <w:bodyDiv w:val="1"/>
      <w:marLeft w:val="0"/>
      <w:marRight w:val="0"/>
      <w:marTop w:val="0"/>
      <w:marBottom w:val="0"/>
      <w:divBdr>
        <w:top w:val="none" w:sz="0" w:space="0" w:color="auto"/>
        <w:left w:val="none" w:sz="0" w:space="0" w:color="auto"/>
        <w:bottom w:val="none" w:sz="0" w:space="0" w:color="auto"/>
        <w:right w:val="none" w:sz="0" w:space="0" w:color="auto"/>
      </w:divBdr>
    </w:div>
    <w:div w:id="2019961109">
      <w:bodyDiv w:val="1"/>
      <w:marLeft w:val="0"/>
      <w:marRight w:val="0"/>
      <w:marTop w:val="0"/>
      <w:marBottom w:val="0"/>
      <w:divBdr>
        <w:top w:val="none" w:sz="0" w:space="0" w:color="auto"/>
        <w:left w:val="none" w:sz="0" w:space="0" w:color="auto"/>
        <w:bottom w:val="none" w:sz="0" w:space="0" w:color="auto"/>
        <w:right w:val="none" w:sz="0" w:space="0" w:color="auto"/>
      </w:divBdr>
    </w:div>
    <w:div w:id="2025549517">
      <w:bodyDiv w:val="1"/>
      <w:marLeft w:val="0"/>
      <w:marRight w:val="0"/>
      <w:marTop w:val="0"/>
      <w:marBottom w:val="0"/>
      <w:divBdr>
        <w:top w:val="none" w:sz="0" w:space="0" w:color="auto"/>
        <w:left w:val="none" w:sz="0" w:space="0" w:color="auto"/>
        <w:bottom w:val="none" w:sz="0" w:space="0" w:color="auto"/>
        <w:right w:val="none" w:sz="0" w:space="0" w:color="auto"/>
      </w:divBdr>
    </w:div>
    <w:div w:id="2036340819">
      <w:bodyDiv w:val="1"/>
      <w:marLeft w:val="0"/>
      <w:marRight w:val="0"/>
      <w:marTop w:val="0"/>
      <w:marBottom w:val="0"/>
      <w:divBdr>
        <w:top w:val="none" w:sz="0" w:space="0" w:color="auto"/>
        <w:left w:val="none" w:sz="0" w:space="0" w:color="auto"/>
        <w:bottom w:val="none" w:sz="0" w:space="0" w:color="auto"/>
        <w:right w:val="none" w:sz="0" w:space="0" w:color="auto"/>
      </w:divBdr>
    </w:div>
    <w:div w:id="2037077731">
      <w:bodyDiv w:val="1"/>
      <w:marLeft w:val="0"/>
      <w:marRight w:val="0"/>
      <w:marTop w:val="0"/>
      <w:marBottom w:val="0"/>
      <w:divBdr>
        <w:top w:val="none" w:sz="0" w:space="0" w:color="auto"/>
        <w:left w:val="none" w:sz="0" w:space="0" w:color="auto"/>
        <w:bottom w:val="none" w:sz="0" w:space="0" w:color="auto"/>
        <w:right w:val="none" w:sz="0" w:space="0" w:color="auto"/>
      </w:divBdr>
    </w:div>
    <w:div w:id="2037078413">
      <w:bodyDiv w:val="1"/>
      <w:marLeft w:val="0"/>
      <w:marRight w:val="0"/>
      <w:marTop w:val="0"/>
      <w:marBottom w:val="0"/>
      <w:divBdr>
        <w:top w:val="none" w:sz="0" w:space="0" w:color="auto"/>
        <w:left w:val="none" w:sz="0" w:space="0" w:color="auto"/>
        <w:bottom w:val="none" w:sz="0" w:space="0" w:color="auto"/>
        <w:right w:val="none" w:sz="0" w:space="0" w:color="auto"/>
      </w:divBdr>
    </w:div>
    <w:div w:id="2037654992">
      <w:bodyDiv w:val="1"/>
      <w:marLeft w:val="0"/>
      <w:marRight w:val="0"/>
      <w:marTop w:val="0"/>
      <w:marBottom w:val="0"/>
      <w:divBdr>
        <w:top w:val="none" w:sz="0" w:space="0" w:color="auto"/>
        <w:left w:val="none" w:sz="0" w:space="0" w:color="auto"/>
        <w:bottom w:val="none" w:sz="0" w:space="0" w:color="auto"/>
        <w:right w:val="none" w:sz="0" w:space="0" w:color="auto"/>
      </w:divBdr>
    </w:div>
    <w:div w:id="2050834332">
      <w:bodyDiv w:val="1"/>
      <w:marLeft w:val="0"/>
      <w:marRight w:val="0"/>
      <w:marTop w:val="0"/>
      <w:marBottom w:val="0"/>
      <w:divBdr>
        <w:top w:val="none" w:sz="0" w:space="0" w:color="auto"/>
        <w:left w:val="none" w:sz="0" w:space="0" w:color="auto"/>
        <w:bottom w:val="none" w:sz="0" w:space="0" w:color="auto"/>
        <w:right w:val="none" w:sz="0" w:space="0" w:color="auto"/>
      </w:divBdr>
    </w:div>
    <w:div w:id="2062822954">
      <w:bodyDiv w:val="1"/>
      <w:marLeft w:val="0"/>
      <w:marRight w:val="0"/>
      <w:marTop w:val="0"/>
      <w:marBottom w:val="0"/>
      <w:divBdr>
        <w:top w:val="none" w:sz="0" w:space="0" w:color="auto"/>
        <w:left w:val="none" w:sz="0" w:space="0" w:color="auto"/>
        <w:bottom w:val="none" w:sz="0" w:space="0" w:color="auto"/>
        <w:right w:val="none" w:sz="0" w:space="0" w:color="auto"/>
      </w:divBdr>
    </w:div>
    <w:div w:id="2083790589">
      <w:bodyDiv w:val="1"/>
      <w:marLeft w:val="0"/>
      <w:marRight w:val="0"/>
      <w:marTop w:val="0"/>
      <w:marBottom w:val="0"/>
      <w:divBdr>
        <w:top w:val="none" w:sz="0" w:space="0" w:color="auto"/>
        <w:left w:val="none" w:sz="0" w:space="0" w:color="auto"/>
        <w:bottom w:val="none" w:sz="0" w:space="0" w:color="auto"/>
        <w:right w:val="none" w:sz="0" w:space="0" w:color="auto"/>
      </w:divBdr>
    </w:div>
    <w:div w:id="2103061340">
      <w:bodyDiv w:val="1"/>
      <w:marLeft w:val="0"/>
      <w:marRight w:val="0"/>
      <w:marTop w:val="0"/>
      <w:marBottom w:val="0"/>
      <w:divBdr>
        <w:top w:val="none" w:sz="0" w:space="0" w:color="auto"/>
        <w:left w:val="none" w:sz="0" w:space="0" w:color="auto"/>
        <w:bottom w:val="none" w:sz="0" w:space="0" w:color="auto"/>
        <w:right w:val="none" w:sz="0" w:space="0" w:color="auto"/>
      </w:divBdr>
    </w:div>
    <w:div w:id="210753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srn.com/abstract=164049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ub.bvresources.com/pdfs/BVR-2021-DLOM-Survey-Result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researchgate.net/profile/John-Creswell-2?_tp=eyJjb250ZXh0Ijp7ImZpcnN0UGFnZSI6Il9kaXJlY3QiLCJwYWdlIjoicHVibGljYXRpb24ifX0"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x.doi.org/10.2139/ssrn.16404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30</Pages>
  <Words>6803</Words>
  <Characters>38780</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Hung</dc:creator>
  <cp:keywords/>
  <dc:description/>
  <cp:lastModifiedBy>Paul Hung</cp:lastModifiedBy>
  <cp:revision>655</cp:revision>
  <dcterms:created xsi:type="dcterms:W3CDTF">2024-09-04T05:50:00Z</dcterms:created>
  <dcterms:modified xsi:type="dcterms:W3CDTF">2025-01-03T05:44:00Z</dcterms:modified>
</cp:coreProperties>
</file>