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85BA9" w:rsidP="5D45256D" w:rsidRDefault="00085BA9" w14:paraId="4A6D9AA0" w14:textId="24350FD7">
      <w:pPr>
        <w:pStyle w:val="Normal"/>
        <w:jc w:val="both"/>
        <w:rPr>
          <w:rFonts w:ascii="Arial" w:hAnsi="Arial" w:eastAsia="Arial" w:cs="Arial"/>
          <w:lang w:val="ro-RO"/>
        </w:rPr>
      </w:pPr>
      <w:r w:rsidR="35F6D9A2">
        <w:drawing>
          <wp:anchor distT="0" distB="0" distL="114300" distR="114300" simplePos="0" relativeHeight="251658240" behindDoc="0" locked="0" layoutInCell="1" allowOverlap="1" wp14:editId="28880B49" wp14:anchorId="766B7CE9">
            <wp:simplePos x="0" y="0"/>
            <wp:positionH relativeFrom="column">
              <wp:align>left</wp:align>
            </wp:positionH>
            <wp:positionV relativeFrom="paragraph">
              <wp:posOffset>0</wp:posOffset>
            </wp:positionV>
            <wp:extent cx="1888300" cy="683002"/>
            <wp:effectExtent l="0" t="0" r="0" b="0"/>
            <wp:wrapSquare wrapText="bothSides"/>
            <wp:docPr id="3823603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9597202" name="Picture 1849597202"/>
                    <pic:cNvPicPr/>
                  </pic:nvPicPr>
                  <pic:blipFill>
                    <a:blip xmlns:r="http://schemas.openxmlformats.org/officeDocument/2006/relationships" r:embed="rId1418593864">
                      <a:extLst>
                        <a:ext uri="{28A0092B-C50C-407E-A947-70E740481C1C}">
                          <a14:useLocalDpi xmlns:a14="http://schemas.microsoft.com/office/drawing/2010/main"/>
                        </a:ext>
                      </a:extLst>
                    </a:blip>
                    <a:stretch>
                      <a:fillRect/>
                    </a:stretch>
                  </pic:blipFill>
                  <pic:spPr>
                    <a:xfrm rot="0">
                      <a:off x="0" y="0"/>
                      <a:ext cx="1888300" cy="683002"/>
                    </a:xfrm>
                    <a:prstGeom prst="rect">
                      <a:avLst/>
                    </a:prstGeom>
                  </pic:spPr>
                </pic:pic>
              </a:graphicData>
            </a:graphic>
            <wp14:sizeRelH relativeFrom="page">
              <wp14:pctWidth>0</wp14:pctWidth>
            </wp14:sizeRelH>
            <wp14:sizeRelV relativeFrom="page">
              <wp14:pctHeight>0</wp14:pctHeight>
            </wp14:sizeRelV>
          </wp:anchor>
        </w:drawing>
      </w:r>
    </w:p>
    <w:p w:rsidR="5D45256D" w:rsidP="5D45256D" w:rsidRDefault="5D45256D" w14:paraId="7D594381" w14:textId="0283E9F5">
      <w:pPr>
        <w:pStyle w:val="Normal"/>
        <w:rPr>
          <w:rFonts w:ascii="Arial" w:hAnsi="Arial" w:eastAsia="Arial" w:cs="Arial"/>
        </w:rPr>
      </w:pPr>
    </w:p>
    <w:p w:rsidR="32F2535F" w:rsidP="5D45256D" w:rsidRDefault="32F2535F" w14:paraId="0204AC38" w14:textId="0C5AA2A3">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LCBB6014</w:t>
      </w:r>
    </w:p>
    <w:p w:rsidR="32F2535F" w:rsidP="5D45256D" w:rsidRDefault="32F2535F" w14:paraId="18F47A50" w14:textId="5220FC03">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Independent Project</w:t>
      </w:r>
    </w:p>
    <w:p w:rsidR="32F2535F" w:rsidP="5D45256D" w:rsidRDefault="32F2535F" w14:paraId="786F83C4" w14:textId="2F25734F">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 xml:space="preserve"> </w:t>
      </w:r>
    </w:p>
    <w:p w:rsidR="32F2535F" w:rsidP="5D45256D" w:rsidRDefault="32F2535F" w14:paraId="46BC41B0" w14:textId="097E9E20">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 xml:space="preserve">Dissertation </w:t>
      </w:r>
    </w:p>
    <w:p w:rsidR="32F2535F" w:rsidP="5D45256D" w:rsidRDefault="32F2535F" w14:paraId="77AA69AC" w14:textId="08982ECE">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 xml:space="preserve"> </w:t>
      </w:r>
    </w:p>
    <w:p w:rsidR="32F2535F" w:rsidP="5D45256D" w:rsidRDefault="32F2535F" w14:paraId="090AE1B7" w14:textId="02CC9976">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HR strategy to reduce employee turnover in the care home settings</w:t>
      </w:r>
    </w:p>
    <w:p w:rsidR="32F2535F" w:rsidP="5D45256D" w:rsidRDefault="32F2535F" w14:paraId="77AF7786" w14:textId="1CB624BC">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 xml:space="preserve"> </w:t>
      </w:r>
    </w:p>
    <w:p w:rsidR="32F2535F" w:rsidP="5D45256D" w:rsidRDefault="32F2535F" w14:paraId="397BECCA" w14:textId="2B4943CF">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Student Name</w:t>
      </w:r>
      <w:r w:rsidRPr="5D45256D" w:rsidR="2BBF4B22">
        <w:rPr>
          <w:rFonts w:ascii="Arial" w:hAnsi="Arial" w:eastAsia="Arial" w:cs="Arial"/>
          <w:b w:val="1"/>
          <w:bCs w:val="1"/>
          <w:color w:val="000000" w:themeColor="text1" w:themeTint="FF" w:themeShade="FF"/>
          <w:sz w:val="40"/>
          <w:szCs w:val="40"/>
        </w:rPr>
        <w:t>: Maria Dorina Mat</w:t>
      </w:r>
      <w:r w:rsidRPr="5D45256D" w:rsidR="5A4E08EE">
        <w:rPr>
          <w:rFonts w:ascii="Arial" w:hAnsi="Arial" w:eastAsia="Arial" w:cs="Arial"/>
          <w:b w:val="1"/>
          <w:bCs w:val="1"/>
          <w:color w:val="000000" w:themeColor="text1" w:themeTint="FF" w:themeShade="FF"/>
          <w:sz w:val="40"/>
          <w:szCs w:val="40"/>
        </w:rPr>
        <w:t>ei</w:t>
      </w:r>
    </w:p>
    <w:p w:rsidR="32F2535F" w:rsidP="5D45256D" w:rsidRDefault="32F2535F" w14:paraId="68972739" w14:textId="6C418ADA">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32F2535F">
        <w:rPr>
          <w:rFonts w:ascii="Arial" w:hAnsi="Arial" w:eastAsia="Arial" w:cs="Arial"/>
          <w:b w:val="1"/>
          <w:bCs w:val="1"/>
          <w:color w:val="000000" w:themeColor="text1" w:themeTint="FF" w:themeShade="FF"/>
          <w:sz w:val="40"/>
          <w:szCs w:val="40"/>
        </w:rPr>
        <w:t>Student ID</w:t>
      </w:r>
      <w:r w:rsidRPr="5D45256D" w:rsidR="5BA4C403">
        <w:rPr>
          <w:rFonts w:ascii="Arial" w:hAnsi="Arial" w:eastAsia="Arial" w:cs="Arial"/>
          <w:b w:val="1"/>
          <w:bCs w:val="1"/>
          <w:color w:val="000000" w:themeColor="text1" w:themeTint="FF" w:themeShade="FF"/>
          <w:sz w:val="40"/>
          <w:szCs w:val="40"/>
        </w:rPr>
        <w:t xml:space="preserve">:                2315746 </w:t>
      </w:r>
    </w:p>
    <w:p w:rsidR="5B138D30" w:rsidP="5D45256D" w:rsidRDefault="5B138D30" w14:paraId="4700038F" w14:textId="637BF33E">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5B138D30">
        <w:rPr>
          <w:rFonts w:ascii="Arial" w:hAnsi="Arial" w:eastAsia="Arial" w:cs="Arial"/>
          <w:b w:val="1"/>
          <w:bCs w:val="1"/>
          <w:color w:val="000000" w:themeColor="text1" w:themeTint="FF" w:themeShade="FF"/>
          <w:sz w:val="40"/>
          <w:szCs w:val="40"/>
        </w:rPr>
        <w:t xml:space="preserve"> </w:t>
      </w:r>
      <w:r w:rsidRPr="5D45256D" w:rsidR="7B1E3193">
        <w:rPr>
          <w:rFonts w:ascii="Arial" w:hAnsi="Arial" w:eastAsia="Arial" w:cs="Arial"/>
          <w:b w:val="1"/>
          <w:bCs w:val="1"/>
          <w:color w:val="000000" w:themeColor="text1" w:themeTint="FF" w:themeShade="FF"/>
          <w:sz w:val="40"/>
          <w:szCs w:val="40"/>
        </w:rPr>
        <w:t>Supervisor name:</w:t>
      </w:r>
      <w:r w:rsidRPr="5D45256D" w:rsidR="51E2C194">
        <w:rPr>
          <w:rFonts w:ascii="Arial" w:hAnsi="Arial" w:eastAsia="Arial" w:cs="Arial"/>
          <w:b w:val="1"/>
          <w:bCs w:val="1"/>
          <w:color w:val="000000" w:themeColor="text1" w:themeTint="FF" w:themeShade="FF"/>
          <w:sz w:val="40"/>
          <w:szCs w:val="40"/>
        </w:rPr>
        <w:t xml:space="preserve"> Dr.</w:t>
      </w:r>
      <w:r w:rsidRPr="5D45256D" w:rsidR="7B1E3193">
        <w:rPr>
          <w:rFonts w:ascii="Arial" w:hAnsi="Arial" w:eastAsia="Arial" w:cs="Arial"/>
          <w:b w:val="1"/>
          <w:bCs w:val="1"/>
          <w:color w:val="000000" w:themeColor="text1" w:themeTint="FF" w:themeShade="FF"/>
          <w:sz w:val="40"/>
          <w:szCs w:val="40"/>
        </w:rPr>
        <w:t xml:space="preserve"> Dudley Ofori</w:t>
      </w:r>
    </w:p>
    <w:p w:rsidR="5D45256D" w:rsidP="5D45256D" w:rsidRDefault="5D45256D" w14:paraId="45F4979F" w14:textId="31C32ADB">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p>
    <w:p w:rsidR="5D45256D" w:rsidP="5D45256D" w:rsidRDefault="5D45256D" w14:paraId="5980357A" w14:textId="39057318">
      <w:pPr>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p>
    <w:p w:rsidR="5D45256D" w:rsidP="5D45256D" w:rsidRDefault="5D45256D" w14:paraId="779EB18B" w14:textId="59755B86">
      <w:pPr>
        <w:pStyle w:val="Normal"/>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p>
    <w:p w:rsidR="0200D43E" w:rsidP="5D45256D" w:rsidRDefault="0200D43E" w14:paraId="36F62A72" w14:textId="10DF303B">
      <w:pPr>
        <w:pStyle w:val="Normal"/>
        <w:spacing w:before="120" w:beforeAutospacing="off" w:after="120" w:afterAutospacing="off" w:line="360" w:lineRule="auto"/>
        <w:jc w:val="center"/>
        <w:rPr>
          <w:rFonts w:ascii="Arial" w:hAnsi="Arial" w:eastAsia="Arial" w:cs="Arial"/>
          <w:b w:val="1"/>
          <w:bCs w:val="1"/>
          <w:color w:val="000000" w:themeColor="text1" w:themeTint="FF" w:themeShade="FF"/>
          <w:sz w:val="40"/>
          <w:szCs w:val="40"/>
        </w:rPr>
      </w:pPr>
      <w:r w:rsidRPr="5D45256D" w:rsidR="0200D43E">
        <w:rPr>
          <w:rFonts w:ascii="Arial" w:hAnsi="Arial" w:eastAsia="Arial" w:cs="Arial"/>
          <w:b w:val="1"/>
          <w:bCs w:val="1"/>
          <w:color w:val="000000" w:themeColor="text1" w:themeTint="FF" w:themeShade="FF"/>
          <w:sz w:val="40"/>
          <w:szCs w:val="40"/>
        </w:rPr>
        <w:t xml:space="preserve"> </w:t>
      </w:r>
      <w:r w:rsidRPr="5D45256D" w:rsidR="3374216F">
        <w:rPr>
          <w:rFonts w:ascii="Arial" w:hAnsi="Arial" w:eastAsia="Arial" w:cs="Arial"/>
          <w:b w:val="1"/>
          <w:bCs w:val="1"/>
          <w:color w:val="000000" w:themeColor="text1" w:themeTint="FF" w:themeShade="FF"/>
          <w:sz w:val="40"/>
          <w:szCs w:val="40"/>
        </w:rPr>
        <w:t>Date: 08/2026</w:t>
      </w:r>
      <w:r w:rsidRPr="5D45256D" w:rsidR="7B1E3193">
        <w:rPr>
          <w:rFonts w:ascii="Arial" w:hAnsi="Arial" w:eastAsia="Arial" w:cs="Arial"/>
          <w:b w:val="1"/>
          <w:bCs w:val="1"/>
          <w:color w:val="000000" w:themeColor="text1" w:themeTint="FF" w:themeShade="FF"/>
          <w:sz w:val="40"/>
          <w:szCs w:val="40"/>
        </w:rPr>
        <w:t xml:space="preserve">  </w:t>
      </w:r>
      <w:r w:rsidRPr="5D45256D" w:rsidR="5BA4C403">
        <w:rPr>
          <w:rFonts w:ascii="Arial" w:hAnsi="Arial" w:eastAsia="Arial" w:cs="Arial"/>
          <w:b w:val="1"/>
          <w:bCs w:val="1"/>
          <w:color w:val="000000" w:themeColor="text1" w:themeTint="FF" w:themeShade="FF"/>
          <w:sz w:val="40"/>
          <w:szCs w:val="40"/>
        </w:rPr>
        <w:t xml:space="preserve">                      </w:t>
      </w:r>
    </w:p>
    <w:p w:rsidR="5D45256D" w:rsidP="5D45256D" w:rsidRDefault="5D45256D" w14:paraId="29C7F24F" w14:textId="58E1FB03">
      <w:pPr>
        <w:spacing w:before="0" w:beforeAutospacing="off" w:after="0" w:afterAutospacing="off" w:line="360" w:lineRule="auto"/>
        <w:jc w:val="both"/>
        <w:rPr>
          <w:rFonts w:ascii="Arial" w:hAnsi="Arial" w:eastAsia="Arial" w:cs="Arial"/>
          <w:b w:val="1"/>
          <w:bCs w:val="1"/>
          <w:i w:val="1"/>
          <w:iCs w:val="1"/>
          <w:sz w:val="32"/>
          <w:szCs w:val="32"/>
        </w:rPr>
      </w:pPr>
    </w:p>
    <w:p w:rsidR="5D45256D" w:rsidP="5D45256D" w:rsidRDefault="5D45256D" w14:paraId="18C91B92" w14:textId="3F4FA653">
      <w:pPr>
        <w:spacing w:before="0" w:beforeAutospacing="off" w:after="0" w:afterAutospacing="off" w:line="360" w:lineRule="auto"/>
        <w:jc w:val="both"/>
        <w:rPr>
          <w:rFonts w:ascii="Arial" w:hAnsi="Arial" w:eastAsia="Arial" w:cs="Arial"/>
          <w:b w:val="1"/>
          <w:bCs w:val="1"/>
          <w:i w:val="1"/>
          <w:iCs w:val="1"/>
          <w:sz w:val="32"/>
          <w:szCs w:val="32"/>
        </w:rPr>
      </w:pPr>
    </w:p>
    <w:p w:rsidR="5D45256D" w:rsidP="5D45256D" w:rsidRDefault="5D45256D" w14:paraId="6351F723" w14:textId="0F7A65D3">
      <w:pPr>
        <w:pStyle w:val="Normal"/>
        <w:spacing w:before="0" w:beforeAutospacing="off" w:after="0" w:afterAutospacing="off" w:line="360" w:lineRule="auto"/>
        <w:jc w:val="both"/>
        <w:rPr>
          <w:rFonts w:ascii="Arial" w:hAnsi="Arial" w:eastAsia="Arial" w:cs="Arial"/>
          <w:b w:val="1"/>
          <w:bCs w:val="1"/>
          <w:i w:val="1"/>
          <w:iCs w:val="1"/>
          <w:sz w:val="32"/>
          <w:szCs w:val="32"/>
        </w:rPr>
      </w:pPr>
    </w:p>
    <w:p w:rsidR="08E6F9E8" w:rsidP="5D45256D" w:rsidRDefault="08E6F9E8" w14:paraId="10FA2923" w14:textId="7D4AA09E">
      <w:pPr>
        <w:spacing w:before="0" w:beforeAutospacing="off" w:after="0" w:afterAutospacing="off" w:line="360" w:lineRule="auto"/>
        <w:jc w:val="both"/>
        <w:rPr>
          <w:rFonts w:ascii="Arial" w:hAnsi="Arial" w:eastAsia="Arial" w:cs="Arial"/>
          <w:b w:val="1"/>
          <w:bCs w:val="1"/>
          <w:i w:val="1"/>
          <w:iCs w:val="1"/>
          <w:sz w:val="32"/>
          <w:szCs w:val="32"/>
        </w:rPr>
      </w:pPr>
      <w:r w:rsidRPr="5D45256D" w:rsidR="08E6F9E8">
        <w:rPr>
          <w:rFonts w:ascii="Arial" w:hAnsi="Arial" w:eastAsia="Arial" w:cs="Arial"/>
          <w:b w:val="1"/>
          <w:bCs w:val="1"/>
          <w:i w:val="1"/>
          <w:iCs w:val="1"/>
          <w:sz w:val="32"/>
          <w:szCs w:val="32"/>
        </w:rPr>
        <w:t xml:space="preserve"> </w:t>
      </w:r>
      <w:r w:rsidRPr="5D45256D" w:rsidR="77AFEB86">
        <w:rPr>
          <w:rFonts w:ascii="Arial" w:hAnsi="Arial" w:eastAsia="Arial" w:cs="Arial"/>
          <w:b w:val="1"/>
          <w:bCs w:val="1"/>
          <w:i w:val="1"/>
          <w:iCs w:val="1"/>
          <w:sz w:val="32"/>
          <w:szCs w:val="32"/>
        </w:rPr>
        <w:t>D</w:t>
      </w:r>
      <w:r w:rsidRPr="5D45256D" w:rsidR="08E6F9E8">
        <w:rPr>
          <w:rFonts w:ascii="Arial" w:hAnsi="Arial" w:eastAsia="Arial" w:cs="Arial"/>
          <w:b w:val="1"/>
          <w:bCs w:val="1"/>
          <w:i w:val="1"/>
          <w:iCs w:val="1"/>
          <w:sz w:val="32"/>
          <w:szCs w:val="32"/>
        </w:rPr>
        <w:t>eclaration</w:t>
      </w:r>
    </w:p>
    <w:p w:rsidR="08E6F9E8" w:rsidP="5D45256D" w:rsidRDefault="08E6F9E8" w14:paraId="73CDF14F" w14:textId="1B4E9A42">
      <w:pPr>
        <w:spacing w:before="0" w:beforeAutospacing="off" w:after="0" w:afterAutospacing="off" w:line="360" w:lineRule="auto"/>
        <w:jc w:val="both"/>
      </w:pPr>
      <w:r w:rsidRPr="5D45256D" w:rsidR="08E6F9E8">
        <w:rPr>
          <w:rFonts w:ascii="Arial" w:hAnsi="Arial" w:eastAsia="Arial" w:cs="Arial"/>
          <w:sz w:val="32"/>
          <w:szCs w:val="32"/>
        </w:rPr>
        <w:t>I hereby declare that this dissertation is my original work, and all sources have been properly acknowledged. This research has been conducted in accordance with the university's academic integrity standards.</w:t>
      </w:r>
    </w:p>
    <w:p w:rsidR="5D45256D" w:rsidP="5D45256D" w:rsidRDefault="5D45256D" w14:paraId="6EE98D07" w14:textId="3F193FA7">
      <w:pPr>
        <w:pStyle w:val="Normal"/>
        <w:rPr>
          <w:rFonts w:ascii="Arial" w:hAnsi="Arial" w:eastAsia="Arial" w:cs="Arial"/>
          <w:b w:val="1"/>
          <w:bCs w:val="1"/>
          <w:sz w:val="32"/>
          <w:szCs w:val="32"/>
        </w:rPr>
      </w:pPr>
    </w:p>
    <w:p w:rsidR="5D45256D" w:rsidP="5D45256D" w:rsidRDefault="5D45256D" w14:paraId="4535F164" w14:textId="78DEC0D3">
      <w:pPr>
        <w:pStyle w:val="Normal"/>
        <w:rPr>
          <w:rFonts w:ascii="Arial" w:hAnsi="Arial" w:eastAsia="Arial" w:cs="Arial"/>
          <w:b w:val="1"/>
          <w:bCs w:val="1"/>
          <w:sz w:val="32"/>
          <w:szCs w:val="32"/>
        </w:rPr>
      </w:pPr>
    </w:p>
    <w:p w:rsidR="5D45256D" w:rsidP="5D45256D" w:rsidRDefault="5D45256D" w14:paraId="266046AD" w14:textId="5B443CB6">
      <w:pPr>
        <w:pStyle w:val="Normal"/>
        <w:rPr>
          <w:rFonts w:ascii="Arial" w:hAnsi="Arial" w:eastAsia="Arial" w:cs="Arial"/>
          <w:b w:val="1"/>
          <w:bCs w:val="1"/>
          <w:sz w:val="32"/>
          <w:szCs w:val="32"/>
        </w:rPr>
      </w:pPr>
    </w:p>
    <w:p w:rsidR="5D45256D" w:rsidP="5D45256D" w:rsidRDefault="5D45256D" w14:paraId="1400FDE3" w14:textId="4461E89F">
      <w:pPr>
        <w:pStyle w:val="Normal"/>
        <w:rPr>
          <w:rFonts w:ascii="Arial" w:hAnsi="Arial" w:eastAsia="Arial" w:cs="Arial"/>
          <w:b w:val="1"/>
          <w:bCs w:val="1"/>
          <w:sz w:val="32"/>
          <w:szCs w:val="32"/>
        </w:rPr>
      </w:pPr>
    </w:p>
    <w:p w:rsidR="5D45256D" w:rsidP="5D45256D" w:rsidRDefault="5D45256D" w14:paraId="386832E6" w14:textId="47A6ACD2">
      <w:pPr>
        <w:pStyle w:val="Normal"/>
        <w:rPr>
          <w:rFonts w:ascii="Arial" w:hAnsi="Arial" w:eastAsia="Arial" w:cs="Arial"/>
          <w:b w:val="1"/>
          <w:bCs w:val="1"/>
          <w:sz w:val="32"/>
          <w:szCs w:val="32"/>
        </w:rPr>
      </w:pPr>
    </w:p>
    <w:p w:rsidR="5D45256D" w:rsidP="5D45256D" w:rsidRDefault="5D45256D" w14:paraId="0923153A" w14:textId="6C68045E">
      <w:pPr>
        <w:pStyle w:val="Normal"/>
        <w:rPr>
          <w:rFonts w:ascii="Arial" w:hAnsi="Arial" w:eastAsia="Arial" w:cs="Arial"/>
          <w:b w:val="1"/>
          <w:bCs w:val="1"/>
          <w:sz w:val="32"/>
          <w:szCs w:val="32"/>
        </w:rPr>
      </w:pPr>
    </w:p>
    <w:p w:rsidR="5D45256D" w:rsidP="5D45256D" w:rsidRDefault="5D45256D" w14:paraId="2579F6D6" w14:textId="10327C86">
      <w:pPr>
        <w:pStyle w:val="Normal"/>
        <w:rPr>
          <w:rFonts w:ascii="Arial" w:hAnsi="Arial" w:eastAsia="Arial" w:cs="Arial"/>
          <w:b w:val="1"/>
          <w:bCs w:val="1"/>
          <w:sz w:val="32"/>
          <w:szCs w:val="32"/>
        </w:rPr>
      </w:pPr>
    </w:p>
    <w:p w:rsidR="5D45256D" w:rsidP="5D45256D" w:rsidRDefault="5D45256D" w14:paraId="5D50A29C" w14:textId="625007E1">
      <w:pPr>
        <w:pStyle w:val="Normal"/>
        <w:rPr>
          <w:rFonts w:ascii="Arial" w:hAnsi="Arial" w:eastAsia="Arial" w:cs="Arial"/>
          <w:b w:val="1"/>
          <w:bCs w:val="1"/>
          <w:sz w:val="32"/>
          <w:szCs w:val="32"/>
        </w:rPr>
      </w:pPr>
    </w:p>
    <w:p w:rsidR="5D45256D" w:rsidP="5D45256D" w:rsidRDefault="5D45256D" w14:paraId="69936561" w14:textId="740616C0">
      <w:pPr>
        <w:pStyle w:val="Normal"/>
        <w:rPr>
          <w:rFonts w:ascii="Arial" w:hAnsi="Arial" w:eastAsia="Arial" w:cs="Arial"/>
          <w:b w:val="1"/>
          <w:bCs w:val="1"/>
          <w:sz w:val="32"/>
          <w:szCs w:val="32"/>
        </w:rPr>
      </w:pPr>
    </w:p>
    <w:p w:rsidR="5D45256D" w:rsidP="5D45256D" w:rsidRDefault="5D45256D" w14:paraId="00AC48DC" w14:textId="12127BEA">
      <w:pPr>
        <w:pStyle w:val="Normal"/>
        <w:rPr>
          <w:rFonts w:ascii="Arial" w:hAnsi="Arial" w:eastAsia="Arial" w:cs="Arial"/>
          <w:b w:val="1"/>
          <w:bCs w:val="1"/>
          <w:sz w:val="32"/>
          <w:szCs w:val="32"/>
        </w:rPr>
      </w:pPr>
    </w:p>
    <w:p w:rsidR="5D45256D" w:rsidP="5D45256D" w:rsidRDefault="5D45256D" w14:paraId="6F41E693" w14:textId="06C365FB">
      <w:pPr>
        <w:pStyle w:val="Normal"/>
        <w:rPr>
          <w:rFonts w:ascii="Arial" w:hAnsi="Arial" w:eastAsia="Arial" w:cs="Arial"/>
          <w:b w:val="1"/>
          <w:bCs w:val="1"/>
          <w:sz w:val="32"/>
          <w:szCs w:val="32"/>
        </w:rPr>
      </w:pPr>
    </w:p>
    <w:p w:rsidR="5D45256D" w:rsidP="5D45256D" w:rsidRDefault="5D45256D" w14:paraId="588D3554" w14:textId="3CF0232F">
      <w:pPr>
        <w:pStyle w:val="Normal"/>
        <w:rPr>
          <w:rFonts w:ascii="Arial" w:hAnsi="Arial" w:eastAsia="Arial" w:cs="Arial"/>
          <w:b w:val="1"/>
          <w:bCs w:val="1"/>
          <w:sz w:val="32"/>
          <w:szCs w:val="32"/>
        </w:rPr>
      </w:pPr>
    </w:p>
    <w:p w:rsidR="5D45256D" w:rsidP="5D45256D" w:rsidRDefault="5D45256D" w14:paraId="263AD328" w14:textId="092A4D7A">
      <w:pPr>
        <w:pStyle w:val="Normal"/>
        <w:rPr>
          <w:rFonts w:ascii="Arial" w:hAnsi="Arial" w:eastAsia="Arial" w:cs="Arial"/>
          <w:b w:val="1"/>
          <w:bCs w:val="1"/>
          <w:sz w:val="32"/>
          <w:szCs w:val="32"/>
        </w:rPr>
      </w:pPr>
    </w:p>
    <w:p w:rsidR="5D45256D" w:rsidP="5D45256D" w:rsidRDefault="5D45256D" w14:paraId="27282EE6" w14:textId="3C2EF79C">
      <w:pPr>
        <w:pStyle w:val="Normal"/>
        <w:rPr>
          <w:rFonts w:ascii="Arial" w:hAnsi="Arial" w:eastAsia="Arial" w:cs="Arial"/>
          <w:b w:val="1"/>
          <w:bCs w:val="1"/>
          <w:sz w:val="32"/>
          <w:szCs w:val="32"/>
        </w:rPr>
      </w:pPr>
    </w:p>
    <w:p w:rsidR="5D45256D" w:rsidP="5D45256D" w:rsidRDefault="5D45256D" w14:paraId="018296A9" w14:textId="2AAD4D5A">
      <w:pPr>
        <w:pStyle w:val="Normal"/>
        <w:rPr>
          <w:rFonts w:ascii="Arial" w:hAnsi="Arial" w:eastAsia="Arial" w:cs="Arial"/>
          <w:b w:val="1"/>
          <w:bCs w:val="1"/>
          <w:sz w:val="32"/>
          <w:szCs w:val="32"/>
        </w:rPr>
      </w:pPr>
    </w:p>
    <w:p w:rsidR="5D45256D" w:rsidP="5D45256D" w:rsidRDefault="5D45256D" w14:paraId="5C208009" w14:textId="6246C230">
      <w:pPr>
        <w:pStyle w:val="Normal"/>
        <w:rPr>
          <w:rFonts w:ascii="Arial" w:hAnsi="Arial" w:eastAsia="Arial" w:cs="Arial"/>
          <w:b w:val="1"/>
          <w:bCs w:val="1"/>
          <w:sz w:val="32"/>
          <w:szCs w:val="32"/>
        </w:rPr>
      </w:pPr>
    </w:p>
    <w:p w:rsidR="1E60A6FE" w:rsidP="5D45256D" w:rsidRDefault="1E60A6FE" w14:paraId="3F831E30" w14:textId="53589BA8">
      <w:pPr>
        <w:pStyle w:val="Normal"/>
        <w:rPr>
          <w:rFonts w:ascii="Arial" w:hAnsi="Arial" w:eastAsia="Arial" w:cs="Arial"/>
          <w:b w:val="1"/>
          <w:bCs w:val="1"/>
          <w:sz w:val="32"/>
          <w:szCs w:val="32"/>
        </w:rPr>
      </w:pPr>
      <w:r w:rsidRPr="5D45256D" w:rsidR="1E60A6FE">
        <w:rPr>
          <w:rFonts w:ascii="Arial" w:hAnsi="Arial" w:eastAsia="Arial" w:cs="Arial"/>
          <w:b w:val="1"/>
          <w:bCs w:val="1"/>
          <w:sz w:val="32"/>
          <w:szCs w:val="32"/>
        </w:rPr>
        <w:t>Acknowledgement</w:t>
      </w:r>
    </w:p>
    <w:p w:rsidR="5D45256D" w:rsidP="5D45256D" w:rsidRDefault="5D45256D" w14:paraId="4D0C5D04" w14:textId="49B2ACA3">
      <w:pPr>
        <w:pStyle w:val="Normal"/>
        <w:rPr>
          <w:rFonts w:ascii="Arial" w:hAnsi="Arial" w:eastAsia="Arial" w:cs="Arial"/>
          <w:b w:val="1"/>
          <w:bCs w:val="1"/>
          <w:sz w:val="32"/>
          <w:szCs w:val="32"/>
        </w:rPr>
      </w:pPr>
    </w:p>
    <w:p w:rsidR="5D45256D" w:rsidP="5D45256D" w:rsidRDefault="5D45256D" w14:paraId="6F6C25C6" w14:textId="2ECC17F0">
      <w:pPr>
        <w:pStyle w:val="Normal"/>
        <w:rPr>
          <w:rFonts w:ascii="Arial" w:hAnsi="Arial" w:eastAsia="Arial" w:cs="Arial"/>
          <w:b w:val="1"/>
          <w:bCs w:val="1"/>
          <w:sz w:val="32"/>
          <w:szCs w:val="32"/>
        </w:rPr>
      </w:pPr>
    </w:p>
    <w:p w:rsidR="1E60A6FE" w:rsidP="5D45256D" w:rsidRDefault="1E60A6FE" w14:paraId="14E08341" w14:textId="3501C746">
      <w:pPr>
        <w:pStyle w:val="Normal"/>
        <w:rPr>
          <w:rFonts w:ascii="Arial" w:hAnsi="Arial" w:eastAsia="Arial" w:cs="Arial"/>
          <w:sz w:val="32"/>
          <w:szCs w:val="32"/>
        </w:rPr>
      </w:pPr>
      <w:r w:rsidRPr="5D45256D" w:rsidR="1E60A6FE">
        <w:rPr>
          <w:rFonts w:ascii="Arial" w:hAnsi="Arial" w:eastAsia="Arial" w:cs="Arial"/>
          <w:sz w:val="32"/>
          <w:szCs w:val="32"/>
        </w:rPr>
        <w:t>I am very thankful to my academic supervisor for his guidance, constructive comments and support during this dissertation. I am also grateful to the institution and academic faculty for giving me the necessary knowledge and resources. I would like to express my gratitude to my family and friends for their constant encouragement, patience and motivation throughout my academic career.</w:t>
      </w:r>
    </w:p>
    <w:p w:rsidR="5D45256D" w:rsidP="5D45256D" w:rsidRDefault="5D45256D" w14:paraId="74F0ECB4" w14:textId="1E5D9BB2">
      <w:pPr>
        <w:rPr>
          <w:rFonts w:ascii="Arial" w:hAnsi="Arial" w:eastAsia="Arial" w:cs="Arial"/>
        </w:rPr>
      </w:pPr>
    </w:p>
    <w:p w:rsidR="5D45256D" w:rsidP="5D45256D" w:rsidRDefault="5D45256D" w14:paraId="20B5BCE4" w14:textId="4A7EB390">
      <w:pPr>
        <w:spacing w:before="0" w:beforeAutospacing="off" w:after="0" w:afterAutospacing="off" w:line="360" w:lineRule="auto"/>
        <w:jc w:val="both"/>
        <w:rPr>
          <w:rFonts w:ascii="Arial" w:hAnsi="Arial" w:eastAsia="Arial" w:cs="Arial"/>
          <w:sz w:val="32"/>
          <w:szCs w:val="32"/>
        </w:rPr>
      </w:pPr>
    </w:p>
    <w:p w:rsidR="5D45256D" w:rsidP="5D45256D" w:rsidRDefault="5D45256D" w14:paraId="6FF581C6" w14:textId="784EA09C">
      <w:pPr>
        <w:spacing w:before="0" w:beforeAutospacing="off" w:after="0" w:afterAutospacing="off" w:line="360" w:lineRule="auto"/>
        <w:jc w:val="both"/>
        <w:rPr>
          <w:rFonts w:ascii="Arial" w:hAnsi="Arial" w:eastAsia="Arial" w:cs="Arial"/>
          <w:sz w:val="32"/>
          <w:szCs w:val="32"/>
        </w:rPr>
      </w:pPr>
    </w:p>
    <w:p w:rsidR="5D45256D" w:rsidP="5D45256D" w:rsidRDefault="5D45256D" w14:paraId="08023DB0" w14:textId="7335735C">
      <w:pPr>
        <w:rPr>
          <w:rFonts w:ascii="Arial" w:hAnsi="Arial" w:eastAsia="Arial" w:cs="Arial"/>
        </w:rPr>
      </w:pPr>
    </w:p>
    <w:p w:rsidR="5D45256D" w:rsidP="5D45256D" w:rsidRDefault="5D45256D" w14:paraId="164C8109" w14:textId="0B9EC2A7">
      <w:pPr>
        <w:rPr>
          <w:rFonts w:ascii="Arial" w:hAnsi="Arial" w:eastAsia="Arial" w:cs="Arial"/>
        </w:rPr>
      </w:pPr>
    </w:p>
    <w:p w:rsidR="5D45256D" w:rsidP="5D45256D" w:rsidRDefault="5D45256D" w14:paraId="140CB80F" w14:textId="7B9BACED">
      <w:pPr>
        <w:rPr>
          <w:rFonts w:ascii="Arial" w:hAnsi="Arial" w:eastAsia="Arial" w:cs="Arial"/>
        </w:rPr>
      </w:pPr>
    </w:p>
    <w:p w:rsidR="5D45256D" w:rsidP="5D45256D" w:rsidRDefault="5D45256D" w14:paraId="71407F40" w14:textId="43F9E303">
      <w:pPr>
        <w:rPr>
          <w:rFonts w:ascii="Arial" w:hAnsi="Arial" w:eastAsia="Arial" w:cs="Arial"/>
        </w:rPr>
      </w:pPr>
    </w:p>
    <w:p w:rsidR="5D45256D" w:rsidP="5D45256D" w:rsidRDefault="5D45256D" w14:paraId="0299C83A" w14:textId="1DAA9A7B">
      <w:pPr>
        <w:rPr>
          <w:rFonts w:ascii="Arial" w:hAnsi="Arial" w:eastAsia="Arial" w:cs="Arial"/>
        </w:rPr>
      </w:pPr>
    </w:p>
    <w:p w:rsidR="5D45256D" w:rsidP="5D45256D" w:rsidRDefault="5D45256D" w14:paraId="1DBA02C9" w14:textId="3C5A1BE6">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rPr>
      </w:pPr>
    </w:p>
    <w:p w:rsidR="5D45256D" w:rsidP="5D45256D" w:rsidRDefault="5D45256D" w14:paraId="4BA83DBB" w14:textId="45B7DB9A">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rPr>
      </w:pPr>
    </w:p>
    <w:p w:rsidR="5D45256D" w:rsidP="5D45256D" w:rsidRDefault="5D45256D" w14:paraId="12BB2999" w14:textId="1FB7FAD0">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rPr>
      </w:pPr>
    </w:p>
    <w:p w:rsidR="5D45256D" w:rsidP="5D45256D" w:rsidRDefault="5D45256D" w14:paraId="33BDD1D7" w14:textId="668615F8">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rPr>
      </w:pPr>
    </w:p>
    <w:p w:rsidR="74BB5D7F" w:rsidP="5D45256D" w:rsidRDefault="74BB5D7F" w14:paraId="0D59D896" w14:textId="352517E2">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rPr>
      </w:pPr>
      <w:r w:rsidRPr="5D45256D" w:rsidR="74BB5D7F">
        <w:rPr>
          <w:rFonts w:ascii="Arial" w:hAnsi="Arial" w:eastAsia="Arial" w:cs="Arial"/>
          <w:b w:val="1"/>
          <w:bCs w:val="1"/>
          <w:color w:val="000000" w:themeColor="text1" w:themeTint="FF" w:themeShade="FF"/>
          <w:sz w:val="28"/>
          <w:szCs w:val="28"/>
        </w:rPr>
        <w:t>Abstract</w:t>
      </w:r>
    </w:p>
    <w:p w:rsidR="74BB5D7F" w:rsidP="5D45256D" w:rsidRDefault="74BB5D7F" w14:paraId="204E1624" w14:textId="372577DC">
      <w:pPr>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74BB5D7F">
        <w:rPr>
          <w:rFonts w:ascii="Arial" w:hAnsi="Arial" w:eastAsia="Arial" w:cs="Arial"/>
          <w:color w:val="000000" w:themeColor="text1" w:themeTint="FF" w:themeShade="FF"/>
          <w:sz w:val="24"/>
          <w:szCs w:val="24"/>
        </w:rPr>
        <w:t>Staff turnover had been a persistent issue in care-home environments that affected their workforce continuity, service provision and the quality of care. The purpose of this study had been to explore strategies for human resources that may be effective in lowering staff turnover in care homes. The aim was to explore the role of employee engagement, training and development in improving employee retention, identify factors influencing employee turnover and explore barriers that impact the process of implementing effective HR practices. This study had employed positivist philosophy, deductive approach and mono-quantitative research design. Academic literature, government statistics and industry reports and workforce data had been gathered and compared to find patterns and relationships. The results had shown that financial, organizational and psychological factors had affected employee turnover. Dissatisfaction with pay had become the largest driver of turning over of employees, and burnout, work pressures, wellbeing concerns and lack of support from the organisation had also had an impact on retention. The study had suggested that the care-home organisations should adopt integrated HR strategies that include a competitive reward system, employee wellbeing support, effective leadership, recognition and structured career development opportunities. The following methods had been identified as vital to the retention of staff and to establish a more stable organisation in care.</w:t>
      </w:r>
    </w:p>
    <w:p w:rsidR="5D45256D" w:rsidP="5D45256D" w:rsidRDefault="5D45256D" w14:paraId="17724C44" w14:textId="1EED73E3">
      <w:pPr>
        <w:rPr>
          <w:rFonts w:ascii="Arial" w:hAnsi="Arial" w:eastAsia="Arial" w:cs="Arial"/>
        </w:rPr>
      </w:pPr>
    </w:p>
    <w:p w:rsidR="5D45256D" w:rsidP="5D45256D" w:rsidRDefault="5D45256D" w14:paraId="70C36C7B" w14:textId="3F7B9D7B">
      <w:pPr>
        <w:rPr>
          <w:rFonts w:ascii="Arial" w:hAnsi="Arial" w:eastAsia="Arial" w:cs="Arial"/>
        </w:rPr>
      </w:pPr>
    </w:p>
    <w:p w:rsidR="5D45256D" w:rsidP="5D45256D" w:rsidRDefault="5D45256D" w14:paraId="03575582" w14:textId="1641256A">
      <w:pPr>
        <w:rPr>
          <w:rFonts w:ascii="Arial" w:hAnsi="Arial" w:eastAsia="Arial" w:cs="Arial"/>
        </w:rPr>
      </w:pPr>
    </w:p>
    <w:p w:rsidR="5D45256D" w:rsidP="5D45256D" w:rsidRDefault="5D45256D" w14:paraId="57174A1C" w14:textId="1141D1EF">
      <w:pPr>
        <w:rPr>
          <w:rFonts w:ascii="Arial" w:hAnsi="Arial" w:eastAsia="Arial" w:cs="Arial"/>
        </w:rPr>
      </w:pPr>
    </w:p>
    <w:p w:rsidR="5D45256D" w:rsidP="5D45256D" w:rsidRDefault="5D45256D" w14:paraId="3989582C" w14:textId="3E1D8B9C">
      <w:pPr>
        <w:rPr>
          <w:rFonts w:ascii="Arial" w:hAnsi="Arial" w:eastAsia="Arial" w:cs="Arial"/>
        </w:rPr>
      </w:pPr>
    </w:p>
    <w:p w:rsidR="5D45256D" w:rsidP="5D45256D" w:rsidRDefault="5D45256D" w14:paraId="27371EA6" w14:textId="05D05B1C">
      <w:pPr>
        <w:rPr>
          <w:rFonts w:ascii="Arial" w:hAnsi="Arial" w:eastAsia="Arial" w:cs="Arial"/>
        </w:rPr>
      </w:pPr>
    </w:p>
    <w:p w:rsidR="0180834D" w:rsidP="5D45256D" w:rsidRDefault="0180834D" w14:paraId="367E7594" w14:textId="1CF29B30">
      <w:pPr>
        <w:pStyle w:val="Normal"/>
        <w:rPr>
          <w:rFonts w:ascii="Arial" w:hAnsi="Arial" w:eastAsia="Arial" w:cs="Arial"/>
          <w:color w:val="2F5496"/>
          <w:sz w:val="32"/>
          <w:szCs w:val="32"/>
        </w:rPr>
      </w:pPr>
      <w:r w:rsidRPr="5D45256D" w:rsidR="0180834D">
        <w:rPr>
          <w:rFonts w:ascii="Arial" w:hAnsi="Arial" w:eastAsia="Arial" w:cs="Arial"/>
          <w:color w:val="2F5496"/>
          <w:sz w:val="32"/>
          <w:szCs w:val="32"/>
        </w:rPr>
        <w:t>Table of Contents</w:t>
      </w:r>
    </w:p>
    <w:p w:rsidR="00DD9A8E" w:rsidP="5D45256D" w:rsidRDefault="00DD9A8E" w14:paraId="65B52DAA" w14:textId="5E688B0F">
      <w:pPr>
        <w:pStyle w:val="Normal"/>
        <w:rPr>
          <w:rFonts w:ascii="Arial" w:hAnsi="Arial" w:eastAsia="Arial" w:cs="Arial"/>
          <w:color w:val="auto"/>
          <w:sz w:val="24"/>
          <w:szCs w:val="24"/>
        </w:rPr>
      </w:pPr>
      <w:r w:rsidRPr="5D45256D" w:rsidR="00DD9A8E">
        <w:rPr>
          <w:rFonts w:ascii="Arial" w:hAnsi="Arial" w:eastAsia="Arial" w:cs="Arial"/>
          <w:color w:val="auto"/>
          <w:sz w:val="24"/>
          <w:szCs w:val="24"/>
        </w:rPr>
        <w:t>Title..................................................................................................................1</w:t>
      </w:r>
    </w:p>
    <w:p w:rsidR="00DD9A8E" w:rsidP="5D45256D" w:rsidRDefault="00DD9A8E" w14:paraId="4D8F090E" w14:textId="36A87C0B">
      <w:pPr>
        <w:pStyle w:val="Normal"/>
      </w:pPr>
      <w:r w:rsidRPr="5D45256D" w:rsidR="00DD9A8E">
        <w:rPr>
          <w:rFonts w:ascii="Arial" w:hAnsi="Arial" w:eastAsia="Arial" w:cs="Arial"/>
          <w:color w:val="auto"/>
          <w:sz w:val="24"/>
          <w:szCs w:val="24"/>
        </w:rPr>
        <w:t>Declaration....................................</w:t>
      </w:r>
      <w:r w:rsidRPr="5D45256D" w:rsidR="26849FB7">
        <w:rPr>
          <w:rFonts w:ascii="Arial" w:hAnsi="Arial" w:eastAsia="Arial" w:cs="Arial"/>
          <w:color w:val="auto"/>
          <w:sz w:val="24"/>
          <w:szCs w:val="24"/>
        </w:rPr>
        <w:t>...................................................................2</w:t>
      </w:r>
    </w:p>
    <w:p w:rsidR="5734AF49" w:rsidP="5D45256D" w:rsidRDefault="5734AF49" w14:paraId="3F6DC0BF" w14:textId="39B55507">
      <w:pPr>
        <w:pStyle w:val="Normal"/>
        <w:rPr>
          <w:rFonts w:ascii="Arial" w:hAnsi="Arial" w:eastAsia="Arial" w:cs="Arial"/>
          <w:strike w:val="0"/>
          <w:dstrike w:val="0"/>
          <w:color w:val="000000" w:themeColor="text1" w:themeTint="FF" w:themeShade="FF"/>
          <w:highlight w:val="yellow"/>
          <w:u w:val="none"/>
        </w:rPr>
      </w:pPr>
      <w:r w:rsidRPr="5D45256D" w:rsidR="5734AF49">
        <w:rPr>
          <w:rFonts w:ascii="Arial" w:hAnsi="Arial" w:eastAsia="Arial" w:cs="Arial"/>
          <w:strike w:val="0"/>
          <w:dstrike w:val="0"/>
          <w:color w:val="000000" w:themeColor="text1" w:themeTint="FF" w:themeShade="FF"/>
          <w:u w:val="none"/>
        </w:rPr>
        <w:t>Acknowledgement.......................................</w:t>
      </w:r>
      <w:r w:rsidRPr="5D45256D" w:rsidR="2EC4D502">
        <w:rPr>
          <w:rFonts w:ascii="Arial" w:hAnsi="Arial" w:eastAsia="Arial" w:cs="Arial"/>
          <w:strike w:val="0"/>
          <w:dstrike w:val="0"/>
          <w:color w:val="000000" w:themeColor="text1" w:themeTint="FF" w:themeShade="FF"/>
          <w:u w:val="none"/>
        </w:rPr>
        <w:t>...............................................</w:t>
      </w:r>
      <w:r w:rsidRPr="5D45256D" w:rsidR="5734AF49">
        <w:rPr>
          <w:rFonts w:ascii="Arial" w:hAnsi="Arial" w:eastAsia="Arial" w:cs="Arial"/>
          <w:strike w:val="0"/>
          <w:dstrike w:val="0"/>
          <w:color w:val="000000" w:themeColor="text1" w:themeTint="FF" w:themeShade="FF"/>
          <w:u w:val="none"/>
        </w:rPr>
        <w:t>.....3</w:t>
      </w:r>
    </w:p>
    <w:p w:rsidR="00DD9A8E" w:rsidP="5D45256D" w:rsidRDefault="00DD9A8E" w14:paraId="7A13BAC3" w14:textId="5840EE51">
      <w:pPr>
        <w:pStyle w:val="Normal"/>
        <w:rPr>
          <w:rFonts w:ascii="Arial" w:hAnsi="Arial" w:eastAsia="Arial" w:cs="Arial"/>
          <w:color w:val="auto"/>
          <w:sz w:val="24"/>
          <w:szCs w:val="24"/>
        </w:rPr>
      </w:pPr>
      <w:r w:rsidRPr="5D45256D" w:rsidR="00DD9A8E">
        <w:rPr>
          <w:rFonts w:ascii="Arial" w:hAnsi="Arial" w:eastAsia="Arial" w:cs="Arial"/>
          <w:color w:val="auto"/>
          <w:sz w:val="24"/>
          <w:szCs w:val="24"/>
        </w:rPr>
        <w:t>Abstract</w:t>
      </w:r>
      <w:r w:rsidRPr="5D45256D" w:rsidR="303ED135">
        <w:rPr>
          <w:rFonts w:ascii="Arial" w:hAnsi="Arial" w:eastAsia="Arial" w:cs="Arial"/>
          <w:color w:val="auto"/>
          <w:sz w:val="24"/>
          <w:szCs w:val="24"/>
        </w:rPr>
        <w:t>.............................................................................................................</w:t>
      </w:r>
      <w:r w:rsidRPr="5D45256D" w:rsidR="0A022BCF">
        <w:rPr>
          <w:rFonts w:ascii="Arial" w:hAnsi="Arial" w:eastAsia="Arial" w:cs="Arial"/>
          <w:color w:val="auto"/>
          <w:sz w:val="24"/>
          <w:szCs w:val="24"/>
        </w:rPr>
        <w:t>4</w:t>
      </w:r>
    </w:p>
    <w:p w:rsidR="0180834D" w:rsidP="5D45256D" w:rsidRDefault="0180834D" w14:paraId="62BDD106" w14:textId="59CAB614">
      <w:pPr>
        <w:tabs>
          <w:tab w:val="right" w:leader="dot" w:pos="9016"/>
        </w:tabs>
        <w:spacing w:before="0" w:beforeAutospacing="off" w:after="100" w:afterAutospacing="off" w:line="360" w:lineRule="auto"/>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000000" w:themeColor="text1" w:themeTint="FF" w:themeShade="FF"/>
          <w:u w:val="none"/>
        </w:rPr>
        <w:t>Chapter 1: Introduction</w:t>
      </w:r>
      <w:r w:rsidRPr="5D45256D" w:rsidR="365C5F52">
        <w:rPr>
          <w:rFonts w:ascii="Arial" w:hAnsi="Arial" w:eastAsia="Arial" w:cs="Arial"/>
          <w:strike w:val="0"/>
          <w:dstrike w:val="0"/>
          <w:color w:val="000000" w:themeColor="text1" w:themeTint="FF" w:themeShade="FF"/>
          <w:u w:val="none"/>
        </w:rPr>
        <w:t>.....................................................................................</w:t>
      </w:r>
      <w:r w:rsidRPr="5D45256D" w:rsidR="0180834D">
        <w:rPr>
          <w:rFonts w:ascii="Arial" w:hAnsi="Arial" w:eastAsia="Arial" w:cs="Arial"/>
          <w:strike w:val="0"/>
          <w:dstrike w:val="0"/>
          <w:color w:val="000000" w:themeColor="text1" w:themeTint="FF" w:themeShade="FF"/>
          <w:u w:val="none"/>
        </w:rPr>
        <w:t>6</w:t>
      </w:r>
    </w:p>
    <w:p w:rsidR="0180834D" w:rsidP="5D45256D" w:rsidRDefault="0180834D" w14:paraId="1859A2FD" w14:textId="4FB0B380">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000000" w:themeColor="text1" w:themeTint="FF" w:themeShade="FF"/>
          <w:u w:val="none"/>
        </w:rPr>
        <w:t>1.1 Background of the Study</w:t>
      </w:r>
      <w:r>
        <w:tab/>
      </w:r>
      <w:r w:rsidRPr="5D45256D" w:rsidR="0180834D">
        <w:rPr>
          <w:rFonts w:ascii="Arial" w:hAnsi="Arial" w:eastAsia="Arial" w:cs="Arial"/>
          <w:strike w:val="0"/>
          <w:dstrike w:val="0"/>
          <w:color w:val="000000" w:themeColor="text1" w:themeTint="FF" w:themeShade="FF"/>
          <w:u w:val="none"/>
        </w:rPr>
        <w:t>6</w:t>
      </w:r>
    </w:p>
    <w:p w:rsidR="0180834D" w:rsidP="5D45256D" w:rsidRDefault="0180834D" w14:paraId="35846BC8" w14:textId="72D5F1F9">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000000" w:themeColor="text1" w:themeTint="FF" w:themeShade="FF"/>
          <w:u w:val="none"/>
        </w:rPr>
        <w:t>1.2 Research Problem</w:t>
      </w:r>
      <w:r>
        <w:tab/>
      </w:r>
      <w:r w:rsidRPr="5D45256D" w:rsidR="0180834D">
        <w:rPr>
          <w:rFonts w:ascii="Arial" w:hAnsi="Arial" w:eastAsia="Arial" w:cs="Arial"/>
          <w:strike w:val="0"/>
          <w:dstrike w:val="0"/>
          <w:color w:val="000000" w:themeColor="text1" w:themeTint="FF" w:themeShade="FF"/>
          <w:u w:val="none"/>
        </w:rPr>
        <w:t>6</w:t>
      </w:r>
    </w:p>
    <w:p w:rsidR="0180834D" w:rsidP="5D45256D" w:rsidRDefault="0180834D" w14:paraId="5F8ED241" w14:textId="2F8866E2">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000000" w:themeColor="text1" w:themeTint="FF" w:themeShade="FF"/>
          <w:u w:val="none"/>
        </w:rPr>
        <w:t>1.3 Research Aim</w:t>
      </w:r>
      <w:r>
        <w:tab/>
      </w:r>
      <w:r w:rsidRPr="5D45256D" w:rsidR="0180834D">
        <w:rPr>
          <w:rFonts w:ascii="Arial" w:hAnsi="Arial" w:eastAsia="Arial" w:cs="Arial"/>
          <w:strike w:val="0"/>
          <w:dstrike w:val="0"/>
          <w:color w:val="000000" w:themeColor="text1" w:themeTint="FF" w:themeShade="FF"/>
          <w:u w:val="none"/>
        </w:rPr>
        <w:t>7</w:t>
      </w:r>
    </w:p>
    <w:p w:rsidR="0180834D" w:rsidP="5D45256D" w:rsidRDefault="0180834D" w14:paraId="52DD08BF" w14:textId="4C11E56F">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000000" w:themeColor="text1" w:themeTint="FF" w:themeShade="FF"/>
          <w:u w:val="none"/>
        </w:rPr>
        <w:t>1.4 Research Objectives</w:t>
      </w:r>
      <w:r>
        <w:tab/>
      </w:r>
      <w:r w:rsidRPr="5D45256D" w:rsidR="0180834D">
        <w:rPr>
          <w:rFonts w:ascii="Arial" w:hAnsi="Arial" w:eastAsia="Arial" w:cs="Arial"/>
          <w:strike w:val="0"/>
          <w:dstrike w:val="0"/>
          <w:color w:val="000000" w:themeColor="text1" w:themeTint="FF" w:themeShade="FF"/>
          <w:u w:val="none"/>
        </w:rPr>
        <w:t>7</w:t>
      </w:r>
    </w:p>
    <w:p w:rsidR="0180834D" w:rsidP="5D45256D" w:rsidRDefault="0180834D" w14:paraId="6D446811" w14:textId="4BD56D74">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000000" w:themeColor="text1" w:themeTint="FF" w:themeShade="FF"/>
          <w:u w:val="none"/>
        </w:rPr>
        <w:t>1.5 Research Questions</w:t>
      </w:r>
      <w:r>
        <w:tab/>
      </w:r>
      <w:r w:rsidRPr="5D45256D" w:rsidR="0180834D">
        <w:rPr>
          <w:rFonts w:ascii="Arial" w:hAnsi="Arial" w:eastAsia="Arial" w:cs="Arial"/>
          <w:strike w:val="0"/>
          <w:dstrike w:val="0"/>
          <w:color w:val="000000" w:themeColor="text1" w:themeTint="FF" w:themeShade="FF"/>
          <w:u w:val="none"/>
        </w:rPr>
        <w:t>7</w:t>
      </w:r>
    </w:p>
    <w:p w:rsidR="0180834D" w:rsidP="5D45256D" w:rsidRDefault="0180834D" w14:paraId="22B189B5" w14:textId="24991E5C">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000000" w:themeColor="text1" w:themeTint="FF" w:themeShade="FF"/>
          <w:u w:val="none"/>
        </w:rPr>
        <w:t>1.6 Research Rationale</w:t>
      </w:r>
      <w:r>
        <w:tab/>
      </w:r>
      <w:r w:rsidRPr="5D45256D" w:rsidR="0180834D">
        <w:rPr>
          <w:rFonts w:ascii="Arial" w:hAnsi="Arial" w:eastAsia="Arial" w:cs="Arial"/>
          <w:strike w:val="0"/>
          <w:dstrike w:val="0"/>
          <w:color w:val="auto"/>
          <w:u w:val="none"/>
        </w:rPr>
        <w:t>8</w:t>
      </w:r>
    </w:p>
    <w:p w:rsidR="0180834D" w:rsidP="5D45256D" w:rsidRDefault="0180834D" w14:paraId="5B096BC4" w14:textId="6BF5257B">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1.7 Scope of the Study</w:t>
      </w:r>
      <w:r>
        <w:tab/>
      </w:r>
      <w:r w:rsidRPr="5D45256D" w:rsidR="0180834D">
        <w:rPr>
          <w:rFonts w:ascii="Arial" w:hAnsi="Arial" w:eastAsia="Arial" w:cs="Arial"/>
          <w:strike w:val="0"/>
          <w:dstrike w:val="0"/>
          <w:color w:val="auto"/>
          <w:u w:val="none"/>
        </w:rPr>
        <w:t>8</w:t>
      </w:r>
    </w:p>
    <w:p w:rsidR="0180834D" w:rsidP="5D45256D" w:rsidRDefault="0180834D" w14:paraId="015BDCE7" w14:textId="60847DB2">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1.8 Dissertation Structure</w:t>
      </w:r>
      <w:r>
        <w:tab/>
      </w:r>
      <w:r w:rsidRPr="5D45256D" w:rsidR="0180834D">
        <w:rPr>
          <w:rFonts w:ascii="Arial" w:hAnsi="Arial" w:eastAsia="Arial" w:cs="Arial"/>
          <w:strike w:val="0"/>
          <w:dstrike w:val="0"/>
          <w:color w:val="auto"/>
          <w:u w:val="none"/>
        </w:rPr>
        <w:t>8</w:t>
      </w:r>
    </w:p>
    <w:p w:rsidR="0180834D" w:rsidP="5D45256D" w:rsidRDefault="0180834D" w14:paraId="685090FA" w14:textId="654DD47F">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2.7 Conceptual Framework</w:t>
      </w:r>
      <w:r>
        <w:tab/>
      </w:r>
      <w:r w:rsidRPr="5D45256D" w:rsidR="0180834D">
        <w:rPr>
          <w:rFonts w:ascii="Arial" w:hAnsi="Arial" w:eastAsia="Arial" w:cs="Arial"/>
          <w:strike w:val="0"/>
          <w:dstrike w:val="0"/>
          <w:color w:val="auto"/>
          <w:u w:val="none"/>
        </w:rPr>
        <w:t>16</w:t>
      </w:r>
    </w:p>
    <w:p w:rsidR="0180834D" w:rsidP="5D45256D" w:rsidRDefault="0180834D" w14:paraId="27ED5049" w14:textId="266E826F">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2.8 Literature Gap</w:t>
      </w:r>
      <w:r>
        <w:tab/>
      </w:r>
      <w:r w:rsidRPr="5D45256D" w:rsidR="0180834D">
        <w:rPr>
          <w:rFonts w:ascii="Arial" w:hAnsi="Arial" w:eastAsia="Arial" w:cs="Arial"/>
          <w:strike w:val="0"/>
          <w:dstrike w:val="0"/>
          <w:color w:val="auto"/>
          <w:u w:val="none"/>
        </w:rPr>
        <w:t>17</w:t>
      </w:r>
    </w:p>
    <w:p w:rsidR="0180834D" w:rsidP="5D45256D" w:rsidRDefault="0180834D" w14:paraId="2A0BDDAE" w14:textId="09F8E3D5">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2.9 Summary</w:t>
      </w:r>
      <w:r>
        <w:tab/>
      </w:r>
      <w:r w:rsidRPr="5D45256D" w:rsidR="0180834D">
        <w:rPr>
          <w:rFonts w:ascii="Arial" w:hAnsi="Arial" w:eastAsia="Arial" w:cs="Arial"/>
          <w:strike w:val="0"/>
          <w:dstrike w:val="0"/>
          <w:color w:val="auto"/>
          <w:u w:val="none"/>
        </w:rPr>
        <w:t>17</w:t>
      </w:r>
    </w:p>
    <w:p w:rsidR="0180834D" w:rsidP="5D45256D" w:rsidRDefault="0180834D" w14:paraId="35E6B069" w14:textId="327963C5">
      <w:pPr>
        <w:tabs>
          <w:tab w:val="right" w:leader="dot" w:pos="9016"/>
        </w:tabs>
        <w:spacing w:before="0" w:beforeAutospacing="off" w:after="100" w:afterAutospacing="off" w:line="360" w:lineRule="auto"/>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Chapter 3: Research Me</w:t>
      </w:r>
      <w:r w:rsidRPr="5D45256D" w:rsidR="0180834D">
        <w:rPr>
          <w:rFonts w:ascii="Arial" w:hAnsi="Arial" w:eastAsia="Arial" w:cs="Arial"/>
          <w:strike w:val="0"/>
          <w:dstrike w:val="0"/>
          <w:color w:val="auto"/>
          <w:u w:val="none"/>
        </w:rPr>
        <w:t>tho</w:t>
      </w:r>
      <w:r w:rsidRPr="5D45256D" w:rsidR="0180834D">
        <w:rPr>
          <w:rFonts w:ascii="Arial" w:hAnsi="Arial" w:eastAsia="Arial" w:cs="Arial"/>
          <w:strike w:val="0"/>
          <w:dstrike w:val="0"/>
          <w:color w:val="auto"/>
          <w:u w:val="none"/>
        </w:rPr>
        <w:t>dology</w:t>
      </w:r>
      <w:r>
        <w:tab/>
      </w:r>
      <w:r w:rsidRPr="5D45256D" w:rsidR="0180834D">
        <w:rPr>
          <w:rFonts w:ascii="Arial" w:hAnsi="Arial" w:eastAsia="Arial" w:cs="Arial"/>
          <w:strike w:val="0"/>
          <w:dstrike w:val="0"/>
          <w:color w:val="auto"/>
          <w:u w:val="none"/>
        </w:rPr>
        <w:t>18</w:t>
      </w:r>
    </w:p>
    <w:p w:rsidR="0180834D" w:rsidP="5D45256D" w:rsidRDefault="0180834D" w14:paraId="6AD91F0E" w14:textId="2F2CA20E">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3.1 Introduction</w:t>
      </w:r>
      <w:r>
        <w:tab/>
      </w:r>
      <w:r w:rsidRPr="5D45256D" w:rsidR="0180834D">
        <w:rPr>
          <w:rFonts w:ascii="Arial" w:hAnsi="Arial" w:eastAsia="Arial" w:cs="Arial"/>
          <w:strike w:val="0"/>
          <w:dstrike w:val="0"/>
          <w:color w:val="auto"/>
          <w:u w:val="none"/>
        </w:rPr>
        <w:t>18</w:t>
      </w:r>
    </w:p>
    <w:p w:rsidR="0180834D" w:rsidP="5D45256D" w:rsidRDefault="0180834D" w14:paraId="3220D302" w14:textId="09E8C5D9">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3.2 Research Philosophy</w:t>
      </w:r>
      <w:r>
        <w:tab/>
      </w:r>
      <w:r w:rsidRPr="5D45256D" w:rsidR="0180834D">
        <w:rPr>
          <w:rFonts w:ascii="Arial" w:hAnsi="Arial" w:eastAsia="Arial" w:cs="Arial"/>
          <w:strike w:val="0"/>
          <w:dstrike w:val="0"/>
          <w:color w:val="auto"/>
          <w:u w:val="none"/>
        </w:rPr>
        <w:t>18</w:t>
      </w:r>
    </w:p>
    <w:p w:rsidR="0180834D" w:rsidP="5D45256D" w:rsidRDefault="0180834D" w14:paraId="33FEB4BC" w14:textId="12368488">
      <w:pPr>
        <w:pStyle w:val="ListParagraph"/>
        <w:numPr>
          <w:ilvl w:val="0"/>
          <w:numId w:val="4"/>
        </w:numPr>
        <w:tabs>
          <w:tab w:val="right" w:leader="dot" w:pos="9016"/>
        </w:tabs>
        <w:spacing w:before="0" w:beforeAutospacing="off" w:after="100" w:afterAutospacing="off" w:line="360" w:lineRule="auto"/>
        <w:ind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3.3 Research Approach</w:t>
      </w:r>
      <w:r>
        <w:tab/>
      </w:r>
      <w:r w:rsidRPr="5D45256D" w:rsidR="0180834D">
        <w:rPr>
          <w:rFonts w:ascii="Arial" w:hAnsi="Arial" w:eastAsia="Arial" w:cs="Arial"/>
          <w:strike w:val="0"/>
          <w:dstrike w:val="0"/>
          <w:color w:val="auto"/>
          <w:u w:val="none"/>
        </w:rPr>
        <w:t>18</w:t>
      </w:r>
    </w:p>
    <w:p w:rsidR="0180834D" w:rsidP="5D45256D" w:rsidRDefault="0180834D" w14:paraId="117BA4C0" w14:textId="3B0C3D34">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3.4 Research Strategy</w:t>
      </w:r>
      <w:r>
        <w:tab/>
      </w:r>
      <w:r w:rsidRPr="5D45256D" w:rsidR="0180834D">
        <w:rPr>
          <w:rFonts w:ascii="Arial" w:hAnsi="Arial" w:eastAsia="Arial" w:cs="Arial"/>
          <w:strike w:val="0"/>
          <w:dstrike w:val="0"/>
          <w:color w:val="auto"/>
          <w:u w:val="none"/>
        </w:rPr>
        <w:t>18</w:t>
      </w:r>
    </w:p>
    <w:p w:rsidR="0180834D" w:rsidP="5D45256D" w:rsidRDefault="0180834D" w14:paraId="2C4040DF" w14:textId="60CD6614">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 xml:space="preserve">3.5 </w:t>
      </w:r>
      <w:r w:rsidRPr="5D45256D" w:rsidR="60BE9F31">
        <w:rPr>
          <w:rFonts w:ascii="Arial" w:hAnsi="Arial" w:eastAsia="Arial" w:cs="Arial"/>
          <w:strike w:val="0"/>
          <w:dstrike w:val="0"/>
          <w:color w:val="auto"/>
          <w:u w:val="none"/>
        </w:rPr>
        <w:t>1.9 Conclusion</w:t>
      </w:r>
      <w:r>
        <w:tab/>
      </w:r>
      <w:r w:rsidRPr="5D45256D" w:rsidR="60BE9F31">
        <w:rPr>
          <w:rFonts w:ascii="Arial" w:hAnsi="Arial" w:eastAsia="Arial" w:cs="Arial"/>
          <w:strike w:val="0"/>
          <w:dstrike w:val="0"/>
          <w:color w:val="auto"/>
          <w:u w:val="none"/>
        </w:rPr>
        <w:t>9</w:t>
      </w:r>
    </w:p>
    <w:p w:rsidR="60BE9F31" w:rsidP="5D45256D" w:rsidRDefault="60BE9F31" w14:paraId="4AEDD147" w14:textId="79C01CD3">
      <w:pPr>
        <w:tabs>
          <w:tab w:val="right" w:leader="dot" w:pos="9016"/>
        </w:tabs>
        <w:spacing w:before="0" w:beforeAutospacing="off" w:after="100" w:afterAutospacing="off" w:line="360" w:lineRule="auto"/>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Chapter 2: Literature Review</w:t>
      </w:r>
      <w:r>
        <w:tab/>
      </w:r>
      <w:r w:rsidRPr="5D45256D" w:rsidR="60BE9F31">
        <w:rPr>
          <w:rFonts w:ascii="Arial" w:hAnsi="Arial" w:eastAsia="Arial" w:cs="Arial"/>
          <w:strike w:val="0"/>
          <w:dstrike w:val="0"/>
          <w:color w:val="auto"/>
          <w:u w:val="none"/>
        </w:rPr>
        <w:t>10</w:t>
      </w:r>
    </w:p>
    <w:p w:rsidR="60BE9F31" w:rsidP="5D45256D" w:rsidRDefault="60BE9F31" w14:paraId="07CE007E" w14:textId="79C0AA43">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2.1 Introduction............................................................................................10</w:t>
      </w:r>
    </w:p>
    <w:p w:rsidR="60BE9F31" w:rsidP="5D45256D" w:rsidRDefault="60BE9F31" w14:paraId="41D75E88" w14:textId="270941B2">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2.2 Concepts</w:t>
      </w:r>
      <w:r>
        <w:tab/>
      </w:r>
      <w:r w:rsidRPr="5D45256D" w:rsidR="60BE9F31">
        <w:rPr>
          <w:rFonts w:ascii="Arial" w:hAnsi="Arial" w:eastAsia="Arial" w:cs="Arial"/>
          <w:strike w:val="0"/>
          <w:dstrike w:val="0"/>
          <w:color w:val="auto"/>
          <w:u w:val="none"/>
        </w:rPr>
        <w:t>10</w:t>
      </w:r>
    </w:p>
    <w:p w:rsidR="60BE9F31" w:rsidP="5D45256D" w:rsidRDefault="60BE9F31" w14:paraId="0E231493" w14:textId="5CC36D89">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2.3 Theories</w:t>
      </w:r>
      <w:r>
        <w:tab/>
      </w:r>
      <w:r w:rsidRPr="5D45256D" w:rsidR="60BE9F31">
        <w:rPr>
          <w:rFonts w:ascii="Arial" w:hAnsi="Arial" w:eastAsia="Arial" w:cs="Arial"/>
          <w:strike w:val="0"/>
          <w:dstrike w:val="0"/>
          <w:color w:val="auto"/>
          <w:u w:val="none"/>
        </w:rPr>
        <w:t>10</w:t>
      </w:r>
    </w:p>
    <w:p w:rsidR="60BE9F31" w:rsidP="5D45256D" w:rsidRDefault="60BE9F31" w14:paraId="063DB26B" w14:textId="098914E5">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2.4 How employee engagement, training, and development can help decrease employee turnover in care homes</w:t>
      </w:r>
      <w:r>
        <w:tab/>
      </w:r>
      <w:r w:rsidRPr="5D45256D" w:rsidR="60BE9F31">
        <w:rPr>
          <w:rFonts w:ascii="Arial" w:hAnsi="Arial" w:eastAsia="Arial" w:cs="Arial"/>
          <w:strike w:val="0"/>
          <w:dstrike w:val="0"/>
          <w:color w:val="auto"/>
          <w:u w:val="none"/>
        </w:rPr>
        <w:t>12</w:t>
      </w:r>
    </w:p>
    <w:p w:rsidR="60BE9F31" w:rsidP="5D45256D" w:rsidRDefault="60BE9F31" w14:paraId="5FB3784F" w14:textId="04BBD885">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2.5 The factors contributing to employee turnover within care homes</w:t>
      </w:r>
      <w:r>
        <w:tab/>
      </w:r>
      <w:r w:rsidRPr="5D45256D" w:rsidR="60BE9F31">
        <w:rPr>
          <w:rFonts w:ascii="Arial" w:hAnsi="Arial" w:eastAsia="Arial" w:cs="Arial"/>
          <w:strike w:val="0"/>
          <w:dstrike w:val="0"/>
          <w:color w:val="auto"/>
          <w:u w:val="none"/>
        </w:rPr>
        <w:t>13</w:t>
      </w:r>
    </w:p>
    <w:p w:rsidR="60BE9F31" w:rsidP="5D45256D" w:rsidRDefault="60BE9F31" w14:paraId="28F0BBA2" w14:textId="075EBF33">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60BE9F31">
        <w:rPr>
          <w:rFonts w:ascii="Arial" w:hAnsi="Arial" w:eastAsia="Arial" w:cs="Arial"/>
          <w:strike w:val="0"/>
          <w:dstrike w:val="0"/>
          <w:color w:val="auto"/>
          <w:u w:val="none"/>
        </w:rPr>
        <w:t>2.6 The obstacles to effective HR approaches in care homes in addressing employee turnover</w:t>
      </w:r>
      <w:r>
        <w:tab/>
      </w:r>
      <w:r w:rsidRPr="5D45256D" w:rsidR="60BE9F31">
        <w:rPr>
          <w:rFonts w:ascii="Arial" w:hAnsi="Arial" w:eastAsia="Arial" w:cs="Arial"/>
          <w:strike w:val="0"/>
          <w:dstrike w:val="0"/>
          <w:color w:val="auto"/>
          <w:u w:val="none"/>
        </w:rPr>
        <w:t xml:space="preserve">14 </w:t>
      </w:r>
    </w:p>
    <w:p w:rsidR="0180834D" w:rsidP="5D45256D" w:rsidRDefault="0180834D" w14:paraId="2923D395" w14:textId="6C3CFF1E">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Research Choice</w:t>
      </w:r>
      <w:r>
        <w:tab/>
      </w:r>
      <w:r w:rsidRPr="5D45256D" w:rsidR="0180834D">
        <w:rPr>
          <w:rFonts w:ascii="Arial" w:hAnsi="Arial" w:eastAsia="Arial" w:cs="Arial"/>
          <w:strike w:val="0"/>
          <w:dstrike w:val="0"/>
          <w:color w:val="auto"/>
          <w:u w:val="none"/>
        </w:rPr>
        <w:t>19</w:t>
      </w:r>
    </w:p>
    <w:p w:rsidR="0180834D" w:rsidP="5D45256D" w:rsidRDefault="0180834D" w14:paraId="659E794B" w14:textId="5E1123E0">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3.6 Time Horizon</w:t>
      </w:r>
      <w:r>
        <w:tab/>
      </w:r>
      <w:r w:rsidRPr="5D45256D" w:rsidR="0180834D">
        <w:rPr>
          <w:rFonts w:ascii="Arial" w:hAnsi="Arial" w:eastAsia="Arial" w:cs="Arial"/>
          <w:strike w:val="0"/>
          <w:dstrike w:val="0"/>
          <w:color w:val="auto"/>
          <w:u w:val="none"/>
        </w:rPr>
        <w:t>19</w:t>
      </w:r>
    </w:p>
    <w:p w:rsidR="0180834D" w:rsidP="5D45256D" w:rsidRDefault="0180834D" w14:paraId="6BA47EB0" w14:textId="14C2D156">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3.7 Data collection</w:t>
      </w:r>
      <w:r>
        <w:tab/>
      </w:r>
      <w:r w:rsidRPr="5D45256D" w:rsidR="0180834D">
        <w:rPr>
          <w:rFonts w:ascii="Arial" w:hAnsi="Arial" w:eastAsia="Arial" w:cs="Arial"/>
          <w:strike w:val="0"/>
          <w:dstrike w:val="0"/>
          <w:color w:val="auto"/>
          <w:u w:val="none"/>
        </w:rPr>
        <w:t>19</w:t>
      </w:r>
    </w:p>
    <w:p w:rsidR="0180834D" w:rsidP="5D45256D" w:rsidRDefault="0180834D" w14:paraId="38DA283A" w14:textId="7BF77304">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3.8 Data Analysis</w:t>
      </w:r>
      <w:r>
        <w:tab/>
      </w:r>
      <w:r w:rsidRPr="5D45256D" w:rsidR="0180834D">
        <w:rPr>
          <w:rFonts w:ascii="Arial" w:hAnsi="Arial" w:eastAsia="Arial" w:cs="Arial"/>
          <w:strike w:val="0"/>
          <w:dstrike w:val="0"/>
          <w:color w:val="auto"/>
          <w:u w:val="none"/>
        </w:rPr>
        <w:t>19</w:t>
      </w:r>
    </w:p>
    <w:p w:rsidR="0180834D" w:rsidP="5D45256D" w:rsidRDefault="0180834D" w14:paraId="3789EBE3" w14:textId="22D8AB4E">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3.9 Ethical Consideration</w:t>
      </w:r>
      <w:r>
        <w:tab/>
      </w:r>
      <w:r w:rsidRPr="5D45256D" w:rsidR="0180834D">
        <w:rPr>
          <w:rFonts w:ascii="Arial" w:hAnsi="Arial" w:eastAsia="Arial" w:cs="Arial"/>
          <w:strike w:val="0"/>
          <w:dstrike w:val="0"/>
          <w:color w:val="auto"/>
          <w:u w:val="none"/>
        </w:rPr>
        <w:t>20</w:t>
      </w:r>
    </w:p>
    <w:p w:rsidR="0180834D" w:rsidP="5D45256D" w:rsidRDefault="0180834D" w14:paraId="0FFC50D1" w14:textId="57771237">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3.10 Conclusion</w:t>
      </w:r>
      <w:r>
        <w:tab/>
      </w:r>
      <w:r w:rsidRPr="5D45256D" w:rsidR="0180834D">
        <w:rPr>
          <w:rFonts w:ascii="Arial" w:hAnsi="Arial" w:eastAsia="Arial" w:cs="Arial"/>
          <w:strike w:val="0"/>
          <w:dstrike w:val="0"/>
          <w:color w:val="auto"/>
          <w:u w:val="none"/>
        </w:rPr>
        <w:t>20</w:t>
      </w:r>
    </w:p>
    <w:p w:rsidR="0180834D" w:rsidP="5D45256D" w:rsidRDefault="0180834D" w14:paraId="46122673" w14:textId="4B79F4B1">
      <w:pPr>
        <w:tabs>
          <w:tab w:val="right" w:leader="dot" w:pos="9016"/>
        </w:tabs>
        <w:spacing w:before="0" w:beforeAutospacing="off" w:after="100" w:afterAutospacing="off" w:line="360" w:lineRule="auto"/>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Chapter 4: Data analysis</w:t>
      </w:r>
      <w:r>
        <w:tab/>
      </w:r>
      <w:r w:rsidRPr="5D45256D" w:rsidR="0180834D">
        <w:rPr>
          <w:rFonts w:ascii="Arial" w:hAnsi="Arial" w:eastAsia="Arial" w:cs="Arial"/>
          <w:strike w:val="0"/>
          <w:dstrike w:val="0"/>
          <w:color w:val="auto"/>
          <w:u w:val="none"/>
        </w:rPr>
        <w:t>21</w:t>
      </w:r>
    </w:p>
    <w:p w:rsidR="0180834D" w:rsidP="5D45256D" w:rsidRDefault="0180834D" w14:paraId="7F33637D" w14:textId="56002855">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4.1 Introduction</w:t>
      </w:r>
      <w:r>
        <w:tab/>
      </w:r>
      <w:r w:rsidRPr="5D45256D" w:rsidR="0180834D">
        <w:rPr>
          <w:rFonts w:ascii="Arial" w:hAnsi="Arial" w:eastAsia="Arial" w:cs="Arial"/>
          <w:strike w:val="0"/>
          <w:dstrike w:val="0"/>
          <w:color w:val="auto"/>
          <w:u w:val="none"/>
        </w:rPr>
        <w:t>21</w:t>
      </w:r>
    </w:p>
    <w:p w:rsidR="0180834D" w:rsidP="5D45256D" w:rsidRDefault="0180834D" w14:paraId="64BA2C0D" w14:textId="137C2B60">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4.2 Extent of Employee Retention Challenges</w:t>
      </w:r>
      <w:r>
        <w:tab/>
      </w:r>
      <w:r w:rsidRPr="5D45256D" w:rsidR="0180834D">
        <w:rPr>
          <w:rFonts w:ascii="Arial" w:hAnsi="Arial" w:eastAsia="Arial" w:cs="Arial"/>
          <w:strike w:val="0"/>
          <w:dstrike w:val="0"/>
          <w:color w:val="auto"/>
          <w:u w:val="none"/>
        </w:rPr>
        <w:t>21</w:t>
      </w:r>
    </w:p>
    <w:p w:rsidR="0180834D" w:rsidP="5D45256D" w:rsidRDefault="0180834D" w14:paraId="3AB4CF79" w14:textId="2B4DE35B">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4.3 Factors Contributing to Employee Turnover</w:t>
      </w:r>
      <w:r>
        <w:tab/>
      </w:r>
      <w:r w:rsidRPr="5D45256D" w:rsidR="0180834D">
        <w:rPr>
          <w:rFonts w:ascii="Arial" w:hAnsi="Arial" w:eastAsia="Arial" w:cs="Arial"/>
          <w:strike w:val="0"/>
          <w:dstrike w:val="0"/>
          <w:color w:val="auto"/>
          <w:u w:val="none"/>
        </w:rPr>
        <w:t>22</w:t>
      </w:r>
    </w:p>
    <w:p w:rsidR="0180834D" w:rsidP="5D45256D" w:rsidRDefault="0180834D" w14:paraId="5FC490A9" w14:textId="2776266D">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4.4 Employee Engagement, Morale, Training and Development</w:t>
      </w:r>
      <w:r>
        <w:tab/>
      </w:r>
      <w:r w:rsidRPr="5D45256D" w:rsidR="0180834D">
        <w:rPr>
          <w:rFonts w:ascii="Arial" w:hAnsi="Arial" w:eastAsia="Arial" w:cs="Arial"/>
          <w:strike w:val="0"/>
          <w:dstrike w:val="0"/>
          <w:color w:val="auto"/>
          <w:u w:val="none"/>
        </w:rPr>
        <w:t>24</w:t>
      </w:r>
    </w:p>
    <w:p w:rsidR="0180834D" w:rsidP="5D45256D" w:rsidRDefault="0180834D" w14:paraId="371E5A8D" w14:textId="000593DF">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4.5 Barriers to Effective HR Retention Strategies</w:t>
      </w:r>
      <w:r>
        <w:tab/>
      </w:r>
      <w:r w:rsidRPr="5D45256D" w:rsidR="0180834D">
        <w:rPr>
          <w:rFonts w:ascii="Arial" w:hAnsi="Arial" w:eastAsia="Arial" w:cs="Arial"/>
          <w:strike w:val="0"/>
          <w:dstrike w:val="0"/>
          <w:color w:val="auto"/>
          <w:u w:val="none"/>
        </w:rPr>
        <w:t>25</w:t>
      </w:r>
    </w:p>
    <w:p w:rsidR="0180834D" w:rsidP="5D45256D" w:rsidRDefault="0180834D" w14:paraId="1FEFC469" w14:textId="36A3FB63">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4.6 Integrated Findings and Chapter Summary</w:t>
      </w:r>
      <w:r>
        <w:tab/>
      </w:r>
      <w:r w:rsidRPr="5D45256D" w:rsidR="0180834D">
        <w:rPr>
          <w:rFonts w:ascii="Arial" w:hAnsi="Arial" w:eastAsia="Arial" w:cs="Arial"/>
          <w:strike w:val="0"/>
          <w:dstrike w:val="0"/>
          <w:color w:val="auto"/>
          <w:u w:val="none"/>
        </w:rPr>
        <w:t>26</w:t>
      </w:r>
    </w:p>
    <w:p w:rsidR="0180834D" w:rsidP="5D45256D" w:rsidRDefault="0180834D" w14:paraId="7BF0684C" w14:textId="1E48DDBB">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4.7 Discussion</w:t>
      </w:r>
      <w:r>
        <w:tab/>
      </w:r>
      <w:r w:rsidRPr="5D45256D" w:rsidR="0180834D">
        <w:rPr>
          <w:rFonts w:ascii="Arial" w:hAnsi="Arial" w:eastAsia="Arial" w:cs="Arial"/>
          <w:strike w:val="0"/>
          <w:dstrike w:val="0"/>
          <w:color w:val="auto"/>
          <w:u w:val="none"/>
        </w:rPr>
        <w:t>27</w:t>
      </w:r>
    </w:p>
    <w:p w:rsidR="0180834D" w:rsidP="5D45256D" w:rsidRDefault="0180834D" w14:paraId="37172EAB" w14:textId="536DF87C">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4.8 Summary</w:t>
      </w:r>
      <w:r>
        <w:tab/>
      </w:r>
      <w:r w:rsidRPr="5D45256D" w:rsidR="0180834D">
        <w:rPr>
          <w:rFonts w:ascii="Arial" w:hAnsi="Arial" w:eastAsia="Arial" w:cs="Arial"/>
          <w:strike w:val="0"/>
          <w:dstrike w:val="0"/>
          <w:color w:val="auto"/>
          <w:u w:val="none"/>
        </w:rPr>
        <w:t>29</w:t>
      </w:r>
    </w:p>
    <w:p w:rsidR="0180834D" w:rsidP="5D45256D" w:rsidRDefault="0180834D" w14:paraId="5B7EE3D7" w14:textId="1C23EEC1">
      <w:pPr>
        <w:tabs>
          <w:tab w:val="right" w:leader="dot" w:pos="9016"/>
        </w:tabs>
        <w:spacing w:before="0" w:beforeAutospacing="off" w:after="100" w:afterAutospacing="off" w:line="360" w:lineRule="auto"/>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Chapter 5: Conclusion and Recommendation</w:t>
      </w:r>
      <w:r>
        <w:tab/>
      </w:r>
      <w:r w:rsidRPr="5D45256D" w:rsidR="0180834D">
        <w:rPr>
          <w:rFonts w:ascii="Arial" w:hAnsi="Arial" w:eastAsia="Arial" w:cs="Arial"/>
          <w:strike w:val="0"/>
          <w:dstrike w:val="0"/>
          <w:color w:val="auto"/>
          <w:u w:val="none"/>
        </w:rPr>
        <w:t>30</w:t>
      </w:r>
    </w:p>
    <w:p w:rsidR="0180834D" w:rsidP="5D45256D" w:rsidRDefault="0180834D" w14:paraId="3C29D835" w14:textId="2C51C861">
      <w:pPr>
        <w:tabs>
          <w:tab w:val="right" w:leader="dot" w:pos="9016"/>
        </w:tabs>
        <w:spacing w:before="0" w:beforeAutospacing="off" w:after="100" w:afterAutospacing="off" w:line="360" w:lineRule="auto"/>
        <w:ind w:left="240" w:right="0"/>
        <w:jc w:val="both"/>
        <w:rPr>
          <w:rFonts w:ascii="Arial" w:hAnsi="Arial" w:eastAsia="Arial" w:cs="Arial"/>
          <w:color w:val="auto"/>
          <w:u w:val="none"/>
        </w:rPr>
      </w:pPr>
      <w:hyperlink r:id="R2888e3c74a32427a">
        <w:r w:rsidRPr="5D45256D" w:rsidR="0180834D">
          <w:rPr>
            <w:rStyle w:val="Hyperlink"/>
            <w:rFonts w:ascii="Arial" w:hAnsi="Arial" w:eastAsia="Arial" w:cs="Arial"/>
            <w:strike w:val="0"/>
            <w:dstrike w:val="0"/>
            <w:color w:val="auto"/>
            <w:u w:val="none"/>
          </w:rPr>
          <w:t>5.1 Introduction</w:t>
        </w:r>
        <w:r>
          <w:tab/>
        </w:r>
        <w:r w:rsidRPr="5D45256D" w:rsidR="0180834D">
          <w:rPr>
            <w:rStyle w:val="Hyperlink"/>
            <w:rFonts w:ascii="Arial" w:hAnsi="Arial" w:eastAsia="Arial" w:cs="Arial"/>
            <w:strike w:val="0"/>
            <w:dstrike w:val="0"/>
            <w:color w:val="auto"/>
            <w:u w:val="none"/>
          </w:rPr>
          <w:t>30</w:t>
        </w:r>
      </w:hyperlink>
    </w:p>
    <w:p w:rsidR="0180834D" w:rsidP="5D45256D" w:rsidRDefault="0180834D" w14:paraId="2F14479D" w14:textId="6C3A004A">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5.2 Summary of Key Findings</w:t>
      </w:r>
      <w:r>
        <w:tab/>
      </w:r>
      <w:r w:rsidRPr="5D45256D" w:rsidR="0180834D">
        <w:rPr>
          <w:rFonts w:ascii="Arial" w:hAnsi="Arial" w:eastAsia="Arial" w:cs="Arial"/>
          <w:strike w:val="0"/>
          <w:dstrike w:val="0"/>
          <w:color w:val="auto"/>
          <w:u w:val="none"/>
        </w:rPr>
        <w:t>30</w:t>
      </w:r>
    </w:p>
    <w:p w:rsidR="0180834D" w:rsidP="5D45256D" w:rsidRDefault="0180834D" w14:paraId="3DC7ED01" w14:textId="433BA9B1">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5.3 Overall Conclusion</w:t>
      </w:r>
      <w:r>
        <w:tab/>
      </w:r>
      <w:r w:rsidRPr="5D45256D" w:rsidR="0180834D">
        <w:rPr>
          <w:rFonts w:ascii="Arial" w:hAnsi="Arial" w:eastAsia="Arial" w:cs="Arial"/>
          <w:strike w:val="0"/>
          <w:dstrike w:val="0"/>
          <w:color w:val="auto"/>
          <w:u w:val="none"/>
        </w:rPr>
        <w:t>30</w:t>
      </w:r>
    </w:p>
    <w:p w:rsidR="0180834D" w:rsidP="5D45256D" w:rsidRDefault="0180834D" w14:paraId="46AA7B78" w14:textId="6D305915">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5.4 Practical Recommendations</w:t>
      </w:r>
      <w:r>
        <w:tab/>
      </w:r>
      <w:r w:rsidRPr="5D45256D" w:rsidR="0180834D">
        <w:rPr>
          <w:rFonts w:ascii="Arial" w:hAnsi="Arial" w:eastAsia="Arial" w:cs="Arial"/>
          <w:strike w:val="0"/>
          <w:dstrike w:val="0"/>
          <w:color w:val="auto"/>
          <w:u w:val="none"/>
        </w:rPr>
        <w:t>31</w:t>
      </w:r>
    </w:p>
    <w:p w:rsidR="0180834D" w:rsidP="5D45256D" w:rsidRDefault="0180834D" w14:paraId="05A395C1" w14:textId="2A03BB5E">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5.5 Limitation and Future Research Suggestion</w:t>
      </w:r>
      <w:r>
        <w:tab/>
      </w:r>
      <w:r w:rsidRPr="5D45256D" w:rsidR="0180834D">
        <w:rPr>
          <w:rFonts w:ascii="Arial" w:hAnsi="Arial" w:eastAsia="Arial" w:cs="Arial"/>
          <w:strike w:val="0"/>
          <w:dstrike w:val="0"/>
          <w:color w:val="auto"/>
          <w:u w:val="none"/>
        </w:rPr>
        <w:t>32</w:t>
      </w:r>
    </w:p>
    <w:p w:rsidR="0180834D" w:rsidP="5D45256D" w:rsidRDefault="0180834D" w14:paraId="696BBB90" w14:textId="0823C9CA">
      <w:pPr>
        <w:tabs>
          <w:tab w:val="right" w:leader="dot" w:pos="9016"/>
        </w:tabs>
        <w:spacing w:before="0" w:beforeAutospacing="off" w:after="100" w:afterAutospacing="off" w:line="360" w:lineRule="auto"/>
        <w:ind w:left="240" w:right="0"/>
        <w:jc w:val="both"/>
        <w:rPr>
          <w:rFonts w:ascii="Arial" w:hAnsi="Arial" w:eastAsia="Arial" w:cs="Arial"/>
          <w:strike w:val="0"/>
          <w:dstrike w:val="0"/>
          <w:color w:val="auto"/>
          <w:u w:val="none"/>
        </w:rPr>
      </w:pPr>
      <w:r w:rsidRPr="5D45256D" w:rsidR="0180834D">
        <w:rPr>
          <w:rFonts w:ascii="Arial" w:hAnsi="Arial" w:eastAsia="Arial" w:cs="Arial"/>
          <w:strike w:val="0"/>
          <w:dstrike w:val="0"/>
          <w:color w:val="auto"/>
          <w:u w:val="none"/>
        </w:rPr>
        <w:t>5.6 Summary</w:t>
      </w:r>
      <w:r>
        <w:tab/>
      </w:r>
      <w:r w:rsidRPr="5D45256D" w:rsidR="0180834D">
        <w:rPr>
          <w:rFonts w:ascii="Arial" w:hAnsi="Arial" w:eastAsia="Arial" w:cs="Arial"/>
          <w:strike w:val="0"/>
          <w:dstrike w:val="0"/>
          <w:color w:val="auto"/>
          <w:u w:val="none"/>
        </w:rPr>
        <w:t>32</w:t>
      </w:r>
    </w:p>
    <w:p w:rsidR="0180834D" w:rsidP="5D45256D" w:rsidRDefault="0180834D" w14:paraId="7CB2620A" w14:textId="55D9E47B">
      <w:pPr>
        <w:tabs>
          <w:tab w:val="right" w:leader="dot" w:pos="9016"/>
        </w:tabs>
        <w:spacing w:before="0" w:beforeAutospacing="off" w:after="100" w:afterAutospacing="off" w:line="360" w:lineRule="auto"/>
        <w:jc w:val="both"/>
      </w:pPr>
      <w:r w:rsidRPr="5D45256D" w:rsidR="0180834D">
        <w:rPr>
          <w:rFonts w:ascii="Arial" w:hAnsi="Arial" w:eastAsia="Arial" w:cs="Arial"/>
          <w:strike w:val="0"/>
          <w:dstrike w:val="0"/>
          <w:color w:val="auto"/>
          <w:u w:val="none"/>
        </w:rPr>
        <w:t>References</w:t>
      </w:r>
      <w:r w:rsidRPr="5D45256D" w:rsidR="3868D8BC">
        <w:rPr>
          <w:rFonts w:ascii="Arial" w:hAnsi="Arial" w:eastAsia="Arial" w:cs="Arial"/>
          <w:strike w:val="0"/>
          <w:dstrike w:val="0"/>
          <w:color w:val="auto"/>
          <w:u w:val="none"/>
        </w:rPr>
        <w:t>.......................................................................................................</w:t>
      </w:r>
      <w:r w:rsidRPr="5D45256D" w:rsidR="0180834D">
        <w:rPr>
          <w:rFonts w:ascii="Arial" w:hAnsi="Arial" w:eastAsia="Arial" w:cs="Arial"/>
          <w:strike w:val="0"/>
          <w:dstrike w:val="0"/>
          <w:color w:val="auto"/>
          <w:u w:val="none"/>
        </w:rPr>
        <w:t>33</w:t>
      </w:r>
    </w:p>
    <w:p w:rsidR="0180834D" w:rsidP="5D45256D" w:rsidRDefault="0180834D" w14:paraId="4EEE3A35" w14:textId="65E29239">
      <w:pPr>
        <w:tabs>
          <w:tab w:val="right" w:leader="dot" w:pos="9016"/>
        </w:tabs>
        <w:spacing w:before="0" w:beforeAutospacing="off" w:after="100" w:afterAutospacing="off" w:line="360" w:lineRule="auto"/>
        <w:jc w:val="both"/>
        <w:rPr>
          <w:rFonts w:ascii="Arial" w:hAnsi="Arial" w:eastAsia="Arial" w:cs="Arial"/>
          <w:strike w:val="0"/>
          <w:dstrike w:val="0"/>
          <w:color w:val="000000" w:themeColor="text1" w:themeTint="FF" w:themeShade="FF"/>
          <w:u w:val="none"/>
        </w:rPr>
      </w:pPr>
      <w:r w:rsidRPr="5D45256D" w:rsidR="0180834D">
        <w:rPr>
          <w:rFonts w:ascii="Arial" w:hAnsi="Arial" w:eastAsia="Arial" w:cs="Arial"/>
          <w:strike w:val="0"/>
          <w:dstrike w:val="0"/>
          <w:color w:val="auto"/>
          <w:u w:val="none"/>
        </w:rPr>
        <w:t>Appendix</w:t>
      </w:r>
      <w:r w:rsidRPr="5D45256D" w:rsidR="2BA157EE">
        <w:rPr>
          <w:rFonts w:ascii="Arial" w:hAnsi="Arial" w:eastAsia="Arial" w:cs="Arial"/>
          <w:strike w:val="0"/>
          <w:dstrike w:val="0"/>
          <w:color w:val="auto"/>
          <w:u w:val="none"/>
        </w:rPr>
        <w:t>..........................................................................................................</w:t>
      </w:r>
      <w:r w:rsidRPr="5D45256D" w:rsidR="0180834D">
        <w:rPr>
          <w:rFonts w:ascii="Arial" w:hAnsi="Arial" w:eastAsia="Arial" w:cs="Arial"/>
          <w:strike w:val="0"/>
          <w:dstrike w:val="0"/>
          <w:color w:val="000000" w:themeColor="text1" w:themeTint="FF" w:themeShade="FF"/>
          <w:u w:val="none"/>
        </w:rPr>
        <w:t>37</w:t>
      </w:r>
    </w:p>
    <w:p w:rsidR="5D45256D" w:rsidP="5D45256D" w:rsidRDefault="5D45256D" w14:paraId="21AEF05D" w14:textId="601933CF">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34AFBFA7" w14:textId="2065EAFB">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601DB630" w14:textId="2BED4110">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48E87C7A" w14:textId="7FB2AA9D">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363307AF" w14:textId="55107319">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1B5AFB50" w14:textId="62611C50">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41C92B69" w14:textId="31B71F23">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5AB217F5" w14:textId="1AD89E46">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5D45256D" w:rsidP="5D45256D" w:rsidRDefault="5D45256D" w14:paraId="767EBC8B" w14:textId="6B55638B">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p>
    <w:p w:rsidR="4E59347B" w:rsidP="5D45256D" w:rsidRDefault="4E59347B" w14:paraId="265BB05D" w14:textId="2F47D161">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r w:rsidRPr="5D45256D" w:rsidR="4E59347B">
        <w:rPr>
          <w:rFonts w:ascii="Arial" w:hAnsi="Arial" w:eastAsia="Arial" w:cs="Arial"/>
          <w:b w:val="1"/>
          <w:bCs w:val="1"/>
          <w:color w:val="000000" w:themeColor="text1" w:themeTint="FF" w:themeShade="FF"/>
          <w:sz w:val="28"/>
          <w:szCs w:val="28"/>
          <w:u w:val="none"/>
        </w:rPr>
        <w:t>C</w:t>
      </w:r>
      <w:r w:rsidRPr="5D45256D" w:rsidR="4E59347B">
        <w:rPr>
          <w:rFonts w:ascii="Arial" w:hAnsi="Arial" w:eastAsia="Arial" w:cs="Arial"/>
          <w:b w:val="1"/>
          <w:bCs w:val="1"/>
          <w:color w:val="000000" w:themeColor="text1" w:themeTint="FF" w:themeShade="FF"/>
          <w:sz w:val="28"/>
          <w:szCs w:val="28"/>
          <w:u w:val="none"/>
        </w:rPr>
        <w:t>hapter1</w:t>
      </w:r>
      <w:r w:rsidRPr="5D45256D" w:rsidR="6DC9C239">
        <w:rPr>
          <w:rFonts w:ascii="Arial" w:hAnsi="Arial" w:eastAsia="Arial" w:cs="Arial"/>
          <w:b w:val="1"/>
          <w:bCs w:val="1"/>
          <w:color w:val="000000" w:themeColor="text1" w:themeTint="FF" w:themeShade="FF"/>
          <w:sz w:val="28"/>
          <w:szCs w:val="28"/>
          <w:u w:val="none"/>
        </w:rPr>
        <w:t xml:space="preserve"> 1: Introduction</w:t>
      </w:r>
    </w:p>
    <w:p w:rsidR="6DC9C239" w:rsidP="5D45256D" w:rsidRDefault="6DC9C239" w14:paraId="097548F2" w14:textId="556664C8">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1.1 Background of the Study</w:t>
      </w:r>
    </w:p>
    <w:p w:rsidR="6DC9C239" w:rsidP="5D45256D" w:rsidRDefault="6DC9C239" w14:paraId="49FCBAF3" w14:textId="6D4909F5">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Employee turnover has been one of the most persistent workforce challenges pertaining to the sustainability of organisations and delivery of services in labour-intensive operations. It has reduced the longevity of operations, increased the cost of recruiting staff, lowered the morale of employees and reduced long-term organisational performance. World Health Organisation (2026) forecasts a global health and care workforce shortage of 11 million by the year 2030, and there is a desperate need for efficient workforce retention strategies that are efficient. Consequently, organisations have realised that sustainable employee retention does not merely depend on recruitment but also strategic human resource (HR) practices that help increase employee engagement, capacity building, and organisational commitment.</w:t>
      </w:r>
    </w:p>
    <w:p w:rsidR="6DC9C239" w:rsidP="5D45256D" w:rsidRDefault="6DC9C239" w14:paraId="0198D4DC" w14:textId="01B6BF71">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The issue has been especially acute in care home facilities due to the ageing of the population combined with higher workforce strain that has augmented pressure on long-term care, as well as intensified (Thwaites, 2023). To provide care that is both person-centred and safe, care homes have had to depend a great deal on skilled and motivated employees, making their retention a strategic issue as opposed to an operational issue. Nevertheless, workforce stability has still been compromised by demanding working conditions, emotional fatigue, scant career growth and lack of organisational support. Mazzetti and Schaufeli (2022) have proposed in the literature that retention has been reinforced by HR interventions, that is, employee engagement, structured training, career development, no-hassle leadership and wellbeing interventions.</w:t>
      </w:r>
    </w:p>
    <w:p w:rsidR="6DC9C239" w:rsidP="5D45256D" w:rsidRDefault="6DC9C239" w14:paraId="77227445" w14:textId="4EA19CAF">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The care home sector in the United Kingdom has remained highly unstable in terms of the workforce despite the gains in recruitment. The existing evidence has recorded a 23.1% turnover rate, constituting 335,000 leavers, whereas the vacancy rate in adult social care has been 7.0 which equals approximately 111,000 vacant positions (Hall, 2025). These statistics have indicated that employee retention has been a critical issue that has influenced service continuity and quality of care. Therefore, this study has investigated how strategically implemented HR practices may reduce employee turnover within UK care home settings, thereby leading to the identified research problem.</w:t>
      </w:r>
    </w:p>
    <w:p w:rsidR="6DC9C239" w:rsidP="5D45256D" w:rsidRDefault="6DC9C239" w14:paraId="5FE3B7DE" w14:textId="1864510E">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1.2 Research Problem</w:t>
      </w:r>
    </w:p>
    <w:p w:rsidR="6DC9C239" w:rsidP="5D45256D" w:rsidRDefault="6DC9C239" w14:paraId="44FA980E" w14:textId="0D44A577">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Even with the constant efforts in workforce recruitment, staff turnover in UK care homes has remained disturbingly high, and these statistics imply that retention has been an even more difficult strategic issue than replacement. The response adopted in organisations has often focused on immediate staffing needs instead of enhancing the long-term human resource practices that ensure sustenance of employee commitment and organisational stability (Costello et al., 2019). This, in turn, has led to serial turnover, which has added to the cost of recruitment, workforce disruption, knowledge loss, and the inability to provide high-quality, person-centred care consistently. These are some of the challenges of employment that have persisted, which have demonstrated that the traditional strategies of retention have not adequately dealt with the underlying workforce problem.</w:t>
      </w:r>
    </w:p>
    <w:p w:rsidR="6DC9C239" w:rsidP="5D45256D" w:rsidRDefault="6DC9C239" w14:paraId="2838A85B" w14:textId="00A17254">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 xml:space="preserve">Although years of research have been conducted on the causes and effects of employee turnover, no one has considered the processing of HR strategies in care home settings with the aim of </w:t>
      </w:r>
      <w:r w:rsidRPr="5D45256D" w:rsidR="6DC9C239">
        <w:rPr>
          <w:rFonts w:ascii="Arial" w:hAnsi="Arial" w:eastAsia="Arial" w:cs="Arial"/>
          <w:color w:val="000000" w:themeColor="text1" w:themeTint="FF" w:themeShade="FF"/>
          <w:sz w:val="24"/>
          <w:szCs w:val="24"/>
          <w:u w:val="none"/>
        </w:rPr>
        <w:t>retaining</w:t>
      </w:r>
      <w:r w:rsidRPr="5D45256D" w:rsidR="6DC9C239">
        <w:rPr>
          <w:rFonts w:ascii="Arial" w:hAnsi="Arial" w:eastAsia="Arial" w:cs="Arial"/>
          <w:color w:val="000000" w:themeColor="text1" w:themeTint="FF" w:themeShade="FF"/>
          <w:sz w:val="24"/>
          <w:szCs w:val="24"/>
          <w:u w:val="none"/>
        </w:rPr>
        <w:t xml:space="preserve"> employees sustainably. </w:t>
      </w:r>
      <w:r w:rsidRPr="5D45256D" w:rsidR="702B1498">
        <w:rPr>
          <w:rFonts w:ascii="Arial" w:hAnsi="Arial" w:eastAsia="Arial" w:cs="Arial"/>
          <w:color w:val="000000" w:themeColor="text1" w:themeTint="FF" w:themeShade="FF"/>
          <w:sz w:val="24"/>
          <w:szCs w:val="24"/>
          <w:u w:val="none"/>
        </w:rPr>
        <w:t>There</w:t>
      </w:r>
      <w:r w:rsidRPr="5D45256D" w:rsidR="6DC9C239">
        <w:rPr>
          <w:rFonts w:ascii="Arial" w:hAnsi="Arial" w:eastAsia="Arial" w:cs="Arial"/>
          <w:color w:val="000000" w:themeColor="text1" w:themeTint="FF" w:themeShade="FF"/>
          <w:sz w:val="24"/>
          <w:szCs w:val="24"/>
          <w:u w:val="none"/>
        </w:rPr>
        <w:t xml:space="preserve"> is limited literature </w:t>
      </w:r>
      <w:r w:rsidRPr="5D45256D" w:rsidR="5C3E9234">
        <w:rPr>
          <w:rFonts w:ascii="Arial" w:hAnsi="Arial" w:eastAsia="Arial" w:cs="Arial"/>
          <w:color w:val="000000" w:themeColor="text1" w:themeTint="FF" w:themeShade="FF"/>
          <w:sz w:val="24"/>
          <w:szCs w:val="24"/>
          <w:u w:val="none"/>
        </w:rPr>
        <w:t>about the</w:t>
      </w:r>
      <w:r w:rsidRPr="5D45256D" w:rsidR="6DC9C239">
        <w:rPr>
          <w:rFonts w:ascii="Arial" w:hAnsi="Arial" w:eastAsia="Arial" w:cs="Arial"/>
          <w:color w:val="000000" w:themeColor="text1" w:themeTint="FF" w:themeShade="FF"/>
          <w:sz w:val="24"/>
          <w:szCs w:val="24"/>
          <w:u w:val="none"/>
        </w:rPr>
        <w:t xml:space="preserve"> influence of organisational constraints, resource limitations and implementation barriers on employee engagement, </w:t>
      </w:r>
      <w:r w:rsidRPr="5D45256D" w:rsidR="6DC9C239">
        <w:rPr>
          <w:rFonts w:ascii="Arial" w:hAnsi="Arial" w:eastAsia="Arial" w:cs="Arial"/>
          <w:color w:val="000000" w:themeColor="text1" w:themeTint="FF" w:themeShade="FF"/>
          <w:sz w:val="24"/>
          <w:szCs w:val="24"/>
          <w:u w:val="none"/>
        </w:rPr>
        <w:t>training</w:t>
      </w:r>
      <w:r w:rsidRPr="5D45256D" w:rsidR="6DC9C239">
        <w:rPr>
          <w:rFonts w:ascii="Arial" w:hAnsi="Arial" w:eastAsia="Arial" w:cs="Arial"/>
          <w:color w:val="000000" w:themeColor="text1" w:themeTint="FF" w:themeShade="FF"/>
          <w:sz w:val="24"/>
          <w:szCs w:val="24"/>
          <w:u w:val="none"/>
        </w:rPr>
        <w:t xml:space="preserve"> and development programme effectiveness (Vries et al., 2023). The existing gap in knowledge has limited evidence-based decision-making among care homes’ managers, and therefore there is a need for </w:t>
      </w:r>
      <w:r w:rsidRPr="5D45256D" w:rsidR="6DC9C239">
        <w:rPr>
          <w:rFonts w:ascii="Arial" w:hAnsi="Arial" w:eastAsia="Arial" w:cs="Arial"/>
          <w:color w:val="000000" w:themeColor="text1" w:themeTint="FF" w:themeShade="FF"/>
          <w:sz w:val="24"/>
          <w:szCs w:val="24"/>
          <w:u w:val="none"/>
        </w:rPr>
        <w:t>additional</w:t>
      </w:r>
      <w:r w:rsidRPr="5D45256D" w:rsidR="6DC9C239">
        <w:rPr>
          <w:rFonts w:ascii="Arial" w:hAnsi="Arial" w:eastAsia="Arial" w:cs="Arial"/>
          <w:color w:val="000000" w:themeColor="text1" w:themeTint="FF" w:themeShade="FF"/>
          <w:sz w:val="24"/>
          <w:szCs w:val="24"/>
          <w:u w:val="none"/>
        </w:rPr>
        <w:t xml:space="preserve"> research </w:t>
      </w:r>
      <w:r w:rsidRPr="5D45256D" w:rsidR="6DC9C239">
        <w:rPr>
          <w:rFonts w:ascii="Arial" w:hAnsi="Arial" w:eastAsia="Arial" w:cs="Arial"/>
          <w:color w:val="000000" w:themeColor="text1" w:themeTint="FF" w:themeShade="FF"/>
          <w:sz w:val="24"/>
          <w:szCs w:val="24"/>
          <w:u w:val="none"/>
        </w:rPr>
        <w:t>regarding</w:t>
      </w:r>
      <w:r w:rsidRPr="5D45256D" w:rsidR="6DC9C239">
        <w:rPr>
          <w:rFonts w:ascii="Arial" w:hAnsi="Arial" w:eastAsia="Arial" w:cs="Arial"/>
          <w:color w:val="000000" w:themeColor="text1" w:themeTint="FF" w:themeShade="FF"/>
          <w:sz w:val="24"/>
          <w:szCs w:val="24"/>
          <w:u w:val="none"/>
        </w:rPr>
        <w:t xml:space="preserve"> HR approaches that help decrease staff turnover in the long term but improve workforce stability.</w:t>
      </w:r>
    </w:p>
    <w:p w:rsidR="6DC9C239" w:rsidP="5D45256D" w:rsidRDefault="6DC9C239" w14:paraId="7C4FC881" w14:textId="594258B6">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1.3 Research Aim</w:t>
      </w:r>
    </w:p>
    <w:p w:rsidR="6DC9C239" w:rsidP="5D45256D" w:rsidRDefault="6DC9C239" w14:paraId="4B55353C" w14:textId="2F68E414">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This study will investigate HR approaches that may effectively address employee turnover in care homes.</w:t>
      </w:r>
    </w:p>
    <w:p w:rsidR="6DC9C239" w:rsidP="5D45256D" w:rsidRDefault="6DC9C239" w14:paraId="26031117" w14:textId="3BC686D3">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1.4 Research Objectives</w:t>
      </w:r>
    </w:p>
    <w:p w:rsidR="6DC9C239" w:rsidP="5D45256D" w:rsidRDefault="6DC9C239" w14:paraId="0D6D5177" w14:textId="18C23E1D">
      <w:pPr>
        <w:pStyle w:val="ListParagraph"/>
        <w:numPr>
          <w:ilvl w:val="0"/>
          <w:numId w:val="1"/>
        </w:numPr>
        <w:spacing w:before="0" w:beforeAutospacing="off" w:after="0" w:afterAutospacing="off" w:line="360" w:lineRule="auto"/>
        <w:ind w:left="720" w:right="0" w:hanging="360"/>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To examine how employee engagement, training, and development can help decrease employee turnover in care homes.</w:t>
      </w:r>
    </w:p>
    <w:p w:rsidR="6DC9C239" w:rsidP="5D45256D" w:rsidRDefault="6DC9C239" w14:paraId="7391E127" w14:textId="47BCB2B1">
      <w:pPr>
        <w:pStyle w:val="ListParagraph"/>
        <w:numPr>
          <w:ilvl w:val="0"/>
          <w:numId w:val="1"/>
        </w:numPr>
        <w:spacing w:before="0" w:beforeAutospacing="off" w:after="0" w:afterAutospacing="off" w:line="360" w:lineRule="auto"/>
        <w:ind w:left="720" w:right="0" w:hanging="360"/>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To determine the factors contributing to employee turnover within care homes.</w:t>
      </w:r>
    </w:p>
    <w:p w:rsidR="6DC9C239" w:rsidP="5D45256D" w:rsidRDefault="6DC9C239" w14:paraId="4D192C29" w14:textId="2389F4D2">
      <w:pPr>
        <w:pStyle w:val="ListParagraph"/>
        <w:numPr>
          <w:ilvl w:val="0"/>
          <w:numId w:val="1"/>
        </w:numPr>
        <w:spacing w:before="0" w:beforeAutospacing="off" w:after="0" w:afterAutospacing="off" w:line="360" w:lineRule="auto"/>
        <w:ind w:left="720" w:right="0" w:hanging="360"/>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To determine the obstacles to effective HR approaches in care homes in addressing employee turnover</w:t>
      </w:r>
    </w:p>
    <w:p w:rsidR="6DC9C239" w:rsidP="5D45256D" w:rsidRDefault="6DC9C239" w14:paraId="71EF362E" w14:textId="55D8ED05">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1.5 Research Questions</w:t>
      </w:r>
    </w:p>
    <w:p w:rsidR="6DC9C239" w:rsidP="5D45256D" w:rsidRDefault="6DC9C239" w14:paraId="72D49F39" w14:textId="50F42BF9">
      <w:pPr>
        <w:pStyle w:val="ListParagraph"/>
        <w:numPr>
          <w:ilvl w:val="0"/>
          <w:numId w:val="2"/>
        </w:numPr>
        <w:spacing w:before="0" w:beforeAutospacing="off" w:after="0" w:afterAutospacing="off" w:line="360" w:lineRule="auto"/>
        <w:ind w:left="720" w:right="0" w:hanging="360"/>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What is the impact of engagement, training, and development among employees on lowering employee turnover at care homes?</w:t>
      </w:r>
    </w:p>
    <w:p w:rsidR="6DC9C239" w:rsidP="5D45256D" w:rsidRDefault="6DC9C239" w14:paraId="195085A1" w14:textId="0A6F9338">
      <w:pPr>
        <w:pStyle w:val="ListParagraph"/>
        <w:numPr>
          <w:ilvl w:val="0"/>
          <w:numId w:val="2"/>
        </w:numPr>
        <w:spacing w:before="0" w:beforeAutospacing="off" w:after="0" w:afterAutospacing="off" w:line="360" w:lineRule="auto"/>
        <w:ind w:left="720" w:right="0" w:hanging="360"/>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What are the major factors responsible for employee turnover at care homes?</w:t>
      </w:r>
    </w:p>
    <w:p w:rsidR="6DC9C239" w:rsidP="5D45256D" w:rsidRDefault="6DC9C239" w14:paraId="24D7F94A" w14:textId="7A7FCA66">
      <w:pPr>
        <w:pStyle w:val="ListParagraph"/>
        <w:numPr>
          <w:ilvl w:val="0"/>
          <w:numId w:val="2"/>
        </w:numPr>
        <w:spacing w:before="0" w:beforeAutospacing="off" w:after="0" w:afterAutospacing="off" w:line="360" w:lineRule="auto"/>
        <w:ind w:left="720" w:right="0" w:hanging="360"/>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What difficulties do care homes encounter while adopting appropriate HR practices to reduce employee turnover?</w:t>
      </w:r>
    </w:p>
    <w:p w:rsidR="6DC9C239" w:rsidP="5D45256D" w:rsidRDefault="6DC9C239" w14:paraId="64C1AF57" w14:textId="58709405">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 xml:space="preserve"> </w:t>
      </w:r>
    </w:p>
    <w:p w:rsidR="6DC9C239" w:rsidP="5D45256D" w:rsidRDefault="6DC9C239" w14:paraId="1B72A92E" w14:textId="286D9DAA">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1.6 Research Rationale</w:t>
      </w:r>
    </w:p>
    <w:p w:rsidR="6DC9C239" w:rsidP="5D45256D" w:rsidRDefault="6DC9C239" w14:paraId="14195B91" w14:textId="55BCB3AD">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The study has been necessitated by the fact that current literature has not given due attention to the implementation of HR strategies in care homes with the aim of realising the same in the context of sustainable employee retention. The existing body of evidence has mostly focused on factors and consequences of turnover but ignored organisational limitations affecting engagement, training, and development programs (O’Keefe et al., 2025). This has restricted theoretical knowledge and warranted further research on effective retention practice in the industry.</w:t>
      </w:r>
    </w:p>
    <w:p w:rsidR="6DC9C239" w:rsidP="5D45256D" w:rsidRDefault="6DC9C239" w14:paraId="42D152B8" w14:textId="4F607511">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The results have assisted care home managers, policymakers, and HR practitioners by enhancing evidence-based workforce planning, enhancing retention policy, and enlightening sustainable employment policies (Presbitero et al., 2026). Additionally, the research has also served organisational resilience by improving the stability of employees, continuity of services and quality of care due to strategically aligned human resource decision-making, which has managed chronic workforce issues adequately within the United Kingdom care environments.</w:t>
      </w:r>
    </w:p>
    <w:p w:rsidR="6DC9C239" w:rsidP="5D45256D" w:rsidRDefault="6DC9C239" w14:paraId="006D2649" w14:textId="31395C5D">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1.7 Scope of the Study</w:t>
      </w:r>
    </w:p>
    <w:p w:rsidR="6DC9C239" w:rsidP="5D45256D" w:rsidRDefault="6DC9C239" w14:paraId="1832F29B" w14:textId="5617FBD7">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United Kingdom care homes, residential and nursing facilities, have been used in this study to analyse employee turnover as a result of employee engagement, training, development, and the overall HR strategies (Daly, 2025). This research was limited to organisational retention practices in formal care settings in the industry. The study has utilised a secondary research design approach that utilises peer-reviewed literature, government reports, industry journals, and other legitimate sources of statistical information. Primary data has not been collected, and this guarantees consistency with the approved research proposal and analytical objectivity throughout, evidence integrity, methodological openness, and specific interpretation of secondary evidence.</w:t>
      </w:r>
    </w:p>
    <w:p w:rsidR="6DC9C239" w:rsidP="5D45256D" w:rsidRDefault="6DC9C239" w14:paraId="08589350" w14:textId="4001C505">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1.8 Dissertation Structure</w:t>
      </w:r>
    </w:p>
    <w:p w:rsidR="6DC9C239" w:rsidP="5D45256D" w:rsidRDefault="6DC9C239" w14:paraId="36C4582F" w14:textId="46C77006">
      <w:pPr>
        <w:spacing w:before="120" w:beforeAutospacing="off" w:after="120" w:afterAutospacing="off" w:line="360" w:lineRule="auto"/>
        <w:jc w:val="both"/>
        <w:rPr>
          <w:rFonts w:ascii="Arial" w:hAnsi="Arial" w:eastAsia="Arial" w:cs="Arial"/>
          <w:b w:val="1"/>
          <w:bCs w:val="1"/>
          <w:color w:val="000000" w:themeColor="text1" w:themeTint="FF" w:themeShade="FF"/>
          <w:sz w:val="24"/>
          <w:szCs w:val="24"/>
          <w:u w:val="none"/>
        </w:rPr>
      </w:pPr>
      <w:r w:rsidRPr="5D45256D" w:rsidR="6DC9C239">
        <w:rPr>
          <w:rFonts w:ascii="Arial" w:hAnsi="Arial" w:eastAsia="Arial" w:cs="Arial"/>
          <w:b w:val="1"/>
          <w:bCs w:val="1"/>
          <w:color w:val="000000" w:themeColor="text1" w:themeTint="FF" w:themeShade="FF"/>
          <w:sz w:val="24"/>
          <w:szCs w:val="24"/>
          <w:u w:val="none"/>
        </w:rPr>
        <w:t>Chapter 1: Introduction</w:t>
      </w:r>
    </w:p>
    <w:p w:rsidR="6DC9C239" w:rsidP="5D45256D" w:rsidRDefault="6DC9C239" w14:paraId="107C2940" w14:textId="5F30504D">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This chapter has presented the research background, problem, aim, objectives, research questions, rationale, scope, and the general structure of the dissertation, thus defining the context and direction of investigation.</w:t>
      </w:r>
    </w:p>
    <w:p w:rsidR="6DC9C239" w:rsidP="5D45256D" w:rsidRDefault="6DC9C239" w14:paraId="2CB526F0" w14:textId="24B7A438">
      <w:pPr>
        <w:spacing w:before="120" w:beforeAutospacing="off" w:after="120" w:afterAutospacing="off" w:line="360" w:lineRule="auto"/>
        <w:jc w:val="both"/>
        <w:rPr>
          <w:rFonts w:ascii="Arial" w:hAnsi="Arial" w:eastAsia="Arial" w:cs="Arial"/>
          <w:b w:val="1"/>
          <w:bCs w:val="1"/>
          <w:color w:val="000000" w:themeColor="text1" w:themeTint="FF" w:themeShade="FF"/>
          <w:sz w:val="24"/>
          <w:szCs w:val="24"/>
          <w:u w:val="none"/>
        </w:rPr>
      </w:pPr>
      <w:r w:rsidRPr="5D45256D" w:rsidR="6DC9C239">
        <w:rPr>
          <w:rFonts w:ascii="Arial" w:hAnsi="Arial" w:eastAsia="Arial" w:cs="Arial"/>
          <w:b w:val="1"/>
          <w:bCs w:val="1"/>
          <w:color w:val="000000" w:themeColor="text1" w:themeTint="FF" w:themeShade="FF"/>
          <w:sz w:val="24"/>
          <w:szCs w:val="24"/>
          <w:u w:val="none"/>
        </w:rPr>
        <w:t>Chapter 2: Literature Review</w:t>
      </w:r>
    </w:p>
    <w:p w:rsidR="6DC9C239" w:rsidP="5D45256D" w:rsidRDefault="6DC9C239" w14:paraId="68559FF5" w14:textId="0271F7D7">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The chapter has critically assessed employee turnover, HR strategies, the Two-Factor Theory of Herzberg, the JD-R Model and the research gap identified by synthesising the current academic evidence.</w:t>
      </w:r>
    </w:p>
    <w:p w:rsidR="6DC9C239" w:rsidP="5D45256D" w:rsidRDefault="6DC9C239" w14:paraId="5EADD5C4" w14:textId="0F8E61AD">
      <w:pPr>
        <w:spacing w:before="120" w:beforeAutospacing="off" w:after="120" w:afterAutospacing="off" w:line="360" w:lineRule="auto"/>
        <w:jc w:val="both"/>
        <w:rPr>
          <w:rFonts w:ascii="Arial" w:hAnsi="Arial" w:eastAsia="Arial" w:cs="Arial"/>
          <w:b w:val="1"/>
          <w:bCs w:val="1"/>
          <w:color w:val="000000" w:themeColor="text1" w:themeTint="FF" w:themeShade="FF"/>
          <w:sz w:val="24"/>
          <w:szCs w:val="24"/>
          <w:u w:val="none"/>
        </w:rPr>
      </w:pPr>
      <w:r w:rsidRPr="5D45256D" w:rsidR="6DC9C239">
        <w:rPr>
          <w:rFonts w:ascii="Arial" w:hAnsi="Arial" w:eastAsia="Arial" w:cs="Arial"/>
          <w:b w:val="1"/>
          <w:bCs w:val="1"/>
          <w:color w:val="000000" w:themeColor="text1" w:themeTint="FF" w:themeShade="FF"/>
          <w:sz w:val="24"/>
          <w:szCs w:val="24"/>
          <w:u w:val="none"/>
        </w:rPr>
        <w:t>Chapter 3: Research Methodology</w:t>
      </w:r>
    </w:p>
    <w:p w:rsidR="6DC9C239" w:rsidP="5D45256D" w:rsidRDefault="6DC9C239" w14:paraId="28B822E9" w14:textId="1F25A50E">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This chapter has supported the philosophy, approach, design, use of secondary data, comparison, and ethical aspects, which form the basis of the research.</w:t>
      </w:r>
    </w:p>
    <w:p w:rsidR="6DC9C239" w:rsidP="5D45256D" w:rsidRDefault="6DC9C239" w14:paraId="0DC9E06D" w14:textId="34C96A02">
      <w:pPr>
        <w:spacing w:before="120" w:beforeAutospacing="off" w:after="120" w:afterAutospacing="off" w:line="360" w:lineRule="auto"/>
        <w:jc w:val="both"/>
        <w:rPr>
          <w:rFonts w:ascii="Arial" w:hAnsi="Arial" w:eastAsia="Arial" w:cs="Arial"/>
          <w:b w:val="1"/>
          <w:bCs w:val="1"/>
          <w:color w:val="000000" w:themeColor="text1" w:themeTint="FF" w:themeShade="FF"/>
          <w:sz w:val="24"/>
          <w:szCs w:val="24"/>
          <w:u w:val="none"/>
        </w:rPr>
      </w:pPr>
      <w:r w:rsidRPr="5D45256D" w:rsidR="6DC9C239">
        <w:rPr>
          <w:rFonts w:ascii="Arial" w:hAnsi="Arial" w:eastAsia="Arial" w:cs="Arial"/>
          <w:b w:val="1"/>
          <w:bCs w:val="1"/>
          <w:color w:val="000000" w:themeColor="text1" w:themeTint="FF" w:themeShade="FF"/>
          <w:sz w:val="24"/>
          <w:szCs w:val="24"/>
          <w:u w:val="none"/>
        </w:rPr>
        <w:t>Chapter 4: Discussion and Results</w:t>
      </w:r>
    </w:p>
    <w:p w:rsidR="6DC9C239" w:rsidP="5D45256D" w:rsidRDefault="6DC9C239" w14:paraId="65A02733" w14:textId="27C240C4">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This chapter has outlined and critically evaluated secondary evidence against the objectives of the research, citing major patterns, associations, and meanings.</w:t>
      </w:r>
    </w:p>
    <w:p w:rsidR="6DC9C239" w:rsidP="5D45256D" w:rsidRDefault="6DC9C239" w14:paraId="62A2144C" w14:textId="6DC4D2D4">
      <w:pPr>
        <w:spacing w:before="120" w:beforeAutospacing="off" w:after="120" w:afterAutospacing="off" w:line="360" w:lineRule="auto"/>
        <w:jc w:val="both"/>
        <w:rPr>
          <w:rFonts w:ascii="Arial" w:hAnsi="Arial" w:eastAsia="Arial" w:cs="Arial"/>
          <w:b w:val="1"/>
          <w:bCs w:val="1"/>
          <w:color w:val="000000" w:themeColor="text1" w:themeTint="FF" w:themeShade="FF"/>
          <w:sz w:val="24"/>
          <w:szCs w:val="24"/>
          <w:u w:val="none"/>
        </w:rPr>
      </w:pPr>
      <w:r w:rsidRPr="5D45256D" w:rsidR="6DC9C239">
        <w:rPr>
          <w:rFonts w:ascii="Arial" w:hAnsi="Arial" w:eastAsia="Arial" w:cs="Arial"/>
          <w:b w:val="1"/>
          <w:bCs w:val="1"/>
          <w:color w:val="000000" w:themeColor="text1" w:themeTint="FF" w:themeShade="FF"/>
          <w:sz w:val="24"/>
          <w:szCs w:val="24"/>
          <w:u w:val="none"/>
        </w:rPr>
        <w:t>Chapter 5: Conclusion and Recommendation</w:t>
      </w:r>
    </w:p>
    <w:p w:rsidR="6DC9C239" w:rsidP="5D45256D" w:rsidRDefault="6DC9C239" w14:paraId="7CD2AD7D" w14:textId="52C33B7C">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This chapter has generalised key findings, answered the research questions, made evidence-based recommendations, recognised research limitations, and suggested future research directions, and maintained a general coherence, critical rigour and practical relevance.</w:t>
      </w:r>
    </w:p>
    <w:p w:rsidR="6DC9C239" w:rsidP="5D45256D" w:rsidRDefault="6DC9C239" w14:paraId="3379288E" w14:textId="6F878FAA">
      <w:pPr>
        <w:pStyle w:val="Heading2"/>
        <w:spacing w:before="120" w:beforeAutospacing="off" w:after="12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6DC9C239">
        <w:rPr>
          <w:rFonts w:ascii="Arial" w:hAnsi="Arial" w:eastAsia="Arial" w:cs="Arial"/>
          <w:b w:val="0"/>
          <w:bCs w:val="0"/>
          <w:strike w:val="0"/>
          <w:dstrike w:val="0"/>
          <w:color w:val="000000" w:themeColor="text1" w:themeTint="FF" w:themeShade="FF"/>
          <w:sz w:val="24"/>
          <w:szCs w:val="24"/>
          <w:u w:val="none"/>
        </w:rPr>
        <w:t>1.9 Conclusion</w:t>
      </w:r>
    </w:p>
    <w:p w:rsidR="6DC9C239" w:rsidP="5D45256D" w:rsidRDefault="6DC9C239" w14:paraId="1FAA8D82" w14:textId="66D9AB7F">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6DC9C239">
        <w:rPr>
          <w:rFonts w:ascii="Arial" w:hAnsi="Arial" w:eastAsia="Arial" w:cs="Arial"/>
          <w:color w:val="000000" w:themeColor="text1" w:themeTint="FF" w:themeShade="FF"/>
          <w:sz w:val="24"/>
          <w:szCs w:val="24"/>
          <w:u w:val="none"/>
        </w:rPr>
        <w:t xml:space="preserve">The chapter provide detailed overview about the research topic. The chapter provide aim, objective and research question. The chapter also include problem statement for conducting the present study. The rationale of the study was to obtain detailed information about HR strategy which were introduced to reduce the employee turnover rate. The chapter include significance and structure for the dissertation. </w:t>
      </w:r>
    </w:p>
    <w:p w:rsidR="5D45256D" w:rsidP="5D45256D" w:rsidRDefault="5D45256D" w14:paraId="322085B7" w14:textId="5EC3352D">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6A637B7" w14:textId="0E020009">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A54684C" w14:textId="3355BC3B">
      <w:pPr>
        <w:spacing w:before="120" w:beforeAutospacing="off" w:after="120" w:afterAutospacing="off" w:line="360" w:lineRule="auto"/>
        <w:jc w:val="both"/>
        <w:rPr>
          <w:rFonts w:ascii="Arial" w:hAnsi="Arial" w:eastAsia="Arial" w:cs="Arial"/>
          <w:u w:val="none"/>
        </w:rPr>
      </w:pPr>
    </w:p>
    <w:p w:rsidR="5D45256D" w:rsidP="5D45256D" w:rsidRDefault="5D45256D" w14:paraId="1BF1201B" w14:textId="6B5D6178">
      <w:pPr>
        <w:spacing w:before="120" w:beforeAutospacing="off" w:after="120" w:afterAutospacing="off" w:line="360" w:lineRule="auto"/>
        <w:jc w:val="both"/>
        <w:rPr>
          <w:rFonts w:ascii="Arial" w:hAnsi="Arial" w:eastAsia="Arial" w:cs="Arial"/>
          <w:u w:val="none"/>
        </w:rPr>
      </w:pPr>
    </w:p>
    <w:p w:rsidR="5D45256D" w:rsidP="5D45256D" w:rsidRDefault="5D45256D" w14:paraId="5B722B42" w14:textId="2EA6A57A">
      <w:pPr>
        <w:spacing w:before="120" w:beforeAutospacing="off" w:after="120" w:afterAutospacing="off" w:line="360" w:lineRule="auto"/>
        <w:jc w:val="both"/>
        <w:rPr>
          <w:rFonts w:ascii="Arial" w:hAnsi="Arial" w:eastAsia="Arial" w:cs="Arial"/>
          <w:u w:val="none"/>
        </w:rPr>
      </w:pPr>
    </w:p>
    <w:p w:rsidR="5D45256D" w:rsidP="5D45256D" w:rsidRDefault="5D45256D" w14:paraId="0E873EFC" w14:textId="2FA73FC2">
      <w:pPr>
        <w:spacing w:before="120" w:beforeAutospacing="off" w:after="120" w:afterAutospacing="off" w:line="360" w:lineRule="auto"/>
        <w:jc w:val="both"/>
        <w:rPr>
          <w:rFonts w:ascii="Arial" w:hAnsi="Arial" w:eastAsia="Arial" w:cs="Arial"/>
          <w:u w:val="none"/>
        </w:rPr>
      </w:pPr>
    </w:p>
    <w:p w:rsidR="5D45256D" w:rsidP="5D45256D" w:rsidRDefault="5D45256D" w14:paraId="5CB2AF16" w14:textId="3AF5FC75">
      <w:pPr>
        <w:spacing w:before="120" w:beforeAutospacing="off" w:after="120" w:afterAutospacing="off" w:line="360" w:lineRule="auto"/>
        <w:jc w:val="both"/>
        <w:rPr>
          <w:rFonts w:ascii="Arial" w:hAnsi="Arial" w:eastAsia="Arial" w:cs="Arial"/>
          <w:u w:val="none"/>
        </w:rPr>
      </w:pPr>
    </w:p>
    <w:p w:rsidR="5D45256D" w:rsidP="5D45256D" w:rsidRDefault="5D45256D" w14:paraId="7138CF02" w14:textId="503E670D">
      <w:pPr>
        <w:spacing w:before="120" w:beforeAutospacing="off" w:after="120" w:afterAutospacing="off" w:line="360" w:lineRule="auto"/>
        <w:jc w:val="both"/>
        <w:rPr>
          <w:rFonts w:ascii="Arial" w:hAnsi="Arial" w:eastAsia="Arial" w:cs="Arial"/>
          <w:u w:val="none"/>
        </w:rPr>
      </w:pPr>
    </w:p>
    <w:p w:rsidR="6DC9C239" w:rsidP="5D45256D" w:rsidRDefault="6DC9C239" w14:paraId="594FECB8" w14:textId="38FCB000">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br/>
      </w:r>
    </w:p>
    <w:p w:rsidR="6DC9C239" w:rsidP="5D45256D" w:rsidRDefault="6DC9C239" w14:paraId="16BA2B54" w14:textId="1C766C8D">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r w:rsidRPr="5D45256D" w:rsidR="6DC9C239">
        <w:rPr>
          <w:rFonts w:ascii="Arial" w:hAnsi="Arial" w:eastAsia="Arial" w:cs="Arial"/>
          <w:b w:val="1"/>
          <w:bCs w:val="1"/>
          <w:color w:val="000000" w:themeColor="text1" w:themeTint="FF" w:themeShade="FF"/>
          <w:sz w:val="28"/>
          <w:szCs w:val="28"/>
          <w:u w:val="none"/>
        </w:rPr>
        <w:t>Chapter 2: Literature Review</w:t>
      </w:r>
    </w:p>
    <w:p w:rsidR="1D792B1C" w:rsidP="5D45256D" w:rsidRDefault="1D792B1C" w14:paraId="567B43DC" w14:textId="6804D664">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2.1 Introduction</w:t>
      </w:r>
    </w:p>
    <w:p w:rsidR="1D792B1C" w:rsidP="5D45256D" w:rsidRDefault="1D792B1C" w14:paraId="01C78B7C" w14:textId="2B41E822">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This chapter has illustrated that several organisational and workplace factors such as workload stress, burnout, lack of career opportunities and inadequate support have been influential in employee turnover within care homes. The literature review has pointed out that employee engagement and training and development have been instrumental in increasing the levels of employee satisfaction, commitment and retention. Motivation, job demands and available resources related to the decisions of employee turnover have been theoretically explained by Herzberg's Two-Factor Theory and the JD-R Model. On the other hand, existing literature has had little insight into practical barriers related to HR strategy implementation. Thus, this research has attempted to address the literature gap by examining successful HR strategies for reducing employee turnover in care homes.</w:t>
      </w:r>
    </w:p>
    <w:p w:rsidR="1D792B1C" w:rsidP="5D45256D" w:rsidRDefault="1D792B1C" w14:paraId="3E47047B" w14:textId="750180A6">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2.2 Concepts</w:t>
      </w:r>
    </w:p>
    <w:p w:rsidR="1D792B1C" w:rsidP="5D45256D" w:rsidRDefault="1D792B1C" w14:paraId="748C381E" w14:textId="0D12E74D">
      <w:pPr>
        <w:spacing w:before="120" w:beforeAutospacing="off" w:after="12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The term employee turnover has been described as the situation whereby employees have already quit working for an organisation while others have taken their places (Malinen et al., 2025). In the case of care homes, employee turnover has posed difficulties due to its impact on workforce stability, quality of care and services offered. Employee turnover has increased recruitment costs, led to staff shortages and put further strain on existing employees. Employee engagement has been identified as a major determinant of employee retention since employees who are well engaged have been found to display commitment, motivation and involvement (Ngozi and Edwinah, 2022). Training and development have also impacted employee retention since they increase employee skills, self-confidence and career prospects. Moreover, employee well-being has been one of the determinants of turnover decisions because of the emotional and workload stress care workers experience.</w:t>
      </w:r>
    </w:p>
    <w:p w:rsidR="1D792B1C" w:rsidP="5D45256D" w:rsidRDefault="1D792B1C" w14:paraId="5CF0ACEB" w14:textId="48D7A04C">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2.3 Theories</w:t>
      </w:r>
    </w:p>
    <w:p w:rsidR="1D792B1C" w:rsidP="5D45256D" w:rsidRDefault="1D792B1C" w14:paraId="439ED54F" w14:textId="2699935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This research has included two theories: Herzberg’s Two-Factor Theory and the Job Demands–Resources (JD-R) Model. The two theories have explained factors affecting motivation and job satisfaction, as well as turnover of employees in care homes.</w:t>
      </w:r>
    </w:p>
    <w:p w:rsidR="1D792B1C" w:rsidP="5D45256D" w:rsidRDefault="1D792B1C" w14:paraId="32C3CC1D" w14:textId="7EA61951">
      <w:pPr>
        <w:pStyle w:val="ListParagraph"/>
        <w:numPr>
          <w:ilvl w:val="0"/>
          <w:numId w:val="3"/>
        </w:numPr>
        <w:spacing w:before="0" w:beforeAutospacing="off" w:after="0" w:afterAutospacing="off" w:line="360" w:lineRule="auto"/>
        <w:ind w:left="720" w:right="0" w:hanging="360"/>
        <w:jc w:val="both"/>
        <w:rPr>
          <w:rFonts w:ascii="Arial" w:hAnsi="Arial" w:eastAsia="Arial" w:cs="Arial"/>
          <w:b w:val="1"/>
          <w:bCs w:val="1"/>
          <w:i w:val="1"/>
          <w:iCs w:val="1"/>
          <w:color w:val="000000" w:themeColor="text1" w:themeTint="FF" w:themeShade="FF"/>
          <w:sz w:val="24"/>
          <w:szCs w:val="24"/>
          <w:u w:val="none"/>
        </w:rPr>
      </w:pPr>
      <w:r w:rsidRPr="5D45256D" w:rsidR="1D792B1C">
        <w:rPr>
          <w:rFonts w:ascii="Arial" w:hAnsi="Arial" w:eastAsia="Arial" w:cs="Arial"/>
          <w:b w:val="1"/>
          <w:bCs w:val="1"/>
          <w:i w:val="1"/>
          <w:iCs w:val="1"/>
          <w:color w:val="000000" w:themeColor="text1" w:themeTint="FF" w:themeShade="FF"/>
          <w:sz w:val="24"/>
          <w:szCs w:val="24"/>
          <w:u w:val="none"/>
        </w:rPr>
        <w:t>Herzberg’s Two-Factor Theory</w:t>
      </w:r>
    </w:p>
    <w:p w:rsidR="1D792B1C" w:rsidP="5D45256D" w:rsidRDefault="1D792B1C" w14:paraId="155500A6" w14:textId="28779F7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Herzberg’s Two-Factor Theory has postulated that satisfaction and dissatisfaction of employees have been influenced by hygiene factors and motivators (Ihensekien and Joel, 2023). Hygiene factors such as salary, work environment, job security and organisational policies have eliminated dissatisfaction. On the other hand, motivators like recognition, achievements and career development have enhanced job satisfaction and organisational commitment. Thus, offering the appropriate working environment and development opportunities has been crucial to retaining employees.</w:t>
      </w:r>
    </w:p>
    <w:p w:rsidR="1D792B1C" w:rsidP="5D45256D" w:rsidRDefault="1D792B1C" w14:paraId="5316F59C" w14:textId="6E6F7F61">
      <w:pPr>
        <w:pStyle w:val="ListParagraph"/>
        <w:numPr>
          <w:ilvl w:val="0"/>
          <w:numId w:val="3"/>
        </w:numPr>
        <w:spacing w:before="0" w:beforeAutospacing="off" w:after="0" w:afterAutospacing="off" w:line="360" w:lineRule="auto"/>
        <w:ind w:left="720" w:right="0" w:hanging="360"/>
        <w:jc w:val="both"/>
        <w:rPr>
          <w:rFonts w:ascii="Arial" w:hAnsi="Arial" w:eastAsia="Arial" w:cs="Arial"/>
          <w:b w:val="1"/>
          <w:bCs w:val="1"/>
          <w:i w:val="1"/>
          <w:iCs w:val="1"/>
          <w:color w:val="000000" w:themeColor="text1" w:themeTint="FF" w:themeShade="FF"/>
          <w:sz w:val="24"/>
          <w:szCs w:val="24"/>
          <w:u w:val="none"/>
        </w:rPr>
      </w:pPr>
      <w:r w:rsidRPr="5D45256D" w:rsidR="1D792B1C">
        <w:rPr>
          <w:rFonts w:ascii="Arial" w:hAnsi="Arial" w:eastAsia="Arial" w:cs="Arial"/>
          <w:b w:val="1"/>
          <w:bCs w:val="1"/>
          <w:i w:val="1"/>
          <w:iCs w:val="1"/>
          <w:color w:val="000000" w:themeColor="text1" w:themeTint="FF" w:themeShade="FF"/>
          <w:sz w:val="24"/>
          <w:szCs w:val="24"/>
          <w:u w:val="none"/>
        </w:rPr>
        <w:t>Job Demands–Resources (JD-R) Model</w:t>
      </w:r>
    </w:p>
    <w:p w:rsidR="1D792B1C" w:rsidP="5D45256D" w:rsidRDefault="1D792B1C" w14:paraId="2E59CECF" w14:textId="5F187A1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According to the JD-R model, the well-being of the employees depends upon the balance of job demands and resources (Demerouti, 2025). High job demands in terms of workload, emotional demands, and time pressure lead to burnout, while resources like support from management, learning and development programs, and career advancement options enhance the level of engagement. </w:t>
      </w:r>
    </w:p>
    <w:p w:rsidR="1D792B1C" w:rsidP="5D45256D" w:rsidRDefault="1D792B1C" w14:paraId="3FBD3514" w14:textId="2BF83521">
      <w:pPr>
        <w:spacing w:before="120" w:beforeAutospacing="off" w:after="120" w:afterAutospacing="off" w:line="360" w:lineRule="auto"/>
        <w:jc w:val="center"/>
        <w:rPr>
          <w:rFonts w:ascii="Arial" w:hAnsi="Arial" w:eastAsia="Arial" w:cs="Arial"/>
          <w:u w:val="none"/>
        </w:rPr>
      </w:pPr>
      <w:r w:rsidR="1D792B1C">
        <w:drawing>
          <wp:inline wp14:editId="43D94C52" wp14:anchorId="33FE85DE">
            <wp:extent cx="3581400" cy="2524125"/>
            <wp:effectExtent l="0" t="0" r="0" b="0"/>
            <wp:docPr id="18134278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3427864" name="Picture 1813427864"/>
                    <pic:cNvPicPr/>
                  </pic:nvPicPr>
                  <pic:blipFill>
                    <a:blip xmlns:r="http://schemas.openxmlformats.org/officeDocument/2006/relationships" r:embed="rId2131030424">
                      <a:extLst>
                        <a:ext uri="{28A0092B-C50C-407E-A947-70E740481C1C}">
                          <a14:useLocalDpi xmlns:a14="http://schemas.microsoft.com/office/drawing/2010/main"/>
                        </a:ext>
                      </a:extLst>
                    </a:blip>
                    <a:stretch>
                      <a:fillRect/>
                    </a:stretch>
                  </pic:blipFill>
                  <pic:spPr>
                    <a:xfrm>
                      <a:off x="0" y="0"/>
                      <a:ext cx="3581400" cy="2524125"/>
                    </a:xfrm>
                    <a:prstGeom prst="rect">
                      <a:avLst/>
                    </a:prstGeom>
                  </pic:spPr>
                </pic:pic>
              </a:graphicData>
            </a:graphic>
          </wp:inline>
        </w:drawing>
      </w:r>
    </w:p>
    <w:p w:rsidR="1D792B1C" w:rsidP="5D45256D" w:rsidRDefault="1D792B1C" w14:paraId="447B3D3B" w14:textId="2806EB4C">
      <w:pPr>
        <w:spacing w:before="0" w:beforeAutospacing="off" w:after="200" w:afterAutospacing="off" w:line="360" w:lineRule="auto"/>
        <w:jc w:val="both"/>
        <w:rPr>
          <w:rFonts w:ascii="Arial" w:hAnsi="Arial" w:eastAsia="Arial" w:cs="Arial"/>
          <w:b w:val="1"/>
          <w:bCs w:val="1"/>
          <w:i w:val="1"/>
          <w:iCs w:val="1"/>
          <w:color w:val="000000" w:themeColor="text1" w:themeTint="FF" w:themeShade="FF"/>
          <w:sz w:val="24"/>
          <w:szCs w:val="24"/>
          <w:u w:val="none"/>
        </w:rPr>
      </w:pPr>
      <w:r w:rsidRPr="5D45256D" w:rsidR="1D792B1C">
        <w:rPr>
          <w:rFonts w:ascii="Arial" w:hAnsi="Arial" w:eastAsia="Arial" w:cs="Arial"/>
          <w:b w:val="1"/>
          <w:bCs w:val="1"/>
          <w:i w:val="1"/>
          <w:iCs w:val="1"/>
          <w:color w:val="000000" w:themeColor="text1" w:themeTint="FF" w:themeShade="FF"/>
          <w:sz w:val="24"/>
          <w:szCs w:val="24"/>
          <w:u w:val="none"/>
        </w:rPr>
        <w:t>Figure 1: Theoretical Framework</w:t>
      </w:r>
    </w:p>
    <w:p w:rsidR="1D792B1C" w:rsidP="5D45256D" w:rsidRDefault="1D792B1C" w14:paraId="6FB07F32" w14:textId="5EBC7792">
      <w:pPr>
        <w:spacing w:before="0" w:beforeAutospacing="off" w:after="160" w:afterAutospacing="off" w:line="360" w:lineRule="auto"/>
        <w:jc w:val="center"/>
        <w:rPr>
          <w:rFonts w:ascii="Arial" w:hAnsi="Arial" w:eastAsia="Arial" w:cs="Arial"/>
          <w:b w:val="1"/>
          <w:bCs w:val="1"/>
          <w:i w:val="1"/>
          <w:iCs w:val="1"/>
          <w:color w:val="000000" w:themeColor="text1" w:themeTint="FF" w:themeShade="FF"/>
          <w:sz w:val="24"/>
          <w:szCs w:val="24"/>
          <w:u w:val="none"/>
        </w:rPr>
      </w:pPr>
      <w:r w:rsidRPr="5D45256D" w:rsidR="1D792B1C">
        <w:rPr>
          <w:rFonts w:ascii="Arial" w:hAnsi="Arial" w:eastAsia="Arial" w:cs="Arial"/>
          <w:b w:val="1"/>
          <w:bCs w:val="1"/>
          <w:i w:val="1"/>
          <w:iCs w:val="1"/>
          <w:color w:val="000000" w:themeColor="text1" w:themeTint="FF" w:themeShade="FF"/>
          <w:sz w:val="24"/>
          <w:szCs w:val="24"/>
          <w:u w:val="none"/>
        </w:rPr>
        <w:t>Source: By Author</w:t>
      </w:r>
    </w:p>
    <w:p w:rsidR="1D792B1C" w:rsidP="5D45256D" w:rsidRDefault="1D792B1C" w14:paraId="6993C267" w14:textId="3E166707">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The two theories of Herzberg’s Two-Factor Theory and the JD-R Model have been used to develop a theoretical framework on the causes of employee turnover within care home organisations. According to Herzberg’s theory, the hygiene factors such as pay, working conditions, and job security have led to the reduction of employee dissatisfaction. On the other hand, the motivators such as career advancement and recognition have resulted in an improvement in satisfaction. According to the JD-R model, job demands such as workload and emotional stress have caused burnout among employees, whereas the job resources have increased employee wellbeing.</w:t>
      </w:r>
    </w:p>
    <w:p w:rsidR="1D792B1C" w:rsidP="5D45256D" w:rsidRDefault="1D792B1C" w14:paraId="544EC760" w14:textId="6920EE77">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2.4 How employee engagement, training, and development can help decrease employee turnover in care homes</w:t>
      </w:r>
    </w:p>
    <w:p w:rsidR="1D792B1C" w:rsidP="5D45256D" w:rsidRDefault="1D792B1C" w14:paraId="66D86650" w14:textId="1783E2DE">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Employee engagement, training and development were some of the important HR approaches believed to be useful in decreasing employee turnover among care homes. Care has experienced emotional labour, workforce shortages, and high workloads, leading to increasing levels of dissatisfaction among employees and their intention to quit jobs. Hence, HR approaches that have contributed to increased employee engagement and workforce development were very important for retention.</w:t>
      </w:r>
    </w:p>
    <w:p w:rsidR="1D792B1C" w:rsidP="5D45256D" w:rsidRDefault="1D792B1C" w14:paraId="1ED89B96" w14:textId="53618497">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Employee engagement has </w:t>
      </w:r>
      <w:r w:rsidRPr="5D45256D" w:rsidR="1D792B1C">
        <w:rPr>
          <w:rFonts w:ascii="Arial" w:hAnsi="Arial" w:eastAsia="Arial" w:cs="Arial"/>
          <w:color w:val="000000" w:themeColor="text1" w:themeTint="FF" w:themeShade="FF"/>
          <w:sz w:val="24"/>
          <w:szCs w:val="24"/>
          <w:u w:val="none"/>
        </w:rPr>
        <w:t>emerged</w:t>
      </w:r>
      <w:r w:rsidRPr="5D45256D" w:rsidR="1D792B1C">
        <w:rPr>
          <w:rFonts w:ascii="Arial" w:hAnsi="Arial" w:eastAsia="Arial" w:cs="Arial"/>
          <w:color w:val="000000" w:themeColor="text1" w:themeTint="FF" w:themeShade="FF"/>
          <w:sz w:val="24"/>
          <w:szCs w:val="24"/>
          <w:u w:val="none"/>
        </w:rPr>
        <w:t xml:space="preserve"> as one of the </w:t>
      </w:r>
      <w:r w:rsidRPr="5D45256D" w:rsidR="1D792B1C">
        <w:rPr>
          <w:rFonts w:ascii="Arial" w:hAnsi="Arial" w:eastAsia="Arial" w:cs="Arial"/>
          <w:color w:val="000000" w:themeColor="text1" w:themeTint="FF" w:themeShade="FF"/>
          <w:sz w:val="24"/>
          <w:szCs w:val="24"/>
          <w:u w:val="none"/>
        </w:rPr>
        <w:t>important elements</w:t>
      </w:r>
      <w:r w:rsidRPr="5D45256D" w:rsidR="1D792B1C">
        <w:rPr>
          <w:rFonts w:ascii="Arial" w:hAnsi="Arial" w:eastAsia="Arial" w:cs="Arial"/>
          <w:color w:val="000000" w:themeColor="text1" w:themeTint="FF" w:themeShade="FF"/>
          <w:sz w:val="24"/>
          <w:szCs w:val="24"/>
          <w:u w:val="none"/>
        </w:rPr>
        <w:t xml:space="preserve"> affecting employee commitment and retention. Jiatong et al. (2022) have asserted that engaging leaders have helped employees engage in the organisation by building personal resources, team effectiveness, and organisational commitment. These scholars have pointed out that engaged employees were psychologically attached to organisations due to supportive leadership, recognition, and participation. Nonetheless, engagement interventions have not been enough because care workers have been facing problems such as poor wages, understaffing, and work overload. According to Boccoli, Gastaldi and Corso (2022</w:t>
      </w:r>
      <w:r w:rsidRPr="5D45256D" w:rsidR="6FDDBDB4">
        <w:rPr>
          <w:rFonts w:ascii="Arial" w:hAnsi="Arial" w:eastAsia="Arial" w:cs="Arial"/>
          <w:color w:val="000000" w:themeColor="text1" w:themeTint="FF" w:themeShade="FF"/>
          <w:sz w:val="24"/>
          <w:szCs w:val="24"/>
          <w:u w:val="none"/>
        </w:rPr>
        <w:t>), employee</w:t>
      </w:r>
      <w:r w:rsidRPr="5D45256D" w:rsidR="1D792B1C">
        <w:rPr>
          <w:rFonts w:ascii="Arial" w:hAnsi="Arial" w:eastAsia="Arial" w:cs="Arial"/>
          <w:color w:val="000000" w:themeColor="text1" w:themeTint="FF" w:themeShade="FF"/>
          <w:sz w:val="24"/>
          <w:szCs w:val="24"/>
          <w:u w:val="none"/>
        </w:rPr>
        <w:t xml:space="preserve"> engagement takes place when employees get psychologically and emotionally involved in their jobs. In care facilities, worker involvement, communication, and recognition practices have made employees value their work in organisations. However, engagement interventions have been dependent on managerial skills and organisational resources, which have posed a challenge to smaller organisations</w:t>
      </w:r>
      <w:r w:rsidRPr="5D45256D" w:rsidR="1D792B1C">
        <w:rPr>
          <w:rFonts w:ascii="Arial" w:hAnsi="Arial" w:eastAsia="Arial" w:cs="Arial"/>
          <w:color w:val="000000" w:themeColor="text1" w:themeTint="FF" w:themeShade="FF"/>
          <w:sz w:val="24"/>
          <w:szCs w:val="24"/>
          <w:u w:val="none"/>
        </w:rPr>
        <w:t xml:space="preserve">.  </w:t>
      </w:r>
    </w:p>
    <w:p w:rsidR="1D792B1C" w:rsidP="5D45256D" w:rsidRDefault="1D792B1C" w14:paraId="47B0CAAB" w14:textId="2EA8D6DC">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Moreover, according to Yan et al. (2023</w:t>
      </w:r>
      <w:r w:rsidRPr="5D45256D" w:rsidR="51A2AEEB">
        <w:rPr>
          <w:rFonts w:ascii="Arial" w:hAnsi="Arial" w:eastAsia="Arial" w:cs="Arial"/>
          <w:color w:val="000000" w:themeColor="text1" w:themeTint="FF" w:themeShade="FF"/>
          <w:sz w:val="24"/>
          <w:szCs w:val="24"/>
          <w:u w:val="none"/>
        </w:rPr>
        <w:t>), one</w:t>
      </w:r>
      <w:r w:rsidRPr="5D45256D" w:rsidR="1D792B1C">
        <w:rPr>
          <w:rFonts w:ascii="Arial" w:hAnsi="Arial" w:eastAsia="Arial" w:cs="Arial"/>
          <w:color w:val="000000" w:themeColor="text1" w:themeTint="FF" w:themeShade="FF"/>
          <w:sz w:val="24"/>
          <w:szCs w:val="24"/>
          <w:u w:val="none"/>
        </w:rPr>
        <w:t xml:space="preserve"> of the factors that has led to higher levels of turnover amongst care home workers has been burnout. It has been found by researchers that emotional exhaustion and pressures at work have demotivated the workforce and increased the intention to leave amongst them. In this regard, engagement practices have played </w:t>
      </w:r>
      <w:r w:rsidRPr="5D45256D" w:rsidR="1D792B1C">
        <w:rPr>
          <w:rFonts w:ascii="Arial" w:hAnsi="Arial" w:eastAsia="Arial" w:cs="Arial"/>
          <w:color w:val="000000" w:themeColor="text1" w:themeTint="FF" w:themeShade="FF"/>
          <w:sz w:val="24"/>
          <w:szCs w:val="24"/>
          <w:u w:val="none"/>
        </w:rPr>
        <w:t>an important role</w:t>
      </w:r>
      <w:r w:rsidRPr="5D45256D" w:rsidR="1D792B1C">
        <w:rPr>
          <w:rFonts w:ascii="Arial" w:hAnsi="Arial" w:eastAsia="Arial" w:cs="Arial"/>
          <w:color w:val="000000" w:themeColor="text1" w:themeTint="FF" w:themeShade="FF"/>
          <w:sz w:val="24"/>
          <w:szCs w:val="24"/>
          <w:u w:val="none"/>
        </w:rPr>
        <w:t xml:space="preserve"> in fostering good relationships at work, as well as encouraging employee support and motivation. Nevertheless, more extensive issues such as workload pressure and shortage of staff have had to be addressed too. Training and development have been considered vital for promoting engagement and </w:t>
      </w:r>
      <w:r w:rsidRPr="5D45256D" w:rsidR="1D792B1C">
        <w:rPr>
          <w:rFonts w:ascii="Arial" w:hAnsi="Arial" w:eastAsia="Arial" w:cs="Arial"/>
          <w:color w:val="000000" w:themeColor="text1" w:themeTint="FF" w:themeShade="FF"/>
          <w:sz w:val="24"/>
          <w:szCs w:val="24"/>
          <w:u w:val="none"/>
        </w:rPr>
        <w:t>retaining</w:t>
      </w:r>
      <w:r w:rsidRPr="5D45256D" w:rsidR="1D792B1C">
        <w:rPr>
          <w:rFonts w:ascii="Arial" w:hAnsi="Arial" w:eastAsia="Arial" w:cs="Arial"/>
          <w:color w:val="000000" w:themeColor="text1" w:themeTint="FF" w:themeShade="FF"/>
          <w:sz w:val="24"/>
          <w:szCs w:val="24"/>
          <w:u w:val="none"/>
        </w:rPr>
        <w:t xml:space="preserve"> employees. According to Shiri et al. (2023</w:t>
      </w:r>
      <w:r w:rsidRPr="5D45256D" w:rsidR="0219BDF8">
        <w:rPr>
          <w:rFonts w:ascii="Arial" w:hAnsi="Arial" w:eastAsia="Arial" w:cs="Arial"/>
          <w:color w:val="000000" w:themeColor="text1" w:themeTint="FF" w:themeShade="FF"/>
          <w:sz w:val="24"/>
          <w:szCs w:val="24"/>
          <w:u w:val="none"/>
        </w:rPr>
        <w:t>), training</w:t>
      </w:r>
      <w:r w:rsidRPr="5D45256D" w:rsidR="1D792B1C">
        <w:rPr>
          <w:rFonts w:ascii="Arial" w:hAnsi="Arial" w:eastAsia="Arial" w:cs="Arial"/>
          <w:color w:val="000000" w:themeColor="text1" w:themeTint="FF" w:themeShade="FF"/>
          <w:sz w:val="24"/>
          <w:szCs w:val="24"/>
          <w:u w:val="none"/>
        </w:rPr>
        <w:t xml:space="preserve"> and development have enhanced engagement and retention by increasing the level of professionalism and job satisfaction. In care homes, training has helped employees to handle their duties effectively.</w:t>
      </w:r>
    </w:p>
    <w:p w:rsidR="1D792B1C" w:rsidP="5D45256D" w:rsidRDefault="1D792B1C" w14:paraId="7C39185B" w14:textId="4CCEF75F">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From the literature reviewed by Thwaites (2023), it has been found that aged care workers' retention has been affected by professional development opportunities, organisational support, and working conditions. Research in the literature has revealed that a combination of training and supportive organisational practices has been effective in keeping aged care workers in place. The literature has also shown that training alone does not keep employees on the job, as other factors such as rewards, workload, and working environment are also important for employee retention. Development has been helpful in career growth and commitment to the organisation.</w:t>
      </w:r>
    </w:p>
    <w:p w:rsidR="1D792B1C" w:rsidP="5D45256D" w:rsidRDefault="1D792B1C" w14:paraId="0E749082" w14:textId="4CEF8CC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In general, employee engagement and training and development efforts have helped to reduce employee turnover by increasing job satisfaction, </w:t>
      </w:r>
      <w:r w:rsidRPr="5D45256D" w:rsidR="1D792B1C">
        <w:rPr>
          <w:rFonts w:ascii="Arial" w:hAnsi="Arial" w:eastAsia="Arial" w:cs="Arial"/>
          <w:color w:val="000000" w:themeColor="text1" w:themeTint="FF" w:themeShade="FF"/>
          <w:sz w:val="24"/>
          <w:szCs w:val="24"/>
          <w:u w:val="none"/>
        </w:rPr>
        <w:t>capability</w:t>
      </w:r>
      <w:r w:rsidRPr="5D45256D" w:rsidR="1D792B1C">
        <w:rPr>
          <w:rFonts w:ascii="Arial" w:hAnsi="Arial" w:eastAsia="Arial" w:cs="Arial"/>
          <w:color w:val="000000" w:themeColor="text1" w:themeTint="FF" w:themeShade="FF"/>
          <w:sz w:val="24"/>
          <w:szCs w:val="24"/>
          <w:u w:val="none"/>
        </w:rPr>
        <w:t xml:space="preserve"> and </w:t>
      </w:r>
      <w:r w:rsidRPr="5D45256D" w:rsidR="1D792B1C">
        <w:rPr>
          <w:rFonts w:ascii="Arial" w:hAnsi="Arial" w:eastAsia="Arial" w:cs="Arial"/>
          <w:color w:val="000000" w:themeColor="text1" w:themeTint="FF" w:themeShade="FF"/>
          <w:sz w:val="24"/>
          <w:szCs w:val="24"/>
          <w:u w:val="none"/>
        </w:rPr>
        <w:t>organisational</w:t>
      </w:r>
      <w:r w:rsidRPr="5D45256D" w:rsidR="1D792B1C">
        <w:rPr>
          <w:rFonts w:ascii="Arial" w:hAnsi="Arial" w:eastAsia="Arial" w:cs="Arial"/>
          <w:color w:val="000000" w:themeColor="text1" w:themeTint="FF" w:themeShade="FF"/>
          <w:sz w:val="24"/>
          <w:szCs w:val="24"/>
          <w:u w:val="none"/>
        </w:rPr>
        <w:t xml:space="preserve"> commitment. However, these practices alone have not solved turnover issues. The retention process needed the support of good leadership, </w:t>
      </w:r>
      <w:r w:rsidRPr="5D45256D" w:rsidR="1D792B1C">
        <w:rPr>
          <w:rFonts w:ascii="Arial" w:hAnsi="Arial" w:eastAsia="Arial" w:cs="Arial"/>
          <w:color w:val="000000" w:themeColor="text1" w:themeTint="FF" w:themeShade="FF"/>
          <w:sz w:val="24"/>
          <w:szCs w:val="24"/>
          <w:u w:val="none"/>
        </w:rPr>
        <w:t>an appropriate working</w:t>
      </w:r>
      <w:r w:rsidRPr="5D45256D" w:rsidR="1D792B1C">
        <w:rPr>
          <w:rFonts w:ascii="Arial" w:hAnsi="Arial" w:eastAsia="Arial" w:cs="Arial"/>
          <w:color w:val="000000" w:themeColor="text1" w:themeTint="FF" w:themeShade="FF"/>
          <w:sz w:val="24"/>
          <w:szCs w:val="24"/>
          <w:u w:val="none"/>
        </w:rPr>
        <w:t xml:space="preserve"> environment, sufficient </w:t>
      </w:r>
      <w:r w:rsidRPr="5D45256D" w:rsidR="27A9B8A4">
        <w:rPr>
          <w:rFonts w:ascii="Arial" w:hAnsi="Arial" w:eastAsia="Arial" w:cs="Arial"/>
          <w:color w:val="000000" w:themeColor="text1" w:themeTint="FF" w:themeShade="FF"/>
          <w:sz w:val="24"/>
          <w:szCs w:val="24"/>
          <w:u w:val="none"/>
        </w:rPr>
        <w:t>resources,</w:t>
      </w:r>
      <w:r w:rsidRPr="5D45256D" w:rsidR="1D792B1C">
        <w:rPr>
          <w:rFonts w:ascii="Arial" w:hAnsi="Arial" w:eastAsia="Arial" w:cs="Arial"/>
          <w:color w:val="000000" w:themeColor="text1" w:themeTint="FF" w:themeShade="FF"/>
          <w:sz w:val="24"/>
          <w:szCs w:val="24"/>
          <w:u w:val="none"/>
        </w:rPr>
        <w:t xml:space="preserve"> and employee development.</w:t>
      </w:r>
    </w:p>
    <w:p w:rsidR="1D792B1C" w:rsidP="5D45256D" w:rsidRDefault="1D792B1C" w14:paraId="5FCA112D" w14:textId="30EA9561">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2.5 The factors contributing to employee turnover within care homes</w:t>
      </w:r>
    </w:p>
    <w:p w:rsidR="1D792B1C" w:rsidP="5D45256D" w:rsidRDefault="1D792B1C" w14:paraId="3D2D93BA" w14:textId="6EE1C1AE">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The employee turnover rate in care homes has been affected by several interrelated aspects such as workload pressure, emotional stress, poor working conditions, lack of career prospects, and lack of organisational support. As a result, the high employee turnover rate has brought about several problems for care providers, making it more expensive to recruit new staff members.</w:t>
      </w:r>
    </w:p>
    <w:p w:rsidR="1D792B1C" w:rsidP="5D45256D" w:rsidRDefault="1D792B1C" w14:paraId="79CACDF9" w14:textId="56BEF84A">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Pressure at work and burnout have significantly contributed to employee turnover among care home workers. Employees from care </w:t>
      </w:r>
      <w:r w:rsidRPr="5D45256D" w:rsidR="13918F44">
        <w:rPr>
          <w:rFonts w:ascii="Arial" w:hAnsi="Arial" w:eastAsia="Arial" w:cs="Arial"/>
          <w:color w:val="000000" w:themeColor="text1" w:themeTint="FF" w:themeShade="FF"/>
          <w:sz w:val="24"/>
          <w:szCs w:val="24"/>
          <w:u w:val="none"/>
        </w:rPr>
        <w:t>homes typically face</w:t>
      </w:r>
      <w:r w:rsidRPr="5D45256D" w:rsidR="1D792B1C">
        <w:rPr>
          <w:rFonts w:ascii="Arial" w:hAnsi="Arial" w:eastAsia="Arial" w:cs="Arial"/>
          <w:color w:val="000000" w:themeColor="text1" w:themeTint="FF" w:themeShade="FF"/>
          <w:sz w:val="24"/>
          <w:szCs w:val="24"/>
          <w:u w:val="none"/>
        </w:rPr>
        <w:t xml:space="preserve"> stressful situations characterized by heavy workloads that involve constant support for residents, emotional stresses, and physical strains. These factors have contributed to higher levels of stress, lower levels of job </w:t>
      </w:r>
      <w:r w:rsidRPr="5D45256D" w:rsidR="11E108B9">
        <w:rPr>
          <w:rFonts w:ascii="Arial" w:hAnsi="Arial" w:eastAsia="Arial" w:cs="Arial"/>
          <w:color w:val="000000" w:themeColor="text1" w:themeTint="FF" w:themeShade="FF"/>
          <w:sz w:val="24"/>
          <w:szCs w:val="24"/>
          <w:u w:val="none"/>
        </w:rPr>
        <w:t>satisfaction,</w:t>
      </w:r>
      <w:r w:rsidRPr="5D45256D" w:rsidR="1D792B1C">
        <w:rPr>
          <w:rFonts w:ascii="Arial" w:hAnsi="Arial" w:eastAsia="Arial" w:cs="Arial"/>
          <w:color w:val="000000" w:themeColor="text1" w:themeTint="FF" w:themeShade="FF"/>
          <w:sz w:val="24"/>
          <w:szCs w:val="24"/>
          <w:u w:val="none"/>
        </w:rPr>
        <w:t xml:space="preserve"> and made the employees want to quit their jobs. Wang et al. (2024) have reported that burnout experienced by care home workers in the UK has been highly correlated with turnover intentions. The research findings suggest that the burnout of workers and work-related stress have negatively </w:t>
      </w:r>
      <w:r w:rsidRPr="5D45256D" w:rsidR="1D792B1C">
        <w:rPr>
          <w:rFonts w:ascii="Arial" w:hAnsi="Arial" w:eastAsia="Arial" w:cs="Arial"/>
          <w:color w:val="000000" w:themeColor="text1" w:themeTint="FF" w:themeShade="FF"/>
          <w:sz w:val="24"/>
          <w:szCs w:val="24"/>
          <w:u w:val="none"/>
        </w:rPr>
        <w:t>impacted</w:t>
      </w:r>
      <w:r w:rsidRPr="5D45256D" w:rsidR="1D792B1C">
        <w:rPr>
          <w:rFonts w:ascii="Arial" w:hAnsi="Arial" w:eastAsia="Arial" w:cs="Arial"/>
          <w:color w:val="000000" w:themeColor="text1" w:themeTint="FF" w:themeShade="FF"/>
          <w:sz w:val="24"/>
          <w:szCs w:val="24"/>
          <w:u w:val="none"/>
        </w:rPr>
        <w:t xml:space="preserve"> the commitment of employees and have affected their retention. In addition, O’Keefe et al. (2025) have noted that retention of aged care workers has been affected by difficult working conditions, excessive </w:t>
      </w:r>
      <w:r w:rsidRPr="5D45256D" w:rsidR="4B31EFC6">
        <w:rPr>
          <w:rFonts w:ascii="Arial" w:hAnsi="Arial" w:eastAsia="Arial" w:cs="Arial"/>
          <w:color w:val="000000" w:themeColor="text1" w:themeTint="FF" w:themeShade="FF"/>
          <w:sz w:val="24"/>
          <w:szCs w:val="24"/>
          <w:u w:val="none"/>
        </w:rPr>
        <w:t>work,</w:t>
      </w:r>
      <w:r w:rsidRPr="5D45256D" w:rsidR="1D792B1C">
        <w:rPr>
          <w:rFonts w:ascii="Arial" w:hAnsi="Arial" w:eastAsia="Arial" w:cs="Arial"/>
          <w:color w:val="000000" w:themeColor="text1" w:themeTint="FF" w:themeShade="FF"/>
          <w:sz w:val="24"/>
          <w:szCs w:val="24"/>
          <w:u w:val="none"/>
        </w:rPr>
        <w:t xml:space="preserve"> and lack of support at work. Nevertheless, dealing with such issues has been difficult because of </w:t>
      </w:r>
      <w:r w:rsidRPr="5D45256D" w:rsidR="1D792B1C">
        <w:rPr>
          <w:rFonts w:ascii="Arial" w:hAnsi="Arial" w:eastAsia="Arial" w:cs="Arial"/>
          <w:color w:val="000000" w:themeColor="text1" w:themeTint="FF" w:themeShade="FF"/>
          <w:sz w:val="24"/>
          <w:szCs w:val="24"/>
          <w:u w:val="none"/>
        </w:rPr>
        <w:t>labour</w:t>
      </w:r>
      <w:r w:rsidRPr="5D45256D" w:rsidR="1D792B1C">
        <w:rPr>
          <w:rFonts w:ascii="Arial" w:hAnsi="Arial" w:eastAsia="Arial" w:cs="Arial"/>
          <w:color w:val="000000" w:themeColor="text1" w:themeTint="FF" w:themeShade="FF"/>
          <w:sz w:val="24"/>
          <w:szCs w:val="24"/>
          <w:u w:val="none"/>
        </w:rPr>
        <w:t xml:space="preserve"> shortages.</w:t>
      </w:r>
    </w:p>
    <w:p w:rsidR="1D792B1C" w:rsidP="5D45256D" w:rsidRDefault="1D792B1C" w14:paraId="1397A36B" w14:textId="3E962000">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For a long time, care workers have carried out considerable tasks but have been financially rewarded, which has motivated some workers to find other means of employment. According to Daly (2025), </w:t>
      </w:r>
      <w:r w:rsidRPr="5D45256D" w:rsidR="1D792B1C">
        <w:rPr>
          <w:rFonts w:ascii="Arial" w:hAnsi="Arial" w:eastAsia="Arial" w:cs="Arial"/>
          <w:color w:val="000000" w:themeColor="text1" w:themeTint="FF" w:themeShade="FF"/>
          <w:sz w:val="24"/>
          <w:szCs w:val="24"/>
          <w:u w:val="none"/>
        </w:rPr>
        <w:t>remuneration</w:t>
      </w:r>
      <w:r w:rsidRPr="5D45256D" w:rsidR="1D792B1C">
        <w:rPr>
          <w:rFonts w:ascii="Arial" w:hAnsi="Arial" w:eastAsia="Arial" w:cs="Arial"/>
          <w:color w:val="000000" w:themeColor="text1" w:themeTint="FF" w:themeShade="FF"/>
          <w:sz w:val="24"/>
          <w:szCs w:val="24"/>
          <w:u w:val="none"/>
        </w:rPr>
        <w:t xml:space="preserve"> and working conditions have </w:t>
      </w:r>
      <w:r w:rsidRPr="5D45256D" w:rsidR="1D792B1C">
        <w:rPr>
          <w:rFonts w:ascii="Arial" w:hAnsi="Arial" w:eastAsia="Arial" w:cs="Arial"/>
          <w:color w:val="000000" w:themeColor="text1" w:themeTint="FF" w:themeShade="FF"/>
          <w:sz w:val="24"/>
          <w:szCs w:val="24"/>
          <w:u w:val="none"/>
        </w:rPr>
        <w:t>impacted</w:t>
      </w:r>
      <w:r w:rsidRPr="5D45256D" w:rsidR="1D792B1C">
        <w:rPr>
          <w:rFonts w:ascii="Arial" w:hAnsi="Arial" w:eastAsia="Arial" w:cs="Arial"/>
          <w:color w:val="000000" w:themeColor="text1" w:themeTint="FF" w:themeShade="FF"/>
          <w:sz w:val="24"/>
          <w:szCs w:val="24"/>
          <w:u w:val="none"/>
        </w:rPr>
        <w:t xml:space="preserve"> </w:t>
      </w:r>
      <w:r w:rsidRPr="5D45256D" w:rsidR="2D20CFAB">
        <w:rPr>
          <w:rFonts w:ascii="Arial" w:hAnsi="Arial" w:eastAsia="Arial" w:cs="Arial"/>
          <w:color w:val="000000" w:themeColor="text1" w:themeTint="FF" w:themeShade="FF"/>
          <w:sz w:val="24"/>
          <w:szCs w:val="24"/>
          <w:u w:val="none"/>
        </w:rPr>
        <w:t>labour</w:t>
      </w:r>
      <w:r w:rsidRPr="5D45256D" w:rsidR="1D792B1C">
        <w:rPr>
          <w:rFonts w:ascii="Arial" w:hAnsi="Arial" w:eastAsia="Arial" w:cs="Arial"/>
          <w:color w:val="000000" w:themeColor="text1" w:themeTint="FF" w:themeShade="FF"/>
          <w:sz w:val="24"/>
          <w:szCs w:val="24"/>
          <w:u w:val="none"/>
        </w:rPr>
        <w:t xml:space="preserve"> outcomes in nursing homes. Nonetheless, financial incentives have not solved turnover issues because of recognition, work </w:t>
      </w:r>
      <w:r w:rsidRPr="5D45256D" w:rsidR="1D792B1C">
        <w:rPr>
          <w:rFonts w:ascii="Arial" w:hAnsi="Arial" w:eastAsia="Arial" w:cs="Arial"/>
          <w:color w:val="000000" w:themeColor="text1" w:themeTint="FF" w:themeShade="FF"/>
          <w:sz w:val="24"/>
          <w:szCs w:val="24"/>
          <w:u w:val="none"/>
        </w:rPr>
        <w:t>relationships</w:t>
      </w:r>
      <w:r w:rsidRPr="5D45256D" w:rsidR="1D792B1C">
        <w:rPr>
          <w:rFonts w:ascii="Arial" w:hAnsi="Arial" w:eastAsia="Arial" w:cs="Arial"/>
          <w:color w:val="000000" w:themeColor="text1" w:themeTint="FF" w:themeShade="FF"/>
          <w:sz w:val="24"/>
          <w:szCs w:val="24"/>
          <w:u w:val="none"/>
        </w:rPr>
        <w:t xml:space="preserve"> and opportunities. Career development has been an essential issue that has influenced employee turnover. Workers have faced limited prospects for career growth, professional </w:t>
      </w:r>
      <w:r w:rsidRPr="5D45256D" w:rsidR="1D792B1C">
        <w:rPr>
          <w:rFonts w:ascii="Arial" w:hAnsi="Arial" w:eastAsia="Arial" w:cs="Arial"/>
          <w:color w:val="000000" w:themeColor="text1" w:themeTint="FF" w:themeShade="FF"/>
          <w:sz w:val="24"/>
          <w:szCs w:val="24"/>
          <w:u w:val="none"/>
        </w:rPr>
        <w:t>development</w:t>
      </w:r>
      <w:r w:rsidRPr="5D45256D" w:rsidR="1D792B1C">
        <w:rPr>
          <w:rFonts w:ascii="Arial" w:hAnsi="Arial" w:eastAsia="Arial" w:cs="Arial"/>
          <w:color w:val="000000" w:themeColor="text1" w:themeTint="FF" w:themeShade="FF"/>
          <w:sz w:val="24"/>
          <w:szCs w:val="24"/>
          <w:u w:val="none"/>
        </w:rPr>
        <w:t xml:space="preserve"> and skill improvement, resulting in low organisational commitment. </w:t>
      </w:r>
      <w:r w:rsidRPr="5D45256D" w:rsidR="1D792B1C">
        <w:rPr>
          <w:rFonts w:ascii="Arial" w:hAnsi="Arial" w:eastAsia="Arial" w:cs="Arial"/>
          <w:color w:val="000000" w:themeColor="text1" w:themeTint="FF" w:themeShade="FF"/>
          <w:sz w:val="24"/>
          <w:szCs w:val="24"/>
          <w:u w:val="none"/>
        </w:rPr>
        <w:t>Urme</w:t>
      </w:r>
      <w:r w:rsidRPr="5D45256D" w:rsidR="1D792B1C">
        <w:rPr>
          <w:rFonts w:ascii="Arial" w:hAnsi="Arial" w:eastAsia="Arial" w:cs="Arial"/>
          <w:color w:val="000000" w:themeColor="text1" w:themeTint="FF" w:themeShade="FF"/>
          <w:sz w:val="24"/>
          <w:szCs w:val="24"/>
          <w:u w:val="none"/>
        </w:rPr>
        <w:t xml:space="preserve"> (2023) believes that the development activities have improved employee retention through increased confidence, </w:t>
      </w:r>
      <w:r w:rsidRPr="5D45256D" w:rsidR="1D792B1C">
        <w:rPr>
          <w:rFonts w:ascii="Arial" w:hAnsi="Arial" w:eastAsia="Arial" w:cs="Arial"/>
          <w:color w:val="000000" w:themeColor="text1" w:themeTint="FF" w:themeShade="FF"/>
          <w:sz w:val="24"/>
          <w:szCs w:val="24"/>
          <w:u w:val="none"/>
        </w:rPr>
        <w:t>skill</w:t>
      </w:r>
      <w:r w:rsidRPr="5D45256D" w:rsidR="1D792B1C">
        <w:rPr>
          <w:rFonts w:ascii="Arial" w:hAnsi="Arial" w:eastAsia="Arial" w:cs="Arial"/>
          <w:color w:val="000000" w:themeColor="text1" w:themeTint="FF" w:themeShade="FF"/>
          <w:sz w:val="24"/>
          <w:szCs w:val="24"/>
          <w:u w:val="none"/>
        </w:rPr>
        <w:t xml:space="preserve"> and engagement of employees. However, because of budgeting and operational pressures care homes have not been able to provide development programmes for their employees and this has led them to seek career development opportunities elsewhere.</w:t>
      </w:r>
    </w:p>
    <w:p w:rsidR="1D792B1C" w:rsidP="5D45256D" w:rsidRDefault="1D792B1C" w14:paraId="3C15B43A" w14:textId="310FEAEC">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Leadership and organisational support have also been </w:t>
      </w:r>
      <w:r w:rsidRPr="5D45256D" w:rsidR="38F24D2E">
        <w:rPr>
          <w:rFonts w:ascii="Arial" w:hAnsi="Arial" w:eastAsia="Arial" w:cs="Arial"/>
          <w:color w:val="000000" w:themeColor="text1" w:themeTint="FF" w:themeShade="FF"/>
          <w:sz w:val="24"/>
          <w:szCs w:val="24"/>
          <w:u w:val="none"/>
        </w:rPr>
        <w:t>considered</w:t>
      </w:r>
      <w:r w:rsidRPr="5D45256D" w:rsidR="1D792B1C">
        <w:rPr>
          <w:rFonts w:ascii="Arial" w:hAnsi="Arial" w:eastAsia="Arial" w:cs="Arial"/>
          <w:color w:val="000000" w:themeColor="text1" w:themeTint="FF" w:themeShade="FF"/>
          <w:sz w:val="24"/>
          <w:szCs w:val="24"/>
          <w:u w:val="none"/>
        </w:rPr>
        <w:t xml:space="preserve"> </w:t>
      </w:r>
      <w:r w:rsidRPr="5D45256D" w:rsidR="4F23525F">
        <w:rPr>
          <w:rFonts w:ascii="Arial" w:hAnsi="Arial" w:eastAsia="Arial" w:cs="Arial"/>
          <w:color w:val="000000" w:themeColor="text1" w:themeTint="FF" w:themeShade="FF"/>
          <w:sz w:val="24"/>
          <w:szCs w:val="24"/>
          <w:u w:val="none"/>
        </w:rPr>
        <w:t>regarding</w:t>
      </w:r>
      <w:r w:rsidRPr="5D45256D" w:rsidR="1D792B1C">
        <w:rPr>
          <w:rFonts w:ascii="Arial" w:hAnsi="Arial" w:eastAsia="Arial" w:cs="Arial"/>
          <w:color w:val="000000" w:themeColor="text1" w:themeTint="FF" w:themeShade="FF"/>
          <w:sz w:val="24"/>
          <w:szCs w:val="24"/>
          <w:u w:val="none"/>
        </w:rPr>
        <w:t xml:space="preserve"> their impact on employee retention. Staff were satisfied with managers who were supportive; staff were dissatisfied with poor leadership. Rožman, </w:t>
      </w:r>
      <w:r w:rsidRPr="5D45256D" w:rsidR="1D792B1C">
        <w:rPr>
          <w:rFonts w:ascii="Arial" w:hAnsi="Arial" w:eastAsia="Arial" w:cs="Arial"/>
          <w:color w:val="000000" w:themeColor="text1" w:themeTint="FF" w:themeShade="FF"/>
          <w:sz w:val="24"/>
          <w:szCs w:val="24"/>
          <w:u w:val="none"/>
        </w:rPr>
        <w:t>Tominc</w:t>
      </w:r>
      <w:r w:rsidRPr="5D45256D" w:rsidR="1D792B1C">
        <w:rPr>
          <w:rFonts w:ascii="Arial" w:hAnsi="Arial" w:eastAsia="Arial" w:cs="Arial"/>
          <w:color w:val="000000" w:themeColor="text1" w:themeTint="FF" w:themeShade="FF"/>
          <w:sz w:val="24"/>
          <w:szCs w:val="24"/>
          <w:u w:val="none"/>
        </w:rPr>
        <w:t xml:space="preserve"> and </w:t>
      </w:r>
      <w:r w:rsidRPr="5D45256D" w:rsidR="1D792B1C">
        <w:rPr>
          <w:rFonts w:ascii="Arial" w:hAnsi="Arial" w:eastAsia="Arial" w:cs="Arial"/>
          <w:color w:val="000000" w:themeColor="text1" w:themeTint="FF" w:themeShade="FF"/>
          <w:sz w:val="24"/>
          <w:szCs w:val="24"/>
          <w:u w:val="none"/>
        </w:rPr>
        <w:t>Milfelner</w:t>
      </w:r>
      <w:r w:rsidRPr="5D45256D" w:rsidR="1D792B1C">
        <w:rPr>
          <w:rFonts w:ascii="Arial" w:hAnsi="Arial" w:eastAsia="Arial" w:cs="Arial"/>
          <w:color w:val="000000" w:themeColor="text1" w:themeTint="FF" w:themeShade="FF"/>
          <w:sz w:val="24"/>
          <w:szCs w:val="24"/>
          <w:u w:val="none"/>
        </w:rPr>
        <w:t xml:space="preserve"> (2023) </w:t>
      </w:r>
      <w:r w:rsidRPr="5D45256D" w:rsidR="1D792B1C">
        <w:rPr>
          <w:rFonts w:ascii="Arial" w:hAnsi="Arial" w:eastAsia="Arial" w:cs="Arial"/>
          <w:color w:val="000000" w:themeColor="text1" w:themeTint="FF" w:themeShade="FF"/>
          <w:sz w:val="24"/>
          <w:szCs w:val="24"/>
          <w:u w:val="none"/>
        </w:rPr>
        <w:t>identified</w:t>
      </w:r>
      <w:r w:rsidRPr="5D45256D" w:rsidR="1D792B1C">
        <w:rPr>
          <w:rFonts w:ascii="Arial" w:hAnsi="Arial" w:eastAsia="Arial" w:cs="Arial"/>
          <w:color w:val="000000" w:themeColor="text1" w:themeTint="FF" w:themeShade="FF"/>
          <w:sz w:val="24"/>
          <w:szCs w:val="24"/>
          <w:u w:val="none"/>
        </w:rPr>
        <w:t xml:space="preserve"> how engaged leaders have positively impacted engagement among employees and team effectiveness through better work relations and commitment. However, building a supportive organisational culture has been difficult due to financial constraints and other reasons.</w:t>
      </w:r>
    </w:p>
    <w:p w:rsidR="1D792B1C" w:rsidP="5D45256D" w:rsidRDefault="1D792B1C" w14:paraId="05503790" w14:textId="4443B34C">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In summary, employee turnover in care homes has been caused by various issues such as burnout, working conditions, and limited career development options, among others. It has been proven through research that employees do not leave organisations for one </w:t>
      </w:r>
      <w:r w:rsidRPr="5D45256D" w:rsidR="56FD39EF">
        <w:rPr>
          <w:rFonts w:ascii="Arial" w:hAnsi="Arial" w:eastAsia="Arial" w:cs="Arial"/>
          <w:color w:val="000000" w:themeColor="text1" w:themeTint="FF" w:themeShade="FF"/>
          <w:sz w:val="24"/>
          <w:szCs w:val="24"/>
          <w:u w:val="none"/>
        </w:rPr>
        <w:t>reason</w:t>
      </w:r>
      <w:r w:rsidRPr="5D45256D" w:rsidR="1D792B1C">
        <w:rPr>
          <w:rFonts w:ascii="Arial" w:hAnsi="Arial" w:eastAsia="Arial" w:cs="Arial"/>
          <w:color w:val="000000" w:themeColor="text1" w:themeTint="FF" w:themeShade="FF"/>
          <w:sz w:val="24"/>
          <w:szCs w:val="24"/>
          <w:u w:val="none"/>
        </w:rPr>
        <w:t xml:space="preserve">, but rather because of multiple reasons that </w:t>
      </w:r>
      <w:r w:rsidRPr="5D45256D" w:rsidR="1D792B1C">
        <w:rPr>
          <w:rFonts w:ascii="Arial" w:hAnsi="Arial" w:eastAsia="Arial" w:cs="Arial"/>
          <w:color w:val="000000" w:themeColor="text1" w:themeTint="FF" w:themeShade="FF"/>
          <w:sz w:val="24"/>
          <w:szCs w:val="24"/>
          <w:u w:val="none"/>
        </w:rPr>
        <w:t>impact</w:t>
      </w:r>
      <w:r w:rsidRPr="5D45256D" w:rsidR="1D792B1C">
        <w:rPr>
          <w:rFonts w:ascii="Arial" w:hAnsi="Arial" w:eastAsia="Arial" w:cs="Arial"/>
          <w:color w:val="000000" w:themeColor="text1" w:themeTint="FF" w:themeShade="FF"/>
          <w:sz w:val="24"/>
          <w:szCs w:val="24"/>
          <w:u w:val="none"/>
        </w:rPr>
        <w:t xml:space="preserve"> their satisfaction and commitment levels. For this reason, it has become important to use human resource management practices to deal with working conditions, career development, and staff </w:t>
      </w:r>
      <w:r w:rsidRPr="5D45256D" w:rsidR="1D792B1C">
        <w:rPr>
          <w:rFonts w:ascii="Arial" w:hAnsi="Arial" w:eastAsia="Arial" w:cs="Arial"/>
          <w:color w:val="000000" w:themeColor="text1" w:themeTint="FF" w:themeShade="FF"/>
          <w:sz w:val="24"/>
          <w:szCs w:val="24"/>
          <w:u w:val="none"/>
        </w:rPr>
        <w:t>wellbeing</w:t>
      </w:r>
      <w:r w:rsidRPr="5D45256D" w:rsidR="1D792B1C">
        <w:rPr>
          <w:rFonts w:ascii="Arial" w:hAnsi="Arial" w:eastAsia="Arial" w:cs="Arial"/>
          <w:color w:val="000000" w:themeColor="text1" w:themeTint="FF" w:themeShade="FF"/>
          <w:sz w:val="24"/>
          <w:szCs w:val="24"/>
          <w:u w:val="none"/>
        </w:rPr>
        <w:t xml:space="preserve"> among others.</w:t>
      </w:r>
    </w:p>
    <w:p w:rsidR="1D792B1C" w:rsidP="5D45256D" w:rsidRDefault="1D792B1C" w14:paraId="3ACBD2BF" w14:textId="65524FDE">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2.6 The obstacles to effective HR approaches in care homes in addressing employee turnover</w:t>
      </w:r>
    </w:p>
    <w:p w:rsidR="1D792B1C" w:rsidP="5D45256D" w:rsidRDefault="1D792B1C" w14:paraId="1AC7C4F2" w14:textId="668D3167">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While the strategies of HR such as employee engagement, training and development were viewed as an effective solution for retention, care home </w:t>
      </w:r>
      <w:r w:rsidRPr="5D45256D" w:rsidR="1D792B1C">
        <w:rPr>
          <w:rFonts w:ascii="Arial" w:hAnsi="Arial" w:eastAsia="Arial" w:cs="Arial"/>
          <w:color w:val="000000" w:themeColor="text1" w:themeTint="FF" w:themeShade="FF"/>
          <w:sz w:val="24"/>
          <w:szCs w:val="24"/>
          <w:u w:val="none"/>
        </w:rPr>
        <w:t>organisations</w:t>
      </w:r>
      <w:r w:rsidRPr="5D45256D" w:rsidR="1D792B1C">
        <w:rPr>
          <w:rFonts w:ascii="Arial" w:hAnsi="Arial" w:eastAsia="Arial" w:cs="Arial"/>
          <w:color w:val="000000" w:themeColor="text1" w:themeTint="FF" w:themeShade="FF"/>
          <w:sz w:val="24"/>
          <w:szCs w:val="24"/>
          <w:u w:val="none"/>
        </w:rPr>
        <w:t xml:space="preserve"> had to overcome </w:t>
      </w:r>
      <w:r w:rsidRPr="5D45256D" w:rsidR="1D792B1C">
        <w:rPr>
          <w:rFonts w:ascii="Arial" w:hAnsi="Arial" w:eastAsia="Arial" w:cs="Arial"/>
          <w:color w:val="000000" w:themeColor="text1" w:themeTint="FF" w:themeShade="FF"/>
          <w:sz w:val="24"/>
          <w:szCs w:val="24"/>
          <w:u w:val="none"/>
        </w:rPr>
        <w:t>numerous</w:t>
      </w:r>
      <w:r w:rsidRPr="5D45256D" w:rsidR="1D792B1C">
        <w:rPr>
          <w:rFonts w:ascii="Arial" w:hAnsi="Arial" w:eastAsia="Arial" w:cs="Arial"/>
          <w:color w:val="000000" w:themeColor="text1" w:themeTint="FF" w:themeShade="FF"/>
          <w:sz w:val="24"/>
          <w:szCs w:val="24"/>
          <w:u w:val="none"/>
        </w:rPr>
        <w:t xml:space="preserve"> barriers for their successful implementation. Endalamaw et al. (2024) shed light towards the barriers that impeded the HR department in creating a retention strategy and handling workforce issues. The main barriers consisted of financial limitations, lack of workers, lack of managerial </w:t>
      </w:r>
      <w:r w:rsidRPr="5D45256D" w:rsidR="486B755A">
        <w:rPr>
          <w:rFonts w:ascii="Arial" w:hAnsi="Arial" w:eastAsia="Arial" w:cs="Arial"/>
          <w:color w:val="000000" w:themeColor="text1" w:themeTint="FF" w:themeShade="FF"/>
          <w:sz w:val="24"/>
          <w:szCs w:val="24"/>
          <w:u w:val="none"/>
        </w:rPr>
        <w:t>resources,</w:t>
      </w:r>
      <w:r w:rsidRPr="5D45256D" w:rsidR="1D792B1C">
        <w:rPr>
          <w:rFonts w:ascii="Arial" w:hAnsi="Arial" w:eastAsia="Arial" w:cs="Arial"/>
          <w:color w:val="000000" w:themeColor="text1" w:themeTint="FF" w:themeShade="FF"/>
          <w:sz w:val="24"/>
          <w:szCs w:val="24"/>
          <w:u w:val="none"/>
        </w:rPr>
        <w:t xml:space="preserve"> and inability to implement HR policies consistently. Financial limitations have become one of the most serious barriers in the implementation of HR strategies in care homes. Most of the care providers have been working within a very tight budget policy that prevented them from raising salaries, giving any other benefits to </w:t>
      </w:r>
      <w:r w:rsidRPr="5D45256D" w:rsidR="1D792B1C">
        <w:rPr>
          <w:rFonts w:ascii="Arial" w:hAnsi="Arial" w:eastAsia="Arial" w:cs="Arial"/>
          <w:color w:val="000000" w:themeColor="text1" w:themeTint="FF" w:themeShade="FF"/>
          <w:sz w:val="24"/>
          <w:szCs w:val="24"/>
          <w:u w:val="none"/>
        </w:rPr>
        <w:t>employees</w:t>
      </w:r>
      <w:r w:rsidRPr="5D45256D" w:rsidR="1D792B1C">
        <w:rPr>
          <w:rFonts w:ascii="Arial" w:hAnsi="Arial" w:eastAsia="Arial" w:cs="Arial"/>
          <w:color w:val="000000" w:themeColor="text1" w:themeTint="FF" w:themeShade="FF"/>
          <w:sz w:val="24"/>
          <w:szCs w:val="24"/>
          <w:u w:val="none"/>
        </w:rPr>
        <w:t xml:space="preserve"> or investing in training. According to Pradhan, </w:t>
      </w:r>
      <w:r w:rsidRPr="5D45256D" w:rsidR="1D792B1C">
        <w:rPr>
          <w:rFonts w:ascii="Arial" w:hAnsi="Arial" w:eastAsia="Arial" w:cs="Arial"/>
          <w:color w:val="000000" w:themeColor="text1" w:themeTint="FF" w:themeShade="FF"/>
          <w:sz w:val="24"/>
          <w:szCs w:val="24"/>
          <w:u w:val="none"/>
        </w:rPr>
        <w:t>Ghiasi</w:t>
      </w:r>
      <w:r w:rsidRPr="5D45256D" w:rsidR="1D792B1C">
        <w:rPr>
          <w:rFonts w:ascii="Arial" w:hAnsi="Arial" w:eastAsia="Arial" w:cs="Arial"/>
          <w:color w:val="000000" w:themeColor="text1" w:themeTint="FF" w:themeShade="FF"/>
          <w:sz w:val="24"/>
          <w:szCs w:val="24"/>
          <w:u w:val="none"/>
        </w:rPr>
        <w:t xml:space="preserve"> and Maldonado (2025), employment and earnings affected workforce outcomes in nursing homes, as the lack of financial reward made employees dissatisfied with their position and made them want to leave. However, it was difficult to invest more money in employee salaries and benefits due to the necessity to be sustainable as an </w:t>
      </w:r>
      <w:r w:rsidRPr="5D45256D" w:rsidR="24DFB01B">
        <w:rPr>
          <w:rFonts w:ascii="Arial" w:hAnsi="Arial" w:eastAsia="Arial" w:cs="Arial"/>
          <w:color w:val="000000" w:themeColor="text1" w:themeTint="FF" w:themeShade="FF"/>
          <w:sz w:val="24"/>
          <w:szCs w:val="24"/>
          <w:u w:val="none"/>
        </w:rPr>
        <w:t>organization</w:t>
      </w:r>
      <w:r w:rsidRPr="5D45256D" w:rsidR="1D792B1C">
        <w:rPr>
          <w:rFonts w:ascii="Arial" w:hAnsi="Arial" w:eastAsia="Arial" w:cs="Arial"/>
          <w:color w:val="000000" w:themeColor="text1" w:themeTint="FF" w:themeShade="FF"/>
          <w:sz w:val="24"/>
          <w:szCs w:val="24"/>
          <w:u w:val="none"/>
        </w:rPr>
        <w:t xml:space="preserve">. The problem of a shortage of </w:t>
      </w:r>
      <w:r w:rsidRPr="5D45256D" w:rsidR="3BE52CAD">
        <w:rPr>
          <w:rFonts w:ascii="Arial" w:hAnsi="Arial" w:eastAsia="Arial" w:cs="Arial"/>
          <w:color w:val="000000" w:themeColor="text1" w:themeTint="FF" w:themeShade="FF"/>
          <w:sz w:val="24"/>
          <w:szCs w:val="24"/>
          <w:u w:val="none"/>
        </w:rPr>
        <w:t>the workforce</w:t>
      </w:r>
      <w:r w:rsidRPr="5D45256D" w:rsidR="1D792B1C">
        <w:rPr>
          <w:rFonts w:ascii="Arial" w:hAnsi="Arial" w:eastAsia="Arial" w:cs="Arial"/>
          <w:color w:val="000000" w:themeColor="text1" w:themeTint="FF" w:themeShade="FF"/>
          <w:sz w:val="24"/>
          <w:szCs w:val="24"/>
          <w:u w:val="none"/>
        </w:rPr>
        <w:t xml:space="preserve"> has caused problems in implementing retention strategies.</w:t>
      </w:r>
    </w:p>
    <w:p w:rsidR="1D792B1C" w:rsidP="5D45256D" w:rsidRDefault="1D792B1C" w14:paraId="64EF8DAD" w14:textId="5E8D8074">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Staffing has been an issue within care homes, putting pressure on the existing staff and making their work </w:t>
      </w:r>
      <w:r w:rsidRPr="5D45256D" w:rsidR="1D792B1C">
        <w:rPr>
          <w:rFonts w:ascii="Arial" w:hAnsi="Arial" w:eastAsia="Arial" w:cs="Arial"/>
          <w:color w:val="000000" w:themeColor="text1" w:themeTint="FF" w:themeShade="FF"/>
          <w:sz w:val="24"/>
          <w:szCs w:val="24"/>
          <w:u w:val="none"/>
        </w:rPr>
        <w:t>very difficult</w:t>
      </w:r>
      <w:r w:rsidRPr="5D45256D" w:rsidR="1D792B1C">
        <w:rPr>
          <w:rFonts w:ascii="Arial" w:hAnsi="Arial" w:eastAsia="Arial" w:cs="Arial"/>
          <w:color w:val="000000" w:themeColor="text1" w:themeTint="FF" w:themeShade="FF"/>
          <w:sz w:val="24"/>
          <w:szCs w:val="24"/>
          <w:u w:val="none"/>
        </w:rPr>
        <w:t xml:space="preserve">. As Peters (2023) states, staffing shortages and difficult working conditions were among the reasons why the retention of aged care staff had become a challenge. Therefore, the HR units have often concentrated on solving urgent recruitment issues rather than developing strategies for </w:t>
      </w:r>
      <w:r w:rsidRPr="5D45256D" w:rsidR="1D792B1C">
        <w:rPr>
          <w:rFonts w:ascii="Arial" w:hAnsi="Arial" w:eastAsia="Arial" w:cs="Arial"/>
          <w:color w:val="000000" w:themeColor="text1" w:themeTint="FF" w:themeShade="FF"/>
          <w:sz w:val="24"/>
          <w:szCs w:val="24"/>
          <w:u w:val="none"/>
        </w:rPr>
        <w:t>retaining</w:t>
      </w:r>
      <w:r w:rsidRPr="5D45256D" w:rsidR="1D792B1C">
        <w:rPr>
          <w:rFonts w:ascii="Arial" w:hAnsi="Arial" w:eastAsia="Arial" w:cs="Arial"/>
          <w:color w:val="000000" w:themeColor="text1" w:themeTint="FF" w:themeShade="FF"/>
          <w:sz w:val="24"/>
          <w:szCs w:val="24"/>
          <w:u w:val="none"/>
        </w:rPr>
        <w:t xml:space="preserve"> the staff, thus leaving little chance for engagement </w:t>
      </w:r>
      <w:r w:rsidRPr="5D45256D" w:rsidR="139DE648">
        <w:rPr>
          <w:rFonts w:ascii="Arial" w:hAnsi="Arial" w:eastAsia="Arial" w:cs="Arial"/>
          <w:color w:val="000000" w:themeColor="text1" w:themeTint="FF" w:themeShade="FF"/>
          <w:sz w:val="24"/>
          <w:szCs w:val="24"/>
          <w:u w:val="none"/>
        </w:rPr>
        <w:t>programmed</w:t>
      </w:r>
      <w:r w:rsidRPr="5D45256D" w:rsidR="1D792B1C">
        <w:rPr>
          <w:rFonts w:ascii="Arial" w:hAnsi="Arial" w:eastAsia="Arial" w:cs="Arial"/>
          <w:color w:val="000000" w:themeColor="text1" w:themeTint="FF" w:themeShade="FF"/>
          <w:sz w:val="24"/>
          <w:szCs w:val="24"/>
          <w:u w:val="none"/>
        </w:rPr>
        <w:t xml:space="preserve">, personal </w:t>
      </w:r>
      <w:r w:rsidRPr="5D45256D" w:rsidR="1D792B1C">
        <w:rPr>
          <w:rFonts w:ascii="Arial" w:hAnsi="Arial" w:eastAsia="Arial" w:cs="Arial"/>
          <w:color w:val="000000" w:themeColor="text1" w:themeTint="FF" w:themeShade="FF"/>
          <w:sz w:val="24"/>
          <w:szCs w:val="24"/>
          <w:u w:val="none"/>
        </w:rPr>
        <w:t>development</w:t>
      </w:r>
      <w:r w:rsidRPr="5D45256D" w:rsidR="1D792B1C">
        <w:rPr>
          <w:rFonts w:ascii="Arial" w:hAnsi="Arial" w:eastAsia="Arial" w:cs="Arial"/>
          <w:color w:val="000000" w:themeColor="text1" w:themeTint="FF" w:themeShade="FF"/>
          <w:sz w:val="24"/>
          <w:szCs w:val="24"/>
          <w:u w:val="none"/>
        </w:rPr>
        <w:t xml:space="preserve"> and wellness support from the employees. Workload pressure has prevented employees from attending training sessions and </w:t>
      </w:r>
      <w:r w:rsidRPr="5D45256D" w:rsidR="1D792B1C">
        <w:rPr>
          <w:rFonts w:ascii="Arial" w:hAnsi="Arial" w:eastAsia="Arial" w:cs="Arial"/>
          <w:color w:val="000000" w:themeColor="text1" w:themeTint="FF" w:themeShade="FF"/>
          <w:sz w:val="24"/>
          <w:szCs w:val="24"/>
          <w:u w:val="none"/>
        </w:rPr>
        <w:t>participating</w:t>
      </w:r>
      <w:r w:rsidRPr="5D45256D" w:rsidR="1D792B1C">
        <w:rPr>
          <w:rFonts w:ascii="Arial" w:hAnsi="Arial" w:eastAsia="Arial" w:cs="Arial"/>
          <w:color w:val="000000" w:themeColor="text1" w:themeTint="FF" w:themeShade="FF"/>
          <w:sz w:val="24"/>
          <w:szCs w:val="24"/>
          <w:u w:val="none"/>
        </w:rPr>
        <w:t xml:space="preserve"> in the development of the workforce. Managerial incompetence was another challenge to a successful HR strategy. Successful employee retention strategies require effective leadership, </w:t>
      </w:r>
      <w:r w:rsidRPr="5D45256D" w:rsidR="1D792B1C">
        <w:rPr>
          <w:rFonts w:ascii="Arial" w:hAnsi="Arial" w:eastAsia="Arial" w:cs="Arial"/>
          <w:color w:val="000000" w:themeColor="text1" w:themeTint="FF" w:themeShade="FF"/>
          <w:sz w:val="24"/>
          <w:szCs w:val="24"/>
          <w:u w:val="none"/>
        </w:rPr>
        <w:t>good communication</w:t>
      </w:r>
      <w:r w:rsidRPr="5D45256D" w:rsidR="1D792B1C">
        <w:rPr>
          <w:rFonts w:ascii="Arial" w:hAnsi="Arial" w:eastAsia="Arial" w:cs="Arial"/>
          <w:color w:val="000000" w:themeColor="text1" w:themeTint="FF" w:themeShade="FF"/>
          <w:sz w:val="24"/>
          <w:szCs w:val="24"/>
          <w:u w:val="none"/>
        </w:rPr>
        <w:t>, and constant support for the staff. However, not all care facilities have had enough HR experience and leadership skills for such implementation strategies. According to Qiao, Li and Hong (2024), engaged leadership has increased employee commitment and workplace effectiveness. Nonetheless, it has been possible only through competent managers.</w:t>
      </w:r>
    </w:p>
    <w:p w:rsidR="1D792B1C" w:rsidP="5D45256D" w:rsidRDefault="1D792B1C" w14:paraId="5C7603BC" w14:textId="62ED7172">
      <w:pPr>
        <w:spacing w:before="240" w:beforeAutospacing="off" w:after="24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 xml:space="preserve">Culture within the </w:t>
      </w:r>
      <w:r w:rsidRPr="5D45256D" w:rsidR="1D792B1C">
        <w:rPr>
          <w:rFonts w:ascii="Arial" w:hAnsi="Arial" w:eastAsia="Arial" w:cs="Arial"/>
          <w:color w:val="000000" w:themeColor="text1" w:themeTint="FF" w:themeShade="FF"/>
          <w:sz w:val="24"/>
          <w:szCs w:val="24"/>
          <w:u w:val="none"/>
        </w:rPr>
        <w:t>organisation</w:t>
      </w:r>
      <w:r w:rsidRPr="5D45256D" w:rsidR="1D792B1C">
        <w:rPr>
          <w:rFonts w:ascii="Arial" w:hAnsi="Arial" w:eastAsia="Arial" w:cs="Arial"/>
          <w:color w:val="000000" w:themeColor="text1" w:themeTint="FF" w:themeShade="FF"/>
          <w:sz w:val="24"/>
          <w:szCs w:val="24"/>
          <w:u w:val="none"/>
        </w:rPr>
        <w:t xml:space="preserve"> and resistance to change have also been influential within HR delivery. Many care homes have been more concerned with practical considerations such as staffing numbers and responsibilities rather than </w:t>
      </w:r>
      <w:r w:rsidRPr="5D45256D" w:rsidR="1D792B1C">
        <w:rPr>
          <w:rFonts w:ascii="Arial" w:hAnsi="Arial" w:eastAsia="Arial" w:cs="Arial"/>
          <w:color w:val="000000" w:themeColor="text1" w:themeTint="FF" w:themeShade="FF"/>
          <w:sz w:val="24"/>
          <w:szCs w:val="24"/>
          <w:u w:val="none"/>
        </w:rPr>
        <w:t>establishing</w:t>
      </w:r>
      <w:r w:rsidRPr="5D45256D" w:rsidR="1D792B1C">
        <w:rPr>
          <w:rFonts w:ascii="Arial" w:hAnsi="Arial" w:eastAsia="Arial" w:cs="Arial"/>
          <w:color w:val="000000" w:themeColor="text1" w:themeTint="FF" w:themeShade="FF"/>
          <w:sz w:val="24"/>
          <w:szCs w:val="24"/>
          <w:u w:val="none"/>
        </w:rPr>
        <w:t xml:space="preserve"> employee-oriented practices. This has meant there has not been any considerable investment made in the areas of recognition, engagement, and career development. According to Vries et al. (2023), care workers have valued workplaces that are supportive, where there has been recognition and involvement. However, it has taken considerable organizational change for such cultures to be </w:t>
      </w:r>
      <w:r w:rsidRPr="5D45256D" w:rsidR="1D792B1C">
        <w:rPr>
          <w:rFonts w:ascii="Arial" w:hAnsi="Arial" w:eastAsia="Arial" w:cs="Arial"/>
          <w:color w:val="000000" w:themeColor="text1" w:themeTint="FF" w:themeShade="FF"/>
          <w:sz w:val="24"/>
          <w:szCs w:val="24"/>
          <w:u w:val="none"/>
        </w:rPr>
        <w:t>established</w:t>
      </w:r>
      <w:r w:rsidRPr="5D45256D" w:rsidR="1D792B1C">
        <w:rPr>
          <w:rFonts w:ascii="Arial" w:hAnsi="Arial" w:eastAsia="Arial" w:cs="Arial"/>
          <w:color w:val="000000" w:themeColor="text1" w:themeTint="FF" w:themeShade="FF"/>
          <w:sz w:val="24"/>
          <w:szCs w:val="24"/>
          <w:u w:val="none"/>
        </w:rPr>
        <w:t xml:space="preserve">. Ensuring consistency within HR delivery has also proved to be difficult since different care </w:t>
      </w:r>
      <w:r w:rsidRPr="5D45256D" w:rsidR="1D792B1C">
        <w:rPr>
          <w:rFonts w:ascii="Arial" w:hAnsi="Arial" w:eastAsia="Arial" w:cs="Arial"/>
          <w:color w:val="000000" w:themeColor="text1" w:themeTint="FF" w:themeShade="FF"/>
          <w:sz w:val="24"/>
          <w:szCs w:val="24"/>
          <w:u w:val="none"/>
        </w:rPr>
        <w:t>organization's</w:t>
      </w:r>
      <w:r w:rsidRPr="5D45256D" w:rsidR="1D792B1C">
        <w:rPr>
          <w:rFonts w:ascii="Arial" w:hAnsi="Arial" w:eastAsia="Arial" w:cs="Arial"/>
          <w:color w:val="000000" w:themeColor="text1" w:themeTint="FF" w:themeShade="FF"/>
          <w:sz w:val="24"/>
          <w:szCs w:val="24"/>
          <w:u w:val="none"/>
        </w:rPr>
        <w:t xml:space="preserve"> were </w:t>
      </w:r>
      <w:r w:rsidRPr="5D45256D" w:rsidR="1D792B1C">
        <w:rPr>
          <w:rFonts w:ascii="Arial" w:hAnsi="Arial" w:eastAsia="Arial" w:cs="Arial"/>
          <w:color w:val="000000" w:themeColor="text1" w:themeTint="FF" w:themeShade="FF"/>
          <w:sz w:val="24"/>
          <w:szCs w:val="24"/>
          <w:u w:val="none"/>
        </w:rPr>
        <w:t>very diverse</w:t>
      </w:r>
      <w:r w:rsidRPr="5D45256D" w:rsidR="1D792B1C">
        <w:rPr>
          <w:rFonts w:ascii="Arial" w:hAnsi="Arial" w:eastAsia="Arial" w:cs="Arial"/>
          <w:color w:val="000000" w:themeColor="text1" w:themeTint="FF" w:themeShade="FF"/>
          <w:sz w:val="24"/>
          <w:szCs w:val="24"/>
          <w:u w:val="none"/>
        </w:rPr>
        <w:t xml:space="preserve"> in terms of size, ownership, resource availability, and management methods. HR interventions that have been successful in one care home have not necessarily been similarly successful elsewhere.</w:t>
      </w:r>
    </w:p>
    <w:p w:rsidR="1D792B1C" w:rsidP="5D45256D" w:rsidRDefault="1D792B1C" w14:paraId="36DFE392" w14:textId="38B686F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D792B1C">
        <w:rPr>
          <w:rFonts w:ascii="Arial" w:hAnsi="Arial" w:eastAsia="Arial" w:cs="Arial"/>
          <w:color w:val="000000" w:themeColor="text1" w:themeTint="FF" w:themeShade="FF"/>
          <w:sz w:val="24"/>
          <w:szCs w:val="24"/>
          <w:u w:val="none"/>
        </w:rPr>
        <w:t>However, effective human resource practices in care homes have been hindered by financial constraints, staffing shortages, management constraints, and the challenge of implementation. Engagement, training and development practices may have worked to help retain staff in care homes, but these have been dependent on organisational commitment, adequate resources, and leadership. As such, care homes have had to surmount these barriers to effect lasting changes in staff retention.</w:t>
      </w:r>
    </w:p>
    <w:p w:rsidR="1D792B1C" w:rsidP="5D45256D" w:rsidRDefault="1D792B1C" w14:paraId="691CBC8E" w14:textId="3E1C5B22">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D792B1C">
        <w:rPr>
          <w:rFonts w:ascii="Arial" w:hAnsi="Arial" w:eastAsia="Arial" w:cs="Arial"/>
          <w:b w:val="0"/>
          <w:bCs w:val="0"/>
          <w:strike w:val="0"/>
          <w:dstrike w:val="0"/>
          <w:color w:val="000000" w:themeColor="text1" w:themeTint="FF" w:themeShade="FF"/>
          <w:sz w:val="24"/>
          <w:szCs w:val="24"/>
          <w:u w:val="none"/>
        </w:rPr>
        <w:t>2.7 Conceptual Framework</w:t>
      </w:r>
    </w:p>
    <w:p w:rsidR="14DF1DF3" w:rsidP="5D45256D" w:rsidRDefault="14DF1DF3" w14:paraId="7A546DDF" w14:textId="26478E45">
      <w:pPr>
        <w:pStyle w:val="Normal"/>
        <w:rPr>
          <w:rFonts w:ascii="Arial" w:hAnsi="Arial" w:eastAsia="Arial" w:cs="Arial"/>
          <w:u w:val="none"/>
        </w:rPr>
      </w:pPr>
      <w:r w:rsidR="14DF1DF3">
        <w:drawing>
          <wp:inline wp14:editId="47D000BC" wp14:anchorId="1DA1D501">
            <wp:extent cx="4285859" cy="3097036"/>
            <wp:effectExtent l="0" t="0" r="0" b="0"/>
            <wp:docPr id="2067421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7421101" name="Picture 2067421101"/>
                    <pic:cNvPicPr/>
                  </pic:nvPicPr>
                  <pic:blipFill>
                    <a:blip xmlns:r="http://schemas.openxmlformats.org/officeDocument/2006/relationships" r:embed="rId1685317700">
                      <a:extLst>
                        <a:ext uri="{28A0092B-C50C-407E-A947-70E740481C1C}">
                          <a14:useLocalDpi xmlns:a14="http://schemas.microsoft.com/office/drawing/2010/main"/>
                        </a:ext>
                      </a:extLst>
                    </a:blip>
                    <a:stretch>
                      <a:fillRect/>
                    </a:stretch>
                  </pic:blipFill>
                  <pic:spPr>
                    <a:xfrm>
                      <a:off x="0" y="0"/>
                      <a:ext cx="4285859" cy="3097036"/>
                    </a:xfrm>
                    <a:prstGeom prst="rect">
                      <a:avLst/>
                    </a:prstGeom>
                  </pic:spPr>
                </pic:pic>
              </a:graphicData>
            </a:graphic>
          </wp:inline>
        </w:drawing>
      </w:r>
    </w:p>
    <w:p w:rsidR="1571A20D" w:rsidP="5D45256D" w:rsidRDefault="1571A20D" w14:paraId="0CBF9290" w14:textId="192AF3AE">
      <w:pPr>
        <w:spacing w:before="0" w:beforeAutospacing="off" w:after="200" w:afterAutospacing="off" w:line="360" w:lineRule="auto"/>
        <w:jc w:val="center"/>
        <w:rPr>
          <w:rFonts w:ascii="Arial" w:hAnsi="Arial" w:eastAsia="Arial" w:cs="Arial"/>
          <w:b w:val="1"/>
          <w:bCs w:val="1"/>
          <w:i w:val="1"/>
          <w:iCs w:val="1"/>
          <w:color w:val="000000" w:themeColor="text1" w:themeTint="FF" w:themeShade="FF"/>
          <w:sz w:val="24"/>
          <w:szCs w:val="24"/>
          <w:u w:val="none"/>
        </w:rPr>
      </w:pPr>
      <w:r w:rsidRPr="5D45256D" w:rsidR="1571A20D">
        <w:rPr>
          <w:rFonts w:ascii="Arial" w:hAnsi="Arial" w:eastAsia="Arial" w:cs="Arial"/>
          <w:b w:val="1"/>
          <w:bCs w:val="1"/>
          <w:i w:val="1"/>
          <w:iCs w:val="1"/>
          <w:color w:val="000000" w:themeColor="text1" w:themeTint="FF" w:themeShade="FF"/>
          <w:sz w:val="24"/>
          <w:szCs w:val="24"/>
          <w:u w:val="none"/>
        </w:rPr>
        <w:t>Figure 2: Conceptual Framework</w:t>
      </w:r>
    </w:p>
    <w:p w:rsidR="1571A20D" w:rsidP="5D45256D" w:rsidRDefault="1571A20D" w14:paraId="465B1FED" w14:textId="23220B02">
      <w:pPr>
        <w:spacing w:before="0" w:beforeAutospacing="off" w:after="160" w:afterAutospacing="off" w:line="360" w:lineRule="auto"/>
        <w:jc w:val="center"/>
        <w:rPr>
          <w:rFonts w:ascii="Arial" w:hAnsi="Arial" w:eastAsia="Arial" w:cs="Arial"/>
          <w:b w:val="1"/>
          <w:bCs w:val="1"/>
          <w:i w:val="1"/>
          <w:iCs w:val="1"/>
          <w:color w:val="000000" w:themeColor="text1" w:themeTint="FF" w:themeShade="FF"/>
          <w:sz w:val="24"/>
          <w:szCs w:val="24"/>
          <w:u w:val="none"/>
        </w:rPr>
      </w:pPr>
      <w:r w:rsidRPr="5D45256D" w:rsidR="1571A20D">
        <w:rPr>
          <w:rFonts w:ascii="Arial" w:hAnsi="Arial" w:eastAsia="Arial" w:cs="Arial"/>
          <w:b w:val="1"/>
          <w:bCs w:val="1"/>
          <w:i w:val="1"/>
          <w:iCs w:val="1"/>
          <w:color w:val="000000" w:themeColor="text1" w:themeTint="FF" w:themeShade="FF"/>
          <w:sz w:val="24"/>
          <w:szCs w:val="24"/>
          <w:u w:val="none"/>
        </w:rPr>
        <w:t>Source: By Author</w:t>
      </w:r>
    </w:p>
    <w:p w:rsidR="1571A20D" w:rsidP="5D45256D" w:rsidRDefault="1571A20D" w14:paraId="0F1A14AA" w14:textId="6B3A662C">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conceptual framework has explained the link between HR practices and the reduction of turnover among employees in care homes. The following HR practices have been used to achieve the reduction of turnover: Employee engagement, training and development, employee well-being and organisational support. All the above HR practices have helped increase job satisfaction, commitment, motivation and a pleasant work environment, which have served as mediator variables. Effective HR practices have led to the reduction of turnover through retention, workforce stability and continuity of service delivery. Therefore, from the above, it is evident that meeting the needs of employees through development has been crucial in achieving workforce stability in care home organisations.</w:t>
      </w:r>
    </w:p>
    <w:p w:rsidR="1571A20D" w:rsidP="5D45256D" w:rsidRDefault="1571A20D" w14:paraId="2107E09A" w14:textId="6FE10888">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2.8 Literature Gap</w:t>
      </w:r>
    </w:p>
    <w:p w:rsidR="1571A20D" w:rsidP="5D45256D" w:rsidRDefault="1571A20D" w14:paraId="74A9FFD7" w14:textId="1655B88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Existing literature has analysed the factors that cause and consequences that follow from employee turnover in care homes, including stress at work, burnout, underpaid </w:t>
      </w:r>
      <w:r w:rsidRPr="5D45256D" w:rsidR="1571A20D">
        <w:rPr>
          <w:rFonts w:ascii="Arial" w:hAnsi="Arial" w:eastAsia="Arial" w:cs="Arial"/>
          <w:color w:val="000000" w:themeColor="text1" w:themeTint="FF" w:themeShade="FF"/>
          <w:sz w:val="24"/>
          <w:szCs w:val="24"/>
          <w:u w:val="none"/>
        </w:rPr>
        <w:t>wages</w:t>
      </w:r>
      <w:r w:rsidRPr="5D45256D" w:rsidR="1571A20D">
        <w:rPr>
          <w:rFonts w:ascii="Arial" w:hAnsi="Arial" w:eastAsia="Arial" w:cs="Arial"/>
          <w:color w:val="000000" w:themeColor="text1" w:themeTint="FF" w:themeShade="FF"/>
          <w:sz w:val="24"/>
          <w:szCs w:val="24"/>
          <w:u w:val="none"/>
        </w:rPr>
        <w:t xml:space="preserve"> and lack of career opportunities. Papers such as those written by Costello et al. (2019) and Thwaites (2023) emphasise how difficult working environments and personal issues of employees are the factors that create problems with retention. Nevertheless, there is scarce literature on how care home organisations have managed to use HR strategies to solve these problems. </w:t>
      </w:r>
      <w:r w:rsidRPr="5D45256D" w:rsidR="46E526FA">
        <w:rPr>
          <w:rFonts w:ascii="Arial" w:hAnsi="Arial" w:eastAsia="Arial" w:cs="Arial"/>
          <w:color w:val="000000" w:themeColor="text1" w:themeTint="FF" w:themeShade="FF"/>
          <w:sz w:val="24"/>
          <w:szCs w:val="24"/>
          <w:u w:val="none"/>
        </w:rPr>
        <w:t>Not</w:t>
      </w:r>
      <w:r w:rsidRPr="5D45256D" w:rsidR="1571A20D">
        <w:rPr>
          <w:rFonts w:ascii="Arial" w:hAnsi="Arial" w:eastAsia="Arial" w:cs="Arial"/>
          <w:color w:val="000000" w:themeColor="text1" w:themeTint="FF" w:themeShade="FF"/>
          <w:sz w:val="24"/>
          <w:szCs w:val="24"/>
          <w:u w:val="none"/>
        </w:rPr>
        <w:t xml:space="preserve"> enough consideration has been paid to the obstacles in implementing employee engagement, </w:t>
      </w:r>
      <w:r w:rsidRPr="5D45256D" w:rsidR="1571A20D">
        <w:rPr>
          <w:rFonts w:ascii="Arial" w:hAnsi="Arial" w:eastAsia="Arial" w:cs="Arial"/>
          <w:color w:val="000000" w:themeColor="text1" w:themeTint="FF" w:themeShade="FF"/>
          <w:sz w:val="24"/>
          <w:szCs w:val="24"/>
          <w:u w:val="none"/>
        </w:rPr>
        <w:t>training</w:t>
      </w:r>
      <w:r w:rsidRPr="5D45256D" w:rsidR="1571A20D">
        <w:rPr>
          <w:rFonts w:ascii="Arial" w:hAnsi="Arial" w:eastAsia="Arial" w:cs="Arial"/>
          <w:color w:val="000000" w:themeColor="text1" w:themeTint="FF" w:themeShade="FF"/>
          <w:sz w:val="24"/>
          <w:szCs w:val="24"/>
          <w:u w:val="none"/>
        </w:rPr>
        <w:t xml:space="preserve"> and development strategies, which include financial constraints, labour </w:t>
      </w:r>
      <w:r w:rsidRPr="5D45256D" w:rsidR="1571A20D">
        <w:rPr>
          <w:rFonts w:ascii="Arial" w:hAnsi="Arial" w:eastAsia="Arial" w:cs="Arial"/>
          <w:color w:val="000000" w:themeColor="text1" w:themeTint="FF" w:themeShade="FF"/>
          <w:sz w:val="24"/>
          <w:szCs w:val="24"/>
          <w:u w:val="none"/>
        </w:rPr>
        <w:t>shortage</w:t>
      </w:r>
      <w:r w:rsidRPr="5D45256D" w:rsidR="1571A20D">
        <w:rPr>
          <w:rFonts w:ascii="Arial" w:hAnsi="Arial" w:eastAsia="Arial" w:cs="Arial"/>
          <w:color w:val="000000" w:themeColor="text1" w:themeTint="FF" w:themeShade="FF"/>
          <w:sz w:val="24"/>
          <w:szCs w:val="24"/>
          <w:u w:val="none"/>
        </w:rPr>
        <w:t xml:space="preserve"> and organisational limitations. This has become the gap that made it hard to analyse how HR strategies can be adapted for use in care environments. Consequently, this study aims at filling the gap through the critical analysis of HR strategies that reduced employee turnover.</w:t>
      </w:r>
    </w:p>
    <w:p w:rsidR="1571A20D" w:rsidP="5D45256D" w:rsidRDefault="1571A20D" w14:paraId="6EC312D3" w14:textId="0FEC39B9">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2.9 Summary</w:t>
      </w:r>
    </w:p>
    <w:p w:rsidR="1571A20D" w:rsidP="5D45256D" w:rsidRDefault="1571A20D" w14:paraId="78EDC490" w14:textId="4AE8A25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This chapter has illustrated that several organisational and workplace factors such as workload stress, burnout, lack of career opportunities and inadequate support have been influential in employee turnover within care homes. The literature review has pointed out that employee engagement and training and development have been instrumental in increasing the levels of employee satisfaction, commitment and retention. Motivation, job demands and available resources related to the decisions of employee turnover have been theoretically explained by Herzberg's Two-Factor Theory and the JD-R Model. On the other hand, existing literature has had little insight into practical barriers related to HR strategy implementation. Thus, this research has attempted to address the literature gap by examining successful HR strategies for reducing employee turnover in care homes.</w:t>
      </w:r>
    </w:p>
    <w:p w:rsidR="1571A20D" w:rsidP="5D45256D" w:rsidRDefault="1571A20D" w14:paraId="676F6F2A" w14:textId="7FD55522">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r w:rsidRPr="5D45256D" w:rsidR="1571A20D">
        <w:rPr>
          <w:rFonts w:ascii="Arial" w:hAnsi="Arial" w:eastAsia="Arial" w:cs="Arial"/>
          <w:b w:val="1"/>
          <w:bCs w:val="1"/>
          <w:color w:val="000000" w:themeColor="text1" w:themeTint="FF" w:themeShade="FF"/>
          <w:sz w:val="28"/>
          <w:szCs w:val="28"/>
          <w:u w:val="none"/>
        </w:rPr>
        <w:t>Chapter 3: Research Methodology</w:t>
      </w:r>
    </w:p>
    <w:p w:rsidR="1571A20D" w:rsidP="5D45256D" w:rsidRDefault="1571A20D" w14:paraId="48F36EB7" w14:textId="696C5620">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3.1 Introduction</w:t>
      </w:r>
    </w:p>
    <w:p w:rsidR="1571A20D" w:rsidP="5D45256D" w:rsidRDefault="1571A20D" w14:paraId="2F478B67" w14:textId="31741BD6">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Research methodology is a scientific process of selecting and explaining the methods, techniques and procedures followed while conducting a research study (Gamage, 2025). The methodological framework followed in the analysis of HR strategies for minimising employee turnover in care home environments was explained in this chapter. Saunders' Research Onion was used to guide methodological choices such as research philosophy, research approach, research strategy, research choice, time horizon, data collection, data analysis and ethical considerations. The decisions made in this respect were in line with the research aim and objectives.</w:t>
      </w:r>
    </w:p>
    <w:p w:rsidR="1571A20D" w:rsidP="5D45256D" w:rsidRDefault="1571A20D" w14:paraId="7FE05D3C" w14:textId="730B4067">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3.2 Research Philosophy</w:t>
      </w:r>
    </w:p>
    <w:p w:rsidR="1571A20D" w:rsidP="5D45256D" w:rsidRDefault="1571A20D" w14:paraId="59D39BBE" w14:textId="0323082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Research philosophy was understood as the framework of assumptions and beliefs used to underpin the process of knowledge development, collection and interpretation in a research study (Junjie and Yingxin, 2022). The positivism philosophy was used in this research as it facilitated in the objective examination of HR strategies and employee turnover using measurable and evidence-based findings. The research method of positivism was appropriate because the study involved a review of the existing quantitative evidence from reports of organisations, workforce data and quantitative evidence.</w:t>
      </w:r>
    </w:p>
    <w:p w:rsidR="1571A20D" w:rsidP="5D45256D" w:rsidRDefault="1571A20D" w14:paraId="19821F59" w14:textId="365F12C6">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3.3 Research Approach</w:t>
      </w:r>
    </w:p>
    <w:p w:rsidR="1571A20D" w:rsidP="5D45256D" w:rsidRDefault="1571A20D" w14:paraId="3E831827" w14:textId="50B5132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Research approach was understood as a systematic guiding framework for the development, testing and interpretation of knowledge in a research study (Kumar, 2024). The present study was deductive in nature, allowing the researcher to explore the theories and concepts that already exist in the literature concerning HR strategies, employee engagement, training and development and employee turnover. The deductive approach was suitable as the research was focused on testing existing theoretical assumptions by using objective secondary quantitative evidence and the research intended to establish measurable relationships between HR practices and turnover reduction in care home settings.</w:t>
      </w:r>
    </w:p>
    <w:p w:rsidR="1571A20D" w:rsidP="5D45256D" w:rsidRDefault="1571A20D" w14:paraId="5F7DD2DD" w14:textId="5B3E0A85">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3.4 Research Strategy</w:t>
      </w:r>
    </w:p>
    <w:p w:rsidR="1571A20D" w:rsidP="5D45256D" w:rsidRDefault="1571A20D" w14:paraId="2FF9D322" w14:textId="7BA3EDB7">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Research Strategy was described as the general approach used in conducting research that included collecting, analysing and interpreting data to meet research goals (Lim, 2024). The researcher used secondary data research method in this study because it allowed the researcher to look at existing quantitative data from other academic studies as well as government reports and industry publications. The strategy was suitable as employee turnover and HR practices in care homes had already been researched in great detail and patterns could be identified and measured, without the need for primary research.</w:t>
      </w:r>
    </w:p>
    <w:p w:rsidR="1571A20D" w:rsidP="5D45256D" w:rsidRDefault="1571A20D" w14:paraId="77041B2A" w14:textId="720C1861">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3.5 Research Choice</w:t>
      </w:r>
    </w:p>
    <w:p w:rsidR="1571A20D" w:rsidP="5D45256D" w:rsidRDefault="1571A20D" w14:paraId="19D7122E" w14:textId="3353A53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Research choice consisted of the methodological choice of qualitative, quantitative or mixed research in collecting and analysing data (Taherdoost, 2022). The study used a mono quantitative approach because it allowed the researcher to focus on numerical secondary data concerning HR strategies and employee turnover. The approach was suitable as the study was focused on finding measurable patterns, trends and relationships between HR practices and turnover rates in care homes, based on statistical evidence from existing sources.</w:t>
      </w:r>
    </w:p>
    <w:p w:rsidR="1571A20D" w:rsidP="5D45256D" w:rsidRDefault="1571A20D" w14:paraId="0AC78DB4" w14:textId="393BCE01">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3.6 Time Horizon</w:t>
      </w:r>
    </w:p>
    <w:p w:rsidR="1571A20D" w:rsidP="5D45256D" w:rsidRDefault="1571A20D" w14:paraId="549648BF" w14:textId="2983FFE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The time horizon was specified as the </w:t>
      </w:r>
      <w:r w:rsidRPr="5D45256D" w:rsidR="1571A20D">
        <w:rPr>
          <w:rFonts w:ascii="Arial" w:hAnsi="Arial" w:eastAsia="Arial" w:cs="Arial"/>
          <w:color w:val="000000" w:themeColor="text1" w:themeTint="FF" w:themeShade="FF"/>
          <w:sz w:val="24"/>
          <w:szCs w:val="24"/>
          <w:u w:val="none"/>
        </w:rPr>
        <w:t>time frame</w:t>
      </w:r>
      <w:r w:rsidRPr="5D45256D" w:rsidR="1571A20D">
        <w:rPr>
          <w:rFonts w:ascii="Arial" w:hAnsi="Arial" w:eastAsia="Arial" w:cs="Arial"/>
          <w:color w:val="000000" w:themeColor="text1" w:themeTint="FF" w:themeShade="FF"/>
          <w:sz w:val="24"/>
          <w:szCs w:val="24"/>
          <w:u w:val="none"/>
        </w:rPr>
        <w:t xml:space="preserve"> during which a research study took place and data was collected or analysed. The present study had a cross-sectional </w:t>
      </w:r>
      <w:r w:rsidRPr="5D45256D" w:rsidR="1571A20D">
        <w:rPr>
          <w:rFonts w:ascii="Arial" w:hAnsi="Arial" w:eastAsia="Arial" w:cs="Arial"/>
          <w:color w:val="000000" w:themeColor="text1" w:themeTint="FF" w:themeShade="FF"/>
          <w:sz w:val="24"/>
          <w:szCs w:val="24"/>
          <w:u w:val="none"/>
        </w:rPr>
        <w:t>time frame</w:t>
      </w:r>
      <w:r w:rsidRPr="5D45256D" w:rsidR="1571A20D">
        <w:rPr>
          <w:rFonts w:ascii="Arial" w:hAnsi="Arial" w:eastAsia="Arial" w:cs="Arial"/>
          <w:color w:val="000000" w:themeColor="text1" w:themeTint="FF" w:themeShade="FF"/>
          <w:sz w:val="24"/>
          <w:szCs w:val="24"/>
          <w:u w:val="none"/>
        </w:rPr>
        <w:t xml:space="preserve"> because it was based on secondary quantitative data available within a certain </w:t>
      </w:r>
      <w:r w:rsidRPr="5D45256D" w:rsidR="074B8D5E">
        <w:rPr>
          <w:rFonts w:ascii="Arial" w:hAnsi="Arial" w:eastAsia="Arial" w:cs="Arial"/>
          <w:color w:val="000000" w:themeColor="text1" w:themeTint="FF" w:themeShade="FF"/>
          <w:sz w:val="24"/>
          <w:szCs w:val="24"/>
          <w:u w:val="none"/>
        </w:rPr>
        <w:t>period</w:t>
      </w:r>
      <w:r w:rsidRPr="5D45256D" w:rsidR="1571A20D">
        <w:rPr>
          <w:rFonts w:ascii="Arial" w:hAnsi="Arial" w:eastAsia="Arial" w:cs="Arial"/>
          <w:color w:val="000000" w:themeColor="text1" w:themeTint="FF" w:themeShade="FF"/>
          <w:sz w:val="24"/>
          <w:szCs w:val="24"/>
          <w:u w:val="none"/>
        </w:rPr>
        <w:t xml:space="preserve"> (Maier et al., 2023). This was suitable for this research as it </w:t>
      </w:r>
      <w:r w:rsidRPr="5D45256D" w:rsidR="1571A20D">
        <w:rPr>
          <w:rFonts w:ascii="Arial" w:hAnsi="Arial" w:eastAsia="Arial" w:cs="Arial"/>
          <w:color w:val="000000" w:themeColor="text1" w:themeTint="FF" w:themeShade="FF"/>
          <w:sz w:val="24"/>
          <w:szCs w:val="24"/>
          <w:u w:val="none"/>
        </w:rPr>
        <w:t>sought</w:t>
      </w:r>
      <w:r w:rsidRPr="5D45256D" w:rsidR="1571A20D">
        <w:rPr>
          <w:rFonts w:ascii="Arial" w:hAnsi="Arial" w:eastAsia="Arial" w:cs="Arial"/>
          <w:color w:val="000000" w:themeColor="text1" w:themeTint="FF" w:themeShade="FF"/>
          <w:sz w:val="24"/>
          <w:szCs w:val="24"/>
          <w:u w:val="none"/>
        </w:rPr>
        <w:t xml:space="preserve"> to assess the existing patterns and relationships </w:t>
      </w:r>
      <w:r w:rsidRPr="5D45256D" w:rsidR="5ADA34B3">
        <w:rPr>
          <w:rFonts w:ascii="Arial" w:hAnsi="Arial" w:eastAsia="Arial" w:cs="Arial"/>
          <w:color w:val="000000" w:themeColor="text1" w:themeTint="FF" w:themeShade="FF"/>
          <w:sz w:val="24"/>
          <w:szCs w:val="24"/>
          <w:u w:val="none"/>
        </w:rPr>
        <w:t>do not change</w:t>
      </w:r>
      <w:r w:rsidRPr="5D45256D" w:rsidR="1571A20D">
        <w:rPr>
          <w:rFonts w:ascii="Arial" w:hAnsi="Arial" w:eastAsia="Arial" w:cs="Arial"/>
          <w:color w:val="000000" w:themeColor="text1" w:themeTint="FF" w:themeShade="FF"/>
          <w:sz w:val="24"/>
          <w:szCs w:val="24"/>
          <w:u w:val="none"/>
        </w:rPr>
        <w:t xml:space="preserve"> over the longer term. As such, a cross-sectional design was found to be useful for analysing current issues in career retention in care home settings.</w:t>
      </w:r>
    </w:p>
    <w:p w:rsidR="1571A20D" w:rsidP="5D45256D" w:rsidRDefault="1571A20D" w14:paraId="1B2D9560" w14:textId="029F5F9B">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3.7 Data collection</w:t>
      </w:r>
    </w:p>
    <w:p w:rsidR="1571A20D" w:rsidP="5D45256D" w:rsidRDefault="1571A20D" w14:paraId="3C025BE4" w14:textId="28FC6521">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Data collection was explained as the process of systematic collection of information that </w:t>
      </w:r>
      <w:r w:rsidRPr="5D45256D" w:rsidR="4E5A46E9">
        <w:rPr>
          <w:rFonts w:ascii="Arial" w:hAnsi="Arial" w:eastAsia="Arial" w:cs="Arial"/>
          <w:color w:val="000000" w:themeColor="text1" w:themeTint="FF" w:themeShade="FF"/>
          <w:sz w:val="24"/>
          <w:szCs w:val="24"/>
          <w:u w:val="none"/>
        </w:rPr>
        <w:t>must</w:t>
      </w:r>
      <w:r w:rsidRPr="5D45256D" w:rsidR="1571A20D">
        <w:rPr>
          <w:rFonts w:ascii="Arial" w:hAnsi="Arial" w:eastAsia="Arial" w:cs="Arial"/>
          <w:color w:val="000000" w:themeColor="text1" w:themeTint="FF" w:themeShade="FF"/>
          <w:sz w:val="24"/>
          <w:szCs w:val="24"/>
          <w:u w:val="none"/>
        </w:rPr>
        <w:t xml:space="preserve"> be gathered systematically and that is relevant to the research purpose (Ajayi, 2025). Secondary quantitative data were gathered from published academic literature, government statistics, industry reports and workforce databases </w:t>
      </w:r>
      <w:r w:rsidRPr="5D45256D" w:rsidR="1571A20D">
        <w:rPr>
          <w:rFonts w:ascii="Arial" w:hAnsi="Arial" w:eastAsia="Arial" w:cs="Arial"/>
          <w:color w:val="000000" w:themeColor="text1" w:themeTint="FF" w:themeShade="FF"/>
          <w:sz w:val="24"/>
          <w:szCs w:val="24"/>
          <w:u w:val="none"/>
        </w:rPr>
        <w:t>regarding</w:t>
      </w:r>
      <w:r w:rsidRPr="5D45256D" w:rsidR="1571A20D">
        <w:rPr>
          <w:rFonts w:ascii="Arial" w:hAnsi="Arial" w:eastAsia="Arial" w:cs="Arial"/>
          <w:color w:val="000000" w:themeColor="text1" w:themeTint="FF" w:themeShade="FF"/>
          <w:sz w:val="24"/>
          <w:szCs w:val="24"/>
          <w:u w:val="none"/>
        </w:rPr>
        <w:t xml:space="preserve"> HR approaches and employee turnover in care homes. Secondary quantitative data was used because it gave an objective, measurable evidence about turnover rate, workforce trend and HR practices which could be compared and evaluated without having to collect primary data.</w:t>
      </w:r>
    </w:p>
    <w:p w:rsidR="1571A20D" w:rsidP="5D45256D" w:rsidRDefault="1571A20D" w14:paraId="54785E61" w14:textId="57CFFC29">
      <w:pPr>
        <w:spacing w:before="120" w:beforeAutospacing="off" w:after="120" w:afterAutospacing="off" w:line="360" w:lineRule="auto"/>
        <w:jc w:val="center"/>
        <w:rPr>
          <w:rFonts w:ascii="Arial" w:hAnsi="Arial" w:eastAsia="Arial" w:cs="Arial"/>
          <w:u w:val="none"/>
        </w:rPr>
      </w:pPr>
      <w:r w:rsidR="1571A20D">
        <w:drawing>
          <wp:inline wp14:editId="4EBEE842" wp14:anchorId="4F66C974">
            <wp:extent cx="5029200" cy="3838575"/>
            <wp:effectExtent l="0" t="0" r="0" b="0"/>
            <wp:docPr id="705971676" name="drawing" title="PRISMA flow diagram showing identification, screening, eligibility and inclusion stages for the secondary sources used in this dissertatio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5971676" name="Picture 705971676"/>
                    <pic:cNvPicPr/>
                  </pic:nvPicPr>
                  <pic:blipFill>
                    <a:blip xmlns:r="http://schemas.openxmlformats.org/officeDocument/2006/relationships" r:embed="rId2122828191">
                      <a:extLst>
                        <a:ext uri="{28A0092B-C50C-407E-A947-70E740481C1C}">
                          <a14:useLocalDpi xmlns:a14="http://schemas.microsoft.com/office/drawing/2010/main"/>
                        </a:ext>
                      </a:extLst>
                    </a:blip>
                    <a:stretch>
                      <a:fillRect/>
                    </a:stretch>
                  </pic:blipFill>
                  <pic:spPr>
                    <a:xfrm>
                      <a:off x="0" y="0"/>
                      <a:ext cx="5029200" cy="3838575"/>
                    </a:xfrm>
                    <a:prstGeom prst="rect">
                      <a:avLst/>
                    </a:prstGeom>
                  </pic:spPr>
                </pic:pic>
              </a:graphicData>
            </a:graphic>
          </wp:inline>
        </w:drawing>
      </w:r>
    </w:p>
    <w:p w:rsidR="1571A20D" w:rsidP="5D45256D" w:rsidRDefault="1571A20D" w14:paraId="3EA9A284" w14:textId="3D3DE7CC">
      <w:pPr>
        <w:spacing w:before="0" w:beforeAutospacing="off" w:after="200" w:afterAutospacing="off" w:line="360" w:lineRule="auto"/>
        <w:jc w:val="center"/>
        <w:rPr>
          <w:rFonts w:ascii="Arial" w:hAnsi="Arial" w:eastAsia="Arial" w:cs="Arial"/>
          <w:b w:val="1"/>
          <w:bCs w:val="1"/>
          <w:i w:val="1"/>
          <w:iCs w:val="1"/>
          <w:color w:val="000000" w:themeColor="text1" w:themeTint="FF" w:themeShade="FF"/>
          <w:sz w:val="24"/>
          <w:szCs w:val="24"/>
          <w:u w:val="none"/>
        </w:rPr>
      </w:pPr>
      <w:r w:rsidRPr="5D45256D" w:rsidR="1571A20D">
        <w:rPr>
          <w:rFonts w:ascii="Arial" w:hAnsi="Arial" w:eastAsia="Arial" w:cs="Arial"/>
          <w:b w:val="1"/>
          <w:bCs w:val="1"/>
          <w:i w:val="1"/>
          <w:iCs w:val="1"/>
          <w:color w:val="000000" w:themeColor="text1" w:themeTint="FF" w:themeShade="FF"/>
          <w:sz w:val="24"/>
          <w:szCs w:val="24"/>
          <w:u w:val="none"/>
        </w:rPr>
        <w:t>Figure 3: PRISMA Flow Diagram of Secondary Source Selection</w:t>
      </w:r>
    </w:p>
    <w:p w:rsidR="1571A20D" w:rsidP="5D45256D" w:rsidRDefault="1571A20D" w14:paraId="06677B96" w14:textId="382095DC">
      <w:pPr>
        <w:spacing w:before="0" w:beforeAutospacing="off" w:after="160" w:afterAutospacing="off" w:line="360" w:lineRule="auto"/>
        <w:jc w:val="center"/>
        <w:rPr>
          <w:rFonts w:ascii="Arial" w:hAnsi="Arial" w:eastAsia="Arial" w:cs="Arial"/>
          <w:b w:val="1"/>
          <w:bCs w:val="1"/>
          <w:i w:val="1"/>
          <w:iCs w:val="1"/>
          <w:color w:val="000000" w:themeColor="text1" w:themeTint="FF" w:themeShade="FF"/>
          <w:sz w:val="24"/>
          <w:szCs w:val="24"/>
          <w:u w:val="none"/>
        </w:rPr>
      </w:pPr>
      <w:r w:rsidRPr="5D45256D" w:rsidR="1571A20D">
        <w:rPr>
          <w:rFonts w:ascii="Arial" w:hAnsi="Arial" w:eastAsia="Arial" w:cs="Arial"/>
          <w:b w:val="1"/>
          <w:bCs w:val="1"/>
          <w:i w:val="1"/>
          <w:iCs w:val="1"/>
          <w:color w:val="000000" w:themeColor="text1" w:themeTint="FF" w:themeShade="FF"/>
          <w:sz w:val="24"/>
          <w:szCs w:val="24"/>
          <w:u w:val="none"/>
        </w:rPr>
        <w:t>Source: By Author</w:t>
      </w:r>
    </w:p>
    <w:p w:rsidR="1571A20D" w:rsidP="5D45256D" w:rsidRDefault="1571A20D" w14:paraId="7F17950E" w14:textId="2CB6DD9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As shown above, a total of 134 records were identified through database searching and other sources, of which 115 remained after duplicates were removed. Following title and abstract screening, 34 records were excluded, leaving 81 sources for full-text assessment against the eligibility criteria described in Section 3.9. A further 22 sources were excluded at this stage due to insufficient data, limited credibility or lack of relevance, resulting in a final set of 59 sources that were used across this dissertation.</w:t>
      </w:r>
    </w:p>
    <w:p w:rsidR="1571A20D" w:rsidP="5D45256D" w:rsidRDefault="1571A20D" w14:paraId="110629AD" w14:textId="54515BF2">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 </w:t>
      </w:r>
    </w:p>
    <w:p w:rsidR="1571A20D" w:rsidP="5D45256D" w:rsidRDefault="1571A20D" w14:paraId="6DDA9DFA" w14:textId="20177E41">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3.8 Data Analysis</w:t>
      </w:r>
    </w:p>
    <w:p w:rsidR="1571A20D" w:rsidP="5D45256D" w:rsidRDefault="1571A20D" w14:paraId="30A27FB2" w14:textId="5D7BD71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Data analysis is categorized as systematic process of organising, </w:t>
      </w:r>
      <w:r w:rsidRPr="5D45256D" w:rsidR="1571A20D">
        <w:rPr>
          <w:rFonts w:ascii="Arial" w:hAnsi="Arial" w:eastAsia="Arial" w:cs="Arial"/>
          <w:color w:val="000000" w:themeColor="text1" w:themeTint="FF" w:themeShade="FF"/>
          <w:sz w:val="24"/>
          <w:szCs w:val="24"/>
          <w:u w:val="none"/>
        </w:rPr>
        <w:t>examining</w:t>
      </w:r>
      <w:r w:rsidRPr="5D45256D" w:rsidR="1571A20D">
        <w:rPr>
          <w:rFonts w:ascii="Arial" w:hAnsi="Arial" w:eastAsia="Arial" w:cs="Arial"/>
          <w:color w:val="000000" w:themeColor="text1" w:themeTint="FF" w:themeShade="FF"/>
          <w:sz w:val="24"/>
          <w:szCs w:val="24"/>
          <w:u w:val="none"/>
        </w:rPr>
        <w:t xml:space="preserve"> and interpreting the collected data to find their meaning and pattern and to make research conclusions (Dehalwar and Sharma, 2024). The researcher used comparative analysis in this study as it enabled the researcher to compare the quantitative secondary data which were collected from different academic sources, </w:t>
      </w:r>
      <w:r w:rsidRPr="5D45256D" w:rsidR="1571A20D">
        <w:rPr>
          <w:rFonts w:ascii="Arial" w:hAnsi="Arial" w:eastAsia="Arial" w:cs="Arial"/>
          <w:color w:val="000000" w:themeColor="text1" w:themeTint="FF" w:themeShade="FF"/>
          <w:sz w:val="24"/>
          <w:szCs w:val="24"/>
          <w:u w:val="none"/>
        </w:rPr>
        <w:t>reports</w:t>
      </w:r>
      <w:r w:rsidRPr="5D45256D" w:rsidR="1571A20D">
        <w:rPr>
          <w:rFonts w:ascii="Arial" w:hAnsi="Arial" w:eastAsia="Arial" w:cs="Arial"/>
          <w:color w:val="000000" w:themeColor="text1" w:themeTint="FF" w:themeShade="FF"/>
          <w:sz w:val="24"/>
          <w:szCs w:val="24"/>
          <w:u w:val="none"/>
        </w:rPr>
        <w:t xml:space="preserve"> and statistical </w:t>
      </w:r>
      <w:r w:rsidRPr="5D45256D" w:rsidR="48477557">
        <w:rPr>
          <w:rFonts w:ascii="Arial" w:hAnsi="Arial" w:eastAsia="Arial" w:cs="Arial"/>
          <w:color w:val="000000" w:themeColor="text1" w:themeTint="FF" w:themeShade="FF"/>
          <w:sz w:val="24"/>
          <w:szCs w:val="24"/>
          <w:u w:val="none"/>
        </w:rPr>
        <w:t>evidence</w:t>
      </w:r>
      <w:r w:rsidRPr="5D45256D" w:rsidR="1571A20D">
        <w:rPr>
          <w:rFonts w:ascii="Arial" w:hAnsi="Arial" w:eastAsia="Arial" w:cs="Arial"/>
          <w:color w:val="000000" w:themeColor="text1" w:themeTint="FF" w:themeShade="FF"/>
          <w:sz w:val="24"/>
          <w:szCs w:val="24"/>
          <w:u w:val="none"/>
        </w:rPr>
        <w:t xml:space="preserve"> </w:t>
      </w:r>
      <w:r w:rsidRPr="5D45256D" w:rsidR="6C910B39">
        <w:rPr>
          <w:rFonts w:ascii="Arial" w:hAnsi="Arial" w:eastAsia="Arial" w:cs="Arial"/>
          <w:color w:val="000000" w:themeColor="text1" w:themeTint="FF" w:themeShade="FF"/>
          <w:sz w:val="24"/>
          <w:szCs w:val="24"/>
          <w:u w:val="none"/>
        </w:rPr>
        <w:t>regarding</w:t>
      </w:r>
      <w:r w:rsidRPr="5D45256D" w:rsidR="1571A20D">
        <w:rPr>
          <w:rFonts w:ascii="Arial" w:hAnsi="Arial" w:eastAsia="Arial" w:cs="Arial"/>
          <w:color w:val="000000" w:themeColor="text1" w:themeTint="FF" w:themeShade="FF"/>
          <w:sz w:val="24"/>
          <w:szCs w:val="24"/>
          <w:u w:val="none"/>
        </w:rPr>
        <w:t xml:space="preserve"> HR strategies and employee turnover. The method was suitable and </w:t>
      </w:r>
      <w:r w:rsidRPr="5D45256D" w:rsidR="1571A20D">
        <w:rPr>
          <w:rFonts w:ascii="Arial" w:hAnsi="Arial" w:eastAsia="Arial" w:cs="Arial"/>
          <w:color w:val="000000" w:themeColor="text1" w:themeTint="FF" w:themeShade="FF"/>
          <w:sz w:val="24"/>
          <w:szCs w:val="24"/>
          <w:u w:val="none"/>
        </w:rPr>
        <w:t>appropriate as</w:t>
      </w:r>
      <w:r w:rsidRPr="5D45256D" w:rsidR="1571A20D">
        <w:rPr>
          <w:rFonts w:ascii="Arial" w:hAnsi="Arial" w:eastAsia="Arial" w:cs="Arial"/>
          <w:color w:val="000000" w:themeColor="text1" w:themeTint="FF" w:themeShade="FF"/>
          <w:sz w:val="24"/>
          <w:szCs w:val="24"/>
          <w:u w:val="none"/>
        </w:rPr>
        <w:t xml:space="preserve"> it helped </w:t>
      </w:r>
      <w:r w:rsidRPr="5D45256D" w:rsidR="1571A20D">
        <w:rPr>
          <w:rFonts w:ascii="Arial" w:hAnsi="Arial" w:eastAsia="Arial" w:cs="Arial"/>
          <w:color w:val="000000" w:themeColor="text1" w:themeTint="FF" w:themeShade="FF"/>
          <w:sz w:val="24"/>
          <w:szCs w:val="24"/>
          <w:u w:val="none"/>
        </w:rPr>
        <w:t>identify</w:t>
      </w:r>
      <w:r w:rsidRPr="5D45256D" w:rsidR="1571A20D">
        <w:rPr>
          <w:rFonts w:ascii="Arial" w:hAnsi="Arial" w:eastAsia="Arial" w:cs="Arial"/>
          <w:color w:val="000000" w:themeColor="text1" w:themeTint="FF" w:themeShade="FF"/>
          <w:sz w:val="24"/>
          <w:szCs w:val="24"/>
          <w:u w:val="none"/>
        </w:rPr>
        <w:t xml:space="preserve"> the similarities, differences and trends </w:t>
      </w:r>
      <w:r w:rsidRPr="5D45256D" w:rsidR="3B4D3038">
        <w:rPr>
          <w:rFonts w:ascii="Arial" w:hAnsi="Arial" w:eastAsia="Arial" w:cs="Arial"/>
          <w:color w:val="000000" w:themeColor="text1" w:themeTint="FF" w:themeShade="FF"/>
          <w:sz w:val="24"/>
          <w:szCs w:val="24"/>
          <w:u w:val="none"/>
        </w:rPr>
        <w:t>and</w:t>
      </w:r>
      <w:r w:rsidRPr="5D45256D" w:rsidR="1571A20D">
        <w:rPr>
          <w:rFonts w:ascii="Arial" w:hAnsi="Arial" w:eastAsia="Arial" w:cs="Arial"/>
          <w:color w:val="000000" w:themeColor="text1" w:themeTint="FF" w:themeShade="FF"/>
          <w:sz w:val="24"/>
          <w:szCs w:val="24"/>
          <w:u w:val="none"/>
        </w:rPr>
        <w:t xml:space="preserve"> enable effective application of the evaluation of the relationship between HR practices and turnover reduction in care homes.</w:t>
      </w:r>
    </w:p>
    <w:p w:rsidR="1571A20D" w:rsidP="5D45256D" w:rsidRDefault="1571A20D" w14:paraId="1E145E61" w14:textId="7060602C">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3.9 Ethical Consideration</w:t>
      </w:r>
    </w:p>
    <w:p w:rsidR="1571A20D" w:rsidP="5D45256D" w:rsidRDefault="1571A20D" w14:paraId="63C2329E" w14:textId="4F987A8E">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Academic Integrity</w:t>
      </w:r>
    </w:p>
    <w:p w:rsidR="1571A20D" w:rsidP="5D45256D" w:rsidRDefault="1571A20D" w14:paraId="6FF5F5A9" w14:textId="2E10C46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All the secondary sources used were properly referenced and cited throughout the research process to maintain academic integrity. The researcher refrained from plagiarism by interpreting and presenting existing evidence while paying due credit to previously published researchers.</w:t>
      </w:r>
    </w:p>
    <w:p w:rsidR="1571A20D" w:rsidP="5D45256D" w:rsidRDefault="1571A20D" w14:paraId="3647627F" w14:textId="69A5C368">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Source Credibility</w:t>
      </w:r>
    </w:p>
    <w:p w:rsidR="1571A20D" w:rsidP="5D45256D" w:rsidRDefault="1571A20D" w14:paraId="672EEA63" w14:textId="15934DF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Secondary sources were carefully evaluated </w:t>
      </w:r>
      <w:r w:rsidRPr="5D45256D" w:rsidR="064FD88A">
        <w:rPr>
          <w:rFonts w:ascii="Arial" w:hAnsi="Arial" w:eastAsia="Arial" w:cs="Arial"/>
          <w:color w:val="000000" w:themeColor="text1" w:themeTint="FF" w:themeShade="FF"/>
          <w:sz w:val="24"/>
          <w:szCs w:val="24"/>
          <w:u w:val="none"/>
        </w:rPr>
        <w:t>regarding</w:t>
      </w:r>
      <w:r w:rsidRPr="5D45256D" w:rsidR="1571A20D">
        <w:rPr>
          <w:rFonts w:ascii="Arial" w:hAnsi="Arial" w:eastAsia="Arial" w:cs="Arial"/>
          <w:color w:val="000000" w:themeColor="text1" w:themeTint="FF" w:themeShade="FF"/>
          <w:sz w:val="24"/>
          <w:szCs w:val="24"/>
          <w:u w:val="none"/>
        </w:rPr>
        <w:t xml:space="preserve"> their credibility and reliability before being used in the study (McGregor, 2023). To ensure the accuracy and validity of the information gathered, the researcher chose journal articles, government and industry reports relevant to them. Sources that were outdated, unreliable or not supported were not included to ensure quality research.</w:t>
      </w:r>
    </w:p>
    <w:p w:rsidR="1571A20D" w:rsidP="5D45256D" w:rsidRDefault="1571A20D" w14:paraId="259A8FB7" w14:textId="594D1B66">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Data Protection and Transparency</w:t>
      </w:r>
    </w:p>
    <w:p w:rsidR="1571A20D" w:rsidP="5D45256D" w:rsidRDefault="1571A20D" w14:paraId="179B9EB9" w14:textId="79792AC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No personal information was collected in this study, which was based on secondary data; thus, there were no concerns about participant consent or confidentiality (Laryeafio and Ogbewe, 2023). The process of research was transparent, as it clearly explains the data sources, the process of analysis and the limitations of using secondary data.</w:t>
      </w:r>
    </w:p>
    <w:p w:rsidR="1571A20D" w:rsidP="5D45256D" w:rsidRDefault="1571A20D" w14:paraId="0FDFA3B0" w14:textId="5B2FB00A">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3.10 Conclusion</w:t>
      </w:r>
    </w:p>
    <w:p w:rsidR="1571A20D" w:rsidP="5D45256D" w:rsidRDefault="1571A20D" w14:paraId="3981C245" w14:textId="646F809C">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The chapter has summarised the research method which were selected to collect and analyse the data </w:t>
      </w:r>
      <w:r w:rsidRPr="5D45256D" w:rsidR="03DA4631">
        <w:rPr>
          <w:rFonts w:ascii="Arial" w:hAnsi="Arial" w:eastAsia="Arial" w:cs="Arial"/>
          <w:color w:val="000000" w:themeColor="text1" w:themeTint="FF" w:themeShade="FF"/>
          <w:sz w:val="24"/>
          <w:szCs w:val="24"/>
          <w:u w:val="none"/>
        </w:rPr>
        <w:t>to</w:t>
      </w:r>
      <w:r w:rsidRPr="5D45256D" w:rsidR="1571A20D">
        <w:rPr>
          <w:rFonts w:ascii="Arial" w:hAnsi="Arial" w:eastAsia="Arial" w:cs="Arial"/>
          <w:color w:val="000000" w:themeColor="text1" w:themeTint="FF" w:themeShade="FF"/>
          <w:sz w:val="24"/>
          <w:szCs w:val="24"/>
          <w:u w:val="none"/>
        </w:rPr>
        <w:t xml:space="preserve"> obtain the outcomes. The study included positivism philosophy which highly aligned with the quantitative nature of the study. The research data was collected through exiting sources from different database such as article, </w:t>
      </w:r>
      <w:r w:rsidRPr="5D45256D" w:rsidR="1571A20D">
        <w:rPr>
          <w:rFonts w:ascii="Arial" w:hAnsi="Arial" w:eastAsia="Arial" w:cs="Arial"/>
          <w:color w:val="000000" w:themeColor="text1" w:themeTint="FF" w:themeShade="FF"/>
          <w:sz w:val="24"/>
          <w:szCs w:val="24"/>
          <w:u w:val="none"/>
        </w:rPr>
        <w:t>journal</w:t>
      </w:r>
      <w:r w:rsidRPr="5D45256D" w:rsidR="1571A20D">
        <w:rPr>
          <w:rFonts w:ascii="Arial" w:hAnsi="Arial" w:eastAsia="Arial" w:cs="Arial"/>
          <w:color w:val="000000" w:themeColor="text1" w:themeTint="FF" w:themeShade="FF"/>
          <w:sz w:val="24"/>
          <w:szCs w:val="24"/>
          <w:u w:val="none"/>
        </w:rPr>
        <w:t xml:space="preserve"> and industry reports. The cross-sectional design of the study allowed researcher to obtain the secondary data effectively.</w:t>
      </w:r>
    </w:p>
    <w:p w:rsidR="5D45256D" w:rsidP="5D45256D" w:rsidRDefault="5D45256D" w14:paraId="3DB7ADA7" w14:textId="3735FDB5">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3C5982F3" w14:textId="086A4A6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48FAEFD9" w14:textId="59FFC1AB">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857F12F" w14:textId="0C83B22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6673E455" w14:textId="343F66A6">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08766189" w14:textId="6534446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2C5A3B0" w14:textId="439D09B5">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062E60E3" w14:textId="667D2EF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0CDD9805" w14:textId="068262CA">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435EB074" w14:textId="0194A9F2">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6AFB9BB8" w14:textId="6D3A29C4">
      <w:pPr>
        <w:pStyle w:val="Normal"/>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EF7AD99" w14:textId="75CCA562">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033A126" w14:textId="26227AF7">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41F3C78B" w14:textId="68105186">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8B8AEEF" w14:textId="0D0BFD32">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750125D" w14:textId="1613AA4E">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698F23B9" w14:textId="706F8DA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39D9103" w14:textId="61DFF7B2">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A07B2A5" w14:textId="5BD491B1">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0FD98C6C" w14:textId="3378ADEC">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08C9835D" w14:textId="246848A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1571A20D" w:rsidP="5D45256D" w:rsidRDefault="1571A20D" w14:paraId="5559D753" w14:textId="136662E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 </w:t>
      </w:r>
    </w:p>
    <w:p w:rsidR="1571A20D" w:rsidP="5D45256D" w:rsidRDefault="1571A20D" w14:paraId="17B2C360" w14:textId="1977B02B">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r w:rsidRPr="5D45256D" w:rsidR="1571A20D">
        <w:rPr>
          <w:rFonts w:ascii="Arial" w:hAnsi="Arial" w:eastAsia="Arial" w:cs="Arial"/>
          <w:b w:val="1"/>
          <w:bCs w:val="1"/>
          <w:color w:val="000000" w:themeColor="text1" w:themeTint="FF" w:themeShade="FF"/>
          <w:sz w:val="28"/>
          <w:szCs w:val="28"/>
          <w:u w:val="none"/>
        </w:rPr>
        <w:t>Chapter 4: Data analysis</w:t>
      </w:r>
    </w:p>
    <w:p w:rsidR="1571A20D" w:rsidP="5D45256D" w:rsidRDefault="1571A20D" w14:paraId="01CF58C0" w14:textId="06FE9DC4">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4.1 Introduction</w:t>
      </w:r>
    </w:p>
    <w:p w:rsidR="1571A20D" w:rsidP="5D45256D" w:rsidRDefault="1571A20D" w14:paraId="0B56A2CA" w14:textId="6A67871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chapter critically examines the secondary quantitative data employed to explore HR approaches to decrease employee turnover in care-homes. Pursuant to Chapter 3, the research design used is mono-quantitative secondary research design and the descriptive percentage-based comparative analysis is used to determine patterns, rankings and distinctions among the variables of interest of the workforce. The methodology already defines that secondary quantitative evidence in the form of government statistics, industry reports, and academic sources will be compared to determine similarities, differences and trends. The analysis will then be based on care-home frequencies and percentages and not domiciliary- care or combined sector figures since research aim and objectives are specific to a care home.</w:t>
      </w:r>
    </w:p>
    <w:p w:rsidR="1571A20D" w:rsidP="5D45256D" w:rsidRDefault="1571A20D" w14:paraId="2F860147" w14:textId="04224FB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main data set will be the Department of Health and Social Care Adult Social Care Workforce Survey, April 2025(GOV.UK, 2025). The relevant survey tables have been stored in the Appendix and only the statistics that are directly related to the research questions are reported in this chapter. The discussion looks into the challenge of retention, engagement and morale, and the obstacles influencing HR retention practices. The results are explained by the Two-Factor Theory of Herzberg and the Job Demands Resources (JD-R) Model.</w:t>
      </w:r>
    </w:p>
    <w:p w:rsidR="1571A20D" w:rsidP="5D45256D" w:rsidRDefault="1571A20D" w14:paraId="2BF96117" w14:textId="3A9975EA">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4.2 Extent of Employee Retention Challenges</w:t>
      </w:r>
    </w:p>
    <w:p w:rsidR="1571A20D" w:rsidP="5D45256D" w:rsidRDefault="1571A20D" w14:paraId="29CEA4D7" w14:textId="77AB841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scale of retention difficulty has baseline evidence given in Appendix Table 1.1. Out of 2,002 of the responding care homes 41.2% said that it was moderately difficult to retain the staff, 7.9% said that it was very difficult and 4.9% said that it was extremely difficult. When the combination of these three categories was carried out, approximately 54% of the responding care homes stated that there was some level of retention difficulty. Conversely, the percentage of retention being not very difficult was 30.2 and of not difficult 14.8%, giving a total of approximately 45.0%. The other 1.0% could not say.</w:t>
      </w:r>
    </w:p>
    <w:p w:rsidR="1571A20D" w:rsidP="5D45256D" w:rsidRDefault="1571A20D" w14:paraId="213DD146" w14:textId="0F9AC0FB">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The difference between the challenging and non-challenging categories was nine-percentage-points, which means that retention problems </w:t>
      </w:r>
      <w:r w:rsidRPr="5D45256D" w:rsidR="1571A20D">
        <w:rPr>
          <w:rFonts w:ascii="Arial" w:hAnsi="Arial" w:eastAsia="Arial" w:cs="Arial"/>
          <w:color w:val="000000" w:themeColor="text1" w:themeTint="FF" w:themeShade="FF"/>
          <w:sz w:val="24"/>
          <w:szCs w:val="24"/>
          <w:u w:val="none"/>
        </w:rPr>
        <w:t>impacted</w:t>
      </w:r>
      <w:r w:rsidRPr="5D45256D" w:rsidR="1571A20D">
        <w:rPr>
          <w:rFonts w:ascii="Arial" w:hAnsi="Arial" w:eastAsia="Arial" w:cs="Arial"/>
          <w:color w:val="000000" w:themeColor="text1" w:themeTint="FF" w:themeShade="FF"/>
          <w:sz w:val="24"/>
          <w:szCs w:val="24"/>
          <w:u w:val="none"/>
        </w:rPr>
        <w:t xml:space="preserve"> </w:t>
      </w:r>
      <w:r w:rsidRPr="5D45256D" w:rsidR="5096F23D">
        <w:rPr>
          <w:rFonts w:ascii="Arial" w:hAnsi="Arial" w:eastAsia="Arial" w:cs="Arial"/>
          <w:color w:val="000000" w:themeColor="text1" w:themeTint="FF" w:themeShade="FF"/>
          <w:sz w:val="24"/>
          <w:szCs w:val="24"/>
          <w:u w:val="none"/>
        </w:rPr>
        <w:t>most of</w:t>
      </w:r>
      <w:r w:rsidRPr="5D45256D" w:rsidR="1571A20D">
        <w:rPr>
          <w:rFonts w:ascii="Arial" w:hAnsi="Arial" w:eastAsia="Arial" w:cs="Arial"/>
          <w:color w:val="000000" w:themeColor="text1" w:themeTint="FF" w:themeShade="FF"/>
          <w:sz w:val="24"/>
          <w:szCs w:val="24"/>
          <w:u w:val="none"/>
        </w:rPr>
        <w:t xml:space="preserve"> the survey participants, but not every care home was equally </w:t>
      </w:r>
      <w:r w:rsidRPr="5D45256D" w:rsidR="1571A20D">
        <w:rPr>
          <w:rFonts w:ascii="Arial" w:hAnsi="Arial" w:eastAsia="Arial" w:cs="Arial"/>
          <w:color w:val="000000" w:themeColor="text1" w:themeTint="FF" w:themeShade="FF"/>
          <w:sz w:val="24"/>
          <w:szCs w:val="24"/>
          <w:u w:val="none"/>
        </w:rPr>
        <w:t>impacted</w:t>
      </w:r>
      <w:r w:rsidRPr="5D45256D" w:rsidR="1571A20D">
        <w:rPr>
          <w:rFonts w:ascii="Arial" w:hAnsi="Arial" w:eastAsia="Arial" w:cs="Arial"/>
          <w:color w:val="000000" w:themeColor="text1" w:themeTint="FF" w:themeShade="FF"/>
          <w:sz w:val="24"/>
          <w:szCs w:val="24"/>
          <w:u w:val="none"/>
        </w:rPr>
        <w:t xml:space="preserve">. This will avoid viewing turnover as a homogenous sector-wide phenomenon. Variation could be based on the differences in salaries, management quality, workload, local labour </w:t>
      </w:r>
      <w:r w:rsidRPr="5D45256D" w:rsidR="1571A20D">
        <w:rPr>
          <w:rFonts w:ascii="Arial" w:hAnsi="Arial" w:eastAsia="Arial" w:cs="Arial"/>
          <w:color w:val="000000" w:themeColor="text1" w:themeTint="FF" w:themeShade="FF"/>
          <w:sz w:val="24"/>
          <w:szCs w:val="24"/>
          <w:u w:val="none"/>
        </w:rPr>
        <w:t>markets</w:t>
      </w:r>
      <w:r w:rsidRPr="5D45256D" w:rsidR="1571A20D">
        <w:rPr>
          <w:rFonts w:ascii="Arial" w:hAnsi="Arial" w:eastAsia="Arial" w:cs="Arial"/>
          <w:color w:val="000000" w:themeColor="text1" w:themeTint="FF" w:themeShade="FF"/>
          <w:sz w:val="24"/>
          <w:szCs w:val="24"/>
          <w:u w:val="none"/>
        </w:rPr>
        <w:t xml:space="preserve"> or working </w:t>
      </w:r>
      <w:r w:rsidRPr="5D45256D" w:rsidR="1571A20D">
        <w:rPr>
          <w:rFonts w:ascii="Arial" w:hAnsi="Arial" w:eastAsia="Arial" w:cs="Arial"/>
          <w:color w:val="000000" w:themeColor="text1" w:themeTint="FF" w:themeShade="FF"/>
          <w:sz w:val="24"/>
          <w:szCs w:val="24"/>
          <w:u w:val="none"/>
        </w:rPr>
        <w:t>conditions(</w:t>
      </w:r>
      <w:r w:rsidRPr="5D45256D" w:rsidR="1571A20D">
        <w:rPr>
          <w:rFonts w:ascii="Arial" w:hAnsi="Arial" w:eastAsia="Arial" w:cs="Arial"/>
          <w:color w:val="000000" w:themeColor="text1" w:themeTint="FF" w:themeShade="FF"/>
          <w:sz w:val="24"/>
          <w:szCs w:val="24"/>
          <w:u w:val="none"/>
        </w:rPr>
        <w:t>Lavetti</w:t>
      </w:r>
      <w:r w:rsidRPr="5D45256D" w:rsidR="1571A20D">
        <w:rPr>
          <w:rFonts w:ascii="Arial" w:hAnsi="Arial" w:eastAsia="Arial" w:cs="Arial"/>
          <w:color w:val="000000" w:themeColor="text1" w:themeTint="FF" w:themeShade="FF"/>
          <w:sz w:val="24"/>
          <w:szCs w:val="24"/>
          <w:u w:val="none"/>
        </w:rPr>
        <w:t>, 2023). Table 1.1 thus justifies the research problem and proves that it was necessary to investigate certain reasons of departure.</w:t>
      </w:r>
    </w:p>
    <w:p w:rsidR="1571A20D" w:rsidP="5D45256D" w:rsidRDefault="1571A20D" w14:paraId="074BE7FC" w14:textId="12C8ECA2">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4.3 Factors Contributing to Employee Turnover</w:t>
      </w:r>
    </w:p>
    <w:p w:rsidR="1571A20D" w:rsidP="5D45256D" w:rsidRDefault="1571A20D" w14:paraId="5CDA73A0" w14:textId="26535AC6">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Appendix Table 1.3 includes the most valid direct evidence of the Research Objective 2 since the respondents were allowed to pick all possible perceived reasons of staff leaving. The most highly ranked factors were better pay outside the care sector (53.8%) and better pay elsewhere within the care sector (34.0%). These findings suggest that care homes are competing with other care providers as well as non-social care employers. The overwhelming pay is in line with the Two-Factor Theory by Herzberg, whereby salary is considered a hygiene factor (Mussa and Boniface, 2025). Poor pay will create dissatisfaction although more pay will not always lead to long term motivation. Thus, care homes that strive to enhance retention by implementing engagement programs might fail to achieve much unless the employees are convinced that they will have a significant financial incentive by working elsewhere.</w:t>
      </w:r>
    </w:p>
    <w:p w:rsidR="1571A20D" w:rsidP="5D45256D" w:rsidRDefault="1571A20D" w14:paraId="1EBF01D4" w14:textId="042275D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However, the data demonstrate that the turnover is of the multidimensional nature. Better hours outside care were nearly the same at 28.5% and 28.3% of responding care homes identified feeling burnt out or stressed. The proportion of outside-work commitments were reported as 24.0 and 23.8% and movement into less responsible positions outside the care sector was reported as 24.0% and 23.8%. The selection of better hours within care was 16.9%, public perception of care was 17.4% and working patterns or lack of flexibility was 13.6%. These results suggest that workers might consider working in a care-home based on a mix of wages, workload, responsibility, work-life balance and work schedules as opposed to the individual factor.</w:t>
      </w:r>
    </w:p>
    <w:p w:rsidR="1571A20D" w:rsidP="5D45256D" w:rsidRDefault="1571A20D" w14:paraId="54827957" w14:textId="7CBED95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Burnout is particularly relevant to the JD-R Model. In chapter 2, workload, emotional </w:t>
      </w:r>
      <w:r w:rsidRPr="5D45256D" w:rsidR="1571A20D">
        <w:rPr>
          <w:rFonts w:ascii="Arial" w:hAnsi="Arial" w:eastAsia="Arial" w:cs="Arial"/>
          <w:color w:val="000000" w:themeColor="text1" w:themeTint="FF" w:themeShade="FF"/>
          <w:sz w:val="24"/>
          <w:szCs w:val="24"/>
          <w:u w:val="none"/>
        </w:rPr>
        <w:t>demands</w:t>
      </w:r>
      <w:r w:rsidRPr="5D45256D" w:rsidR="1571A20D">
        <w:rPr>
          <w:rFonts w:ascii="Arial" w:hAnsi="Arial" w:eastAsia="Arial" w:cs="Arial"/>
          <w:color w:val="000000" w:themeColor="text1" w:themeTint="FF" w:themeShade="FF"/>
          <w:sz w:val="24"/>
          <w:szCs w:val="24"/>
          <w:u w:val="none"/>
        </w:rPr>
        <w:t xml:space="preserve"> and time pressure are identified as job demands that might lead to exhaustion when employees do not find enough resources like managerial support, autonomy, </w:t>
      </w:r>
      <w:r w:rsidRPr="5D45256D" w:rsidR="1571A20D">
        <w:rPr>
          <w:rFonts w:ascii="Arial" w:hAnsi="Arial" w:eastAsia="Arial" w:cs="Arial"/>
          <w:color w:val="000000" w:themeColor="text1" w:themeTint="FF" w:themeShade="FF"/>
          <w:sz w:val="24"/>
          <w:szCs w:val="24"/>
          <w:u w:val="none"/>
        </w:rPr>
        <w:t>recognition</w:t>
      </w:r>
      <w:r w:rsidRPr="5D45256D" w:rsidR="1571A20D">
        <w:rPr>
          <w:rFonts w:ascii="Arial" w:hAnsi="Arial" w:eastAsia="Arial" w:cs="Arial"/>
          <w:color w:val="000000" w:themeColor="text1" w:themeTint="FF" w:themeShade="FF"/>
          <w:sz w:val="24"/>
          <w:szCs w:val="24"/>
          <w:u w:val="none"/>
        </w:rPr>
        <w:t xml:space="preserve"> and development. The 28.5% burnout rate thus justifies the theoretical assumption that retention cannot be resolved </w:t>
      </w:r>
      <w:r w:rsidRPr="5D45256D" w:rsidR="6ED0404B">
        <w:rPr>
          <w:rFonts w:ascii="Arial" w:hAnsi="Arial" w:eastAsia="Arial" w:cs="Arial"/>
          <w:color w:val="000000" w:themeColor="text1" w:themeTint="FF" w:themeShade="FF"/>
          <w:sz w:val="24"/>
          <w:szCs w:val="24"/>
          <w:u w:val="none"/>
        </w:rPr>
        <w:t>using</w:t>
      </w:r>
      <w:r w:rsidRPr="5D45256D" w:rsidR="1571A20D">
        <w:rPr>
          <w:rFonts w:ascii="Arial" w:hAnsi="Arial" w:eastAsia="Arial" w:cs="Arial"/>
          <w:color w:val="000000" w:themeColor="text1" w:themeTint="FF" w:themeShade="FF"/>
          <w:sz w:val="24"/>
          <w:szCs w:val="24"/>
          <w:u w:val="none"/>
        </w:rPr>
        <w:t xml:space="preserve"> financial rewards only. Even in cases where </w:t>
      </w:r>
      <w:r w:rsidRPr="5D45256D" w:rsidR="1571A20D">
        <w:rPr>
          <w:rFonts w:ascii="Arial" w:hAnsi="Arial" w:eastAsia="Arial" w:cs="Arial"/>
          <w:color w:val="000000" w:themeColor="text1" w:themeTint="FF" w:themeShade="FF"/>
          <w:sz w:val="24"/>
          <w:szCs w:val="24"/>
          <w:u w:val="none"/>
        </w:rPr>
        <w:t>remuneration</w:t>
      </w:r>
      <w:r w:rsidRPr="5D45256D" w:rsidR="1571A20D">
        <w:rPr>
          <w:rFonts w:ascii="Arial" w:hAnsi="Arial" w:eastAsia="Arial" w:cs="Arial"/>
          <w:color w:val="000000" w:themeColor="text1" w:themeTint="FF" w:themeShade="FF"/>
          <w:sz w:val="24"/>
          <w:szCs w:val="24"/>
          <w:u w:val="none"/>
        </w:rPr>
        <w:t xml:space="preserve"> is better, workers still might think of quitting when the workload, stress and rigid working schedules are not addressed.</w:t>
      </w:r>
    </w:p>
    <w:p w:rsidR="1571A20D" w:rsidP="5D45256D" w:rsidRDefault="1571A20D" w14:paraId="21725A7A" w14:textId="7BE9E1F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Progression and training need to be treated with more caution (Suman, 2024). Only 6.5% identified limited progression to higher-paid roles, compared to only 0.7% who identified lack of training opportunities. These rates are very low compared to pay, burnout or working hours. Nonetheless, the survey question determines how providers think the staff leave; it does not examine the assumption that the workers who are trained will be more likely to stay. These figures therefore cannot be used to arrive at the conclusion that training and development is not effective. They rather demonstrate that lack of training is not frequently thought to be the actual cause of exit in this specific dataset.</w:t>
      </w:r>
    </w:p>
    <w:p w:rsidR="1571A20D" w:rsidP="5D45256D" w:rsidRDefault="1571A20D" w14:paraId="0F0DFD58" w14:textId="19B03F7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Appendix Table 1.4 reinforces the analysis as respondents had to determine only the primary reason of staff turnover. Better pay outside care still dominated at 35.0% with better pay within care coming in at 17.1%. Outside care positions of lower responsibility came in at position three at 11.8%, outside-work commitments at 6.6%, better hours outside care at 5.4% and burnout or stress at 4.6%.</w:t>
      </w:r>
    </w:p>
    <w:p w:rsidR="1571A20D" w:rsidP="5D45256D" w:rsidRDefault="1571A20D" w14:paraId="27189E50" w14:textId="22F401B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The analytical importance of comparison of Tables 1.3 and 1.4. The percentage of burnout as a contributing factor dropped to 4.6% as the principal factor, </w:t>
      </w:r>
      <w:r w:rsidRPr="5D45256D" w:rsidR="1571A20D">
        <w:rPr>
          <w:rFonts w:ascii="Arial" w:hAnsi="Arial" w:eastAsia="Arial" w:cs="Arial"/>
          <w:color w:val="000000" w:themeColor="text1" w:themeTint="FF" w:themeShade="FF"/>
          <w:sz w:val="24"/>
          <w:szCs w:val="24"/>
          <w:u w:val="none"/>
        </w:rPr>
        <w:t>whereas</w:t>
      </w:r>
      <w:r w:rsidRPr="5D45256D" w:rsidR="1571A20D">
        <w:rPr>
          <w:rFonts w:ascii="Arial" w:hAnsi="Arial" w:eastAsia="Arial" w:cs="Arial"/>
          <w:color w:val="000000" w:themeColor="text1" w:themeTint="FF" w:themeShade="FF"/>
          <w:sz w:val="24"/>
          <w:szCs w:val="24"/>
          <w:u w:val="none"/>
        </w:rPr>
        <w:t xml:space="preserve"> better hours outside care dropped to 5.4%. Conversely, higher pay out of care was the most selected factor in both questions, with the percentage decreasing to 35.0% as compared to 53.8%. This consistency </w:t>
      </w:r>
      <w:r w:rsidRPr="5D45256D" w:rsidR="1571A20D">
        <w:rPr>
          <w:rFonts w:ascii="Arial" w:hAnsi="Arial" w:eastAsia="Arial" w:cs="Arial"/>
          <w:color w:val="000000" w:themeColor="text1" w:themeTint="FF" w:themeShade="FF"/>
          <w:sz w:val="24"/>
          <w:szCs w:val="24"/>
          <w:u w:val="none"/>
        </w:rPr>
        <w:t>indicates</w:t>
      </w:r>
      <w:r w:rsidRPr="5D45256D" w:rsidR="1571A20D">
        <w:rPr>
          <w:rFonts w:ascii="Arial" w:hAnsi="Arial" w:eastAsia="Arial" w:cs="Arial"/>
          <w:color w:val="000000" w:themeColor="text1" w:themeTint="FF" w:themeShade="FF"/>
          <w:sz w:val="24"/>
          <w:szCs w:val="24"/>
          <w:u w:val="none"/>
        </w:rPr>
        <w:t xml:space="preserve"> that pay is the most perceived individual turnover driver, and burnout, hours and other pressures tend to be cumulative. The findings thus confirm the argument of the literature review that employee turnover is a result of a combination of </w:t>
      </w:r>
      <w:r w:rsidRPr="5D45256D" w:rsidR="2C633ED3">
        <w:rPr>
          <w:rFonts w:ascii="Arial" w:hAnsi="Arial" w:eastAsia="Arial" w:cs="Arial"/>
          <w:color w:val="000000" w:themeColor="text1" w:themeTint="FF" w:themeShade="FF"/>
          <w:sz w:val="24"/>
          <w:szCs w:val="24"/>
          <w:u w:val="none"/>
        </w:rPr>
        <w:t>several</w:t>
      </w:r>
      <w:r w:rsidRPr="5D45256D" w:rsidR="1571A20D">
        <w:rPr>
          <w:rFonts w:ascii="Arial" w:hAnsi="Arial" w:eastAsia="Arial" w:cs="Arial"/>
          <w:color w:val="000000" w:themeColor="text1" w:themeTint="FF" w:themeShade="FF"/>
          <w:sz w:val="24"/>
          <w:szCs w:val="24"/>
          <w:u w:val="none"/>
        </w:rPr>
        <w:t xml:space="preserve"> employment conditions as opposed to a single cause (Al-</w:t>
      </w:r>
      <w:r w:rsidRPr="5D45256D" w:rsidR="1571A20D">
        <w:rPr>
          <w:rFonts w:ascii="Arial" w:hAnsi="Arial" w:eastAsia="Arial" w:cs="Arial"/>
          <w:color w:val="000000" w:themeColor="text1" w:themeTint="FF" w:themeShade="FF"/>
          <w:sz w:val="24"/>
          <w:szCs w:val="24"/>
          <w:u w:val="none"/>
        </w:rPr>
        <w:t>Suraihi</w:t>
      </w:r>
      <w:r w:rsidRPr="5D45256D" w:rsidR="1571A20D">
        <w:rPr>
          <w:rFonts w:ascii="Arial" w:hAnsi="Arial" w:eastAsia="Arial" w:cs="Arial"/>
          <w:color w:val="000000" w:themeColor="text1" w:themeTint="FF" w:themeShade="FF"/>
          <w:sz w:val="24"/>
          <w:szCs w:val="24"/>
          <w:u w:val="none"/>
        </w:rPr>
        <w:t xml:space="preserve"> et al., 2021).</w:t>
      </w:r>
    </w:p>
    <w:p w:rsidR="1571A20D" w:rsidP="5D45256D" w:rsidRDefault="1571A20D" w14:paraId="69E7982A" w14:textId="35603A9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Appendix Table 1.5 offers further information </w:t>
      </w:r>
      <w:r w:rsidRPr="5D45256D" w:rsidR="1571A20D">
        <w:rPr>
          <w:rFonts w:ascii="Arial" w:hAnsi="Arial" w:eastAsia="Arial" w:cs="Arial"/>
          <w:color w:val="000000" w:themeColor="text1" w:themeTint="FF" w:themeShade="FF"/>
          <w:sz w:val="24"/>
          <w:szCs w:val="24"/>
          <w:u w:val="none"/>
        </w:rPr>
        <w:t>regarding</w:t>
      </w:r>
      <w:r w:rsidRPr="5D45256D" w:rsidR="1571A20D">
        <w:rPr>
          <w:rFonts w:ascii="Arial" w:hAnsi="Arial" w:eastAsia="Arial" w:cs="Arial"/>
          <w:color w:val="000000" w:themeColor="text1" w:themeTint="FF" w:themeShade="FF"/>
          <w:sz w:val="24"/>
          <w:szCs w:val="24"/>
          <w:u w:val="none"/>
        </w:rPr>
        <w:t xml:space="preserve"> occupational variation. The published care-home percentages reveal senior care workers to be the </w:t>
      </w:r>
      <w:r w:rsidRPr="5D45256D" w:rsidR="6B35D4E7">
        <w:rPr>
          <w:rFonts w:ascii="Arial" w:hAnsi="Arial" w:eastAsia="Arial" w:cs="Arial"/>
          <w:color w:val="000000" w:themeColor="text1" w:themeTint="FF" w:themeShade="FF"/>
          <w:sz w:val="24"/>
          <w:szCs w:val="24"/>
          <w:u w:val="none"/>
        </w:rPr>
        <w:t>most reported</w:t>
      </w:r>
      <w:r w:rsidRPr="5D45256D" w:rsidR="1571A20D">
        <w:rPr>
          <w:rFonts w:ascii="Arial" w:hAnsi="Arial" w:eastAsia="Arial" w:cs="Arial"/>
          <w:color w:val="000000" w:themeColor="text1" w:themeTint="FF" w:themeShade="FF"/>
          <w:sz w:val="24"/>
          <w:szCs w:val="24"/>
          <w:u w:val="none"/>
        </w:rPr>
        <w:t xml:space="preserve"> roles difficult to </w:t>
      </w:r>
      <w:r w:rsidRPr="5D45256D" w:rsidR="1571A20D">
        <w:rPr>
          <w:rFonts w:ascii="Arial" w:hAnsi="Arial" w:eastAsia="Arial" w:cs="Arial"/>
          <w:color w:val="000000" w:themeColor="text1" w:themeTint="FF" w:themeShade="FF"/>
          <w:sz w:val="24"/>
          <w:szCs w:val="24"/>
          <w:u w:val="none"/>
        </w:rPr>
        <w:t>retain</w:t>
      </w:r>
      <w:r w:rsidRPr="5D45256D" w:rsidR="1571A20D">
        <w:rPr>
          <w:rFonts w:ascii="Arial" w:hAnsi="Arial" w:eastAsia="Arial" w:cs="Arial"/>
          <w:color w:val="000000" w:themeColor="text1" w:themeTint="FF" w:themeShade="FF"/>
          <w:sz w:val="24"/>
          <w:szCs w:val="24"/>
          <w:u w:val="none"/>
        </w:rPr>
        <w:t xml:space="preserve"> with 35.6%, then the next highest is the chef or catering roles with 21.9%, registered nurses with 19.3%, and general or nursing care workers with 15.3%. This implies that the issues of retention vary according to position and that a single approach to HR might not be adequate. Their exit can have broader implications to supervision, </w:t>
      </w:r>
      <w:r w:rsidRPr="5D45256D" w:rsidR="1571A20D">
        <w:rPr>
          <w:rFonts w:ascii="Arial" w:hAnsi="Arial" w:eastAsia="Arial" w:cs="Arial"/>
          <w:color w:val="000000" w:themeColor="text1" w:themeTint="FF" w:themeShade="FF"/>
          <w:sz w:val="24"/>
          <w:szCs w:val="24"/>
          <w:u w:val="none"/>
        </w:rPr>
        <w:t>continuity</w:t>
      </w:r>
      <w:r w:rsidRPr="5D45256D" w:rsidR="1571A20D">
        <w:rPr>
          <w:rFonts w:ascii="Arial" w:hAnsi="Arial" w:eastAsia="Arial" w:cs="Arial"/>
          <w:color w:val="000000" w:themeColor="text1" w:themeTint="FF" w:themeShade="FF"/>
          <w:sz w:val="24"/>
          <w:szCs w:val="24"/>
          <w:u w:val="none"/>
        </w:rPr>
        <w:t xml:space="preserve"> and quality of service.</w:t>
      </w:r>
    </w:p>
    <w:p w:rsidR="1571A20D" w:rsidP="5D45256D" w:rsidRDefault="1571A20D" w14:paraId="209BE906" w14:textId="753BD21A">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metadata provided to Table 1.5 should be taken care of, though. The note mentions that the response rate of the care-home was 57.4% and 1,150 respondents, yet it seems that the number of people and percentages do not correspond to the latter. To take an example, 570 responses of senior care workers who reported 35.6% would mean that the denominator would be around 1,600 instead of 1,150. Thus, it is possible to use the published percentages, still, provided they were reproduced properly based on the official table, still, the figure of response-base must be compared to the one in the original spreadsheet and then submit the final version of the papers. This should be a limitation to the overinterpretation of Table 1.5.</w:t>
      </w:r>
    </w:p>
    <w:p w:rsidR="1571A20D" w:rsidP="5D45256D" w:rsidRDefault="1571A20D" w14:paraId="7E1BAB31" w14:textId="38025DDF">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4.4 Employee Engagement, Morale, Training and Development</w:t>
      </w:r>
    </w:p>
    <w:p w:rsidR="1571A20D" w:rsidP="5D45256D" w:rsidRDefault="1571A20D" w14:paraId="05DBAD67" w14:textId="7BF7F73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Research Objective 1 focuses on the impact of engagement, training and development on turnover. The DHSC survey does not directly measure employee engagement, but morale is relevant evidence in regard to the employee experience and can be interpreted with engagement as opposed to a different concept.</w:t>
      </w:r>
    </w:p>
    <w:p w:rsidR="1571A20D" w:rsidP="5D45256D" w:rsidRDefault="1571A20D" w14:paraId="6C050E45" w14:textId="6120F8F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Appendix Table 3.1 reveals that 35.3 percent of care homes reported that staff morale was somewhat challenging, 5.1 percent was very challenging, and 1.0 percent was extremely challenging. Together, 41.4% stated that they had some level of morale challenge. In contrast, 39.8% found morale not very difficult and 17.2% not difficult at all yielding a combined approximately 57.0% with 1.6 not able to say.</w:t>
      </w:r>
    </w:p>
    <w:p w:rsidR="1571A20D" w:rsidP="5D45256D" w:rsidRDefault="1571A20D" w14:paraId="1F5CEDD8" w14:textId="6BF0B247">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It is revealing when compared to Table 1.1. There was a 12.6-point difference in that 54.0% of care homes responding reported retention difficulties, and 41.4% reported morale difficulties. Thus, the entire retention issue cannot be attributed to morale. This reinforces the prior argument that structural aspects of employment, especially compensation and working conditions are also significant (Farooq and Shaikh, 2025). However, morale has been found to be strategically important since it is linked to employee behaviour, wellbeing and withdrawal intentions.</w:t>
      </w:r>
    </w:p>
    <w:p w:rsidR="1571A20D" w:rsidP="5D45256D" w:rsidRDefault="1571A20D" w14:paraId="321C6795" w14:textId="1804A44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These effects are illustrated in Appendix Table 3.3. Out of 1,064 respondent care homes, who responded to the topic, 42.0% of care-homes said that staff could not or would not work more hours, 39.4% said that staff was less energised or could not work more, and 36.2% expressed staff wellbeing concerns. Another 30.6% said that they did not want to acquire new responsibilities, 29.9% said that they had more sickness rates and 27.3% said that the staff was thinking about quitting.</w:t>
      </w:r>
    </w:p>
    <w:p w:rsidR="1571A20D" w:rsidP="5D45256D" w:rsidRDefault="1571A20D" w14:paraId="5457D5E4" w14:textId="4F60B23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These findings indicate a significant direction of morale to retention. Attitudes are not the only factors that are linked with morale issues but also decreased energy, illness, health issues and withdrawal behaviour. The most direct correlation with the turnover is the finding that 27.3% of the respondents thought of leaving. It is also prevalent to the JD-R Model, as the long-term demands and the lack of organisational resources can lead to exhaustion and disengagement (Bunjak et al., 2021). HR practices such as supportive supervision, recognition, workload management, employee voice and flexibility can consequently enhance job resources and minimize withdrawal intentions.</w:t>
      </w:r>
    </w:p>
    <w:p w:rsidR="1571A20D" w:rsidP="5D45256D" w:rsidRDefault="1571A20D" w14:paraId="432015E9" w14:textId="0AD57D46">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Appendix Table 3.4 further differentiates between several impacts and the one main impact. Failure or reluctance to work extra hours was the first place with 20.9, then staff wellbeing concerns with 20.4 and then more sickness with 19.3. Failure or lack of willingness to accept extra responsibility, counted 13.1, and lack of the energised employees counted 12.3. The primary morale-related effect, as cited by 8.4% of the staff, was that of staff contemplating leaving.</w:t>
      </w:r>
    </w:p>
    <w:p w:rsidR="1571A20D" w:rsidP="5D45256D" w:rsidRDefault="1571A20D" w14:paraId="711DD4B2" w14:textId="0317216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Intention to leave was found to be one of the morale-related impacts by 27.3% but the primary impact by only 8.4%. This implies that morale has the potential of contributing to turnover indirectly by worsening wellbeing, energy and flexibility of workforce. HR practices based on engagement can therefore help in retention, but in addition to pay increases, workload and working conditions.</w:t>
      </w:r>
    </w:p>
    <w:p w:rsidR="1571A20D" w:rsidP="5D45256D" w:rsidRDefault="1571A20D" w14:paraId="239F594F" w14:textId="5C70611E">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statistics report little first-hand information on training and development. Perceived causes of leaving of Table 1.3 included lack of training opportunities 0.7% but the data does not compare training participation to turnover. Thus, all the analysis can conclude is that training was not often considered as a significant cause of departure in this survey. The suggestion in Chapter 2 that training can enhance competence, engagement and retention should be independently supported with quantitative secondary data (Shiri et al., 2023).</w:t>
      </w:r>
    </w:p>
    <w:p w:rsidR="1571A20D" w:rsidP="5D45256D" w:rsidRDefault="1571A20D" w14:paraId="3DE1F266" w14:textId="72F7BF3A">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4.5 Barriers to Effective HR Retention Strategies</w:t>
      </w:r>
    </w:p>
    <w:p w:rsidR="1571A20D" w:rsidP="5D45256D" w:rsidRDefault="1571A20D" w14:paraId="29A5CCD5" w14:textId="239B75D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best evidence supporting Research Objective 3 is in Appendix Table 5.1, but it quantifies a combination of recruitment and retention barriers and not the barriers of HR implementation in isolation. Pay was the greatest obstacle compared to other sectors, where 64.7% of care homes identified pay. This is highly triangulated with Tables 1.3 and 1.4 in which better external pay was the highest-ranked contributing cause and the highest-ranked main cause of leaving respectively. The finding that the pay competitiveness is one of the core structural issues is reinforced through the consistency of three measures.</w:t>
      </w:r>
    </w:p>
    <w:p w:rsidR="1571A20D" w:rsidP="5D45256D" w:rsidRDefault="1571A20D" w14:paraId="2E7E069B" w14:textId="4593AC4A">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Factors that support family were also featured. Childcare support was found to be accessed by 33.6% and access to childcare funding was accessed by 30.9%. The findings are consistent with Table 1.3 in which 24.0% of the respondents cited outside-work commitments as a reason to leave. Thus, work-life concerns seem to be a crucial retention concern and imply that flexible shifts, scheduled shifts and family-friendly policies can enhance workforce stability.</w:t>
      </w:r>
    </w:p>
    <w:p w:rsidR="1571A20D" w:rsidP="5D45256D" w:rsidRDefault="1571A20D" w14:paraId="058A432A" w14:textId="3832383C">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Other employment-related obstacles of interest were sick pay at 26.3% and workforce recognition at 19.0%. Recognition In theory, recognition is important since Herzberg conceptualises recognition as a motivator. In contrast to the sector-wide wage structure, recognition can be more directly affected by the individual care-home managers via feedback, appreciation, participation and responsibility (Alrawahi et al., 2020). However, recognition will hardly fully offset ongoing dissatisfaction due to low comparative pay or high job demands.</w:t>
      </w:r>
    </w:p>
    <w:p w:rsidR="1571A20D" w:rsidP="5D45256D" w:rsidRDefault="1571A20D" w14:paraId="560215A2" w14:textId="14465BB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Some of the variables in Table 5.1 are mainly recruitment related such as DBS delays, length of recruitment process and awareness of vacancies. These need not take centre stage in the analysis since the dissertation is about turnover and retention. Nevertheless, immigration rule modifications that impact retention, reported 14.0% are still topical since they can directly impact the stability of workforce.</w:t>
      </w:r>
    </w:p>
    <w:p w:rsidR="1571A20D" w:rsidP="5D45256D" w:rsidRDefault="1571A20D" w14:paraId="2B3AAC49" w14:textId="5D7BB7F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The </w:t>
      </w:r>
      <w:r w:rsidRPr="5D45256D" w:rsidR="1571A20D">
        <w:rPr>
          <w:rFonts w:ascii="Arial" w:hAnsi="Arial" w:eastAsia="Arial" w:cs="Arial"/>
          <w:color w:val="000000" w:themeColor="text1" w:themeTint="FF" w:themeShade="FF"/>
          <w:sz w:val="24"/>
          <w:szCs w:val="24"/>
          <w:u w:val="none"/>
        </w:rPr>
        <w:t>additional</w:t>
      </w:r>
      <w:r w:rsidRPr="5D45256D" w:rsidR="1571A20D">
        <w:rPr>
          <w:rFonts w:ascii="Arial" w:hAnsi="Arial" w:eastAsia="Arial" w:cs="Arial"/>
          <w:color w:val="000000" w:themeColor="text1" w:themeTint="FF" w:themeShade="FF"/>
          <w:sz w:val="24"/>
          <w:szCs w:val="24"/>
          <w:u w:val="none"/>
        </w:rPr>
        <w:t xml:space="preserve"> evidence with regards to internationally recruited care workers is shown in Appendix Table 6.9. The number of care-home responses pertinent to the study is limited to 337, which means that the results should be approached with caution. Of given reasons, not being able to find suitable and affordable accommodation was given by 17.8%, having job roles that were not as </w:t>
      </w:r>
      <w:r w:rsidRPr="5D45256D" w:rsidR="1571A20D">
        <w:rPr>
          <w:rFonts w:ascii="Arial" w:hAnsi="Arial" w:eastAsia="Arial" w:cs="Arial"/>
          <w:color w:val="000000" w:themeColor="text1" w:themeTint="FF" w:themeShade="FF"/>
          <w:sz w:val="24"/>
          <w:szCs w:val="24"/>
          <w:u w:val="none"/>
        </w:rPr>
        <w:t>anticipated</w:t>
      </w:r>
      <w:r w:rsidRPr="5D45256D" w:rsidR="1571A20D">
        <w:rPr>
          <w:rFonts w:ascii="Arial" w:hAnsi="Arial" w:eastAsia="Arial" w:cs="Arial"/>
          <w:color w:val="000000" w:themeColor="text1" w:themeTint="FF" w:themeShade="FF"/>
          <w:sz w:val="24"/>
          <w:szCs w:val="24"/>
          <w:u w:val="none"/>
        </w:rPr>
        <w:t xml:space="preserve"> by 13.9%, and not being able to afford the cost of living by 11.6. Failure to ensure that there were adequate sponsorship hours and failure to match real vacancy specifications contributed to 8.0 each. These results show that retention of foreign employees can entail housing, </w:t>
      </w:r>
      <w:r w:rsidRPr="5D45256D" w:rsidR="057C0F22">
        <w:rPr>
          <w:rFonts w:ascii="Arial" w:hAnsi="Arial" w:eastAsia="Arial" w:cs="Arial"/>
          <w:color w:val="000000" w:themeColor="text1" w:themeTint="FF" w:themeShade="FF"/>
          <w:sz w:val="24"/>
          <w:szCs w:val="24"/>
          <w:u w:val="none"/>
        </w:rPr>
        <w:t>living cost</w:t>
      </w:r>
      <w:r w:rsidRPr="5D45256D" w:rsidR="1571A20D">
        <w:rPr>
          <w:rFonts w:ascii="Arial" w:hAnsi="Arial" w:eastAsia="Arial" w:cs="Arial"/>
          <w:color w:val="000000" w:themeColor="text1" w:themeTint="FF" w:themeShade="FF"/>
          <w:sz w:val="24"/>
          <w:szCs w:val="24"/>
          <w:u w:val="none"/>
        </w:rPr>
        <w:t xml:space="preserve"> and sponsorship burdens which cannot be entirely managed by internal human resource practice.</w:t>
      </w:r>
    </w:p>
    <w:p w:rsidR="1571A20D" w:rsidP="5D45256D" w:rsidRDefault="1571A20D" w14:paraId="3C67C536" w14:textId="0097C125">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difference between internal and structural barriers is thus of crucial importance. These can be organisational level influences, such as recognition, scheduling, wellbeing support and employee development aspects, whereas pay competitiveness, immigration policy, living costs and labour-market issues should be addressed at sectoral or policy level (Elufioye et al., 2024). The success of the HR strategy is therefore determined by both the ability of managers and the external environment where the care homes are situated.</w:t>
      </w:r>
    </w:p>
    <w:p w:rsidR="1571A20D" w:rsidP="5D45256D" w:rsidRDefault="1571A20D" w14:paraId="25494DAB" w14:textId="7C5B22EF">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4.6 Integrated Findings and Chapter Summary</w:t>
      </w:r>
    </w:p>
    <w:p w:rsidR="1571A20D" w:rsidP="5D45256D" w:rsidRDefault="1571A20D" w14:paraId="398D764D" w14:textId="47E17141">
      <w:pPr>
        <w:spacing w:before="0" w:beforeAutospacing="off" w:after="160" w:afterAutospacing="off" w:line="360" w:lineRule="auto"/>
        <w:jc w:val="both"/>
      </w:pPr>
      <w:r w:rsidRPr="5D45256D" w:rsidR="1571A20D">
        <w:rPr>
          <w:rFonts w:ascii="Arial" w:hAnsi="Arial" w:eastAsia="Arial" w:cs="Arial"/>
          <w:color w:val="000000" w:themeColor="text1" w:themeTint="FF" w:themeShade="FF"/>
          <w:sz w:val="24"/>
          <w:szCs w:val="24"/>
          <w:u w:val="none"/>
        </w:rPr>
        <w:t xml:space="preserve">The evidence all addresses the research </w:t>
      </w:r>
      <w:r w:rsidRPr="5D45256D" w:rsidR="1571A20D">
        <w:rPr>
          <w:rFonts w:ascii="Arial" w:hAnsi="Arial" w:eastAsia="Arial" w:cs="Arial"/>
          <w:color w:val="000000" w:themeColor="text1" w:themeTint="FF" w:themeShade="FF"/>
          <w:sz w:val="24"/>
          <w:szCs w:val="24"/>
          <w:u w:val="none"/>
        </w:rPr>
        <w:t>objectives</w:t>
      </w:r>
      <w:r w:rsidRPr="5D45256D" w:rsidR="1571A20D">
        <w:rPr>
          <w:rFonts w:ascii="Arial" w:hAnsi="Arial" w:eastAsia="Arial" w:cs="Arial"/>
          <w:color w:val="000000" w:themeColor="text1" w:themeTint="FF" w:themeShade="FF"/>
          <w:sz w:val="24"/>
          <w:szCs w:val="24"/>
          <w:u w:val="none"/>
        </w:rPr>
        <w:t xml:space="preserve">. First, morale-related data </w:t>
      </w:r>
      <w:r w:rsidRPr="5D45256D" w:rsidR="1571A20D">
        <w:rPr>
          <w:rFonts w:ascii="Arial" w:hAnsi="Arial" w:eastAsia="Arial" w:cs="Arial"/>
          <w:color w:val="000000" w:themeColor="text1" w:themeTint="FF" w:themeShade="FF"/>
          <w:sz w:val="24"/>
          <w:szCs w:val="24"/>
          <w:u w:val="none"/>
        </w:rPr>
        <w:t>demonstrate</w:t>
      </w:r>
      <w:r w:rsidRPr="5D45256D" w:rsidR="1571A20D">
        <w:rPr>
          <w:rFonts w:ascii="Arial" w:hAnsi="Arial" w:eastAsia="Arial" w:cs="Arial"/>
          <w:color w:val="000000" w:themeColor="text1" w:themeTint="FF" w:themeShade="FF"/>
          <w:sz w:val="24"/>
          <w:szCs w:val="24"/>
          <w:u w:val="none"/>
        </w:rPr>
        <w:t xml:space="preserve"> that experience of the employees is correlated with the results of retention. Of those who reported being affected in morale, 27.3% of respondents reported that their staff were thinking about leaving, and lowered energy, wellbeing issues and sickness were also significant. The data </w:t>
      </w:r>
      <w:r w:rsidRPr="5D45256D" w:rsidR="132696C9">
        <w:rPr>
          <w:rFonts w:ascii="Arial" w:hAnsi="Arial" w:eastAsia="Arial" w:cs="Arial"/>
          <w:color w:val="000000" w:themeColor="text1" w:themeTint="FF" w:themeShade="FF"/>
          <w:sz w:val="24"/>
          <w:szCs w:val="24"/>
          <w:u w:val="none"/>
        </w:rPr>
        <w:t xml:space="preserve">available through </w:t>
      </w:r>
      <w:r w:rsidRPr="5D45256D" w:rsidR="1571A20D">
        <w:rPr>
          <w:rFonts w:ascii="Arial" w:hAnsi="Arial" w:eastAsia="Arial" w:cs="Arial"/>
          <w:color w:val="000000" w:themeColor="text1" w:themeTint="FF" w:themeShade="FF"/>
          <w:sz w:val="24"/>
          <w:szCs w:val="24"/>
          <w:u w:val="none"/>
        </w:rPr>
        <w:t xml:space="preserve">DHSC does </w:t>
      </w:r>
      <w:r w:rsidRPr="5D45256D" w:rsidR="0ADDBAF4">
        <w:rPr>
          <w:rFonts w:ascii="Arial" w:hAnsi="Arial" w:eastAsia="Arial" w:cs="Arial"/>
          <w:color w:val="000000" w:themeColor="text1" w:themeTint="FF" w:themeShade="FF"/>
          <w:sz w:val="24"/>
          <w:szCs w:val="24"/>
          <w:u w:val="none"/>
        </w:rPr>
        <w:t>not test</w:t>
      </w:r>
      <w:r w:rsidRPr="5D45256D" w:rsidR="1571A20D">
        <w:rPr>
          <w:rFonts w:ascii="Arial" w:hAnsi="Arial" w:eastAsia="Arial" w:cs="Arial"/>
          <w:color w:val="000000" w:themeColor="text1" w:themeTint="FF" w:themeShade="FF"/>
          <w:sz w:val="24"/>
          <w:szCs w:val="24"/>
          <w:u w:val="none"/>
        </w:rPr>
        <w:t xml:space="preserve"> the hypothesis that training and development</w:t>
      </w:r>
      <w:r w:rsidRPr="5D45256D" w:rsidR="5E58161E">
        <w:rPr>
          <w:rFonts w:ascii="Arial" w:hAnsi="Arial" w:eastAsia="Arial" w:cs="Arial"/>
          <w:color w:val="000000" w:themeColor="text1" w:themeTint="FF" w:themeShade="FF"/>
          <w:sz w:val="24"/>
          <w:szCs w:val="24"/>
          <w:u w:val="none"/>
        </w:rPr>
        <w:t xml:space="preserve"> are </w:t>
      </w:r>
      <w:r w:rsidRPr="5D45256D" w:rsidR="5E58161E">
        <w:rPr>
          <w:rFonts w:ascii="Arial" w:hAnsi="Arial" w:eastAsia="Arial" w:cs="Arial"/>
          <w:color w:val="000000" w:themeColor="text1" w:themeTint="FF" w:themeShade="FF"/>
          <w:sz w:val="24"/>
          <w:szCs w:val="24"/>
          <w:u w:val="none"/>
        </w:rPr>
        <w:t>directly linked</w:t>
      </w:r>
      <w:r w:rsidRPr="5D45256D" w:rsidR="263362AC">
        <w:rPr>
          <w:rFonts w:ascii="Arial" w:hAnsi="Arial" w:eastAsia="Arial" w:cs="Arial"/>
          <w:color w:val="000000" w:themeColor="text1" w:themeTint="FF" w:themeShade="FF"/>
          <w:sz w:val="24"/>
          <w:szCs w:val="24"/>
          <w:u w:val="none"/>
        </w:rPr>
        <w:t xml:space="preserve"> to </w:t>
      </w:r>
      <w:r w:rsidRPr="5D45256D" w:rsidR="56C60402">
        <w:rPr>
          <w:rFonts w:ascii="Arial" w:hAnsi="Arial" w:eastAsia="Arial" w:cs="Arial"/>
          <w:color w:val="000000" w:themeColor="text1" w:themeTint="FF" w:themeShade="FF"/>
          <w:sz w:val="24"/>
          <w:szCs w:val="24"/>
          <w:u w:val="none"/>
        </w:rPr>
        <w:t>turnover,</w:t>
      </w:r>
      <w:r w:rsidRPr="5D45256D" w:rsidR="111361AC">
        <w:rPr>
          <w:rFonts w:ascii="Arial" w:hAnsi="Arial" w:eastAsia="Arial" w:cs="Arial"/>
          <w:color w:val="000000" w:themeColor="text1" w:themeTint="FF" w:themeShade="FF"/>
          <w:sz w:val="24"/>
          <w:szCs w:val="24"/>
          <w:u w:val="none"/>
        </w:rPr>
        <w:t xml:space="preserve"> so, this </w:t>
      </w:r>
      <w:r w:rsidRPr="5D45256D" w:rsidR="111361AC">
        <w:rPr>
          <w:rFonts w:ascii="Arial" w:hAnsi="Arial" w:eastAsia="Arial" w:cs="Arial"/>
          <w:color w:val="000000" w:themeColor="text1" w:themeTint="FF" w:themeShade="FF"/>
          <w:sz w:val="24"/>
          <w:szCs w:val="24"/>
          <w:u w:val="none"/>
        </w:rPr>
        <w:t>component</w:t>
      </w:r>
      <w:r w:rsidRPr="5D45256D" w:rsidR="111361AC">
        <w:rPr>
          <w:rFonts w:ascii="Arial" w:hAnsi="Arial" w:eastAsia="Arial" w:cs="Arial"/>
          <w:color w:val="000000" w:themeColor="text1" w:themeTint="FF" w:themeShade="FF"/>
          <w:sz w:val="24"/>
          <w:szCs w:val="24"/>
          <w:u w:val="none"/>
        </w:rPr>
        <w:t xml:space="preserve"> of Objective 1 should be included </w:t>
      </w:r>
      <w:r w:rsidRPr="5D45256D" w:rsidR="7CFFDD08">
        <w:rPr>
          <w:rFonts w:ascii="Arial" w:hAnsi="Arial" w:eastAsia="Arial" w:cs="Arial"/>
          <w:color w:val="000000" w:themeColor="text1" w:themeTint="FF" w:themeShade="FF"/>
          <w:sz w:val="24"/>
          <w:szCs w:val="24"/>
          <w:u w:val="none"/>
        </w:rPr>
        <w:t>with</w:t>
      </w:r>
      <w:r w:rsidRPr="5D45256D" w:rsidR="111361AC">
        <w:rPr>
          <w:rFonts w:ascii="Arial" w:hAnsi="Arial" w:eastAsia="Arial" w:cs="Arial"/>
          <w:color w:val="000000" w:themeColor="text1" w:themeTint="FF" w:themeShade="FF"/>
          <w:sz w:val="24"/>
          <w:szCs w:val="24"/>
          <w:u w:val="none"/>
        </w:rPr>
        <w:t xml:space="preserve"> ca</w:t>
      </w:r>
      <w:r w:rsidRPr="5D45256D" w:rsidR="6996C7D7">
        <w:rPr>
          <w:rFonts w:ascii="Arial" w:hAnsi="Arial" w:eastAsia="Arial" w:cs="Arial"/>
          <w:color w:val="000000" w:themeColor="text1" w:themeTint="FF" w:themeShade="FF"/>
          <w:sz w:val="24"/>
          <w:szCs w:val="24"/>
          <w:u w:val="none"/>
        </w:rPr>
        <w:t>ution</w:t>
      </w:r>
      <w:r w:rsidRPr="5D45256D" w:rsidR="10673300">
        <w:rPr>
          <w:rFonts w:ascii="Arial" w:hAnsi="Arial" w:eastAsia="Arial" w:cs="Arial"/>
          <w:color w:val="000000" w:themeColor="text1" w:themeTint="FF" w:themeShade="FF"/>
          <w:sz w:val="24"/>
          <w:szCs w:val="24"/>
          <w:u w:val="none"/>
        </w:rPr>
        <w:t>.</w:t>
      </w:r>
    </w:p>
    <w:p w:rsidR="72861A02" w:rsidP="5D45256D" w:rsidRDefault="72861A02" w14:paraId="0BCD0642" w14:textId="18B8B55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45256D" w:rsidR="72861A02">
        <w:rPr>
          <w:rFonts w:ascii="Arial" w:hAnsi="Arial" w:eastAsia="Arial" w:cs="Arial"/>
          <w:b w:val="0"/>
          <w:bCs w:val="0"/>
          <w:i w:val="0"/>
          <w:iCs w:val="0"/>
          <w:caps w:val="0"/>
          <w:smallCaps w:val="0"/>
          <w:noProof w:val="0"/>
          <w:color w:val="000000" w:themeColor="text1" w:themeTint="FF" w:themeShade="FF"/>
          <w:sz w:val="24"/>
          <w:szCs w:val="24"/>
          <w:lang w:val="en-GB"/>
        </w:rPr>
        <w:t>Second, the most salient factors in the perceived turnover are primarily financial and work related. The most common cause was better pay opportunities outside care, with 53.8% of respondents saying that this contributed to turnover, and 35.0% saying that it was the main cause. But, burnout, working hours, external job opportunities and transition to less demanding jobs show that turnover is a multi-faceted problem. This supports Herzberg's hygiene factors and the equilibrium between demands and resources as stated by the JD-R Model.</w:t>
      </w:r>
    </w:p>
    <w:p w:rsidR="72861A02" w:rsidP="5D45256D" w:rsidRDefault="72861A02" w14:paraId="7C15C419" w14:textId="4892DED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45256D" w:rsidR="72861A02">
        <w:rPr>
          <w:rFonts w:ascii="Arial" w:hAnsi="Arial" w:eastAsia="Arial" w:cs="Arial"/>
          <w:b w:val="0"/>
          <w:bCs w:val="0"/>
          <w:i w:val="0"/>
          <w:iCs w:val="0"/>
          <w:caps w:val="0"/>
          <w:smallCaps w:val="0"/>
          <w:noProof w:val="0"/>
          <w:color w:val="000000" w:themeColor="text1" w:themeTint="FF" w:themeShade="FF"/>
          <w:sz w:val="24"/>
          <w:szCs w:val="24"/>
          <w:lang w:val="en-GB"/>
        </w:rPr>
        <w:t>Thirdly, evidence reveals why care homes might fail to put into place effective retention strategies. Childcare, sick pay, pay competitiveness and external policy pressures and recognition are not independent of each other. From this, a successful HR strategy should include suitable reward, workload management, flexible working, wellbeing support, recognition and meaningful development opportunities.</w:t>
      </w:r>
    </w:p>
    <w:p w:rsidR="72861A02" w:rsidP="5D45256D" w:rsidRDefault="72861A02" w14:paraId="4F22BE79" w14:textId="0E9F3C2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D45256D" w:rsidR="72861A02">
        <w:rPr>
          <w:rFonts w:ascii="Arial" w:hAnsi="Arial" w:eastAsia="Arial" w:cs="Arial"/>
          <w:b w:val="0"/>
          <w:bCs w:val="0"/>
          <w:i w:val="0"/>
          <w:iCs w:val="0"/>
          <w:caps w:val="0"/>
          <w:smallCaps w:val="0"/>
          <w:noProof w:val="0"/>
          <w:color w:val="000000" w:themeColor="text1" w:themeTint="FF" w:themeShade="FF"/>
          <w:sz w:val="24"/>
          <w:szCs w:val="24"/>
          <w:lang w:val="en-GB"/>
        </w:rPr>
        <w:t xml:space="preserve">In summary, employee turnover in care homes can be attributed to financial, organisational, </w:t>
      </w:r>
      <w:r w:rsidRPr="5D45256D" w:rsidR="72861A02">
        <w:rPr>
          <w:rFonts w:ascii="Arial" w:hAnsi="Arial" w:eastAsia="Arial" w:cs="Arial"/>
          <w:b w:val="0"/>
          <w:bCs w:val="0"/>
          <w:i w:val="0"/>
          <w:iCs w:val="0"/>
          <w:caps w:val="0"/>
          <w:smallCaps w:val="0"/>
          <w:noProof w:val="0"/>
          <w:color w:val="000000" w:themeColor="text1" w:themeTint="FF" w:themeShade="FF"/>
          <w:sz w:val="24"/>
          <w:szCs w:val="24"/>
          <w:lang w:val="en-GB"/>
        </w:rPr>
        <w:t>psychological</w:t>
      </w:r>
      <w:r w:rsidRPr="5D45256D" w:rsidR="72861A02">
        <w:rPr>
          <w:rFonts w:ascii="Arial" w:hAnsi="Arial" w:eastAsia="Arial" w:cs="Arial"/>
          <w:b w:val="0"/>
          <w:bCs w:val="0"/>
          <w:i w:val="0"/>
          <w:iCs w:val="0"/>
          <w:caps w:val="0"/>
          <w:smallCaps w:val="0"/>
          <w:noProof w:val="0"/>
          <w:color w:val="000000" w:themeColor="text1" w:themeTint="FF" w:themeShade="FF"/>
          <w:sz w:val="24"/>
          <w:szCs w:val="24"/>
          <w:lang w:val="en-GB"/>
        </w:rPr>
        <w:t xml:space="preserve"> and structural factors, as well as their interplay. The findings are not consonant with the idea of a single strategy solution. Sustainable retention should be supported by a wide range of efforts to improve the social-care employment landscape. Causal inferences should be made with caution as the DHSC survey has been based on provider views and not necessarily on </w:t>
      </w:r>
      <w:r w:rsidRPr="5D45256D" w:rsidR="6F760B28">
        <w:rPr>
          <w:rFonts w:ascii="Arial" w:hAnsi="Arial" w:eastAsia="Arial" w:cs="Arial"/>
          <w:b w:val="0"/>
          <w:bCs w:val="0"/>
          <w:i w:val="0"/>
          <w:iCs w:val="0"/>
          <w:caps w:val="0"/>
          <w:smallCaps w:val="0"/>
          <w:noProof w:val="0"/>
          <w:color w:val="000000" w:themeColor="text1" w:themeTint="FF" w:themeShade="FF"/>
          <w:sz w:val="24"/>
          <w:szCs w:val="24"/>
          <w:lang w:val="en-GB"/>
        </w:rPr>
        <w:t>employees</w:t>
      </w:r>
      <w:r w:rsidRPr="5D45256D" w:rsidR="72861A02">
        <w:rPr>
          <w:rFonts w:ascii="Arial" w:hAnsi="Arial" w:eastAsia="Arial" w:cs="Arial"/>
          <w:b w:val="0"/>
          <w:bCs w:val="0"/>
          <w:i w:val="0"/>
          <w:iCs w:val="0"/>
          <w:caps w:val="0"/>
          <w:smallCaps w:val="0"/>
          <w:noProof w:val="0"/>
          <w:color w:val="000000" w:themeColor="text1" w:themeTint="FF" w:themeShade="FF"/>
          <w:sz w:val="24"/>
          <w:szCs w:val="24"/>
          <w:lang w:val="en-GB"/>
        </w:rPr>
        <w:t xml:space="preserve"> stated reasons for leaving. The consistency in the retention and morale and barrier results, however, give a quantitative basis for the recommendations outlined in the next chapter.</w:t>
      </w:r>
    </w:p>
    <w:p w:rsidR="1571A20D" w:rsidP="5D45256D" w:rsidRDefault="1571A20D" w14:paraId="088FD5CD" w14:textId="25C4019E">
      <w:pPr>
        <w:pStyle w:val="Heading2"/>
        <w:spacing w:before="0" w:beforeAutospacing="off" w:after="16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4.7 Discussion</w:t>
      </w:r>
    </w:p>
    <w:p w:rsidR="1571A20D" w:rsidP="5D45256D" w:rsidRDefault="1571A20D" w14:paraId="1E4AC7BB" w14:textId="5B4671EB">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findings had shown that financial, organisational and psychological factors had all been interrelated to affect the rate of employee turnover, but not a single factor. Retention issues, pay pressure, burnout, HR barriers and low employee morale had been highlighted as challenges impacting on workforce stability in the analysis. This had corroborated the literature review findings in which the exposures associated with turnover were stressful working conditions, emotional exhaustion and limited career development and organisational support (Thwaites, 2023; O'Keefe et al., 2025). The analysis, however, extended previous studies by showing that financial dissatisfaction was the greatest perceived reason for employees leaving, and that other factors had been a part of the overall retention issue.</w:t>
      </w:r>
    </w:p>
    <w:p w:rsidR="1571A20D" w:rsidP="5D45256D" w:rsidRDefault="1571A20D" w14:paraId="61703030" w14:textId="1F8DBE2E">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results had highlighted that around 54% of care homes had struggled to maintain staff within their home, reflecting the ongoing workforce volatility in the industry. This had reinforced the work of Presbiteroet al. (2026) who pointed out that workforce volatility might impact service continuity and the quality of care provided. Likewise, Thwaites (2023) found retention issues to be impacted by difficult working conditions, workload pressures and lack of organisational support. The results, however, had also revealed variation in retention issues across organisations. This indicated that turnover was not solely due to increased sector shortages but was also affected by management and organisational variables such as leadership, working environment and resources.</w:t>
      </w:r>
    </w:p>
    <w:p w:rsidR="1571A20D" w:rsidP="5D45256D" w:rsidRDefault="1571A20D" w14:paraId="4DBC830D" w14:textId="40E8B31A">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most important reason for employee turnover had proved to be financial. 53.8% of care homes indicated that better remuneration was a reason for staff leaving (35% indicated it was the primary reason). These results had confirmed Herzberg's Two-Factor Theory which stated that salary and working conditions were hygiene factors that helped to decrease the dissatisfaction (Ihensekien and Joel, 2023). The results are also consistent with those reported by Daly (2025), who highlighted the importance of remuneration and employment context on the outcomes of care-workers. The analysis, however, had revealed that pay improvements would not have been enough to address turnover problems. But whilst competitive pay might lessen discontent, workers had also thought about workload, flexibility, wellbeing and recognition in their decision to stay. Thus, financial incentives had been needed, but not enough, without broader HR efforts.</w:t>
      </w:r>
    </w:p>
    <w:p w:rsidR="1571A20D" w:rsidP="5D45256D" w:rsidRDefault="1571A20D" w14:paraId="01A4DF43" w14:textId="553C775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results had also validated the Job Demands – Resources (JD-R) Model for the turnover behaviour. The analysis had revealed that 28.5% of care homes had mentioned that burnout or stress had led to staff leaving. Other issues highlighted as leading to employee leaving included issues with their morale, such as low energy and wellbeing concerns. These findings had agreed with Demerouti (2025) who claimed that if the employees are not provided with adequate resources, then their job demands may cause exhaustion. Furthermore, Yan et al. (2023) identified that burnout and fatigue had increased turnover intentions among long-term care workers. Burnout, however, was not as strong as pay-related issues. This indicated that the process of turnover was more complex than a single problem and was a result of financial dissatisfaction and work pressures and a lack of organisational resources.</w:t>
      </w:r>
    </w:p>
    <w:p w:rsidR="1571A20D" w:rsidP="5D45256D" w:rsidRDefault="1571A20D" w14:paraId="392316D5" w14:textId="07F3CA8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Results on employee engagement, training and development had been partially confirmed with previous literature. It was previously found that there was a potential to increase commitment, capability and retention through engagement and professional development (Jiatong et al., 2022; Shiri et al., 2023). The study had shown that morale issues had a negative impact on employee behaviour, in terms of less energy and higher intentions to leave. However, just 0.7% of care homes had named a lack of training opportunities as an issue they believe has contributed to employee leaving. This did not suggest that training was ineffective, but rather that training had not been a key element of the turnover equation in the data set. This had confirmed the findings of Thwaites (2023) who stated that support for working conditions, appropriate rewards and organisational support were more effective in terms of development opportunities.</w:t>
      </w:r>
    </w:p>
    <w:p w:rsidR="1571A20D" w:rsidP="5D45256D" w:rsidRDefault="1571A20D" w14:paraId="473CB68A" w14:textId="051E5851">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results had shown that there were organisational and external barriers that have affected the effectiveness of HR retention strategies. Pay competitiveness, childcare support and sick pay and workforce recognition were all highlighted as key challenges, with pay at the top. The results of this study have corroborated Pradhan, Ghiasi and Maldonado (2025) finding that wages can be an important factor in the outcomes of the workforce in a nursing-home setting. Furthermore, recognition and leadership factors was correlated with Rožman, Tominc and Milfelner (2023) who highlighted the importance of supportive leadership in increasing employee engagement. The findings had also revealed some problems, including labour shortages or general sector pressures, that lay outside the organisation's control. The study had overall found that a combined strategy of HRM elements such as remuneration, employee engagement, wellbeing support, effective leadership and development opportunities was needed for sustainable retention.</w:t>
      </w:r>
    </w:p>
    <w:p w:rsidR="1571A20D" w:rsidP="5D45256D" w:rsidRDefault="1571A20D" w14:paraId="56579152" w14:textId="7A59E981">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4.8 Summary</w:t>
      </w:r>
    </w:p>
    <w:p w:rsidR="1571A20D" w:rsidP="5D45256D" w:rsidRDefault="1571A20D" w14:paraId="06AA6767" w14:textId="2D7C8CE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This chapter had analysed secondary quantitative evidence regarding employee turnover and HR retention strategies in care-home settings. The findings had explored issues about retention problems, factors affecting employees' move, employee morale, employee engagement, employee training and development and HR implementation barriers. The analysis had shown that financial, organisational and psychological factors had had an impact on turnover. The results have been critically analysed by using relevant theories such as Herzberg's Two Factor Theory and JD-R Model, which would serve as a foundation for the recommendations based on the results that were drawn in the following chapter.</w:t>
      </w:r>
    </w:p>
    <w:p w:rsidR="5D45256D" w:rsidP="5D45256D" w:rsidRDefault="5D45256D" w14:paraId="0D809D1F" w14:textId="6AD375C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D8D2A64" w14:textId="71FF41E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491D9AE0" w14:textId="29E5476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3E3B1078" w14:textId="3CB2B93F">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3522852" w14:textId="1E56D06A">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4DF520DD" w14:textId="61365C4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1B94D52E" w14:textId="33E632F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3A499C1E" w14:textId="1E76922C">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308A5081" w14:textId="6F963ECE">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7D278FBA" w14:textId="428A38D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151489A8" w14:textId="3BDA19F5">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40676120" w14:textId="2F41E2E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16B0A4B9" w14:textId="2BC5062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09824FC6" w14:textId="15AE2531">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539C668F" w14:textId="4A6F6D1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799D93F" w14:textId="6865AF38">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673C4409" w14:textId="1A435EA3">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p>
    <w:p w:rsidR="5D45256D" w:rsidP="5D45256D" w:rsidRDefault="5D45256D" w14:paraId="295AF13C" w14:textId="0DA04904">
      <w:pPr>
        <w:spacing w:line="360" w:lineRule="auto"/>
        <w:rPr>
          <w:rFonts w:ascii="Arial" w:hAnsi="Arial" w:eastAsia="Arial" w:cs="Arial"/>
          <w:u w:val="none"/>
        </w:rPr>
      </w:pPr>
    </w:p>
    <w:p w:rsidR="1571A20D" w:rsidP="5D45256D" w:rsidRDefault="1571A20D" w14:paraId="369EE4AA" w14:textId="1D1F0734">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 </w:t>
      </w:r>
    </w:p>
    <w:p w:rsidR="1571A20D" w:rsidP="5D45256D" w:rsidRDefault="1571A20D" w14:paraId="40278B75" w14:textId="4CDA88B0">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r w:rsidRPr="5D45256D" w:rsidR="1571A20D">
        <w:rPr>
          <w:rFonts w:ascii="Arial" w:hAnsi="Arial" w:eastAsia="Arial" w:cs="Arial"/>
          <w:b w:val="1"/>
          <w:bCs w:val="1"/>
          <w:color w:val="000000" w:themeColor="text1" w:themeTint="FF" w:themeShade="FF"/>
          <w:sz w:val="28"/>
          <w:szCs w:val="28"/>
          <w:u w:val="none"/>
        </w:rPr>
        <w:t>Chapter 5: Conclusion and Recommendation</w:t>
      </w:r>
    </w:p>
    <w:p w:rsidR="1571A20D" w:rsidP="5D45256D" w:rsidRDefault="1571A20D" w14:paraId="62E17522" w14:textId="741DC9D7">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5.1 Introduction</w:t>
      </w:r>
    </w:p>
    <w:p w:rsidR="1571A20D" w:rsidP="5D45256D" w:rsidRDefault="1571A20D" w14:paraId="41BC2775" w14:textId="3E3E57EE">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This chapter had finished the exploration into strategies of HR for employee turnover reduction in a UK care-home. The study had explored the effect of employee engagement, training and development, turnover factors and impediments to effective HR implementation. The findings from the analysis were summarised in the chapter, the overall conclusion of the aim of the research was drawn, and practical recommendations for care-home organisations are given. In addition, the chapter had identified limitations in the research and recommended future research directions. The study had provided evidence-based input on the potential for using strategically aligned HR practices to improve workforce stability and to enable sustainable care delivery.</w:t>
      </w:r>
    </w:p>
    <w:p w:rsidR="1571A20D" w:rsidP="5D45256D" w:rsidRDefault="1571A20D" w14:paraId="2AF76435" w14:textId="6E2F3105">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5.2 Summary of Key Findings</w:t>
      </w:r>
    </w:p>
    <w:p w:rsidR="1571A20D" w:rsidP="5D45256D" w:rsidRDefault="1571A20D" w14:paraId="75FA599D" w14:textId="545981D7">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study showed that financial, organisational and psychological factors had been mutually linked with each other and had impacted on the employee turnover issue within care-home environments. The results had indicated that employee engagement, employee morale, employee training and development had helped to contribute to employee retention in improving commitment, employee capability, and employee satisfaction in the workplace. However, these practices had worked best with positive working conditions, recognition and effective leadership. The analysis had already revealed that financial dissatisfaction is the greatest driver for staff leaving, while improving pay prospects outside the care sector was one of the main concerns. Workload pressures, burnout, flexibility and wellbeing issues had also played a part in the decisions to leave. The results had also identified that effective HR implementation was limited due to factors such as pay competitiveness, childcare difficulties, inadequate sick pay and the lack of recognition of the workforce. Overall, the study had proven that the turnover issue needed an integrated HR strategy that includes the use of competitive compensation, provision of employee assistance, employee development and organisational enhancements to retain the employees.</w:t>
      </w:r>
    </w:p>
    <w:p w:rsidR="1571A20D" w:rsidP="5D45256D" w:rsidRDefault="1571A20D" w14:paraId="27AB208B" w14:textId="00B39D7D">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5.3 Overall Conclusion</w:t>
      </w:r>
    </w:p>
    <w:p w:rsidR="1571A20D" w:rsidP="5D45256D" w:rsidRDefault="1571A20D" w14:paraId="1B410FAD" w14:textId="76C0BF95">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study had found that financial satisfaction, challenging working conditions, employee wellbeing concerns and organisational support factors had all impacted employee turnover in care-home environments. The results had shown that HR strategies were best applied when they were dealing with both the dissatisfying and the motivating factors of employees. The research had confirmed Herzberg's Two-Factor Theory by identifying hygiene factors such as pay, working conditions, and job security as factors that were important in reducing dissatisfaction, and recognition, career development and achievement had helped improve employee commitment. Additionally, the results confirmed the JD-R Model, showing that when resources were lacking, for example, in the form of insufficient leadership support, workplace flexibility and development opportunities, excessive workload and emotional pressure and demands had a negative impact on the retention of employees. The overall study has found that recruiting strategies are not effective as the only solution to workforce instability. Integrated HR strategies, which included, but were not limited to, competitive rewards, employee engagement, wellbeing support, leadership that supported care and learning, and ongoing professional development had been key to ensuring workforce stability and quality care delivery and had been a necessary component of sustainable retention.</w:t>
      </w:r>
    </w:p>
    <w:p w:rsidR="1571A20D" w:rsidP="5D45256D" w:rsidRDefault="1571A20D" w14:paraId="7BE21C3B" w14:textId="498B8A97">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5.4 Practical Recommendations</w:t>
      </w:r>
    </w:p>
    <w:p w:rsidR="1571A20D" w:rsidP="5D45256D" w:rsidRDefault="1571A20D" w14:paraId="69AFACE7" w14:textId="14B1685B">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Improve Pay and Reward Systems</w:t>
      </w:r>
    </w:p>
    <w:p w:rsidR="1571A20D" w:rsidP="5D45256D" w:rsidRDefault="1571A20D" w14:paraId="49A0FBF5" w14:textId="2C6F8A50">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results had found that employee turnover was significantly affected by pay competitiveness. Care homes, therefore, should have reviewed their pay structures, put in place appropriate reward structures and given retention incentives to minimise employee dissatisfaction and boost employee commitment.</w:t>
      </w:r>
    </w:p>
    <w:p w:rsidR="1571A20D" w:rsidP="5D45256D" w:rsidRDefault="1571A20D" w14:paraId="22DB3452" w14:textId="47CEC1D4">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Enhance Wellbeing and Workload Management</w:t>
      </w:r>
    </w:p>
    <w:p w:rsidR="1571A20D" w:rsidP="5D45256D" w:rsidRDefault="1571A20D" w14:paraId="76B7B9DE" w14:textId="4C422E8B">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 results had indicated that burnout, stress and morale issues had impacted retention. Thus, there is a need for better workload planning, staffing arrangements and flexibility of working practices in the organisations to ensure employee wellbeing and minimise pressure in the workplace.</w:t>
      </w:r>
    </w:p>
    <w:p w:rsidR="1571A20D" w:rsidP="5D45256D" w:rsidRDefault="1571A20D" w14:paraId="056D7C02" w14:textId="37B2A662">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Strengthen Engagement and Recognition</w:t>
      </w:r>
    </w:p>
    <w:p w:rsidR="1571A20D" w:rsidP="5D45256D" w:rsidRDefault="1571A20D" w14:paraId="6E0CCED0" w14:textId="0ACA376E">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Care homes should have improved communication, recognition practices and employee involvement initiatives. These could have enhanced the motivation, organisational commitment, and job satisfaction.</w:t>
      </w:r>
    </w:p>
    <w:p w:rsidR="1571A20D" w:rsidP="5D45256D" w:rsidRDefault="1571A20D" w14:paraId="49206B1C" w14:textId="034D6BF8">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u w:val="none"/>
        </w:rPr>
      </w:pPr>
      <w:r w:rsidRPr="5D45256D" w:rsidR="1571A20D">
        <w:rPr>
          <w:rFonts w:ascii="Arial" w:hAnsi="Arial" w:eastAsia="Arial" w:cs="Arial"/>
          <w:b w:val="1"/>
          <w:bCs w:val="1"/>
          <w:color w:val="000000" w:themeColor="text1" w:themeTint="FF" w:themeShade="FF"/>
          <w:sz w:val="24"/>
          <w:szCs w:val="24"/>
          <w:u w:val="none"/>
        </w:rPr>
        <w:t>Support Career Development</w:t>
      </w:r>
    </w:p>
    <w:p w:rsidR="1571A20D" w:rsidP="5D45256D" w:rsidRDefault="1571A20D" w14:paraId="20C7E12A" w14:textId="56826A8D">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Structured training, development and progression should have been provided within organisations. These practices may have enhanced staff capacity, motivation and commitment to working in care homes.</w:t>
      </w:r>
    </w:p>
    <w:p w:rsidR="1571A20D" w:rsidP="5D45256D" w:rsidRDefault="1571A20D" w14:paraId="47C20319" w14:textId="6DC8D665">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 </w:t>
      </w:r>
    </w:p>
    <w:p w:rsidR="1571A20D" w:rsidP="5D45256D" w:rsidRDefault="1571A20D" w14:paraId="6D80698E" w14:textId="1118D00C">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5.5 Limitation and Future Research Suggestion</w:t>
      </w:r>
    </w:p>
    <w:p w:rsidR="1571A20D" w:rsidP="5D45256D" w:rsidRDefault="1571A20D" w14:paraId="58E16FEA" w14:textId="49C4BEFB">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There were a number of limitations of the study that should be taken into account for future study. Firstly, the research was based on secondary quantitative data, which prevented the examination of employees' lived experiences and direct causal relationships between HR practices and turnover. Second, the information predominantly concentrated on care-home organisational views, so that differences between employer perceptions and employee experiences may not have been captured. In addition, the quantitative approach had also been used and had revealed patterns and relationships but offered little insight into the why of employee's leaving.</w:t>
      </w:r>
    </w:p>
    <w:p w:rsidR="1571A20D" w:rsidP="5D45256D" w:rsidRDefault="1571A20D" w14:paraId="4CCF882E" w14:textId="551ED6B5">
      <w:pPr>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u w:val="none"/>
        </w:rPr>
        <w:t>Future research should have used primary research techniques such as employee interviews, surveys and focus groups to get a more detailed picture of the experiences of employees. The differences between public and private care homes, geographical location and size of the organisation should have been explored in comparative studies to identify variations in retention issues. Further, specific HR inter</w:t>
      </w:r>
      <w:r w:rsidRPr="5D45256D" w:rsidR="1571A20D">
        <w:rPr>
          <w:rFonts w:ascii="Arial" w:hAnsi="Arial" w:eastAsia="Arial" w:cs="Arial"/>
          <w:color w:val="000000" w:themeColor="text1" w:themeTint="FF" w:themeShade="FF"/>
          <w:sz w:val="24"/>
          <w:szCs w:val="24"/>
        </w:rPr>
        <w:t>ventions such as wellbeing programmes, flexible working practices, leadership development and reward systems should have been evaluated for effectiveness to assess which interventions had the greatest impact on improving employee retention in the future.</w:t>
      </w:r>
    </w:p>
    <w:p w:rsidR="1571A20D" w:rsidP="5D45256D" w:rsidRDefault="1571A20D" w14:paraId="49E85E2D" w14:textId="2695AB45">
      <w:pPr>
        <w:pStyle w:val="Heading2"/>
        <w:spacing w:before="200" w:beforeAutospacing="off" w:after="0" w:afterAutospacing="off" w:line="360" w:lineRule="auto"/>
        <w:jc w:val="both"/>
        <w:rPr>
          <w:rFonts w:ascii="Arial" w:hAnsi="Arial" w:eastAsia="Arial" w:cs="Arial"/>
          <w:b w:val="0"/>
          <w:bCs w:val="0"/>
          <w:strike w:val="0"/>
          <w:dstrike w:val="0"/>
          <w:color w:val="000000" w:themeColor="text1" w:themeTint="FF" w:themeShade="FF"/>
          <w:sz w:val="24"/>
          <w:szCs w:val="24"/>
          <w:u w:val="none"/>
        </w:rPr>
      </w:pPr>
      <w:r w:rsidRPr="5D45256D" w:rsidR="1571A20D">
        <w:rPr>
          <w:rFonts w:ascii="Arial" w:hAnsi="Arial" w:eastAsia="Arial" w:cs="Arial"/>
          <w:b w:val="0"/>
          <w:bCs w:val="0"/>
          <w:strike w:val="0"/>
          <w:dstrike w:val="0"/>
          <w:color w:val="000000" w:themeColor="text1" w:themeTint="FF" w:themeShade="FF"/>
          <w:sz w:val="24"/>
          <w:szCs w:val="24"/>
          <w:u w:val="none"/>
        </w:rPr>
        <w:t>5.6 Summary</w:t>
      </w:r>
    </w:p>
    <w:p w:rsidR="1571A20D" w:rsidP="5D45256D" w:rsidRDefault="1571A20D" w14:paraId="3F2E9198" w14:textId="6EEBE299">
      <w:pPr>
        <w:spacing w:before="0" w:beforeAutospacing="off" w:after="160" w:afterAutospacing="off" w:line="360" w:lineRule="auto"/>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This chapter had summarised that the financial, organisational and psychological factors had been interconnected and had affected employee turnover in care-home environments. The study had been successful in showing how integrated HR strategies including pay competitiveness, employee wellbeing, engagement, professional development would be necessary for retention to be considered sustainable. While the study was constrained by the secondary quantitative data used, it had given insightful information about the problem of workforce retention. The recommendations had raised issues of employee stability and facilitating effective care delivery that had practical ideas. The study had overall highlighted that rather than short-term recruitment solutions, strategically aligned HR practices were associated with the retention of employees over the long term.</w:t>
      </w:r>
    </w:p>
    <w:p w:rsidR="1571A20D" w:rsidP="5D45256D" w:rsidRDefault="1571A20D" w14:paraId="155FE567" w14:textId="77664A90">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u w:val="none"/>
        </w:rPr>
      </w:pPr>
      <w:r w:rsidRPr="5D45256D" w:rsidR="1571A20D">
        <w:rPr>
          <w:rFonts w:ascii="Arial" w:hAnsi="Arial" w:eastAsia="Arial" w:cs="Arial"/>
          <w:b w:val="1"/>
          <w:bCs w:val="1"/>
          <w:color w:val="000000" w:themeColor="text1" w:themeTint="FF" w:themeShade="FF"/>
          <w:sz w:val="28"/>
          <w:szCs w:val="28"/>
          <w:u w:val="none"/>
        </w:rPr>
        <w:t>References</w:t>
      </w:r>
    </w:p>
    <w:p w:rsidR="1571A20D" w:rsidP="5D45256D" w:rsidRDefault="1571A20D" w14:paraId="4662F715" w14:textId="21018F9F">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Ajayi, V.O. (2025). A review on primary sources of Data and secondary sources of Data. </w:t>
      </w:r>
      <w:r w:rsidRPr="5D45256D" w:rsidR="1571A20D">
        <w:rPr>
          <w:rFonts w:ascii="Arial" w:hAnsi="Arial" w:eastAsia="Arial" w:cs="Arial"/>
          <w:i w:val="1"/>
          <w:iCs w:val="1"/>
          <w:color w:val="000000" w:themeColor="text1" w:themeTint="FF" w:themeShade="FF"/>
          <w:sz w:val="24"/>
          <w:szCs w:val="24"/>
          <w:u w:val="none"/>
        </w:rPr>
        <w:t>SSRN electronic journal</w:t>
      </w:r>
      <w:r w:rsidRPr="5D45256D" w:rsidR="1571A20D">
        <w:rPr>
          <w:rFonts w:ascii="Arial" w:hAnsi="Arial" w:eastAsia="Arial" w:cs="Arial"/>
          <w:color w:val="000000" w:themeColor="text1" w:themeTint="FF" w:themeShade="FF"/>
          <w:sz w:val="24"/>
          <w:szCs w:val="24"/>
          <w:u w:val="none"/>
        </w:rPr>
        <w:t xml:space="preserve">, 2(3). </w:t>
      </w:r>
    </w:p>
    <w:p w:rsidR="04BD99A9" w:rsidP="5D45256D" w:rsidRDefault="04BD99A9" w14:paraId="2F968323" w14:textId="1BD483A2">
      <w:pPr>
        <w:pStyle w:val="Normal"/>
        <w:spacing w:before="0" w:beforeAutospacing="off" w:after="160" w:afterAutospacing="off" w:line="360" w:lineRule="auto"/>
        <w:ind w:left="720" w:right="0" w:hanging="720"/>
        <w:jc w:val="both"/>
        <w:rPr>
          <w:rFonts w:ascii="Arial" w:hAnsi="Arial" w:eastAsia="Arial" w:cs="Arial"/>
          <w:noProof w:val="0"/>
          <w:sz w:val="24"/>
          <w:szCs w:val="24"/>
          <w:u w:val="none"/>
          <w:lang w:val="en-GB"/>
        </w:rPr>
      </w:pPr>
      <w:hyperlink r:id="R43c96624e9f4432d">
        <w:r w:rsidRPr="5D45256D" w:rsidR="04BD99A9">
          <w:rPr>
            <w:rStyle w:val="Hyperlink"/>
            <w:rFonts w:ascii="Arial" w:hAnsi="Arial" w:eastAsia="Arial" w:cs="Arial"/>
            <w:noProof w:val="0"/>
            <w:u w:val="none"/>
            <w:lang w:val="en-GB"/>
          </w:rPr>
          <w:t>A Review on Primary Sources of Data and Secondary Sources of Data by Victor Oluwatosin Ajayi :: SSRN</w:t>
        </w:r>
      </w:hyperlink>
    </w:p>
    <w:p w:rsidR="1571A20D" w:rsidP="5D45256D" w:rsidRDefault="1571A20D" w14:paraId="7930B451" w14:textId="1B2D9517">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Alrawahi, S., Sellgren, S.F., Altouby, S., Alwahaibi, N. and Brommels, M. (2020). The application of Herzberg’s two-factor theory of motivation to job satisfaction in clinical laboratories in Omani hospitals. </w:t>
      </w:r>
      <w:r w:rsidRPr="5D45256D" w:rsidR="1571A20D">
        <w:rPr>
          <w:rFonts w:ascii="Arial" w:hAnsi="Arial" w:eastAsia="Arial" w:cs="Arial"/>
          <w:i w:val="1"/>
          <w:iCs w:val="1"/>
          <w:color w:val="000000" w:themeColor="text1" w:themeTint="FF" w:themeShade="FF"/>
          <w:sz w:val="24"/>
          <w:szCs w:val="24"/>
          <w:u w:val="none"/>
        </w:rPr>
        <w:t>Heliyon</w:t>
      </w:r>
      <w:r w:rsidRPr="5D45256D" w:rsidR="1571A20D">
        <w:rPr>
          <w:rFonts w:ascii="Arial" w:hAnsi="Arial" w:eastAsia="Arial" w:cs="Arial"/>
          <w:color w:val="000000" w:themeColor="text1" w:themeTint="FF" w:themeShade="FF"/>
          <w:sz w:val="24"/>
          <w:szCs w:val="24"/>
          <w:u w:val="none"/>
        </w:rPr>
        <w:t>, 6(9), pp.1–9. doi:</w:t>
      </w:r>
      <w:hyperlink r:id="Rb11300a965f44693">
        <w:r w:rsidRPr="5D45256D" w:rsidR="1571A20D">
          <w:rPr>
            <w:rStyle w:val="Hyperlink"/>
            <w:rFonts w:ascii="Arial" w:hAnsi="Arial" w:eastAsia="Arial" w:cs="Arial"/>
            <w:strike w:val="0"/>
            <w:dstrike w:val="0"/>
            <w:color w:val="0563C1"/>
            <w:u w:val="none"/>
          </w:rPr>
          <w:t>https://doi.org/10.1016/j.heliyon.2020.e04829</w:t>
        </w:r>
      </w:hyperlink>
      <w:r w:rsidRPr="5D45256D" w:rsidR="1571A20D">
        <w:rPr>
          <w:rFonts w:ascii="Arial" w:hAnsi="Arial" w:eastAsia="Arial" w:cs="Arial"/>
          <w:color w:val="000000" w:themeColor="text1" w:themeTint="FF" w:themeShade="FF"/>
          <w:sz w:val="24"/>
          <w:szCs w:val="24"/>
          <w:u w:val="none"/>
        </w:rPr>
        <w:t>.</w:t>
      </w:r>
    </w:p>
    <w:p w:rsidR="1571A20D" w:rsidP="5D45256D" w:rsidRDefault="1571A20D" w14:paraId="6C41AB5D" w14:textId="0945AC35">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u w:val="none"/>
        </w:rPr>
      </w:pPr>
      <w:r w:rsidRPr="5D45256D" w:rsidR="1571A20D">
        <w:rPr>
          <w:rFonts w:ascii="Arial" w:hAnsi="Arial" w:eastAsia="Arial" w:cs="Arial"/>
          <w:color w:val="000000" w:themeColor="text1" w:themeTint="FF" w:themeShade="FF"/>
          <w:sz w:val="24"/>
          <w:szCs w:val="24"/>
          <w:u w:val="none"/>
        </w:rPr>
        <w:t xml:space="preserve">Al-Suraihi, W.A., Samikon, S.A., Al-Suraihi, A.-H.A. and Ibrahim, I. (2021). Employee turnover: Causes, importance and retention strategies. </w:t>
      </w:r>
      <w:r w:rsidRPr="5D45256D" w:rsidR="1571A20D">
        <w:rPr>
          <w:rFonts w:ascii="Arial" w:hAnsi="Arial" w:eastAsia="Arial" w:cs="Arial"/>
          <w:i w:val="1"/>
          <w:iCs w:val="1"/>
          <w:color w:val="000000" w:themeColor="text1" w:themeTint="FF" w:themeShade="FF"/>
          <w:sz w:val="24"/>
          <w:szCs w:val="24"/>
          <w:u w:val="none"/>
        </w:rPr>
        <w:t>European Journal of Business and Management Research</w:t>
      </w:r>
      <w:r w:rsidRPr="5D45256D" w:rsidR="1571A20D">
        <w:rPr>
          <w:rFonts w:ascii="Arial" w:hAnsi="Arial" w:eastAsia="Arial" w:cs="Arial"/>
          <w:color w:val="000000" w:themeColor="text1" w:themeTint="FF" w:themeShade="FF"/>
          <w:sz w:val="24"/>
          <w:szCs w:val="24"/>
          <w:u w:val="none"/>
        </w:rPr>
        <w:t xml:space="preserve">, [online] 6(3), pp.1–10. Available at: </w:t>
      </w:r>
      <w:hyperlink r:id="R28c1202989ff44d9">
        <w:r w:rsidRPr="5D45256D" w:rsidR="1571A20D">
          <w:rPr>
            <w:rStyle w:val="Hyperlink"/>
            <w:rFonts w:ascii="Arial" w:hAnsi="Arial" w:eastAsia="Arial" w:cs="Arial"/>
            <w:strike w:val="0"/>
            <w:dstrike w:val="0"/>
            <w:color w:val="0563C1"/>
            <w:u w:val="none"/>
          </w:rPr>
          <w:t>https://www.researchgate.net/publication/352390912_Employee_Turnover_Causes_Importance_and_Retention_Strategies</w:t>
        </w:r>
      </w:hyperlink>
      <w:r w:rsidRPr="5D45256D" w:rsidR="1571A20D">
        <w:rPr>
          <w:rFonts w:ascii="Arial" w:hAnsi="Arial" w:eastAsia="Arial" w:cs="Arial"/>
          <w:color w:val="000000" w:themeColor="text1" w:themeTint="FF" w:themeShade="FF"/>
          <w:sz w:val="24"/>
          <w:szCs w:val="24"/>
          <w:u w:val="none"/>
        </w:rPr>
        <w:t>.</w:t>
      </w:r>
    </w:p>
    <w:p w:rsidR="1571A20D" w:rsidP="5D45256D" w:rsidRDefault="1571A20D" w14:paraId="7B772639" w14:textId="23F4B96B">
      <w:pPr>
        <w:jc w:val="both"/>
        <w:rPr>
          <w:rFonts w:ascii="Arial" w:hAnsi="Arial" w:eastAsia="Arial" w:cs="Arial"/>
          <w:u w:val="none"/>
        </w:rPr>
      </w:pPr>
      <w:r w:rsidRPr="5D45256D" w:rsidR="1571A20D">
        <w:rPr>
          <w:rFonts w:ascii="Arial" w:hAnsi="Arial" w:eastAsia="Arial" w:cs="Arial"/>
          <w:color w:val="000000" w:themeColor="text1" w:themeTint="FF" w:themeShade="FF"/>
          <w:sz w:val="24"/>
          <w:szCs w:val="24"/>
          <w:u w:val="none"/>
        </w:rPr>
        <w:t>Boccoli</w:t>
      </w:r>
      <w:r w:rsidRPr="5D45256D" w:rsidR="1571A20D">
        <w:rPr>
          <w:rFonts w:ascii="Arial" w:hAnsi="Arial" w:eastAsia="Arial" w:cs="Arial"/>
          <w:color w:val="000000" w:themeColor="text1" w:themeTint="FF" w:themeShade="FF"/>
          <w:sz w:val="24"/>
          <w:szCs w:val="24"/>
          <w:u w:val="none"/>
        </w:rPr>
        <w:t xml:space="preserve">, G., Gastaldi, L. and Corso, M. (2022). </w:t>
      </w:r>
      <w:r w:rsidRPr="5D45256D" w:rsidR="1571A20D">
        <w:rPr>
          <w:rFonts w:ascii="Arial" w:hAnsi="Arial" w:eastAsia="Arial" w:cs="Arial"/>
          <w:color w:val="000000" w:themeColor="text1" w:themeTint="FF" w:themeShade="FF"/>
          <w:sz w:val="24"/>
          <w:szCs w:val="24"/>
          <w:u w:val="none"/>
        </w:rPr>
        <w:t xml:space="preserve">The evolution of employee engagement: Towards a social and contextual construct for balancing individual performance and wellbeing dynamically. </w:t>
      </w:r>
      <w:r w:rsidRPr="5D45256D" w:rsidR="1571A20D">
        <w:rPr>
          <w:rFonts w:ascii="Arial" w:hAnsi="Arial" w:eastAsia="Arial" w:cs="Arial"/>
          <w:i w:val="1"/>
          <w:iCs w:val="1"/>
          <w:color w:val="000000" w:themeColor="text1" w:themeTint="FF" w:themeShade="FF"/>
          <w:sz w:val="24"/>
          <w:szCs w:val="24"/>
          <w:u w:val="none"/>
        </w:rPr>
        <w:t>International journal of Management</w:t>
      </w:r>
      <w:r w:rsidRPr="5D45256D" w:rsidR="76196AAD">
        <w:rPr>
          <w:rFonts w:ascii="Arial" w:hAnsi="Arial" w:eastAsia="Arial" w:cs="Arial"/>
          <w:i w:val="1"/>
          <w:iCs w:val="1"/>
          <w:color w:val="000000" w:themeColor="text1" w:themeTint="FF" w:themeShade="FF"/>
          <w:sz w:val="24"/>
          <w:szCs w:val="24"/>
          <w:u w:val="none"/>
        </w:rPr>
        <w:t xml:space="preserve"> </w:t>
      </w:r>
      <w:r w:rsidRPr="5D45256D" w:rsidR="1571A20D">
        <w:rPr>
          <w:rFonts w:ascii="Arial" w:hAnsi="Arial" w:eastAsia="Arial" w:cs="Arial"/>
          <w:i w:val="1"/>
          <w:iCs w:val="1"/>
          <w:color w:val="000000" w:themeColor="text1" w:themeTint="FF" w:themeShade="FF"/>
          <w:sz w:val="24"/>
          <w:szCs w:val="24"/>
          <w:u w:val="none"/>
        </w:rPr>
        <w:t>reviews</w:t>
      </w:r>
      <w:r w:rsidRPr="5D45256D" w:rsidR="1571A20D">
        <w:rPr>
          <w:rFonts w:ascii="Arial" w:hAnsi="Arial" w:eastAsia="Arial" w:cs="Arial"/>
          <w:color w:val="000000" w:themeColor="text1" w:themeTint="FF" w:themeShade="FF"/>
          <w:sz w:val="24"/>
          <w:szCs w:val="24"/>
          <w:u w:val="none"/>
        </w:rPr>
        <w:t>, 25(1), pp.75–98.</w:t>
      </w:r>
      <w:r w:rsidRPr="5D45256D" w:rsidR="19A42C56">
        <w:rPr>
          <w:rFonts w:ascii="Arial" w:hAnsi="Arial" w:eastAsia="Arial" w:cs="Arial"/>
          <w:b w:val="0"/>
          <w:bCs w:val="0"/>
          <w:i w:val="0"/>
          <w:iCs w:val="0"/>
          <w:caps w:val="0"/>
          <w:smallCaps w:val="0"/>
          <w:noProof w:val="0"/>
          <w:color w:val="767676"/>
          <w:sz w:val="21"/>
          <w:szCs w:val="21"/>
          <w:u w:val="none"/>
          <w:lang w:val="en-GB"/>
        </w:rPr>
        <w:t xml:space="preserve"> </w:t>
      </w:r>
      <w:hyperlink r:id="Ra7a382aa0b7c4aba">
        <w:r w:rsidRPr="5D45256D" w:rsidR="19A42C56">
          <w:rPr>
            <w:rStyle w:val="Hyperlink"/>
            <w:rFonts w:ascii="Arial" w:hAnsi="Arial" w:eastAsia="Arial" w:cs="Arial"/>
            <w:b w:val="1"/>
            <w:bCs w:val="1"/>
            <w:i w:val="0"/>
            <w:iCs w:val="0"/>
            <w:caps w:val="0"/>
            <w:smallCaps w:val="0"/>
            <w:strike w:val="0"/>
            <w:dstrike w:val="0"/>
            <w:noProof w:val="0"/>
            <w:color w:val="123D80"/>
            <w:u w:val="none"/>
            <w:lang w:val="en-GB"/>
          </w:rPr>
          <w:t>https://doi.org/10.1111/ijmr.12304Digital Object Identifier (DOI)</w:t>
        </w:r>
      </w:hyperlink>
    </w:p>
    <w:p w:rsidR="1571A20D" w:rsidP="5D45256D" w:rsidRDefault="1571A20D" w14:paraId="40744704" w14:textId="5542F7FA">
      <w:pPr>
        <w:pStyle w:val="Normal"/>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u w:val="none"/>
        </w:rPr>
        <w:t>Bunjak</w:t>
      </w:r>
      <w:r w:rsidRPr="5D45256D" w:rsidR="1571A20D">
        <w:rPr>
          <w:rFonts w:ascii="Arial" w:hAnsi="Arial" w:eastAsia="Arial" w:cs="Arial"/>
          <w:color w:val="000000" w:themeColor="text1" w:themeTint="FF" w:themeShade="FF"/>
          <w:sz w:val="24"/>
          <w:szCs w:val="24"/>
          <w:u w:val="none"/>
        </w:rPr>
        <w:t xml:space="preserve">, A., Černe, M., Nagy, </w:t>
      </w:r>
      <w:r w:rsidRPr="5D45256D" w:rsidR="1571A20D">
        <w:rPr>
          <w:rFonts w:ascii="Arial" w:hAnsi="Arial" w:eastAsia="Arial" w:cs="Arial"/>
          <w:color w:val="000000" w:themeColor="text1" w:themeTint="FF" w:themeShade="FF"/>
          <w:sz w:val="24"/>
          <w:szCs w:val="24"/>
          <w:u w:val="none"/>
        </w:rPr>
        <w:t>N.</w:t>
      </w:r>
      <w:r w:rsidRPr="5D45256D" w:rsidR="1571A20D">
        <w:rPr>
          <w:rFonts w:ascii="Arial" w:hAnsi="Arial" w:eastAsia="Arial" w:cs="Arial"/>
          <w:color w:val="000000" w:themeColor="text1" w:themeTint="FF" w:themeShade="FF"/>
          <w:sz w:val="24"/>
          <w:szCs w:val="24"/>
          <w:u w:val="none"/>
        </w:rPr>
        <w:t xml:space="preserve"> and Bruch, H. (2021). Job demands and burnout: The multilevel boun</w:t>
      </w:r>
      <w:r w:rsidRPr="5D45256D" w:rsidR="1571A20D">
        <w:rPr>
          <w:rFonts w:ascii="Arial" w:hAnsi="Arial" w:eastAsia="Arial" w:cs="Arial"/>
          <w:color w:val="000000" w:themeColor="text1" w:themeTint="FF" w:themeShade="FF"/>
          <w:sz w:val="24"/>
          <w:szCs w:val="24"/>
        </w:rPr>
        <w:t xml:space="preserve">dary conditions of collective trust and competitive pressure. </w:t>
      </w:r>
      <w:r w:rsidRPr="5D45256D" w:rsidR="1571A20D">
        <w:rPr>
          <w:rFonts w:ascii="Arial" w:hAnsi="Arial" w:eastAsia="Arial" w:cs="Arial"/>
          <w:i w:val="1"/>
          <w:iCs w:val="1"/>
          <w:color w:val="000000" w:themeColor="text1" w:themeTint="FF" w:themeShade="FF"/>
          <w:sz w:val="24"/>
          <w:szCs w:val="24"/>
        </w:rPr>
        <w:t>Human Relations</w:t>
      </w:r>
      <w:r w:rsidRPr="5D45256D" w:rsidR="1571A20D">
        <w:rPr>
          <w:rFonts w:ascii="Arial" w:hAnsi="Arial" w:eastAsia="Arial" w:cs="Arial"/>
          <w:color w:val="000000" w:themeColor="text1" w:themeTint="FF" w:themeShade="FF"/>
          <w:sz w:val="24"/>
          <w:szCs w:val="24"/>
        </w:rPr>
        <w:t xml:space="preserve">, [online] 76(5), p.001872672110598. </w:t>
      </w:r>
      <w:r w:rsidRPr="5D45256D" w:rsidR="1571A20D">
        <w:rPr>
          <w:rFonts w:ascii="Arial" w:hAnsi="Arial" w:eastAsia="Arial" w:cs="Arial"/>
          <w:color w:val="000000" w:themeColor="text1" w:themeTint="FF" w:themeShade="FF"/>
          <w:sz w:val="24"/>
          <w:szCs w:val="24"/>
        </w:rPr>
        <w:t>doi</w:t>
      </w:r>
      <w:r w:rsidRPr="5D45256D" w:rsidR="1571A20D">
        <w:rPr>
          <w:rFonts w:ascii="Arial" w:hAnsi="Arial" w:eastAsia="Arial" w:cs="Arial"/>
          <w:color w:val="000000" w:themeColor="text1" w:themeTint="FF" w:themeShade="FF"/>
          <w:sz w:val="24"/>
          <w:szCs w:val="24"/>
        </w:rPr>
        <w:t>:</w:t>
      </w:r>
      <w:hyperlink r:id="R408782b6be144819">
        <w:r w:rsidRPr="5D45256D" w:rsidR="1571A20D">
          <w:rPr>
            <w:rStyle w:val="Hyperlink"/>
            <w:rFonts w:ascii="Arial" w:hAnsi="Arial" w:eastAsia="Arial" w:cs="Arial"/>
            <w:strike w:val="0"/>
            <w:dstrike w:val="0"/>
            <w:color w:val="0563C1"/>
            <w:u w:val="single"/>
          </w:rPr>
          <w:t>https://doi.org/10.1177/00187267211059826</w:t>
        </w:r>
      </w:hyperlink>
      <w:r w:rsidRPr="5D45256D" w:rsidR="1571A20D">
        <w:rPr>
          <w:rFonts w:ascii="Arial" w:hAnsi="Arial" w:eastAsia="Arial" w:cs="Arial"/>
          <w:color w:val="000000" w:themeColor="text1" w:themeTint="FF" w:themeShade="FF"/>
          <w:sz w:val="24"/>
          <w:szCs w:val="24"/>
        </w:rPr>
        <w:t>.</w:t>
      </w:r>
    </w:p>
    <w:p w:rsidR="1571A20D" w:rsidP="5D45256D" w:rsidRDefault="1571A20D" w14:paraId="6DB27191" w14:textId="55A4840E">
      <w:pPr>
        <w:pStyle w:val="Normal"/>
        <w:spacing w:before="0" w:beforeAutospacing="off" w:after="160" w:afterAutospacing="off" w:line="360" w:lineRule="auto"/>
        <w:ind w:left="720" w:right="0" w:hanging="720"/>
        <w:jc w:val="both"/>
        <w:rPr>
          <w:rFonts w:ascii="Arial" w:hAnsi="Arial" w:eastAsia="Arial" w:cs="Arial"/>
          <w:noProof w:val="0"/>
          <w:sz w:val="24"/>
          <w:szCs w:val="24"/>
          <w:lang w:val="en-GB"/>
        </w:rPr>
      </w:pPr>
      <w:r w:rsidRPr="5D45256D" w:rsidR="1571A20D">
        <w:rPr>
          <w:rFonts w:ascii="Arial" w:hAnsi="Arial" w:eastAsia="Arial" w:cs="Arial"/>
          <w:color w:val="000000" w:themeColor="text1" w:themeTint="FF" w:themeShade="FF"/>
          <w:sz w:val="24"/>
          <w:szCs w:val="24"/>
        </w:rPr>
        <w:t xml:space="preserve">Costello, H., Cooper, C., Marston, </w:t>
      </w:r>
      <w:r w:rsidRPr="5D45256D" w:rsidR="1571A20D">
        <w:rPr>
          <w:rFonts w:ascii="Arial" w:hAnsi="Arial" w:eastAsia="Arial" w:cs="Arial"/>
          <w:color w:val="000000" w:themeColor="text1" w:themeTint="FF" w:themeShade="FF"/>
          <w:sz w:val="24"/>
          <w:szCs w:val="24"/>
        </w:rPr>
        <w:t>L.</w:t>
      </w:r>
      <w:r w:rsidRPr="5D45256D" w:rsidR="1571A20D">
        <w:rPr>
          <w:rFonts w:ascii="Arial" w:hAnsi="Arial" w:eastAsia="Arial" w:cs="Arial"/>
          <w:color w:val="000000" w:themeColor="text1" w:themeTint="FF" w:themeShade="FF"/>
          <w:sz w:val="24"/>
          <w:szCs w:val="24"/>
        </w:rPr>
        <w:t xml:space="preserve"> and Livingston, G. (2019). Burnout in UK care home staff and its effect on staff turnover: Marque </w:t>
      </w:r>
      <w:r w:rsidRPr="5D45256D" w:rsidR="1571A20D">
        <w:rPr>
          <w:rFonts w:ascii="Arial" w:hAnsi="Arial" w:eastAsia="Arial" w:cs="Arial"/>
          <w:color w:val="000000" w:themeColor="text1" w:themeTint="FF" w:themeShade="FF"/>
          <w:sz w:val="24"/>
          <w:szCs w:val="24"/>
        </w:rPr>
        <w:t>english</w:t>
      </w:r>
      <w:r w:rsidRPr="5D45256D" w:rsidR="1571A20D">
        <w:rPr>
          <w:rFonts w:ascii="Arial" w:hAnsi="Arial" w:eastAsia="Arial" w:cs="Arial"/>
          <w:color w:val="000000" w:themeColor="text1" w:themeTint="FF" w:themeShade="FF"/>
          <w:sz w:val="24"/>
          <w:szCs w:val="24"/>
        </w:rPr>
        <w:t xml:space="preserve"> national care home longitudinal survey. </w:t>
      </w:r>
      <w:r w:rsidRPr="5D45256D" w:rsidR="1571A20D">
        <w:rPr>
          <w:rFonts w:ascii="Arial" w:hAnsi="Arial" w:eastAsia="Arial" w:cs="Arial"/>
          <w:i w:val="1"/>
          <w:iCs w:val="1"/>
          <w:color w:val="000000" w:themeColor="text1" w:themeTint="FF" w:themeShade="FF"/>
          <w:sz w:val="24"/>
          <w:szCs w:val="24"/>
        </w:rPr>
        <w:t>Age and ageing</w:t>
      </w:r>
      <w:r w:rsidRPr="5D45256D" w:rsidR="1571A20D">
        <w:rPr>
          <w:rFonts w:ascii="Arial" w:hAnsi="Arial" w:eastAsia="Arial" w:cs="Arial"/>
          <w:color w:val="000000" w:themeColor="text1" w:themeTint="FF" w:themeShade="FF"/>
          <w:sz w:val="24"/>
          <w:szCs w:val="24"/>
        </w:rPr>
        <w:t xml:space="preserve">, 49(1). </w:t>
      </w:r>
      <w:hyperlink r:id="Re4fd207dcfee4af1">
        <w:r w:rsidRPr="5D45256D" w:rsidR="42611721">
          <w:rPr>
            <w:rStyle w:val="Hyperlink"/>
            <w:rFonts w:ascii="Arial" w:hAnsi="Arial" w:eastAsia="Arial" w:cs="Arial"/>
            <w:b w:val="0"/>
            <w:bCs w:val="0"/>
            <w:i w:val="0"/>
            <w:iCs w:val="0"/>
            <w:caps w:val="0"/>
            <w:smallCaps w:val="0"/>
            <w:strike w:val="0"/>
            <w:dstrike w:val="0"/>
            <w:noProof w:val="0"/>
            <w:color w:val="006FB7"/>
            <w:u w:val="single"/>
            <w:lang w:val="en-GB"/>
          </w:rPr>
          <w:t>https://doi.org/10.1093/ageing/afz118</w:t>
        </w:r>
      </w:hyperlink>
    </w:p>
    <w:p w:rsidR="1571A20D" w:rsidP="5D45256D" w:rsidRDefault="1571A20D" w14:paraId="4DE59E0B" w14:textId="06595E7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Daly, T.J. (2025). The impact of staffing structures in long-term care homes on the quality of work-life and work outcomes of care-workers: A narrative scoping review. </w:t>
      </w:r>
      <w:r w:rsidRPr="5D45256D" w:rsidR="1571A20D">
        <w:rPr>
          <w:rFonts w:ascii="Arial" w:hAnsi="Arial" w:eastAsia="Arial" w:cs="Arial"/>
          <w:i w:val="1"/>
          <w:iCs w:val="1"/>
          <w:color w:val="000000" w:themeColor="text1" w:themeTint="FF" w:themeShade="FF"/>
          <w:sz w:val="24"/>
          <w:szCs w:val="24"/>
        </w:rPr>
        <w:t>International journal of Nursing studies</w:t>
      </w:r>
      <w:r w:rsidRPr="5D45256D" w:rsidR="1571A20D">
        <w:rPr>
          <w:rFonts w:ascii="Arial" w:hAnsi="Arial" w:eastAsia="Arial" w:cs="Arial"/>
          <w:color w:val="000000" w:themeColor="text1" w:themeTint="FF" w:themeShade="FF"/>
          <w:sz w:val="24"/>
          <w:szCs w:val="24"/>
        </w:rPr>
        <w:t>, 174, pp.10530</w:t>
      </w:r>
      <w:r w:rsidRPr="5D45256D" w:rsidR="0FCC65F8">
        <w:rPr>
          <w:rFonts w:ascii="Arial" w:hAnsi="Arial" w:eastAsia="Arial" w:cs="Arial"/>
          <w:color w:val="000000" w:themeColor="text1" w:themeTint="FF" w:themeShade="FF"/>
          <w:sz w:val="24"/>
          <w:szCs w:val="24"/>
        </w:rPr>
        <w:t>4-105304</w:t>
      </w:r>
      <w:r w:rsidRPr="5D45256D" w:rsidR="16EB5AA4">
        <w:rPr>
          <w:rFonts w:ascii="Arial" w:hAnsi="Arial" w:eastAsia="Arial" w:cs="Arial"/>
          <w:color w:val="000000" w:themeColor="text1" w:themeTint="FF" w:themeShade="FF"/>
          <w:sz w:val="24"/>
          <w:szCs w:val="24"/>
        </w:rPr>
        <w:t xml:space="preserve"> </w:t>
      </w:r>
      <w:hyperlink r:id="R399c263f32b247da">
        <w:r w:rsidRPr="5D45256D" w:rsidR="49A4BAAE">
          <w:rPr>
            <w:rStyle w:val="Hyperlink"/>
            <w:rFonts w:ascii="Arial" w:hAnsi="Arial" w:eastAsia="Arial" w:cs="Arial"/>
          </w:rPr>
          <w:t>&lt;</w:t>
        </w:r>
        <w:hyperlink r:id="R2ccecc14b25a4494">
          <w:r w:rsidRPr="5D45256D" w:rsidR="16EB5AA4">
            <w:rPr>
              <w:rStyle w:val="Hyperlink"/>
              <w:rFonts w:ascii="Arial" w:hAnsi="Arial" w:eastAsia="Arial" w:cs="Arial"/>
            </w:rPr>
            <w:t>https://doi.org/10.1016/j.ijnurstu.2025</w:t>
          </w:r>
          <w:r w:rsidRPr="5D45256D" w:rsidR="340CAD27">
            <w:rPr>
              <w:rStyle w:val="Hyperlink"/>
              <w:rFonts w:ascii="Arial" w:hAnsi="Arial" w:eastAsia="Arial" w:cs="Arial"/>
            </w:rPr>
            <w:t xml:space="preserve">&gt;    </w:t>
          </w:r>
          <w:r w:rsidRPr="5D45256D" w:rsidR="643D8D23">
            <w:rPr>
              <w:rStyle w:val="Hyperlink"/>
              <w:rFonts w:ascii="Arial" w:hAnsi="Arial" w:eastAsia="Arial" w:cs="Arial"/>
            </w:rPr>
            <w:t xml:space="preserve"> </w:t>
          </w:r>
        </w:hyperlink>
      </w:hyperlink>
    </w:p>
    <w:p w:rsidR="1C676FFE" w:rsidP="5D45256D" w:rsidRDefault="1C676FFE" w14:paraId="47B1B0A3" w14:textId="4B8694C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C676FFE">
        <w:rPr>
          <w:rFonts w:ascii="Arial" w:hAnsi="Arial" w:eastAsia="Arial" w:cs="Arial"/>
          <w:color w:val="000000" w:themeColor="text1" w:themeTint="FF" w:themeShade="FF"/>
          <w:sz w:val="24"/>
          <w:szCs w:val="24"/>
        </w:rPr>
        <w:t>Daly, T.J. (2025). The impact of staffing structures in long-term care homes on the quality of work-life and work outcomes of care-workers: A narrative scoping review. International journal of Nursing studies, 174, pp.105304–105304.</w:t>
      </w:r>
    </w:p>
    <w:p w:rsidR="633584B5" w:rsidP="5D45256D" w:rsidRDefault="633584B5" w14:paraId="7681F897" w14:textId="788D109B">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22b8bb3f3e86443d">
        <w:r w:rsidRPr="5D45256D" w:rsidR="633584B5">
          <w:rPr>
            <w:rStyle w:val="Hyperlink"/>
            <w:rFonts w:ascii="Arial" w:hAnsi="Arial" w:eastAsia="Arial" w:cs="Arial"/>
          </w:rPr>
          <w:t>https://doi.org/10.1016/j.ijnurstu.2025.105304</w:t>
        </w:r>
      </w:hyperlink>
      <w:r w:rsidRPr="5D45256D" w:rsidR="633584B5">
        <w:rPr>
          <w:rFonts w:ascii="Arial" w:hAnsi="Arial" w:eastAsia="Arial" w:cs="Arial"/>
          <w:color w:val="000000" w:themeColor="text1" w:themeTint="FF" w:themeShade="FF"/>
          <w:sz w:val="24"/>
          <w:szCs w:val="24"/>
        </w:rPr>
        <w:t xml:space="preserve">. </w:t>
      </w:r>
    </w:p>
    <w:p w:rsidR="1571A20D" w:rsidP="5D45256D" w:rsidRDefault="1571A20D" w14:paraId="536730E2" w14:textId="17FC03EE">
      <w:pPr>
        <w:pStyle w:val="Normal"/>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Dehalwar</w:t>
      </w:r>
      <w:r w:rsidRPr="5D45256D" w:rsidR="1571A20D">
        <w:rPr>
          <w:rFonts w:ascii="Arial" w:hAnsi="Arial" w:eastAsia="Arial" w:cs="Arial"/>
          <w:color w:val="000000" w:themeColor="text1" w:themeTint="FF" w:themeShade="FF"/>
          <w:sz w:val="24"/>
          <w:szCs w:val="24"/>
        </w:rPr>
        <w:t xml:space="preserve">, K. and Sharma, S.N. (2024). Exploring the distinctions between quantitative and qualitative research methods. </w:t>
      </w:r>
      <w:r w:rsidRPr="5D45256D" w:rsidR="1571A20D">
        <w:rPr>
          <w:rFonts w:ascii="Arial" w:hAnsi="Arial" w:eastAsia="Arial" w:cs="Arial"/>
          <w:i w:val="1"/>
          <w:iCs w:val="1"/>
          <w:color w:val="000000" w:themeColor="text1" w:themeTint="FF" w:themeShade="FF"/>
          <w:sz w:val="24"/>
          <w:szCs w:val="24"/>
        </w:rPr>
        <w:t xml:space="preserve">Think </w:t>
      </w:r>
      <w:r w:rsidRPr="5D45256D" w:rsidR="1571A20D">
        <w:rPr>
          <w:rFonts w:ascii="Arial" w:hAnsi="Arial" w:eastAsia="Arial" w:cs="Arial"/>
          <w:i w:val="1"/>
          <w:iCs w:val="1"/>
          <w:color w:val="000000" w:themeColor="text1" w:themeTint="FF" w:themeShade="FF"/>
          <w:sz w:val="24"/>
          <w:szCs w:val="24"/>
        </w:rPr>
        <w:t>india</w:t>
      </w:r>
      <w:r w:rsidRPr="5D45256D" w:rsidR="1571A20D">
        <w:rPr>
          <w:rFonts w:ascii="Arial" w:hAnsi="Arial" w:eastAsia="Arial" w:cs="Arial"/>
          <w:i w:val="1"/>
          <w:iCs w:val="1"/>
          <w:color w:val="000000" w:themeColor="text1" w:themeTint="FF" w:themeShade="FF"/>
          <w:sz w:val="24"/>
          <w:szCs w:val="24"/>
        </w:rPr>
        <w:t xml:space="preserve"> quarterly</w:t>
      </w:r>
      <w:r w:rsidRPr="5D45256D" w:rsidR="1571A20D">
        <w:rPr>
          <w:rFonts w:ascii="Arial" w:hAnsi="Arial" w:eastAsia="Arial" w:cs="Arial"/>
          <w:color w:val="000000" w:themeColor="text1" w:themeTint="FF" w:themeShade="FF"/>
          <w:sz w:val="24"/>
          <w:szCs w:val="24"/>
        </w:rPr>
        <w:t xml:space="preserve">, [online] 27(1), pp.7–15. Available at: </w:t>
      </w:r>
      <w:hyperlink r:id="R57ba57b44b624ec9">
        <w:r w:rsidRPr="5D45256D" w:rsidR="1571A20D">
          <w:rPr>
            <w:rStyle w:val="Hyperlink"/>
            <w:rFonts w:ascii="Arial" w:hAnsi="Arial" w:eastAsia="Arial" w:cs="Arial"/>
          </w:rPr>
          <w:t>https://zenodo.org/records/10553000</w:t>
        </w:r>
      </w:hyperlink>
      <w:r w:rsidRPr="5D45256D" w:rsidR="1571A20D">
        <w:rPr>
          <w:rFonts w:ascii="Arial" w:hAnsi="Arial" w:eastAsia="Arial" w:cs="Arial"/>
          <w:color w:val="000000" w:themeColor="text1" w:themeTint="FF" w:themeShade="FF"/>
          <w:sz w:val="24"/>
          <w:szCs w:val="24"/>
        </w:rPr>
        <w:t xml:space="preserve"> [Accessed 25 July 2026].</w:t>
      </w:r>
    </w:p>
    <w:p w:rsidR="1571A20D" w:rsidP="5D45256D" w:rsidRDefault="1571A20D" w14:paraId="1A4BC979" w14:textId="4A7D01BE">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 xml:space="preserve">Demerouti, E. (2025). Job demands-resources and conservation of resources theories: How do they help to explain employee well-being and future job design? </w:t>
      </w:r>
      <w:r w:rsidRPr="5D45256D" w:rsidR="1571A20D">
        <w:rPr>
          <w:rFonts w:ascii="Arial" w:hAnsi="Arial" w:eastAsia="Arial" w:cs="Arial"/>
          <w:i w:val="1"/>
          <w:iCs w:val="1"/>
          <w:color w:val="000000" w:themeColor="text1" w:themeTint="FF" w:themeShade="FF"/>
          <w:sz w:val="24"/>
          <w:szCs w:val="24"/>
        </w:rPr>
        <w:t>Journal of Business research</w:t>
      </w:r>
      <w:r w:rsidRPr="5D45256D" w:rsidR="1571A20D">
        <w:rPr>
          <w:rFonts w:ascii="Arial" w:hAnsi="Arial" w:eastAsia="Arial" w:cs="Arial"/>
          <w:color w:val="000000" w:themeColor="text1" w:themeTint="FF" w:themeShade="FF"/>
          <w:sz w:val="24"/>
          <w:szCs w:val="24"/>
        </w:rPr>
        <w:t xml:space="preserve">, 192(115296). </w:t>
      </w:r>
      <w:hyperlink r:id="R6541b408a3974025">
        <w:r w:rsidRPr="5D45256D" w:rsidR="1571A20D">
          <w:rPr>
            <w:rStyle w:val="Hyperlink"/>
            <w:rFonts w:ascii="Arial" w:hAnsi="Arial" w:eastAsia="Arial" w:cs="Arial"/>
          </w:rPr>
          <w:t>doi:10.1016/j.jbusres.2025.115296.</w:t>
        </w:r>
      </w:hyperlink>
      <w:r w:rsidRPr="5D45256D" w:rsidR="20D9D57C">
        <w:rPr>
          <w:rFonts w:ascii="Arial" w:hAnsi="Arial" w:eastAsia="Arial" w:cs="Arial"/>
        </w:rPr>
        <w:t xml:space="preserve"> </w:t>
      </w:r>
    </w:p>
    <w:p w:rsidR="1571A20D" w:rsidP="5D45256D" w:rsidRDefault="1571A20D" w14:paraId="1F343893" w14:textId="7E48E49E">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Elufioye, O.A., Ndubuisi, N.L., Daraojimba, R.E. and Asuzu, O.F. (2024). </w:t>
      </w:r>
      <w:r w:rsidRPr="5D45256D" w:rsidR="1571A20D">
        <w:rPr>
          <w:rFonts w:ascii="Arial" w:hAnsi="Arial" w:eastAsia="Arial" w:cs="Arial"/>
          <w:i w:val="1"/>
          <w:iCs w:val="1"/>
          <w:color w:val="000000" w:themeColor="text1" w:themeTint="FF" w:themeShade="FF"/>
          <w:sz w:val="24"/>
          <w:szCs w:val="24"/>
        </w:rPr>
        <w:t>Reviewing employee well-being and mental health initiatives in contemporary HR Practices</w:t>
      </w:r>
      <w:r w:rsidRPr="5D45256D" w:rsidR="1571A20D">
        <w:rPr>
          <w:rFonts w:ascii="Arial" w:hAnsi="Arial" w:eastAsia="Arial" w:cs="Arial"/>
          <w:color w:val="000000" w:themeColor="text1" w:themeTint="FF" w:themeShade="FF"/>
          <w:sz w:val="24"/>
          <w:szCs w:val="24"/>
        </w:rPr>
        <w:t xml:space="preserve">. [online] </w:t>
      </w:r>
      <w:r w:rsidRPr="5D45256D" w:rsidR="1571A20D">
        <w:rPr>
          <w:rFonts w:ascii="Arial" w:hAnsi="Arial" w:eastAsia="Arial" w:cs="Arial"/>
          <w:i w:val="1"/>
          <w:iCs w:val="1"/>
          <w:color w:val="000000" w:themeColor="text1" w:themeTint="FF" w:themeShade="FF"/>
          <w:sz w:val="24"/>
          <w:szCs w:val="24"/>
        </w:rPr>
        <w:t>ResearchGate</w:t>
      </w:r>
      <w:r w:rsidRPr="5D45256D" w:rsidR="1571A20D">
        <w:rPr>
          <w:rFonts w:ascii="Arial" w:hAnsi="Arial" w:eastAsia="Arial" w:cs="Arial"/>
          <w:color w:val="000000" w:themeColor="text1" w:themeTint="FF" w:themeShade="FF"/>
          <w:sz w:val="24"/>
          <w:szCs w:val="24"/>
        </w:rPr>
        <w:t xml:space="preserve">. GSC Online Press. Available at: </w:t>
      </w:r>
      <w:hyperlink r:id="R1be917e13200445a">
        <w:r w:rsidRPr="5D45256D" w:rsidR="1571A20D">
          <w:rPr>
            <w:rStyle w:val="Hyperlink"/>
            <w:rFonts w:ascii="Arial" w:hAnsi="Arial" w:eastAsia="Arial" w:cs="Arial"/>
            <w:strike w:val="0"/>
            <w:dstrike w:val="0"/>
            <w:color w:val="0563C1"/>
            <w:u w:val="single"/>
          </w:rPr>
          <w:t>https://www.researchgate.net/publication/377901091_Reviewing_employee_well-being_and_mental_health_initiatives_in_contemporary_HR_Practices</w:t>
        </w:r>
      </w:hyperlink>
      <w:r w:rsidRPr="5D45256D" w:rsidR="1571A20D">
        <w:rPr>
          <w:rFonts w:ascii="Arial" w:hAnsi="Arial" w:eastAsia="Arial" w:cs="Arial"/>
          <w:color w:val="000000" w:themeColor="text1" w:themeTint="FF" w:themeShade="FF"/>
          <w:sz w:val="24"/>
          <w:szCs w:val="24"/>
        </w:rPr>
        <w:t>.</w:t>
      </w:r>
    </w:p>
    <w:p w:rsidR="1571A20D" w:rsidP="5D45256D" w:rsidRDefault="1571A20D" w14:paraId="0631CBD0" w14:textId="74FDD2D5">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Endalamaw</w:t>
      </w:r>
      <w:r w:rsidRPr="5D45256D" w:rsidR="1571A20D">
        <w:rPr>
          <w:rFonts w:ascii="Arial" w:hAnsi="Arial" w:eastAsia="Arial" w:cs="Arial"/>
          <w:color w:val="000000" w:themeColor="text1" w:themeTint="FF" w:themeShade="FF"/>
          <w:sz w:val="24"/>
          <w:szCs w:val="24"/>
        </w:rPr>
        <w:t xml:space="preserve">, A., Khatri, R.B., Erku, D., Zewdie, A., </w:t>
      </w:r>
      <w:r w:rsidRPr="5D45256D" w:rsidR="1571A20D">
        <w:rPr>
          <w:rFonts w:ascii="Arial" w:hAnsi="Arial" w:eastAsia="Arial" w:cs="Arial"/>
          <w:color w:val="000000" w:themeColor="text1" w:themeTint="FF" w:themeShade="FF"/>
          <w:sz w:val="24"/>
          <w:szCs w:val="24"/>
        </w:rPr>
        <w:t>Wolka</w:t>
      </w:r>
      <w:r w:rsidRPr="5D45256D" w:rsidR="1571A20D">
        <w:rPr>
          <w:rFonts w:ascii="Arial" w:hAnsi="Arial" w:eastAsia="Arial" w:cs="Arial"/>
          <w:color w:val="000000" w:themeColor="text1" w:themeTint="FF" w:themeShade="FF"/>
          <w:sz w:val="24"/>
          <w:szCs w:val="24"/>
        </w:rPr>
        <w:t xml:space="preserve">, E., Nigatu, F. and Assefa, Y. (2024). Barriers and strategies for primary health care workforce development: Synthesis of evidence. </w:t>
      </w:r>
      <w:r w:rsidRPr="5D45256D" w:rsidR="1571A20D">
        <w:rPr>
          <w:rFonts w:ascii="Arial" w:hAnsi="Arial" w:eastAsia="Arial" w:cs="Arial"/>
          <w:i w:val="1"/>
          <w:iCs w:val="1"/>
          <w:color w:val="000000" w:themeColor="text1" w:themeTint="FF" w:themeShade="FF"/>
          <w:sz w:val="24"/>
          <w:szCs w:val="24"/>
        </w:rPr>
        <w:t>BMC primary care</w:t>
      </w:r>
      <w:r w:rsidRPr="5D45256D" w:rsidR="1571A20D">
        <w:rPr>
          <w:rFonts w:ascii="Arial" w:hAnsi="Arial" w:eastAsia="Arial" w:cs="Arial"/>
          <w:color w:val="000000" w:themeColor="text1" w:themeTint="FF" w:themeShade="FF"/>
          <w:sz w:val="24"/>
          <w:szCs w:val="24"/>
        </w:rPr>
        <w:t xml:space="preserve">, 25(1). </w:t>
      </w:r>
      <w:hyperlink r:id="Re79194357e664f62">
        <w:r w:rsidRPr="5D45256D" w:rsidR="36C8685B">
          <w:rPr>
            <w:rStyle w:val="Hyperlink"/>
            <w:rFonts w:ascii="Arial" w:hAnsi="Arial" w:eastAsia="Arial" w:cs="Arial"/>
          </w:rPr>
          <w:t>https://doi</w:t>
        </w:r>
        <w:r w:rsidRPr="5D45256D" w:rsidR="25EAAD00">
          <w:rPr>
            <w:rStyle w:val="Hyperlink"/>
            <w:rFonts w:ascii="Arial" w:hAnsi="Arial" w:eastAsia="Arial" w:cs="Arial"/>
          </w:rPr>
          <w:t>.org/10.</w:t>
        </w:r>
        <w:r w:rsidRPr="5D45256D" w:rsidR="47961334">
          <w:rPr>
            <w:rStyle w:val="Hyperlink"/>
            <w:rFonts w:ascii="Arial" w:hAnsi="Arial" w:eastAsia="Arial" w:cs="Arial"/>
          </w:rPr>
          <w:t>1186/s12875-024-02336-1</w:t>
        </w:r>
      </w:hyperlink>
    </w:p>
    <w:p w:rsidR="5D45256D" w:rsidP="5D45256D" w:rsidRDefault="5D45256D" w14:paraId="1D36D3C9" w14:textId="5D06C636">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p>
    <w:p w:rsidR="5D45256D" w:rsidP="5D45256D" w:rsidRDefault="5D45256D" w14:paraId="4DBCF06A" w14:textId="368448F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p>
    <w:p w:rsidR="1571A20D" w:rsidP="5D45256D" w:rsidRDefault="1571A20D" w14:paraId="3B0A6AEA" w14:textId="32FA74B3">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Farooq, M.J. and Shaikh, O.A. (2025). Impact of compensation and work environment on job satisfaction and employee retention. </w:t>
      </w:r>
      <w:r w:rsidRPr="5D45256D" w:rsidR="1571A20D">
        <w:rPr>
          <w:rFonts w:ascii="Arial" w:hAnsi="Arial" w:eastAsia="Arial" w:cs="Arial"/>
          <w:i w:val="1"/>
          <w:iCs w:val="1"/>
          <w:color w:val="000000" w:themeColor="text1" w:themeTint="FF" w:themeShade="FF"/>
          <w:sz w:val="24"/>
          <w:szCs w:val="24"/>
        </w:rPr>
        <w:t>Journal of Social and Organizational Matters</w:t>
      </w:r>
      <w:r w:rsidRPr="5D45256D" w:rsidR="1571A20D">
        <w:rPr>
          <w:rFonts w:ascii="Arial" w:hAnsi="Arial" w:eastAsia="Arial" w:cs="Arial"/>
          <w:color w:val="000000" w:themeColor="text1" w:themeTint="FF" w:themeShade="FF"/>
          <w:sz w:val="24"/>
          <w:szCs w:val="24"/>
        </w:rPr>
        <w:t xml:space="preserve">, 4(4), pp.451–475. </w:t>
      </w:r>
      <w:hyperlink r:id="Rf742ce34859f4865">
        <w:r w:rsidRPr="5D45256D" w:rsidR="1571A20D">
          <w:rPr>
            <w:rStyle w:val="Hyperlink"/>
            <w:rFonts w:ascii="Arial" w:hAnsi="Arial" w:eastAsia="Arial" w:cs="Arial"/>
            <w:strike w:val="0"/>
            <w:dstrike w:val="0"/>
            <w:color w:val="0563C1"/>
            <w:u w:val="single"/>
          </w:rPr>
          <w:t>https://doi.org/10.56976/jsom.v4i4.361</w:t>
        </w:r>
      </w:hyperlink>
      <w:r w:rsidRPr="5D45256D" w:rsidR="1571A20D">
        <w:rPr>
          <w:rFonts w:ascii="Arial" w:hAnsi="Arial" w:eastAsia="Arial" w:cs="Arial"/>
          <w:color w:val="000000" w:themeColor="text1" w:themeTint="FF" w:themeShade="FF"/>
          <w:sz w:val="24"/>
          <w:szCs w:val="24"/>
        </w:rPr>
        <w:t>.</w:t>
      </w:r>
    </w:p>
    <w:p w:rsidR="1571A20D" w:rsidP="5D45256D" w:rsidRDefault="1571A20D" w14:paraId="6E3FB070" w14:textId="351B5E01">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Gamage, A.N.K.K. (2025). Research design, philosophy, and quantitative approaches in scientific research methodology. </w:t>
      </w:r>
      <w:r w:rsidRPr="5D45256D" w:rsidR="1571A20D">
        <w:rPr>
          <w:rFonts w:ascii="Arial" w:hAnsi="Arial" w:eastAsia="Arial" w:cs="Arial"/>
          <w:i w:val="1"/>
          <w:iCs w:val="1"/>
          <w:color w:val="000000" w:themeColor="text1" w:themeTint="FF" w:themeShade="FF"/>
          <w:sz w:val="24"/>
          <w:szCs w:val="24"/>
        </w:rPr>
        <w:t>Scholars journal of Engineering and technology</w:t>
      </w:r>
      <w:r w:rsidRPr="5D45256D" w:rsidR="1571A20D">
        <w:rPr>
          <w:rFonts w:ascii="Arial" w:hAnsi="Arial" w:eastAsia="Arial" w:cs="Arial"/>
          <w:color w:val="000000" w:themeColor="text1" w:themeTint="FF" w:themeShade="FF"/>
          <w:sz w:val="24"/>
          <w:szCs w:val="24"/>
        </w:rPr>
        <w:t>, 13(02), pp.91–103.</w:t>
      </w:r>
    </w:p>
    <w:p w:rsidR="2FFE3F63" w:rsidP="5D45256D" w:rsidRDefault="2FFE3F63" w14:paraId="54147079" w14:textId="01C2B0BB">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9c2c76409a694e10">
        <w:r w:rsidRPr="5D45256D" w:rsidR="2FFE3F63">
          <w:rPr>
            <w:rStyle w:val="Hyperlink"/>
            <w:rFonts w:ascii="Arial" w:hAnsi="Arial" w:eastAsia="Arial" w:cs="Arial"/>
          </w:rPr>
          <w:t>https://doi.org/10.36347/sjet.2025.v13i02.004</w:t>
        </w:r>
      </w:hyperlink>
      <w:r w:rsidRPr="5D45256D" w:rsidR="2FFE3F63">
        <w:rPr>
          <w:rFonts w:ascii="Arial" w:hAnsi="Arial" w:eastAsia="Arial" w:cs="Arial"/>
          <w:color w:val="000000" w:themeColor="text1" w:themeTint="FF" w:themeShade="FF"/>
          <w:sz w:val="24"/>
          <w:szCs w:val="24"/>
        </w:rPr>
        <w:t xml:space="preserve"> </w:t>
      </w:r>
    </w:p>
    <w:p w:rsidR="1571A20D" w:rsidP="5D45256D" w:rsidRDefault="1571A20D" w14:paraId="150DA424" w14:textId="3DCA093F">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GOV.UK (2025). </w:t>
      </w:r>
      <w:r w:rsidRPr="5D45256D" w:rsidR="1571A20D">
        <w:rPr>
          <w:rFonts w:ascii="Arial" w:hAnsi="Arial" w:eastAsia="Arial" w:cs="Arial"/>
          <w:i w:val="1"/>
          <w:iCs w:val="1"/>
          <w:color w:val="000000" w:themeColor="text1" w:themeTint="FF" w:themeShade="FF"/>
          <w:sz w:val="24"/>
          <w:szCs w:val="24"/>
        </w:rPr>
        <w:t>Adult social care workforce survey: April 2025</w:t>
      </w:r>
      <w:r w:rsidRPr="5D45256D" w:rsidR="1571A20D">
        <w:rPr>
          <w:rFonts w:ascii="Arial" w:hAnsi="Arial" w:eastAsia="Arial" w:cs="Arial"/>
          <w:color w:val="000000" w:themeColor="text1" w:themeTint="FF" w:themeShade="FF"/>
          <w:sz w:val="24"/>
          <w:szCs w:val="24"/>
        </w:rPr>
        <w:t xml:space="preserve">. [online] </w:t>
      </w:r>
      <w:r w:rsidRPr="5D45256D" w:rsidR="1571A20D">
        <w:rPr>
          <w:rFonts w:ascii="Arial" w:hAnsi="Arial" w:eastAsia="Arial" w:cs="Arial"/>
          <w:i w:val="1"/>
          <w:iCs w:val="1"/>
          <w:color w:val="000000" w:themeColor="text1" w:themeTint="FF" w:themeShade="FF"/>
          <w:sz w:val="24"/>
          <w:szCs w:val="24"/>
        </w:rPr>
        <w:t>GOV.UK</w:t>
      </w:r>
      <w:r w:rsidRPr="5D45256D" w:rsidR="1571A20D">
        <w:rPr>
          <w:rFonts w:ascii="Arial" w:hAnsi="Arial" w:eastAsia="Arial" w:cs="Arial"/>
          <w:color w:val="000000" w:themeColor="text1" w:themeTint="FF" w:themeShade="FF"/>
          <w:sz w:val="24"/>
          <w:szCs w:val="24"/>
        </w:rPr>
        <w:t xml:space="preserve">. Available at: </w:t>
      </w:r>
      <w:hyperlink r:id="Rc20fad7520c549c3">
        <w:r w:rsidRPr="5D45256D" w:rsidR="1571A20D">
          <w:rPr>
            <w:rStyle w:val="Hyperlink"/>
            <w:rFonts w:ascii="Arial" w:hAnsi="Arial" w:eastAsia="Arial" w:cs="Arial"/>
            <w:strike w:val="0"/>
            <w:dstrike w:val="0"/>
            <w:color w:val="0563C1"/>
            <w:u w:val="single"/>
          </w:rPr>
          <w:t>https://www.gov.uk/government/statistics/adult-social-care-workforce-survey-april-2025</w:t>
        </w:r>
      </w:hyperlink>
      <w:r w:rsidRPr="5D45256D" w:rsidR="1571A20D">
        <w:rPr>
          <w:rFonts w:ascii="Arial" w:hAnsi="Arial" w:eastAsia="Arial" w:cs="Arial"/>
          <w:color w:val="000000" w:themeColor="text1" w:themeTint="FF" w:themeShade="FF"/>
          <w:sz w:val="24"/>
          <w:szCs w:val="24"/>
        </w:rPr>
        <w:t>.</w:t>
      </w:r>
    </w:p>
    <w:p w:rsidR="1571A20D" w:rsidP="5D45256D" w:rsidRDefault="1571A20D" w14:paraId="3D51EDDD" w14:textId="03373F2D">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Hall, S. (2025). </w:t>
      </w:r>
      <w:r w:rsidRPr="5D45256D" w:rsidR="1571A20D">
        <w:rPr>
          <w:rFonts w:ascii="Arial" w:hAnsi="Arial" w:eastAsia="Arial" w:cs="Arial"/>
          <w:i w:val="1"/>
          <w:iCs w:val="1"/>
          <w:color w:val="000000" w:themeColor="text1" w:themeTint="FF" w:themeShade="FF"/>
          <w:sz w:val="24"/>
          <w:szCs w:val="24"/>
        </w:rPr>
        <w:t>“We urge government to take note”: NCA responds to Skills for care report</w:t>
      </w:r>
      <w:r w:rsidRPr="5D45256D" w:rsidR="1571A20D">
        <w:rPr>
          <w:rFonts w:ascii="Arial" w:hAnsi="Arial" w:eastAsia="Arial" w:cs="Arial"/>
          <w:color w:val="000000" w:themeColor="text1" w:themeTint="FF" w:themeShade="FF"/>
          <w:sz w:val="24"/>
          <w:szCs w:val="24"/>
        </w:rPr>
        <w:t xml:space="preserve">. [online] Care home professional. Available at: </w:t>
      </w:r>
      <w:hyperlink r:id="Rdb0332288ac74e73">
        <w:r w:rsidRPr="5D45256D" w:rsidR="1571A20D">
          <w:rPr>
            <w:rStyle w:val="Hyperlink"/>
            <w:rFonts w:ascii="Arial" w:hAnsi="Arial" w:eastAsia="Arial" w:cs="Arial"/>
          </w:rPr>
          <w:t>https://www.carehomeprofessional.com/nca-on-skills-for-care-report/</w:t>
        </w:r>
      </w:hyperlink>
      <w:r w:rsidRPr="5D45256D" w:rsidR="1571A20D">
        <w:rPr>
          <w:rFonts w:ascii="Arial" w:hAnsi="Arial" w:eastAsia="Arial" w:cs="Arial"/>
          <w:color w:val="000000" w:themeColor="text1" w:themeTint="FF" w:themeShade="FF"/>
          <w:sz w:val="24"/>
          <w:szCs w:val="24"/>
        </w:rPr>
        <w:t xml:space="preserve"> [Accessed 17 July 2026].</w:t>
      </w:r>
    </w:p>
    <w:p w:rsidR="1571A20D" w:rsidP="5D45256D" w:rsidRDefault="1571A20D" w14:paraId="10AFDB6B" w14:textId="732AA911">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Ihensekien</w:t>
      </w:r>
      <w:r w:rsidRPr="5D45256D" w:rsidR="1571A20D">
        <w:rPr>
          <w:rFonts w:ascii="Arial" w:hAnsi="Arial" w:eastAsia="Arial" w:cs="Arial"/>
          <w:color w:val="000000" w:themeColor="text1" w:themeTint="FF" w:themeShade="FF"/>
          <w:sz w:val="24"/>
          <w:szCs w:val="24"/>
        </w:rPr>
        <w:t xml:space="preserve">, O.A. and Joel, A.C. (2023). Abraham Maslow’s hierarchy of Needs and </w:t>
      </w:r>
      <w:r w:rsidRPr="5D45256D" w:rsidR="1571A20D">
        <w:rPr>
          <w:rFonts w:ascii="Arial" w:hAnsi="Arial" w:eastAsia="Arial" w:cs="Arial"/>
          <w:color w:val="000000" w:themeColor="text1" w:themeTint="FF" w:themeShade="FF"/>
          <w:sz w:val="24"/>
          <w:szCs w:val="24"/>
        </w:rPr>
        <w:t>frederick</w:t>
      </w:r>
      <w:r w:rsidRPr="5D45256D" w:rsidR="1571A20D">
        <w:rPr>
          <w:rFonts w:ascii="Arial" w:hAnsi="Arial" w:eastAsia="Arial" w:cs="Arial"/>
          <w:color w:val="000000" w:themeColor="text1" w:themeTint="FF" w:themeShade="FF"/>
          <w:sz w:val="24"/>
          <w:szCs w:val="24"/>
        </w:rPr>
        <w:t xml:space="preserve"> Herzberg’s two-factor motivation theories: Implications for Organizational performance. </w:t>
      </w:r>
      <w:r w:rsidRPr="5D45256D" w:rsidR="1571A20D">
        <w:rPr>
          <w:rFonts w:ascii="Arial" w:hAnsi="Arial" w:eastAsia="Arial" w:cs="Arial"/>
          <w:i w:val="1"/>
          <w:iCs w:val="1"/>
          <w:color w:val="000000" w:themeColor="text1" w:themeTint="FF" w:themeShade="FF"/>
          <w:sz w:val="24"/>
          <w:szCs w:val="24"/>
        </w:rPr>
        <w:t xml:space="preserve">The </w:t>
      </w:r>
      <w:r w:rsidRPr="5D45256D" w:rsidR="1571A20D">
        <w:rPr>
          <w:rFonts w:ascii="Arial" w:hAnsi="Arial" w:eastAsia="Arial" w:cs="Arial"/>
          <w:i w:val="1"/>
          <w:iCs w:val="1"/>
          <w:color w:val="000000" w:themeColor="text1" w:themeTint="FF" w:themeShade="FF"/>
          <w:sz w:val="24"/>
          <w:szCs w:val="24"/>
        </w:rPr>
        <w:t>romanian</w:t>
      </w:r>
      <w:r w:rsidRPr="5D45256D" w:rsidR="1571A20D">
        <w:rPr>
          <w:rFonts w:ascii="Arial" w:hAnsi="Arial" w:eastAsia="Arial" w:cs="Arial"/>
          <w:i w:val="1"/>
          <w:iCs w:val="1"/>
          <w:color w:val="000000" w:themeColor="text1" w:themeTint="FF" w:themeShade="FF"/>
          <w:sz w:val="24"/>
          <w:szCs w:val="24"/>
        </w:rPr>
        <w:t xml:space="preserve"> economic journal</w:t>
      </w:r>
      <w:r w:rsidRPr="5D45256D" w:rsidR="1571A20D">
        <w:rPr>
          <w:rFonts w:ascii="Arial" w:hAnsi="Arial" w:eastAsia="Arial" w:cs="Arial"/>
          <w:color w:val="000000" w:themeColor="text1" w:themeTint="FF" w:themeShade="FF"/>
          <w:sz w:val="24"/>
          <w:szCs w:val="24"/>
        </w:rPr>
        <w:t xml:space="preserve">, 26(85), pp.31–48. </w:t>
      </w:r>
    </w:p>
    <w:p w:rsidR="5FEE5FC9" w:rsidP="5D45256D" w:rsidRDefault="5FEE5FC9" w14:paraId="1C8C7A83" w14:textId="28B6077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644b14f8cc0b4239">
        <w:r w:rsidRPr="5D45256D" w:rsidR="5FEE5FC9">
          <w:rPr>
            <w:rStyle w:val="Hyperlink"/>
            <w:rFonts w:ascii="Arial" w:hAnsi="Arial" w:eastAsia="Arial" w:cs="Arial"/>
          </w:rPr>
          <w:t>https://doi.org/10.24818/REJ/2023/85/04</w:t>
        </w:r>
      </w:hyperlink>
      <w:r w:rsidRPr="5D45256D" w:rsidR="5FEE5FC9">
        <w:rPr>
          <w:rFonts w:ascii="Arial" w:hAnsi="Arial" w:eastAsia="Arial" w:cs="Arial"/>
          <w:color w:val="000000" w:themeColor="text1" w:themeTint="FF" w:themeShade="FF"/>
          <w:sz w:val="24"/>
          <w:szCs w:val="24"/>
        </w:rPr>
        <w:t xml:space="preserve"> </w:t>
      </w:r>
    </w:p>
    <w:p w:rsidR="5D45256D" w:rsidP="5D45256D" w:rsidRDefault="5D45256D" w14:paraId="703E0747" w14:textId="46B26196">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p>
    <w:p w:rsidR="1571A20D" w:rsidP="5D45256D" w:rsidRDefault="1571A20D" w14:paraId="3E3C6E3D" w14:textId="1A6C0A81">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Jiatong, W., Wang, Z., Alam, M., Murad, M., Gul, </w:t>
      </w:r>
      <w:r w:rsidRPr="5D45256D" w:rsidR="1571A20D">
        <w:rPr>
          <w:rFonts w:ascii="Arial" w:hAnsi="Arial" w:eastAsia="Arial" w:cs="Arial"/>
          <w:color w:val="000000" w:themeColor="text1" w:themeTint="FF" w:themeShade="FF"/>
          <w:sz w:val="24"/>
          <w:szCs w:val="24"/>
        </w:rPr>
        <w:t>F.</w:t>
      </w:r>
      <w:r w:rsidRPr="5D45256D" w:rsidR="1571A20D">
        <w:rPr>
          <w:rFonts w:ascii="Arial" w:hAnsi="Arial" w:eastAsia="Arial" w:cs="Arial"/>
          <w:color w:val="000000" w:themeColor="text1" w:themeTint="FF" w:themeShade="FF"/>
          <w:sz w:val="24"/>
          <w:szCs w:val="24"/>
        </w:rPr>
        <w:t xml:space="preserve"> and Gill, S.A. (2022). The impact of transformational leadership on affective organizational commitment and job performance: The mediating role of employee engagement. </w:t>
      </w:r>
      <w:r w:rsidRPr="5D45256D" w:rsidR="1571A20D">
        <w:rPr>
          <w:rFonts w:ascii="Arial" w:hAnsi="Arial" w:eastAsia="Arial" w:cs="Arial"/>
          <w:i w:val="1"/>
          <w:iCs w:val="1"/>
          <w:color w:val="000000" w:themeColor="text1" w:themeTint="FF" w:themeShade="FF"/>
          <w:sz w:val="24"/>
          <w:szCs w:val="24"/>
        </w:rPr>
        <w:t>Frontiers in psychology</w:t>
      </w:r>
      <w:r w:rsidRPr="5D45256D" w:rsidR="1571A20D">
        <w:rPr>
          <w:rFonts w:ascii="Arial" w:hAnsi="Arial" w:eastAsia="Arial" w:cs="Arial"/>
          <w:color w:val="000000" w:themeColor="text1" w:themeTint="FF" w:themeShade="FF"/>
          <w:sz w:val="24"/>
          <w:szCs w:val="24"/>
        </w:rPr>
        <w:t xml:space="preserve">, 13(13), pp.1–12. </w:t>
      </w:r>
    </w:p>
    <w:p w:rsidR="3CEC56F0" w:rsidP="5D45256D" w:rsidRDefault="3CEC56F0" w14:paraId="1E7F9545" w14:textId="7C0C64C6">
      <w:pPr>
        <w:pStyle w:val="Normal"/>
        <w:spacing w:before="0" w:beforeAutospacing="off" w:after="160" w:afterAutospacing="off" w:line="360" w:lineRule="auto"/>
        <w:ind w:left="720" w:right="0" w:hanging="720"/>
        <w:jc w:val="both"/>
        <w:rPr>
          <w:rFonts w:ascii="Arial" w:hAnsi="Arial" w:eastAsia="Arial" w:cs="Arial"/>
          <w:noProof w:val="0"/>
          <w:sz w:val="24"/>
          <w:szCs w:val="24"/>
          <w:lang w:val="en-GB"/>
        </w:rPr>
      </w:pPr>
      <w:hyperlink r:id="R366ea61f9b254adc">
        <w:r w:rsidRPr="5D45256D" w:rsidR="3CEC56F0">
          <w:rPr>
            <w:rStyle w:val="Hyperlink"/>
            <w:rFonts w:ascii="Arial" w:hAnsi="Arial" w:eastAsia="Arial" w:cs="Arial"/>
            <w:noProof w:val="0"/>
            <w:lang w:val="en-GB"/>
          </w:rPr>
          <w:t>Frontiers | The Impact of Transformational Leadership on Affective Organizational Commitment and Job Performance: The Mediating Role of Employee Engagement</w:t>
        </w:r>
      </w:hyperlink>
    </w:p>
    <w:p w:rsidR="1571A20D" w:rsidP="5D45256D" w:rsidRDefault="1571A20D" w14:paraId="043DD6E0" w14:textId="5F0CF8D4">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Junjie, M. and Yingxin, M. (2022). </w:t>
      </w:r>
      <w:r w:rsidRPr="5D45256D" w:rsidR="1571A20D">
        <w:rPr>
          <w:rFonts w:ascii="Arial" w:hAnsi="Arial" w:eastAsia="Arial" w:cs="Arial"/>
          <w:i w:val="1"/>
          <w:iCs w:val="1"/>
          <w:color w:val="000000" w:themeColor="text1" w:themeTint="FF" w:themeShade="FF"/>
          <w:sz w:val="24"/>
          <w:szCs w:val="24"/>
        </w:rPr>
        <w:t>The discussions of Positivism and interpretivism</w:t>
      </w:r>
      <w:r w:rsidRPr="5D45256D" w:rsidR="1571A20D">
        <w:rPr>
          <w:rFonts w:ascii="Arial" w:hAnsi="Arial" w:eastAsia="Arial" w:cs="Arial"/>
          <w:color w:val="000000" w:themeColor="text1" w:themeTint="FF" w:themeShade="FF"/>
          <w:sz w:val="24"/>
          <w:szCs w:val="24"/>
        </w:rPr>
        <w:t xml:space="preserve">. [online] </w:t>
      </w:r>
      <w:r w:rsidRPr="5D45256D" w:rsidR="1571A20D">
        <w:rPr>
          <w:rFonts w:ascii="Arial" w:hAnsi="Arial" w:eastAsia="Arial" w:cs="Arial"/>
          <w:i w:val="1"/>
          <w:iCs w:val="1"/>
          <w:color w:val="000000" w:themeColor="text1" w:themeTint="FF" w:themeShade="FF"/>
          <w:sz w:val="24"/>
          <w:szCs w:val="24"/>
        </w:rPr>
        <w:t>ERIC</w:t>
      </w:r>
      <w:r w:rsidRPr="5D45256D" w:rsidR="1571A20D">
        <w:rPr>
          <w:rFonts w:ascii="Arial" w:hAnsi="Arial" w:eastAsia="Arial" w:cs="Arial"/>
          <w:color w:val="000000" w:themeColor="text1" w:themeTint="FF" w:themeShade="FF"/>
          <w:sz w:val="24"/>
          <w:szCs w:val="24"/>
        </w:rPr>
        <w:t xml:space="preserve">, Eric. Available at: </w:t>
      </w:r>
      <w:hyperlink r:id="Rb06cd66ac7a144c6">
        <w:r w:rsidRPr="5D45256D" w:rsidR="1571A20D">
          <w:rPr>
            <w:rStyle w:val="Hyperlink"/>
            <w:rFonts w:ascii="Arial" w:hAnsi="Arial" w:eastAsia="Arial" w:cs="Arial"/>
          </w:rPr>
          <w:t>https://eric.ed.gov/?id=ED619359</w:t>
        </w:r>
      </w:hyperlink>
      <w:r w:rsidRPr="5D45256D" w:rsidR="1571A20D">
        <w:rPr>
          <w:rFonts w:ascii="Arial" w:hAnsi="Arial" w:eastAsia="Arial" w:cs="Arial"/>
          <w:color w:val="000000" w:themeColor="text1" w:themeTint="FF" w:themeShade="FF"/>
          <w:sz w:val="24"/>
          <w:szCs w:val="24"/>
        </w:rPr>
        <w:t xml:space="preserve"> [Accessed 25 July 2026].</w:t>
      </w:r>
    </w:p>
    <w:p w:rsidR="1571A20D" w:rsidP="5D45256D" w:rsidRDefault="1571A20D" w14:paraId="5FFA0F40" w14:textId="7AFFFA7C">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Kumar, S. (2024). Inductive and deductive approaches to qualitative research. [online] Available at: </w:t>
      </w:r>
      <w:hyperlink r:id="R41bd05c0ba58411e">
        <w:r w:rsidRPr="5D45256D" w:rsidR="1571A20D">
          <w:rPr>
            <w:rStyle w:val="Hyperlink"/>
            <w:rFonts w:ascii="Arial" w:hAnsi="Arial" w:eastAsia="Arial" w:cs="Arial"/>
          </w:rPr>
          <w:t>http://ijmer.s3.amazonaws.com/pdf/volume13/volume13-issue1(4)/9.pdf</w:t>
        </w:r>
      </w:hyperlink>
      <w:r w:rsidRPr="5D45256D" w:rsidR="1571A20D">
        <w:rPr>
          <w:rFonts w:ascii="Arial" w:hAnsi="Arial" w:eastAsia="Arial" w:cs="Arial"/>
          <w:color w:val="000000" w:themeColor="text1" w:themeTint="FF" w:themeShade="FF"/>
          <w:sz w:val="24"/>
          <w:szCs w:val="24"/>
        </w:rPr>
        <w:t xml:space="preserve"> [Accessed 25 July 2026].</w:t>
      </w:r>
    </w:p>
    <w:p w:rsidR="1571A20D" w:rsidP="5D45256D" w:rsidRDefault="1571A20D" w14:paraId="5889F56B" w14:textId="61BD5191">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 xml:space="preserve">Laryeafio, M.N. and Ogbewe, O.C. (2023). Ethical consideration dilemma: Systematic review of Ethics in Qualitative data collection through interviews. </w:t>
      </w:r>
      <w:r w:rsidRPr="5D45256D" w:rsidR="1571A20D">
        <w:rPr>
          <w:rFonts w:ascii="Arial" w:hAnsi="Arial" w:eastAsia="Arial" w:cs="Arial"/>
          <w:i w:val="1"/>
          <w:iCs w:val="1"/>
          <w:color w:val="000000" w:themeColor="text1" w:themeTint="FF" w:themeShade="FF"/>
          <w:sz w:val="24"/>
          <w:szCs w:val="24"/>
        </w:rPr>
        <w:t>Journal of Ethics in Entrepreneurship and technology</w:t>
      </w:r>
      <w:r w:rsidRPr="5D45256D" w:rsidR="1571A20D">
        <w:rPr>
          <w:rFonts w:ascii="Arial" w:hAnsi="Arial" w:eastAsia="Arial" w:cs="Arial"/>
          <w:color w:val="000000" w:themeColor="text1" w:themeTint="FF" w:themeShade="FF"/>
          <w:sz w:val="24"/>
          <w:szCs w:val="24"/>
        </w:rPr>
        <w:t xml:space="preserve">, 3(2), pp.94–110. </w:t>
      </w:r>
      <w:hyperlink r:id="R22d2fbaddf0c4f6e">
        <w:r w:rsidRPr="5D45256D" w:rsidR="1571A20D">
          <w:rPr>
            <w:rStyle w:val="Hyperlink"/>
            <w:rFonts w:ascii="Arial" w:hAnsi="Arial" w:eastAsia="Arial" w:cs="Arial"/>
          </w:rPr>
          <w:t>doi:10.1108/JEET-09-2022-0014.</w:t>
        </w:r>
      </w:hyperlink>
    </w:p>
    <w:p w:rsidR="1571A20D" w:rsidP="5D45256D" w:rsidRDefault="1571A20D" w14:paraId="5C430BAF" w14:textId="56756961">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Lavetti</w:t>
      </w:r>
      <w:r w:rsidRPr="5D45256D" w:rsidR="1571A20D">
        <w:rPr>
          <w:rFonts w:ascii="Arial" w:hAnsi="Arial" w:eastAsia="Arial" w:cs="Arial"/>
          <w:color w:val="000000" w:themeColor="text1" w:themeTint="FF" w:themeShade="FF"/>
          <w:sz w:val="24"/>
          <w:szCs w:val="24"/>
        </w:rPr>
        <w:t xml:space="preserve">, K. (2023). Compensating wage differentials in </w:t>
      </w:r>
      <w:r w:rsidRPr="5D45256D" w:rsidR="1571A20D">
        <w:rPr>
          <w:rFonts w:ascii="Arial" w:hAnsi="Arial" w:eastAsia="Arial" w:cs="Arial"/>
          <w:color w:val="000000" w:themeColor="text1" w:themeTint="FF" w:themeShade="FF"/>
          <w:sz w:val="24"/>
          <w:szCs w:val="24"/>
        </w:rPr>
        <w:t>labor</w:t>
      </w:r>
      <w:r w:rsidRPr="5D45256D" w:rsidR="1571A20D">
        <w:rPr>
          <w:rFonts w:ascii="Arial" w:hAnsi="Arial" w:eastAsia="Arial" w:cs="Arial"/>
          <w:color w:val="000000" w:themeColor="text1" w:themeTint="FF" w:themeShade="FF"/>
          <w:sz w:val="24"/>
          <w:szCs w:val="24"/>
        </w:rPr>
        <w:t xml:space="preserve"> markets: Empirical challenges and applications. </w:t>
      </w:r>
      <w:r w:rsidRPr="5D45256D" w:rsidR="1571A20D">
        <w:rPr>
          <w:rFonts w:ascii="Arial" w:hAnsi="Arial" w:eastAsia="Arial" w:cs="Arial"/>
          <w:i w:val="1"/>
          <w:iCs w:val="1"/>
          <w:color w:val="000000" w:themeColor="text1" w:themeTint="FF" w:themeShade="FF"/>
          <w:sz w:val="24"/>
          <w:szCs w:val="24"/>
        </w:rPr>
        <w:t>Journal of Economic Perspectives</w:t>
      </w:r>
      <w:r w:rsidRPr="5D45256D" w:rsidR="1571A20D">
        <w:rPr>
          <w:rFonts w:ascii="Arial" w:hAnsi="Arial" w:eastAsia="Arial" w:cs="Arial"/>
          <w:color w:val="000000" w:themeColor="text1" w:themeTint="FF" w:themeShade="FF"/>
          <w:sz w:val="24"/>
          <w:szCs w:val="24"/>
        </w:rPr>
        <w:t xml:space="preserve">, 37(3), pp.189–212. </w:t>
      </w:r>
      <w:hyperlink r:id="R8630b2995db74203">
        <w:r w:rsidRPr="5D45256D" w:rsidR="1571A20D">
          <w:rPr>
            <w:rStyle w:val="Hyperlink"/>
            <w:rFonts w:ascii="Arial" w:hAnsi="Arial" w:eastAsia="Arial" w:cs="Arial"/>
            <w:strike w:val="0"/>
            <w:dstrike w:val="0"/>
            <w:color w:val="0563C1"/>
            <w:u w:val="single"/>
          </w:rPr>
          <w:t>https://doi.org/10.1257/jep.37.3.189</w:t>
        </w:r>
      </w:hyperlink>
      <w:r w:rsidRPr="5D45256D" w:rsidR="1571A20D">
        <w:rPr>
          <w:rFonts w:ascii="Arial" w:hAnsi="Arial" w:eastAsia="Arial" w:cs="Arial"/>
          <w:color w:val="000000" w:themeColor="text1" w:themeTint="FF" w:themeShade="FF"/>
          <w:sz w:val="24"/>
          <w:szCs w:val="24"/>
        </w:rPr>
        <w:t>.</w:t>
      </w:r>
    </w:p>
    <w:p w:rsidR="1571A20D" w:rsidP="5D45256D" w:rsidRDefault="1571A20D" w14:paraId="3F583A2D" w14:textId="7D543F02">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 xml:space="preserve">Lim, W.M. (2024). What is quantitative research? An overview and guidelines. </w:t>
      </w:r>
      <w:r w:rsidRPr="5D45256D" w:rsidR="1571A20D">
        <w:rPr>
          <w:rFonts w:ascii="Arial" w:hAnsi="Arial" w:eastAsia="Arial" w:cs="Arial"/>
          <w:i w:val="1"/>
          <w:iCs w:val="1"/>
          <w:color w:val="000000" w:themeColor="text1" w:themeTint="FF" w:themeShade="FF"/>
          <w:sz w:val="24"/>
          <w:szCs w:val="24"/>
        </w:rPr>
        <w:t>Australasian marketing journal (AMJ)</w:t>
      </w:r>
      <w:r w:rsidRPr="5D45256D" w:rsidR="1571A20D">
        <w:rPr>
          <w:rFonts w:ascii="Arial" w:hAnsi="Arial" w:eastAsia="Arial" w:cs="Arial"/>
          <w:color w:val="000000" w:themeColor="text1" w:themeTint="FF" w:themeShade="FF"/>
          <w:sz w:val="24"/>
          <w:szCs w:val="24"/>
        </w:rPr>
        <w:t xml:space="preserve">, 1(1). </w:t>
      </w:r>
      <w:hyperlink r:id="R5d9e82e8a64244bc">
        <w:r w:rsidRPr="5D45256D" w:rsidR="1571A20D">
          <w:rPr>
            <w:rStyle w:val="Hyperlink"/>
            <w:rFonts w:ascii="Arial" w:hAnsi="Arial" w:eastAsia="Arial" w:cs="Arial"/>
          </w:rPr>
          <w:t>doi:10.1177/14413582241264622.</w:t>
        </w:r>
      </w:hyperlink>
    </w:p>
    <w:p w:rsidR="1571A20D" w:rsidP="5D45256D" w:rsidRDefault="1571A20D" w14:paraId="04051E9E" w14:textId="100743AE">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Maier, C., Thatcher, J.B., Grover, V. and Dwivedi, Y.K. (2023). Cross-sectional research: A critical perspective, use cases, and recommendations for IS research. </w:t>
      </w:r>
      <w:r w:rsidRPr="5D45256D" w:rsidR="1571A20D">
        <w:rPr>
          <w:rFonts w:ascii="Arial" w:hAnsi="Arial" w:eastAsia="Arial" w:cs="Arial"/>
          <w:i w:val="1"/>
          <w:iCs w:val="1"/>
          <w:color w:val="000000" w:themeColor="text1" w:themeTint="FF" w:themeShade="FF"/>
          <w:sz w:val="24"/>
          <w:szCs w:val="24"/>
        </w:rPr>
        <w:t>International journal of Information management</w:t>
      </w:r>
      <w:r w:rsidRPr="5D45256D" w:rsidR="1571A20D">
        <w:rPr>
          <w:rFonts w:ascii="Arial" w:hAnsi="Arial" w:eastAsia="Arial" w:cs="Arial"/>
          <w:color w:val="000000" w:themeColor="text1" w:themeTint="FF" w:themeShade="FF"/>
          <w:sz w:val="24"/>
          <w:szCs w:val="24"/>
        </w:rPr>
        <w:t>, 70(70), p.102625.</w:t>
      </w:r>
    </w:p>
    <w:p w:rsidR="1571A20D" w:rsidP="5D45256D" w:rsidRDefault="1571A20D" w14:paraId="7926D726" w14:textId="761609E3">
      <w:pPr>
        <w:spacing w:before="0" w:beforeAutospacing="off" w:after="160" w:afterAutospacing="off" w:line="360" w:lineRule="auto"/>
        <w:ind w:left="720" w:right="0" w:hanging="720"/>
        <w:jc w:val="both"/>
        <w:rPr>
          <w:rFonts w:ascii="Arial" w:hAnsi="Arial" w:eastAsia="Arial" w:cs="Arial"/>
          <w:noProof w:val="0"/>
          <w:sz w:val="24"/>
          <w:szCs w:val="24"/>
          <w:lang w:val="en-GB"/>
        </w:rPr>
      </w:pPr>
      <w:r w:rsidRPr="5D45256D" w:rsidR="1571A20D">
        <w:rPr>
          <w:rFonts w:ascii="Arial" w:hAnsi="Arial" w:eastAsia="Arial" w:cs="Arial"/>
          <w:color w:val="000000" w:themeColor="text1" w:themeTint="FF" w:themeShade="FF"/>
          <w:sz w:val="24"/>
          <w:szCs w:val="24"/>
        </w:rPr>
        <w:t xml:space="preserve">Malinen, S.K., </w:t>
      </w:r>
      <w:r w:rsidRPr="5D45256D" w:rsidR="1571A20D">
        <w:rPr>
          <w:rFonts w:ascii="Arial" w:hAnsi="Arial" w:eastAsia="Arial" w:cs="Arial"/>
          <w:color w:val="000000" w:themeColor="text1" w:themeTint="FF" w:themeShade="FF"/>
          <w:sz w:val="24"/>
          <w:szCs w:val="24"/>
        </w:rPr>
        <w:t>Naswall</w:t>
      </w:r>
      <w:r w:rsidRPr="5D45256D" w:rsidR="1571A20D">
        <w:rPr>
          <w:rFonts w:ascii="Arial" w:hAnsi="Arial" w:eastAsia="Arial" w:cs="Arial"/>
          <w:color w:val="000000" w:themeColor="text1" w:themeTint="FF" w:themeShade="FF"/>
          <w:sz w:val="24"/>
          <w:szCs w:val="24"/>
        </w:rPr>
        <w:t xml:space="preserve">, K., </w:t>
      </w:r>
      <w:r w:rsidRPr="5D45256D" w:rsidR="1571A20D">
        <w:rPr>
          <w:rFonts w:ascii="Arial" w:hAnsi="Arial" w:eastAsia="Arial" w:cs="Arial"/>
          <w:color w:val="000000" w:themeColor="text1" w:themeTint="FF" w:themeShade="FF"/>
          <w:sz w:val="24"/>
          <w:szCs w:val="24"/>
        </w:rPr>
        <w:t>Masselot</w:t>
      </w:r>
      <w:r w:rsidRPr="5D45256D" w:rsidR="1571A20D">
        <w:rPr>
          <w:rFonts w:ascii="Arial" w:hAnsi="Arial" w:eastAsia="Arial" w:cs="Arial"/>
          <w:color w:val="000000" w:themeColor="text1" w:themeTint="FF" w:themeShade="FF"/>
          <w:sz w:val="24"/>
          <w:szCs w:val="24"/>
        </w:rPr>
        <w:t xml:space="preserve">, A. and Clarke, E. (2025). Safe to stay: The role of leader </w:t>
      </w:r>
      <w:r w:rsidRPr="5D45256D" w:rsidR="1571A20D">
        <w:rPr>
          <w:rFonts w:ascii="Arial" w:hAnsi="Arial" w:eastAsia="Arial" w:cs="Arial"/>
          <w:color w:val="000000" w:themeColor="text1" w:themeTint="FF" w:themeShade="FF"/>
          <w:sz w:val="24"/>
          <w:szCs w:val="24"/>
        </w:rPr>
        <w:t>behaviors</w:t>
      </w:r>
      <w:r w:rsidRPr="5D45256D" w:rsidR="1571A20D">
        <w:rPr>
          <w:rFonts w:ascii="Arial" w:hAnsi="Arial" w:eastAsia="Arial" w:cs="Arial"/>
          <w:color w:val="000000" w:themeColor="text1" w:themeTint="FF" w:themeShade="FF"/>
          <w:sz w:val="24"/>
          <w:szCs w:val="24"/>
        </w:rPr>
        <w:t xml:space="preserve"> and psychological safety in employee retention in high-demand workplaces. </w:t>
      </w:r>
      <w:r w:rsidRPr="5D45256D" w:rsidR="1571A20D">
        <w:rPr>
          <w:rFonts w:ascii="Arial" w:hAnsi="Arial" w:eastAsia="Arial" w:cs="Arial"/>
          <w:i w:val="1"/>
          <w:iCs w:val="1"/>
          <w:color w:val="000000" w:themeColor="text1" w:themeTint="FF" w:themeShade="FF"/>
          <w:sz w:val="24"/>
          <w:szCs w:val="24"/>
        </w:rPr>
        <w:t xml:space="preserve">German journal of Human resource management </w:t>
      </w:r>
      <w:r w:rsidRPr="5D45256D" w:rsidR="1571A20D">
        <w:rPr>
          <w:rFonts w:ascii="Arial" w:hAnsi="Arial" w:eastAsia="Arial" w:cs="Arial"/>
          <w:i w:val="1"/>
          <w:iCs w:val="1"/>
          <w:color w:val="000000" w:themeColor="text1" w:themeTint="FF" w:themeShade="FF"/>
          <w:sz w:val="24"/>
          <w:szCs w:val="24"/>
        </w:rPr>
        <w:t>zeitschrift</w:t>
      </w:r>
      <w:r w:rsidRPr="5D45256D" w:rsidR="7F5E5E5C">
        <w:rPr>
          <w:rFonts w:ascii="Arial" w:hAnsi="Arial" w:eastAsia="Arial" w:cs="Arial"/>
          <w:i w:val="1"/>
          <w:iCs w:val="1"/>
          <w:color w:val="000000" w:themeColor="text1" w:themeTint="FF" w:themeShade="FF"/>
          <w:sz w:val="24"/>
          <w:szCs w:val="24"/>
        </w:rPr>
        <w:t xml:space="preserve"> </w:t>
      </w:r>
      <w:r w:rsidRPr="5D45256D" w:rsidR="1571A20D">
        <w:rPr>
          <w:rFonts w:ascii="Arial" w:hAnsi="Arial" w:eastAsia="Arial" w:cs="Arial"/>
          <w:i w:val="1"/>
          <w:iCs w:val="1"/>
          <w:color w:val="000000" w:themeColor="text1" w:themeTint="FF" w:themeShade="FF"/>
          <w:sz w:val="24"/>
          <w:szCs w:val="24"/>
        </w:rPr>
        <w:t>für</w:t>
      </w:r>
      <w:r w:rsidRPr="5D45256D" w:rsidR="66EBEEA3">
        <w:rPr>
          <w:rFonts w:ascii="Arial" w:hAnsi="Arial" w:eastAsia="Arial" w:cs="Arial"/>
          <w:i w:val="1"/>
          <w:iCs w:val="1"/>
          <w:color w:val="000000" w:themeColor="text1" w:themeTint="FF" w:themeShade="FF"/>
          <w:sz w:val="24"/>
          <w:szCs w:val="24"/>
        </w:rPr>
        <w:t xml:space="preserve"> </w:t>
      </w:r>
      <w:r w:rsidRPr="5D45256D" w:rsidR="1571A20D">
        <w:rPr>
          <w:rFonts w:ascii="Arial" w:hAnsi="Arial" w:eastAsia="Arial" w:cs="Arial"/>
          <w:i w:val="1"/>
          <w:iCs w:val="1"/>
          <w:color w:val="000000" w:themeColor="text1" w:themeTint="FF" w:themeShade="FF"/>
          <w:sz w:val="24"/>
          <w:szCs w:val="24"/>
        </w:rPr>
        <w:t>personalforschung</w:t>
      </w:r>
      <w:r w:rsidRPr="5D45256D" w:rsidR="1571A20D">
        <w:rPr>
          <w:rFonts w:ascii="Arial" w:hAnsi="Arial" w:eastAsia="Arial" w:cs="Arial"/>
          <w:color w:val="000000" w:themeColor="text1" w:themeTint="FF" w:themeShade="FF"/>
          <w:sz w:val="24"/>
          <w:szCs w:val="24"/>
        </w:rPr>
        <w:t xml:space="preserve">, (2). </w:t>
      </w:r>
      <w:r w:rsidRPr="5D45256D" w:rsidR="6563AA88">
        <w:rPr>
          <w:rFonts w:ascii="Arial" w:hAnsi="Arial" w:eastAsia="Arial" w:cs="Arial"/>
          <w:b w:val="0"/>
          <w:bCs w:val="0"/>
          <w:i w:val="0"/>
          <w:iCs w:val="0"/>
          <w:caps w:val="0"/>
          <w:smallCaps w:val="0"/>
          <w:noProof w:val="0"/>
          <w:color w:val="555555"/>
          <w:sz w:val="21"/>
          <w:szCs w:val="21"/>
          <w:lang w:val="en-GB"/>
        </w:rPr>
        <w:t>DOI:</w:t>
      </w:r>
      <w:hyperlink r:id="R1bfb607bdd3e400d">
        <w:r w:rsidRPr="5D45256D" w:rsidR="6563AA88">
          <w:rPr>
            <w:rStyle w:val="Hyperlink"/>
            <w:rFonts w:ascii="Arial" w:hAnsi="Arial" w:eastAsia="Arial" w:cs="Arial"/>
            <w:b w:val="0"/>
            <w:bCs w:val="0"/>
            <w:i w:val="0"/>
            <w:iCs w:val="0"/>
            <w:caps w:val="0"/>
            <w:smallCaps w:val="0"/>
            <w:strike w:val="0"/>
            <w:dstrike w:val="0"/>
            <w:noProof w:val="0"/>
            <w:u w:val="single"/>
            <w:lang w:val="en-GB"/>
          </w:rPr>
          <w:t>10.1177/23970022251337643</w:t>
        </w:r>
      </w:hyperlink>
    </w:p>
    <w:p w:rsidR="1571A20D" w:rsidP="5D45256D" w:rsidRDefault="1571A20D" w14:paraId="38983649" w14:textId="2D9FEF50">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w:t>
      </w:r>
    </w:p>
    <w:p w:rsidR="1571A20D" w:rsidP="5D45256D" w:rsidRDefault="1571A20D" w14:paraId="4645B5A7" w14:textId="53DBE94E">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Mazzetti, G. and Schaufeli, W.B. (2022). The impact of </w:t>
      </w:r>
      <w:r w:rsidRPr="5D45256D" w:rsidR="1571A20D">
        <w:rPr>
          <w:rFonts w:ascii="Arial" w:hAnsi="Arial" w:eastAsia="Arial" w:cs="Arial"/>
          <w:color w:val="000000" w:themeColor="text1" w:themeTint="FF" w:themeShade="FF"/>
          <w:sz w:val="24"/>
          <w:szCs w:val="24"/>
        </w:rPr>
        <w:t>Engaging</w:t>
      </w:r>
      <w:r w:rsidRPr="5D45256D" w:rsidR="1571A20D">
        <w:rPr>
          <w:rFonts w:ascii="Arial" w:hAnsi="Arial" w:eastAsia="Arial" w:cs="Arial"/>
          <w:color w:val="000000" w:themeColor="text1" w:themeTint="FF" w:themeShade="FF"/>
          <w:sz w:val="24"/>
          <w:szCs w:val="24"/>
        </w:rPr>
        <w:t xml:space="preserve"> leadership on employee engagement and team effectiveness: A longitudinal, multi-level study on the mediating role of personal- and team resources. </w:t>
      </w:r>
      <w:r w:rsidRPr="5D45256D" w:rsidR="1571A20D">
        <w:rPr>
          <w:rFonts w:ascii="Arial" w:hAnsi="Arial" w:eastAsia="Arial" w:cs="Arial"/>
          <w:i w:val="1"/>
          <w:iCs w:val="1"/>
          <w:color w:val="000000" w:themeColor="text1" w:themeTint="FF" w:themeShade="FF"/>
          <w:sz w:val="24"/>
          <w:szCs w:val="24"/>
        </w:rPr>
        <w:t>PLOS one</w:t>
      </w:r>
      <w:r w:rsidRPr="5D45256D" w:rsidR="1571A20D">
        <w:rPr>
          <w:rFonts w:ascii="Arial" w:hAnsi="Arial" w:eastAsia="Arial" w:cs="Arial"/>
          <w:color w:val="000000" w:themeColor="text1" w:themeTint="FF" w:themeShade="FF"/>
          <w:sz w:val="24"/>
          <w:szCs w:val="24"/>
        </w:rPr>
        <w:t xml:space="preserve">, 17(6), pp.1–25. </w:t>
      </w:r>
      <w:hyperlink r:id="R3c9446109ac141cd">
        <w:r w:rsidRPr="5D45256D" w:rsidR="1571A20D">
          <w:rPr>
            <w:rStyle w:val="Hyperlink"/>
            <w:rFonts w:ascii="Arial" w:hAnsi="Arial" w:eastAsia="Arial" w:cs="Arial"/>
          </w:rPr>
          <w:t>https</w:t>
        </w:r>
        <w:r w:rsidRPr="5D45256D" w:rsidR="1571A20D">
          <w:rPr>
            <w:rStyle w:val="Hyperlink"/>
            <w:rFonts w:ascii="Arial" w:hAnsi="Arial" w:eastAsia="Arial" w:cs="Arial"/>
          </w:rPr>
          <w:t>://doi.org/10.1371/journal.pone.0269433</w:t>
        </w:r>
      </w:hyperlink>
      <w:r w:rsidRPr="5D45256D" w:rsidR="1571A20D">
        <w:rPr>
          <w:rFonts w:ascii="Arial" w:hAnsi="Arial" w:eastAsia="Arial" w:cs="Arial"/>
          <w:color w:val="000000" w:themeColor="text1" w:themeTint="FF" w:themeShade="FF"/>
          <w:sz w:val="24"/>
          <w:szCs w:val="24"/>
        </w:rPr>
        <w:t>.</w:t>
      </w:r>
    </w:p>
    <w:p w:rsidR="5D45256D" w:rsidP="5D45256D" w:rsidRDefault="5D45256D" w14:paraId="66C75ACD" w14:textId="4CCB872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p>
    <w:p w:rsidR="1571A20D" w:rsidP="5D45256D" w:rsidRDefault="1571A20D" w14:paraId="05560BC1" w14:textId="37B5C914">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McGregor, S.L.T. (2023). Ethical considerations in Research about organizations: Compendium of Strategies. </w:t>
      </w:r>
      <w:r w:rsidRPr="5D45256D" w:rsidR="1571A20D">
        <w:rPr>
          <w:rFonts w:ascii="Arial" w:hAnsi="Arial" w:eastAsia="Arial" w:cs="Arial"/>
          <w:i w:val="1"/>
          <w:iCs w:val="1"/>
          <w:color w:val="000000" w:themeColor="text1" w:themeTint="FF" w:themeShade="FF"/>
          <w:sz w:val="24"/>
          <w:szCs w:val="24"/>
        </w:rPr>
        <w:t>Ethics in Progress</w:t>
      </w:r>
      <w:r w:rsidRPr="5D45256D" w:rsidR="1571A20D">
        <w:rPr>
          <w:rFonts w:ascii="Arial" w:hAnsi="Arial" w:eastAsia="Arial" w:cs="Arial"/>
          <w:color w:val="000000" w:themeColor="text1" w:themeTint="FF" w:themeShade="FF"/>
          <w:sz w:val="24"/>
          <w:szCs w:val="24"/>
        </w:rPr>
        <w:t xml:space="preserve">, [online] 14(2), pp.4–23. Available at: </w:t>
      </w:r>
      <w:hyperlink r:id="Re6c95da6aef84c28">
        <w:r w:rsidRPr="5D45256D" w:rsidR="1571A20D">
          <w:rPr>
            <w:rStyle w:val="Hyperlink"/>
            <w:rFonts w:ascii="Arial" w:hAnsi="Arial" w:eastAsia="Arial" w:cs="Arial"/>
          </w:rPr>
          <w:t>https://www.ceeol.com/search/article-detail?id=1222625</w:t>
        </w:r>
      </w:hyperlink>
      <w:r w:rsidRPr="5D45256D" w:rsidR="1571A20D">
        <w:rPr>
          <w:rFonts w:ascii="Arial" w:hAnsi="Arial" w:eastAsia="Arial" w:cs="Arial"/>
          <w:color w:val="000000" w:themeColor="text1" w:themeTint="FF" w:themeShade="FF"/>
          <w:sz w:val="24"/>
          <w:szCs w:val="24"/>
        </w:rPr>
        <w:t xml:space="preserve"> [Accessed 25 July 2026].</w:t>
      </w:r>
    </w:p>
    <w:p w:rsidR="1571A20D" w:rsidP="5D45256D" w:rsidRDefault="1571A20D" w14:paraId="1FF6A4BD" w14:textId="4DF9DAFC">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Mussa, I.M. and Boniface, R.M. (2025). Motivation or hygiene factors? Teachers’ beliefs on salary as a motivator in Tanzania’s secondary schools. </w:t>
      </w:r>
      <w:r w:rsidRPr="5D45256D" w:rsidR="1571A20D">
        <w:rPr>
          <w:rFonts w:ascii="Arial" w:hAnsi="Arial" w:eastAsia="Arial" w:cs="Arial"/>
          <w:i w:val="1"/>
          <w:iCs w:val="1"/>
          <w:color w:val="000000" w:themeColor="text1" w:themeTint="FF" w:themeShade="FF"/>
          <w:sz w:val="24"/>
          <w:szCs w:val="24"/>
        </w:rPr>
        <w:t>Cogent Education</w:t>
      </w:r>
      <w:r w:rsidRPr="5D45256D" w:rsidR="1571A20D">
        <w:rPr>
          <w:rFonts w:ascii="Arial" w:hAnsi="Arial" w:eastAsia="Arial" w:cs="Arial"/>
          <w:color w:val="000000" w:themeColor="text1" w:themeTint="FF" w:themeShade="FF"/>
          <w:sz w:val="24"/>
          <w:szCs w:val="24"/>
        </w:rPr>
        <w:t xml:space="preserve">, 12(1). </w:t>
      </w:r>
      <w:hyperlink r:id="Ra7cb07759b144a03">
        <w:r w:rsidRPr="5D45256D" w:rsidR="1571A20D">
          <w:rPr>
            <w:rStyle w:val="Hyperlink"/>
            <w:rFonts w:ascii="Arial" w:hAnsi="Arial" w:eastAsia="Arial" w:cs="Arial"/>
            <w:strike w:val="0"/>
            <w:dstrike w:val="0"/>
            <w:color w:val="0563C1"/>
            <w:u w:val="single"/>
          </w:rPr>
          <w:t>https://doi.org/10.1080/2331186x.2025.2561422</w:t>
        </w:r>
      </w:hyperlink>
      <w:r w:rsidRPr="5D45256D" w:rsidR="1571A20D">
        <w:rPr>
          <w:rFonts w:ascii="Arial" w:hAnsi="Arial" w:eastAsia="Arial" w:cs="Arial"/>
          <w:color w:val="000000" w:themeColor="text1" w:themeTint="FF" w:themeShade="FF"/>
          <w:sz w:val="24"/>
          <w:szCs w:val="24"/>
        </w:rPr>
        <w:t>.</w:t>
      </w:r>
      <w:r w:rsidRPr="5D45256D" w:rsidR="5A3A679F">
        <w:rPr>
          <w:rFonts w:ascii="Arial" w:hAnsi="Arial" w:eastAsia="Arial" w:cs="Arial"/>
          <w:color w:val="000000" w:themeColor="text1" w:themeTint="FF" w:themeShade="FF"/>
          <w:sz w:val="24"/>
          <w:szCs w:val="24"/>
        </w:rPr>
        <w:t xml:space="preserve">  </w:t>
      </w:r>
    </w:p>
    <w:p w:rsidR="1571A20D" w:rsidP="5D45256D" w:rsidRDefault="1571A20D" w14:paraId="35067356" w14:textId="1607534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Ngozi, D.-E. </w:t>
      </w:r>
      <w:r w:rsidRPr="5D45256D" w:rsidR="1571A20D">
        <w:rPr>
          <w:rFonts w:ascii="Arial" w:hAnsi="Arial" w:eastAsia="Arial" w:cs="Arial"/>
          <w:color w:val="000000" w:themeColor="text1" w:themeTint="FF" w:themeShade="FF"/>
          <w:sz w:val="24"/>
          <w:szCs w:val="24"/>
        </w:rPr>
        <w:t>andEdwinah</w:t>
      </w:r>
      <w:r w:rsidRPr="5D45256D" w:rsidR="1571A20D">
        <w:rPr>
          <w:rFonts w:ascii="Arial" w:hAnsi="Arial" w:eastAsia="Arial" w:cs="Arial"/>
          <w:color w:val="000000" w:themeColor="text1" w:themeTint="FF" w:themeShade="FF"/>
          <w:sz w:val="24"/>
          <w:szCs w:val="24"/>
        </w:rPr>
        <w:t xml:space="preserve">, A. (2022). Employee engagement and talent retention: A review. </w:t>
      </w:r>
      <w:r w:rsidRPr="5D45256D" w:rsidR="1571A20D">
        <w:rPr>
          <w:rFonts w:ascii="Arial" w:hAnsi="Arial" w:eastAsia="Arial" w:cs="Arial"/>
          <w:i w:val="1"/>
          <w:iCs w:val="1"/>
          <w:color w:val="000000" w:themeColor="text1" w:themeTint="FF" w:themeShade="FF"/>
          <w:sz w:val="24"/>
          <w:szCs w:val="24"/>
        </w:rPr>
        <w:t xml:space="preserve">South </w:t>
      </w:r>
      <w:r w:rsidRPr="5D45256D" w:rsidR="1571A20D">
        <w:rPr>
          <w:rFonts w:ascii="Arial" w:hAnsi="Arial" w:eastAsia="Arial" w:cs="Arial"/>
          <w:i w:val="1"/>
          <w:iCs w:val="1"/>
          <w:color w:val="000000" w:themeColor="text1" w:themeTint="FF" w:themeShade="FF"/>
          <w:sz w:val="24"/>
          <w:szCs w:val="24"/>
        </w:rPr>
        <w:t>asian</w:t>
      </w:r>
      <w:r w:rsidRPr="5D45256D" w:rsidR="1571A20D">
        <w:rPr>
          <w:rFonts w:ascii="Arial" w:hAnsi="Arial" w:eastAsia="Arial" w:cs="Arial"/>
          <w:i w:val="1"/>
          <w:iCs w:val="1"/>
          <w:color w:val="000000" w:themeColor="text1" w:themeTint="FF" w:themeShade="FF"/>
          <w:sz w:val="24"/>
          <w:szCs w:val="24"/>
        </w:rPr>
        <w:t xml:space="preserve"> research journal of Biology and applied biosciences</w:t>
      </w:r>
      <w:r w:rsidRPr="5D45256D" w:rsidR="1571A20D">
        <w:rPr>
          <w:rFonts w:ascii="Arial" w:hAnsi="Arial" w:eastAsia="Arial" w:cs="Arial"/>
          <w:color w:val="000000" w:themeColor="text1" w:themeTint="FF" w:themeShade="FF"/>
          <w:sz w:val="24"/>
          <w:szCs w:val="24"/>
        </w:rPr>
        <w:t>, 4(5), pp.188–197.</w:t>
      </w:r>
    </w:p>
    <w:p w:rsidR="0B5FA1CB" w:rsidP="5D45256D" w:rsidRDefault="0B5FA1CB" w14:paraId="0CB01E95" w14:textId="026C9860">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b1aeb6faf4114f47">
        <w:r w:rsidRPr="5D45256D" w:rsidR="0B5FA1CB">
          <w:rPr>
            <w:rStyle w:val="Hyperlink"/>
            <w:rFonts w:ascii="Arial" w:hAnsi="Arial" w:eastAsia="Arial" w:cs="Arial"/>
          </w:rPr>
          <w:t>https://doi.org/10.36346/sarjbm.2022.v04i05.003</w:t>
        </w:r>
      </w:hyperlink>
      <w:r w:rsidRPr="5D45256D" w:rsidR="0B5FA1CB">
        <w:rPr>
          <w:rFonts w:ascii="Arial" w:hAnsi="Arial" w:eastAsia="Arial" w:cs="Arial"/>
          <w:color w:val="000000" w:themeColor="text1" w:themeTint="FF" w:themeShade="FF"/>
          <w:sz w:val="24"/>
          <w:szCs w:val="24"/>
        </w:rPr>
        <w:t xml:space="preserve"> </w:t>
      </w:r>
    </w:p>
    <w:p w:rsidR="1571A20D" w:rsidP="5D45256D" w:rsidRDefault="1571A20D" w14:paraId="541190EF" w14:textId="7F28C380">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O’Keefe, B., Yuen, E., </w:t>
      </w:r>
      <w:r w:rsidRPr="5D45256D" w:rsidR="1571A20D">
        <w:rPr>
          <w:rFonts w:ascii="Arial" w:hAnsi="Arial" w:eastAsia="Arial" w:cs="Arial"/>
          <w:color w:val="000000" w:themeColor="text1" w:themeTint="FF" w:themeShade="FF"/>
          <w:sz w:val="24"/>
          <w:szCs w:val="24"/>
        </w:rPr>
        <w:t>Perlen</w:t>
      </w:r>
      <w:r w:rsidRPr="5D45256D" w:rsidR="1571A20D">
        <w:rPr>
          <w:rFonts w:ascii="Arial" w:hAnsi="Arial" w:eastAsia="Arial" w:cs="Arial"/>
          <w:color w:val="000000" w:themeColor="text1" w:themeTint="FF" w:themeShade="FF"/>
          <w:sz w:val="24"/>
          <w:szCs w:val="24"/>
        </w:rPr>
        <w:t xml:space="preserve">, S. and Hutchinson, A.M. (2025). A systematic, integrative review exploring supports that promote the retention of employees working in the aged care sector. </w:t>
      </w:r>
      <w:r w:rsidRPr="5D45256D" w:rsidR="1571A20D">
        <w:rPr>
          <w:rFonts w:ascii="Arial" w:hAnsi="Arial" w:eastAsia="Arial" w:cs="Arial"/>
          <w:i w:val="1"/>
          <w:iCs w:val="1"/>
          <w:color w:val="000000" w:themeColor="text1" w:themeTint="FF" w:themeShade="FF"/>
          <w:sz w:val="24"/>
          <w:szCs w:val="24"/>
        </w:rPr>
        <w:t>Australasian journal on ageing</w:t>
      </w:r>
      <w:r w:rsidRPr="5D45256D" w:rsidR="1571A20D">
        <w:rPr>
          <w:rFonts w:ascii="Arial" w:hAnsi="Arial" w:eastAsia="Arial" w:cs="Arial"/>
          <w:color w:val="000000" w:themeColor="text1" w:themeTint="FF" w:themeShade="FF"/>
          <w:sz w:val="24"/>
          <w:szCs w:val="24"/>
        </w:rPr>
        <w:t xml:space="preserve">, 44(3). </w:t>
      </w:r>
    </w:p>
    <w:p w:rsidR="55D45E33" w:rsidP="5D45256D" w:rsidRDefault="55D45E33" w14:paraId="75D5353D" w14:textId="6B368A3C">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efeaf3bf0f084d43">
        <w:r w:rsidRPr="5D45256D" w:rsidR="55D45E33">
          <w:rPr>
            <w:rStyle w:val="Hyperlink"/>
            <w:rFonts w:ascii="Arial" w:hAnsi="Arial" w:eastAsia="Arial" w:cs="Arial"/>
          </w:rPr>
          <w:t>https://doi.org/10.1111/ajag.70070</w:t>
        </w:r>
      </w:hyperlink>
      <w:r w:rsidRPr="5D45256D" w:rsidR="55D45E33">
        <w:rPr>
          <w:rFonts w:ascii="Arial" w:hAnsi="Arial" w:eastAsia="Arial" w:cs="Arial"/>
          <w:color w:val="000000" w:themeColor="text1" w:themeTint="FF" w:themeShade="FF"/>
          <w:sz w:val="24"/>
          <w:szCs w:val="24"/>
        </w:rPr>
        <w:t xml:space="preserve"> </w:t>
      </w:r>
    </w:p>
    <w:p w:rsidR="1571A20D" w:rsidP="5D45256D" w:rsidRDefault="1571A20D" w14:paraId="274418C3" w14:textId="4F37B8D1">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 xml:space="preserve">O’Keefe, B., Yuen, E., </w:t>
      </w:r>
      <w:r w:rsidRPr="5D45256D" w:rsidR="1571A20D">
        <w:rPr>
          <w:rFonts w:ascii="Arial" w:hAnsi="Arial" w:eastAsia="Arial" w:cs="Arial"/>
          <w:color w:val="000000" w:themeColor="text1" w:themeTint="FF" w:themeShade="FF"/>
          <w:sz w:val="24"/>
          <w:szCs w:val="24"/>
        </w:rPr>
        <w:t>Perlen</w:t>
      </w:r>
      <w:r w:rsidRPr="5D45256D" w:rsidR="1571A20D">
        <w:rPr>
          <w:rFonts w:ascii="Arial" w:hAnsi="Arial" w:eastAsia="Arial" w:cs="Arial"/>
          <w:color w:val="000000" w:themeColor="text1" w:themeTint="FF" w:themeShade="FF"/>
          <w:sz w:val="24"/>
          <w:szCs w:val="24"/>
        </w:rPr>
        <w:t xml:space="preserve">, S. and Hutchinson, A.M. (2025). Strategies and supports to improve retention of Personal care workers in Residential aged care: Insights from a qualitative study. </w:t>
      </w:r>
      <w:r w:rsidRPr="5D45256D" w:rsidR="1571A20D">
        <w:rPr>
          <w:rFonts w:ascii="Arial" w:hAnsi="Arial" w:eastAsia="Arial" w:cs="Arial"/>
          <w:i w:val="1"/>
          <w:iCs w:val="1"/>
          <w:color w:val="000000" w:themeColor="text1" w:themeTint="FF" w:themeShade="FF"/>
          <w:sz w:val="24"/>
          <w:szCs w:val="24"/>
        </w:rPr>
        <w:t>Research on aging</w:t>
      </w:r>
      <w:r w:rsidRPr="5D45256D" w:rsidR="1571A20D">
        <w:rPr>
          <w:rFonts w:ascii="Arial" w:hAnsi="Arial" w:eastAsia="Arial" w:cs="Arial"/>
          <w:color w:val="000000" w:themeColor="text1" w:themeTint="FF" w:themeShade="FF"/>
          <w:sz w:val="24"/>
          <w:szCs w:val="24"/>
        </w:rPr>
        <w:t xml:space="preserve">, 48(5). </w:t>
      </w:r>
      <w:hyperlink r:id="R168ae8796a784331">
        <w:r w:rsidRPr="5D45256D" w:rsidR="1571A20D">
          <w:rPr>
            <w:rStyle w:val="Hyperlink"/>
            <w:rFonts w:ascii="Arial" w:hAnsi="Arial" w:eastAsia="Arial" w:cs="Arial"/>
          </w:rPr>
          <w:t>doi:10.1177/01640275251383540.</w:t>
        </w:r>
      </w:hyperlink>
      <w:r w:rsidRPr="5D45256D" w:rsidR="28C263EC">
        <w:rPr>
          <w:rFonts w:ascii="Arial" w:hAnsi="Arial" w:eastAsia="Arial" w:cs="Arial"/>
        </w:rPr>
        <w:t xml:space="preserve"> </w:t>
      </w:r>
    </w:p>
    <w:p w:rsidR="1571A20D" w:rsidP="5D45256D" w:rsidRDefault="1571A20D" w14:paraId="0A6DD504" w14:textId="5C36DA79">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 xml:space="preserve">Peters, M. (2023). Time to solve persistent, </w:t>
      </w:r>
      <w:r w:rsidRPr="5D45256D" w:rsidR="0B238408">
        <w:rPr>
          <w:rFonts w:ascii="Arial" w:hAnsi="Arial" w:eastAsia="Arial" w:cs="Arial"/>
          <w:color w:val="000000" w:themeColor="text1" w:themeTint="FF" w:themeShade="FF"/>
          <w:sz w:val="24"/>
          <w:szCs w:val="24"/>
        </w:rPr>
        <w:t>pernicious,</w:t>
      </w:r>
      <w:r w:rsidRPr="5D45256D" w:rsidR="1571A20D">
        <w:rPr>
          <w:rFonts w:ascii="Arial" w:hAnsi="Arial" w:eastAsia="Arial" w:cs="Arial"/>
          <w:color w:val="000000" w:themeColor="text1" w:themeTint="FF" w:themeShade="FF"/>
          <w:sz w:val="24"/>
          <w:szCs w:val="24"/>
        </w:rPr>
        <w:t xml:space="preserve"> and widespread nursing workforce shortages. </w:t>
      </w:r>
      <w:r w:rsidRPr="5D45256D" w:rsidR="1571A20D">
        <w:rPr>
          <w:rFonts w:ascii="Arial" w:hAnsi="Arial" w:eastAsia="Arial" w:cs="Arial"/>
          <w:i w:val="1"/>
          <w:iCs w:val="1"/>
          <w:color w:val="000000" w:themeColor="text1" w:themeTint="FF" w:themeShade="FF"/>
          <w:sz w:val="24"/>
          <w:szCs w:val="24"/>
        </w:rPr>
        <w:t xml:space="preserve">International </w:t>
      </w:r>
      <w:r w:rsidRPr="5D45256D" w:rsidR="34EAD125">
        <w:rPr>
          <w:rFonts w:ascii="Arial" w:hAnsi="Arial" w:eastAsia="Arial" w:cs="Arial"/>
          <w:i w:val="1"/>
          <w:iCs w:val="1"/>
          <w:color w:val="000000" w:themeColor="text1" w:themeTint="FF" w:themeShade="FF"/>
          <w:sz w:val="24"/>
          <w:szCs w:val="24"/>
        </w:rPr>
        <w:t>Nursing Review</w:t>
      </w:r>
      <w:r w:rsidRPr="5D45256D" w:rsidR="1571A20D">
        <w:rPr>
          <w:rFonts w:ascii="Arial" w:hAnsi="Arial" w:eastAsia="Arial" w:cs="Arial"/>
          <w:color w:val="000000" w:themeColor="text1" w:themeTint="FF" w:themeShade="FF"/>
          <w:sz w:val="24"/>
          <w:szCs w:val="24"/>
        </w:rPr>
        <w:t>, 70(2), pp</w:t>
      </w:r>
      <w:r w:rsidRPr="5D45256D" w:rsidR="1571A20D">
        <w:rPr>
          <w:rFonts w:ascii="Arial" w:hAnsi="Arial" w:eastAsia="Arial" w:cs="Arial"/>
          <w:color w:val="000000" w:themeColor="text1" w:themeTint="FF" w:themeShade="FF"/>
          <w:sz w:val="24"/>
          <w:szCs w:val="24"/>
        </w:rPr>
        <w:t>.247</w:t>
      </w:r>
      <w:r w:rsidRPr="5D45256D" w:rsidR="1571A20D">
        <w:rPr>
          <w:rFonts w:ascii="Arial" w:hAnsi="Arial" w:eastAsia="Arial" w:cs="Arial"/>
          <w:color w:val="000000" w:themeColor="text1" w:themeTint="FF" w:themeShade="FF"/>
          <w:sz w:val="24"/>
          <w:szCs w:val="24"/>
        </w:rPr>
        <w:t xml:space="preserve">–253. </w:t>
      </w:r>
      <w:hyperlink r:id="R725e1d191db84ee1">
        <w:r w:rsidRPr="5D45256D" w:rsidR="1571A20D">
          <w:rPr>
            <w:rStyle w:val="Hyperlink"/>
            <w:rFonts w:ascii="Arial" w:hAnsi="Arial" w:eastAsia="Arial" w:cs="Arial"/>
          </w:rPr>
          <w:t>doi:10.1111/inr.12837.</w:t>
        </w:r>
      </w:hyperlink>
      <w:r w:rsidRPr="5D45256D" w:rsidR="143AC6D2">
        <w:rPr>
          <w:rFonts w:ascii="Arial" w:hAnsi="Arial" w:eastAsia="Arial" w:cs="Arial"/>
        </w:rPr>
        <w:t xml:space="preserve"> </w:t>
      </w:r>
    </w:p>
    <w:p w:rsidR="1571A20D" w:rsidP="5D45256D" w:rsidRDefault="1571A20D" w14:paraId="1101F45F" w14:textId="66ECCF52">
      <w:pPr>
        <w:spacing w:before="0" w:beforeAutospacing="off" w:after="160" w:afterAutospacing="off" w:line="360" w:lineRule="auto"/>
        <w:ind w:left="720" w:right="0" w:hanging="720"/>
        <w:jc w:val="both"/>
        <w:rPr>
          <w:rFonts w:ascii="Arial" w:hAnsi="Arial" w:eastAsia="Arial" w:cs="Arial"/>
        </w:rPr>
      </w:pPr>
      <w:r w:rsidRPr="5D45256D" w:rsidR="1571A20D">
        <w:rPr>
          <w:rFonts w:ascii="Arial" w:hAnsi="Arial" w:eastAsia="Arial" w:cs="Arial"/>
          <w:color w:val="000000" w:themeColor="text1" w:themeTint="FF" w:themeShade="FF"/>
          <w:sz w:val="24"/>
          <w:szCs w:val="24"/>
        </w:rPr>
        <w:t xml:space="preserve">Pradhan, R., </w:t>
      </w:r>
      <w:r w:rsidRPr="5D45256D" w:rsidR="1571A20D">
        <w:rPr>
          <w:rFonts w:ascii="Arial" w:hAnsi="Arial" w:eastAsia="Arial" w:cs="Arial"/>
          <w:color w:val="000000" w:themeColor="text1" w:themeTint="FF" w:themeShade="FF"/>
          <w:sz w:val="24"/>
          <w:szCs w:val="24"/>
        </w:rPr>
        <w:t>Ghiasi</w:t>
      </w:r>
      <w:r w:rsidRPr="5D45256D" w:rsidR="1571A20D">
        <w:rPr>
          <w:rFonts w:ascii="Arial" w:hAnsi="Arial" w:eastAsia="Arial" w:cs="Arial"/>
          <w:color w:val="000000" w:themeColor="text1" w:themeTint="FF" w:themeShade="FF"/>
          <w:sz w:val="24"/>
          <w:szCs w:val="24"/>
        </w:rPr>
        <w:t>, A.</w:t>
      </w:r>
      <w:r w:rsidRPr="5D45256D" w:rsidR="1571A20D">
        <w:rPr>
          <w:rFonts w:ascii="Arial" w:hAnsi="Arial" w:eastAsia="Arial" w:cs="Arial"/>
          <w:color w:val="000000" w:themeColor="text1" w:themeTint="FF" w:themeShade="FF"/>
          <w:sz w:val="24"/>
          <w:szCs w:val="24"/>
        </w:rPr>
        <w:t xml:space="preserve"> and</w:t>
      </w:r>
      <w:r w:rsidRPr="5D45256D" w:rsidR="1571A20D">
        <w:rPr>
          <w:rFonts w:ascii="Arial" w:hAnsi="Arial" w:eastAsia="Arial" w:cs="Arial"/>
          <w:color w:val="000000" w:themeColor="text1" w:themeTint="FF" w:themeShade="FF"/>
          <w:sz w:val="24"/>
          <w:szCs w:val="24"/>
        </w:rPr>
        <w:t xml:space="preserve"> Maldonado, R.W. (2025). The impact of Nursing staff wages on nursing home quality: An instrumental variable approach. </w:t>
      </w:r>
      <w:r w:rsidRPr="5D45256D" w:rsidR="1571A20D">
        <w:rPr>
          <w:rFonts w:ascii="Arial" w:hAnsi="Arial" w:eastAsia="Arial" w:cs="Arial"/>
          <w:i w:val="1"/>
          <w:iCs w:val="1"/>
          <w:color w:val="000000" w:themeColor="text1" w:themeTint="FF" w:themeShade="FF"/>
          <w:sz w:val="24"/>
          <w:szCs w:val="24"/>
        </w:rPr>
        <w:t xml:space="preserve">Journal of the </w:t>
      </w:r>
      <w:r w:rsidRPr="5D45256D" w:rsidR="1571A20D">
        <w:rPr>
          <w:rFonts w:ascii="Arial" w:hAnsi="Arial" w:eastAsia="Arial" w:cs="Arial"/>
          <w:i w:val="1"/>
          <w:iCs w:val="1"/>
          <w:color w:val="000000" w:themeColor="text1" w:themeTint="FF" w:themeShade="FF"/>
          <w:sz w:val="24"/>
          <w:szCs w:val="24"/>
        </w:rPr>
        <w:t>american</w:t>
      </w:r>
      <w:r w:rsidRPr="5D45256D" w:rsidR="1571A20D">
        <w:rPr>
          <w:rFonts w:ascii="Arial" w:hAnsi="Arial" w:eastAsia="Arial" w:cs="Arial"/>
          <w:i w:val="1"/>
          <w:iCs w:val="1"/>
          <w:color w:val="000000" w:themeColor="text1" w:themeTint="FF" w:themeShade="FF"/>
          <w:sz w:val="24"/>
          <w:szCs w:val="24"/>
        </w:rPr>
        <w:t xml:space="preserve"> medical </w:t>
      </w:r>
      <w:r w:rsidRPr="5D45256D" w:rsidR="1571A20D">
        <w:rPr>
          <w:rFonts w:ascii="Arial" w:hAnsi="Arial" w:eastAsia="Arial" w:cs="Arial"/>
          <w:i w:val="1"/>
          <w:iCs w:val="1"/>
          <w:color w:val="000000" w:themeColor="text1" w:themeTint="FF" w:themeShade="FF"/>
          <w:sz w:val="24"/>
          <w:szCs w:val="24"/>
        </w:rPr>
        <w:t>directors</w:t>
      </w:r>
      <w:r w:rsidRPr="5D45256D" w:rsidR="1571A20D">
        <w:rPr>
          <w:rFonts w:ascii="Arial" w:hAnsi="Arial" w:eastAsia="Arial" w:cs="Arial"/>
          <w:i w:val="1"/>
          <w:iCs w:val="1"/>
          <w:color w:val="000000" w:themeColor="text1" w:themeTint="FF" w:themeShade="FF"/>
          <w:sz w:val="24"/>
          <w:szCs w:val="24"/>
        </w:rPr>
        <w:t xml:space="preserve"> association</w:t>
      </w:r>
      <w:r w:rsidRPr="5D45256D" w:rsidR="1571A20D">
        <w:rPr>
          <w:rFonts w:ascii="Arial" w:hAnsi="Arial" w:eastAsia="Arial" w:cs="Arial"/>
          <w:color w:val="000000" w:themeColor="text1" w:themeTint="FF" w:themeShade="FF"/>
          <w:sz w:val="24"/>
          <w:szCs w:val="24"/>
        </w:rPr>
        <w:t xml:space="preserve">, 26(8), p.105705. </w:t>
      </w:r>
      <w:hyperlink r:id="Ra8c4df96672949ac">
        <w:r w:rsidRPr="5D45256D" w:rsidR="1288A8B7">
          <w:rPr>
            <w:rStyle w:val="Hyperlink"/>
            <w:rFonts w:ascii="Arial" w:hAnsi="Arial" w:eastAsia="Arial" w:cs="Arial"/>
          </w:rPr>
          <w:t>doi: 10.1016/j.jamda</w:t>
        </w:r>
        <w:r w:rsidRPr="5D45256D" w:rsidR="1571A20D">
          <w:rPr>
            <w:rStyle w:val="Hyperlink"/>
            <w:rFonts w:ascii="Arial" w:hAnsi="Arial" w:eastAsia="Arial" w:cs="Arial"/>
          </w:rPr>
          <w:t>.2025.105705.</w:t>
        </w:r>
      </w:hyperlink>
      <w:r w:rsidRPr="5D45256D" w:rsidR="31BF694A">
        <w:rPr>
          <w:rFonts w:ascii="Arial" w:hAnsi="Arial" w:eastAsia="Arial" w:cs="Arial"/>
        </w:rPr>
        <w:t xml:space="preserve"> </w:t>
      </w:r>
    </w:p>
    <w:p w:rsidR="1571A20D" w:rsidP="5D45256D" w:rsidRDefault="1571A20D" w14:paraId="75EF22A2" w14:textId="6FF50DE4">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Presbitero, A., Dhaenens, A.J., Sanders, K., Yang, </w:t>
      </w:r>
      <w:r w:rsidRPr="5D45256D" w:rsidR="1571A20D">
        <w:rPr>
          <w:rFonts w:ascii="Arial" w:hAnsi="Arial" w:eastAsia="Arial" w:cs="Arial"/>
          <w:color w:val="000000" w:themeColor="text1" w:themeTint="FF" w:themeShade="FF"/>
          <w:sz w:val="24"/>
          <w:szCs w:val="24"/>
        </w:rPr>
        <w:t>H.</w:t>
      </w:r>
      <w:r w:rsidRPr="5D45256D" w:rsidR="1571A20D">
        <w:rPr>
          <w:rFonts w:ascii="Arial" w:hAnsi="Arial" w:eastAsia="Arial" w:cs="Arial"/>
          <w:color w:val="000000" w:themeColor="text1" w:themeTint="FF" w:themeShade="FF"/>
          <w:sz w:val="24"/>
          <w:szCs w:val="24"/>
        </w:rPr>
        <w:t xml:space="preserve"> and Rousseau, D.M. (2026). The present and future role of HR professionals in addressing, managing, and championing alternative work arrangements. </w:t>
      </w:r>
      <w:r w:rsidRPr="5D45256D" w:rsidR="1571A20D">
        <w:rPr>
          <w:rFonts w:ascii="Arial" w:hAnsi="Arial" w:eastAsia="Arial" w:cs="Arial"/>
          <w:i w:val="1"/>
          <w:iCs w:val="1"/>
          <w:color w:val="000000" w:themeColor="text1" w:themeTint="FF" w:themeShade="FF"/>
          <w:sz w:val="24"/>
          <w:szCs w:val="24"/>
        </w:rPr>
        <w:t>The international journal of Human resource management</w:t>
      </w:r>
      <w:r w:rsidRPr="5D45256D" w:rsidR="1571A20D">
        <w:rPr>
          <w:rFonts w:ascii="Arial" w:hAnsi="Arial" w:eastAsia="Arial" w:cs="Arial"/>
          <w:color w:val="000000" w:themeColor="text1" w:themeTint="FF" w:themeShade="FF"/>
          <w:sz w:val="24"/>
          <w:szCs w:val="24"/>
        </w:rPr>
        <w:t xml:space="preserve">, 37(1), pp.1–18. </w:t>
      </w:r>
    </w:p>
    <w:p w:rsidR="341BB78E" w:rsidP="5D45256D" w:rsidRDefault="341BB78E" w14:paraId="573E4E54" w14:textId="5B1BA12A">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c0d2dbea510144be">
        <w:r w:rsidRPr="5D45256D" w:rsidR="341BB78E">
          <w:rPr>
            <w:rStyle w:val="Hyperlink"/>
            <w:rFonts w:ascii="Arial" w:hAnsi="Arial" w:eastAsia="Arial" w:cs="Arial"/>
          </w:rPr>
          <w:t>https://doi.org/10.1080/09585192.2026.2646379</w:t>
        </w:r>
      </w:hyperlink>
      <w:r w:rsidRPr="5D45256D" w:rsidR="341BB78E">
        <w:rPr>
          <w:rFonts w:ascii="Arial" w:hAnsi="Arial" w:eastAsia="Arial" w:cs="Arial"/>
          <w:color w:val="000000" w:themeColor="text1" w:themeTint="FF" w:themeShade="FF"/>
          <w:sz w:val="24"/>
          <w:szCs w:val="24"/>
        </w:rPr>
        <w:t xml:space="preserve"> </w:t>
      </w:r>
    </w:p>
    <w:p w:rsidR="1571A20D" w:rsidP="5D45256D" w:rsidRDefault="1571A20D" w14:paraId="59F5FC58" w14:textId="29A06D21">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Qiao, G., Li, </w:t>
      </w:r>
      <w:r w:rsidRPr="5D45256D" w:rsidR="1571A20D">
        <w:rPr>
          <w:rFonts w:ascii="Arial" w:hAnsi="Arial" w:eastAsia="Arial" w:cs="Arial"/>
          <w:color w:val="000000" w:themeColor="text1" w:themeTint="FF" w:themeShade="FF"/>
          <w:sz w:val="24"/>
          <w:szCs w:val="24"/>
        </w:rPr>
        <w:t>Y.</w:t>
      </w:r>
      <w:r w:rsidRPr="5D45256D" w:rsidR="1571A20D">
        <w:rPr>
          <w:rFonts w:ascii="Arial" w:hAnsi="Arial" w:eastAsia="Arial" w:cs="Arial"/>
          <w:color w:val="000000" w:themeColor="text1" w:themeTint="FF" w:themeShade="FF"/>
          <w:sz w:val="24"/>
          <w:szCs w:val="24"/>
        </w:rPr>
        <w:t xml:space="preserve"> and Hong, A. (2024). The strategic role of Digital transformation: </w:t>
      </w:r>
      <w:r w:rsidRPr="5D45256D" w:rsidR="1571A20D">
        <w:rPr>
          <w:rFonts w:ascii="Arial" w:hAnsi="Arial" w:eastAsia="Arial" w:cs="Arial"/>
          <w:color w:val="000000" w:themeColor="text1" w:themeTint="FF" w:themeShade="FF"/>
          <w:sz w:val="24"/>
          <w:szCs w:val="24"/>
        </w:rPr>
        <w:t>Leveraging</w:t>
      </w:r>
      <w:r w:rsidRPr="5D45256D" w:rsidR="1571A20D">
        <w:rPr>
          <w:rFonts w:ascii="Arial" w:hAnsi="Arial" w:eastAsia="Arial" w:cs="Arial"/>
          <w:color w:val="000000" w:themeColor="text1" w:themeTint="FF" w:themeShade="FF"/>
          <w:sz w:val="24"/>
          <w:szCs w:val="24"/>
        </w:rPr>
        <w:t xml:space="preserve"> digital leadership to enhance employee performance and organizational commitment in the digital era. </w:t>
      </w:r>
      <w:r w:rsidRPr="5D45256D" w:rsidR="1571A20D">
        <w:rPr>
          <w:rFonts w:ascii="Arial" w:hAnsi="Arial" w:eastAsia="Arial" w:cs="Arial"/>
          <w:i w:val="1"/>
          <w:iCs w:val="1"/>
          <w:color w:val="000000" w:themeColor="text1" w:themeTint="FF" w:themeShade="FF"/>
          <w:sz w:val="24"/>
          <w:szCs w:val="24"/>
        </w:rPr>
        <w:t>Systems</w:t>
      </w:r>
      <w:r w:rsidRPr="5D45256D" w:rsidR="1571A20D">
        <w:rPr>
          <w:rFonts w:ascii="Arial" w:hAnsi="Arial" w:eastAsia="Arial" w:cs="Arial"/>
          <w:color w:val="000000" w:themeColor="text1" w:themeTint="FF" w:themeShade="FF"/>
          <w:sz w:val="24"/>
          <w:szCs w:val="24"/>
        </w:rPr>
        <w:t xml:space="preserve">, 12(11), p.457. </w:t>
      </w:r>
      <w:hyperlink r:id="Rc78e4aab0a104fbc">
        <w:r w:rsidRPr="5D45256D" w:rsidR="1571A20D">
          <w:rPr>
            <w:rStyle w:val="Hyperlink"/>
            <w:rFonts w:ascii="Arial" w:hAnsi="Arial" w:eastAsia="Arial" w:cs="Arial"/>
          </w:rPr>
          <w:t>https://doi.org/10.3390/systems12110457</w:t>
        </w:r>
      </w:hyperlink>
      <w:r w:rsidRPr="5D45256D" w:rsidR="1571A20D">
        <w:rPr>
          <w:rFonts w:ascii="Arial" w:hAnsi="Arial" w:eastAsia="Arial" w:cs="Arial"/>
          <w:color w:val="000000" w:themeColor="text1" w:themeTint="FF" w:themeShade="FF"/>
          <w:sz w:val="24"/>
          <w:szCs w:val="24"/>
        </w:rPr>
        <w:t>.</w:t>
      </w:r>
      <w:r w:rsidRPr="5D45256D" w:rsidR="26413475">
        <w:rPr>
          <w:rFonts w:ascii="Arial" w:hAnsi="Arial" w:eastAsia="Arial" w:cs="Arial"/>
          <w:color w:val="000000" w:themeColor="text1" w:themeTint="FF" w:themeShade="FF"/>
          <w:sz w:val="24"/>
          <w:szCs w:val="24"/>
        </w:rPr>
        <w:t xml:space="preserve"> </w:t>
      </w:r>
    </w:p>
    <w:p w:rsidR="1571A20D" w:rsidP="5D45256D" w:rsidRDefault="1571A20D" w14:paraId="630E604F" w14:textId="0103DC50">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Rožman, M., </w:t>
      </w:r>
      <w:r w:rsidRPr="5D45256D" w:rsidR="1571A20D">
        <w:rPr>
          <w:rFonts w:ascii="Arial" w:hAnsi="Arial" w:eastAsia="Arial" w:cs="Arial"/>
          <w:color w:val="000000" w:themeColor="text1" w:themeTint="FF" w:themeShade="FF"/>
          <w:sz w:val="24"/>
          <w:szCs w:val="24"/>
        </w:rPr>
        <w:t>Tominc</w:t>
      </w:r>
      <w:r w:rsidRPr="5D45256D" w:rsidR="1571A20D">
        <w:rPr>
          <w:rFonts w:ascii="Arial" w:hAnsi="Arial" w:eastAsia="Arial" w:cs="Arial"/>
          <w:color w:val="000000" w:themeColor="text1" w:themeTint="FF" w:themeShade="FF"/>
          <w:sz w:val="24"/>
          <w:szCs w:val="24"/>
        </w:rPr>
        <w:t xml:space="preserve">, P. and </w:t>
      </w:r>
      <w:r w:rsidRPr="5D45256D" w:rsidR="1571A20D">
        <w:rPr>
          <w:rFonts w:ascii="Arial" w:hAnsi="Arial" w:eastAsia="Arial" w:cs="Arial"/>
          <w:color w:val="000000" w:themeColor="text1" w:themeTint="FF" w:themeShade="FF"/>
          <w:sz w:val="24"/>
          <w:szCs w:val="24"/>
        </w:rPr>
        <w:t>Milfelner</w:t>
      </w:r>
      <w:r w:rsidRPr="5D45256D" w:rsidR="1571A20D">
        <w:rPr>
          <w:rFonts w:ascii="Arial" w:hAnsi="Arial" w:eastAsia="Arial" w:cs="Arial"/>
          <w:color w:val="000000" w:themeColor="text1" w:themeTint="FF" w:themeShade="FF"/>
          <w:sz w:val="24"/>
          <w:szCs w:val="24"/>
        </w:rPr>
        <w:t xml:space="preserve">, B. (2023). Maximizing employee engagement through artificial intelligent organizational culture in the context of leadership and training of employees: Testing linear and non-linear relationships. </w:t>
      </w:r>
      <w:r w:rsidRPr="5D45256D" w:rsidR="1571A20D">
        <w:rPr>
          <w:rFonts w:ascii="Arial" w:hAnsi="Arial" w:eastAsia="Arial" w:cs="Arial"/>
          <w:i w:val="1"/>
          <w:iCs w:val="1"/>
          <w:color w:val="000000" w:themeColor="text1" w:themeTint="FF" w:themeShade="FF"/>
          <w:sz w:val="24"/>
          <w:szCs w:val="24"/>
        </w:rPr>
        <w:t>Cogent business &amp; management</w:t>
      </w:r>
      <w:r w:rsidRPr="5D45256D" w:rsidR="1571A20D">
        <w:rPr>
          <w:rFonts w:ascii="Arial" w:hAnsi="Arial" w:eastAsia="Arial" w:cs="Arial"/>
          <w:color w:val="000000" w:themeColor="text1" w:themeTint="FF" w:themeShade="FF"/>
          <w:sz w:val="24"/>
          <w:szCs w:val="24"/>
        </w:rPr>
        <w:t xml:space="preserve">, 10(2). </w:t>
      </w:r>
    </w:p>
    <w:p w:rsidR="0004EA13" w:rsidP="5D45256D" w:rsidRDefault="0004EA13" w14:paraId="130C0F3F" w14:textId="5EAA61D4">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80d1709e980c4675">
        <w:r w:rsidRPr="5D45256D" w:rsidR="0004EA13">
          <w:rPr>
            <w:rStyle w:val="Hyperlink"/>
            <w:rFonts w:ascii="Arial" w:hAnsi="Arial" w:eastAsia="Arial" w:cs="Arial"/>
          </w:rPr>
          <w:t>https://doi.org/10.1080/23311975.2023.2248732</w:t>
        </w:r>
      </w:hyperlink>
      <w:r w:rsidRPr="5D45256D" w:rsidR="0004EA13">
        <w:rPr>
          <w:rFonts w:ascii="Arial" w:hAnsi="Arial" w:eastAsia="Arial" w:cs="Arial"/>
          <w:color w:val="000000" w:themeColor="text1" w:themeTint="FF" w:themeShade="FF"/>
          <w:sz w:val="24"/>
          <w:szCs w:val="24"/>
        </w:rPr>
        <w:t xml:space="preserve"> </w:t>
      </w:r>
    </w:p>
    <w:p w:rsidR="1571A20D" w:rsidP="5D45256D" w:rsidRDefault="1571A20D" w14:paraId="79CDE763" w14:textId="250A559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Shiri, R., El-Metwally, A., Sallinen, M., Pöyry, M., Härmä, M. and Toppinen-Tanner, S. (2023). The role of continuing professional training or development in </w:t>
      </w:r>
      <w:r w:rsidRPr="5D45256D" w:rsidR="1571A20D">
        <w:rPr>
          <w:rFonts w:ascii="Arial" w:hAnsi="Arial" w:eastAsia="Arial" w:cs="Arial"/>
          <w:color w:val="000000" w:themeColor="text1" w:themeTint="FF" w:themeShade="FF"/>
          <w:sz w:val="24"/>
          <w:szCs w:val="24"/>
        </w:rPr>
        <w:t>maintaining</w:t>
      </w:r>
      <w:r w:rsidRPr="5D45256D" w:rsidR="1571A20D">
        <w:rPr>
          <w:rFonts w:ascii="Arial" w:hAnsi="Arial" w:eastAsia="Arial" w:cs="Arial"/>
          <w:color w:val="000000" w:themeColor="text1" w:themeTint="FF" w:themeShade="FF"/>
          <w:sz w:val="24"/>
          <w:szCs w:val="24"/>
        </w:rPr>
        <w:t xml:space="preserve"> current employment: A systematic review. </w:t>
      </w:r>
      <w:r w:rsidRPr="5D45256D" w:rsidR="1571A20D">
        <w:rPr>
          <w:rFonts w:ascii="Arial" w:hAnsi="Arial" w:eastAsia="Arial" w:cs="Arial"/>
          <w:i w:val="1"/>
          <w:iCs w:val="1"/>
          <w:color w:val="000000" w:themeColor="text1" w:themeTint="FF" w:themeShade="FF"/>
          <w:sz w:val="24"/>
          <w:szCs w:val="24"/>
        </w:rPr>
        <w:t>Healthcare</w:t>
      </w:r>
      <w:r w:rsidRPr="5D45256D" w:rsidR="1571A20D">
        <w:rPr>
          <w:rFonts w:ascii="Arial" w:hAnsi="Arial" w:eastAsia="Arial" w:cs="Arial"/>
          <w:color w:val="000000" w:themeColor="text1" w:themeTint="FF" w:themeShade="FF"/>
          <w:sz w:val="24"/>
          <w:szCs w:val="24"/>
        </w:rPr>
        <w:t>, [online] 11(21), pp</w:t>
      </w:r>
      <w:r w:rsidRPr="5D45256D" w:rsidR="1571A20D">
        <w:rPr>
          <w:rFonts w:ascii="Arial" w:hAnsi="Arial" w:eastAsia="Arial" w:cs="Arial"/>
          <w:color w:val="000000" w:themeColor="text1" w:themeTint="FF" w:themeShade="FF"/>
          <w:sz w:val="24"/>
          <w:szCs w:val="24"/>
        </w:rPr>
        <w:t>.1</w:t>
      </w:r>
      <w:r w:rsidRPr="5D45256D" w:rsidR="1571A20D">
        <w:rPr>
          <w:rFonts w:ascii="Arial" w:hAnsi="Arial" w:eastAsia="Arial" w:cs="Arial"/>
          <w:color w:val="000000" w:themeColor="text1" w:themeTint="FF" w:themeShade="FF"/>
          <w:sz w:val="24"/>
          <w:szCs w:val="24"/>
        </w:rPr>
        <w:t xml:space="preserve">–17. </w:t>
      </w:r>
      <w:hyperlink r:id="R7c5afffc77b54adc">
        <w:r w:rsidRPr="5D45256D" w:rsidR="1571A20D">
          <w:rPr>
            <w:rStyle w:val="Hyperlink"/>
            <w:rFonts w:ascii="Arial" w:hAnsi="Arial" w:eastAsia="Arial" w:cs="Arial"/>
            <w:strike w:val="0"/>
            <w:dstrike w:val="0"/>
            <w:color w:val="0563C1"/>
            <w:u w:val="single"/>
          </w:rPr>
          <w:t>https://doi.org/10.3390/healthcare11212900</w:t>
        </w:r>
      </w:hyperlink>
      <w:r w:rsidRPr="5D45256D" w:rsidR="1571A20D">
        <w:rPr>
          <w:rFonts w:ascii="Arial" w:hAnsi="Arial" w:eastAsia="Arial" w:cs="Arial"/>
          <w:color w:val="000000" w:themeColor="text1" w:themeTint="FF" w:themeShade="FF"/>
          <w:sz w:val="24"/>
          <w:szCs w:val="24"/>
        </w:rPr>
        <w:t>.</w:t>
      </w:r>
    </w:p>
    <w:p w:rsidR="1571A20D" w:rsidP="5D45256D" w:rsidRDefault="1571A20D" w14:paraId="274192F2" w14:textId="403FC20A">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Shiri, R., Metwally, A. El, Sallinen, M., Pöyry, M., Härmä, M. and Tanner, S.T. (2023). The role of continuing professional training or development in </w:t>
      </w:r>
      <w:r w:rsidRPr="5D45256D" w:rsidR="1571A20D">
        <w:rPr>
          <w:rFonts w:ascii="Arial" w:hAnsi="Arial" w:eastAsia="Arial" w:cs="Arial"/>
          <w:color w:val="000000" w:themeColor="text1" w:themeTint="FF" w:themeShade="FF"/>
          <w:sz w:val="24"/>
          <w:szCs w:val="24"/>
        </w:rPr>
        <w:t>maintaining</w:t>
      </w:r>
      <w:r w:rsidRPr="5D45256D" w:rsidR="1571A20D">
        <w:rPr>
          <w:rFonts w:ascii="Arial" w:hAnsi="Arial" w:eastAsia="Arial" w:cs="Arial"/>
          <w:color w:val="000000" w:themeColor="text1" w:themeTint="FF" w:themeShade="FF"/>
          <w:sz w:val="24"/>
          <w:szCs w:val="24"/>
        </w:rPr>
        <w:t xml:space="preserve"> current employment: A systematic review. </w:t>
      </w:r>
      <w:r w:rsidRPr="5D45256D" w:rsidR="1571A20D">
        <w:rPr>
          <w:rFonts w:ascii="Arial" w:hAnsi="Arial" w:eastAsia="Arial" w:cs="Arial"/>
          <w:i w:val="1"/>
          <w:iCs w:val="1"/>
          <w:color w:val="000000" w:themeColor="text1" w:themeTint="FF" w:themeShade="FF"/>
          <w:sz w:val="24"/>
          <w:szCs w:val="24"/>
        </w:rPr>
        <w:t>Healthcare</w:t>
      </w:r>
      <w:r w:rsidRPr="5D45256D" w:rsidR="1571A20D">
        <w:rPr>
          <w:rFonts w:ascii="Arial" w:hAnsi="Arial" w:eastAsia="Arial" w:cs="Arial"/>
          <w:color w:val="000000" w:themeColor="text1" w:themeTint="FF" w:themeShade="FF"/>
          <w:sz w:val="24"/>
          <w:szCs w:val="24"/>
        </w:rPr>
        <w:t>, 11(21), pp</w:t>
      </w:r>
      <w:r w:rsidRPr="5D45256D" w:rsidR="1571A20D">
        <w:rPr>
          <w:rFonts w:ascii="Arial" w:hAnsi="Arial" w:eastAsia="Arial" w:cs="Arial"/>
          <w:color w:val="000000" w:themeColor="text1" w:themeTint="FF" w:themeShade="FF"/>
          <w:sz w:val="24"/>
          <w:szCs w:val="24"/>
        </w:rPr>
        <w:t>.1</w:t>
      </w:r>
      <w:r w:rsidRPr="5D45256D" w:rsidR="1571A20D">
        <w:rPr>
          <w:rFonts w:ascii="Arial" w:hAnsi="Arial" w:eastAsia="Arial" w:cs="Arial"/>
          <w:color w:val="000000" w:themeColor="text1" w:themeTint="FF" w:themeShade="FF"/>
          <w:sz w:val="24"/>
          <w:szCs w:val="24"/>
        </w:rPr>
        <w:t xml:space="preserve">–17. </w:t>
      </w:r>
      <w:hyperlink r:id="R12231c71c30544ae">
        <w:r w:rsidRPr="5D45256D" w:rsidR="1571A20D">
          <w:rPr>
            <w:rStyle w:val="Hyperlink"/>
            <w:rFonts w:ascii="Arial" w:hAnsi="Arial" w:eastAsia="Arial" w:cs="Arial"/>
          </w:rPr>
          <w:t>https</w:t>
        </w:r>
        <w:r w:rsidRPr="5D45256D" w:rsidR="1571A20D">
          <w:rPr>
            <w:rStyle w:val="Hyperlink"/>
            <w:rFonts w:ascii="Arial" w:hAnsi="Arial" w:eastAsia="Arial" w:cs="Arial"/>
          </w:rPr>
          <w:t>://doi.org/10.3390/healthcare11212900</w:t>
        </w:r>
      </w:hyperlink>
      <w:r w:rsidRPr="5D45256D" w:rsidR="1571A20D">
        <w:rPr>
          <w:rFonts w:ascii="Arial" w:hAnsi="Arial" w:eastAsia="Arial" w:cs="Arial"/>
          <w:color w:val="000000" w:themeColor="text1" w:themeTint="FF" w:themeShade="FF"/>
          <w:sz w:val="24"/>
          <w:szCs w:val="24"/>
        </w:rPr>
        <w:t>.</w:t>
      </w:r>
    </w:p>
    <w:p w:rsidR="5D45256D" w:rsidP="5D45256D" w:rsidRDefault="5D45256D" w14:paraId="6E726BB5" w14:textId="5C088C1C">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p>
    <w:p w:rsidR="1571A20D" w:rsidP="5D45256D" w:rsidRDefault="1571A20D" w14:paraId="1EDC3DC2" w14:textId="21FAAF26">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Suman, T. (2024). Employee turnover and engagement programs for retention. </w:t>
      </w:r>
      <w:r w:rsidRPr="5D45256D" w:rsidR="1571A20D">
        <w:rPr>
          <w:rFonts w:ascii="Arial" w:hAnsi="Arial" w:eastAsia="Arial" w:cs="Arial"/>
          <w:i w:val="1"/>
          <w:iCs w:val="1"/>
          <w:color w:val="000000" w:themeColor="text1" w:themeTint="FF" w:themeShade="FF"/>
          <w:sz w:val="24"/>
          <w:szCs w:val="24"/>
        </w:rPr>
        <w:t>Cipmlk.org</w:t>
      </w:r>
      <w:r w:rsidRPr="5D45256D" w:rsidR="1571A20D">
        <w:rPr>
          <w:rFonts w:ascii="Arial" w:hAnsi="Arial" w:eastAsia="Arial" w:cs="Arial"/>
          <w:color w:val="000000" w:themeColor="text1" w:themeTint="FF" w:themeShade="FF"/>
          <w:sz w:val="24"/>
          <w:szCs w:val="24"/>
        </w:rPr>
        <w:t xml:space="preserve">. [online] </w:t>
      </w:r>
      <w:hyperlink r:id="Rde0e77433f714599">
        <w:r w:rsidRPr="5D45256D" w:rsidR="1571A20D">
          <w:rPr>
            <w:rStyle w:val="Hyperlink"/>
            <w:rFonts w:ascii="Arial" w:hAnsi="Arial" w:eastAsia="Arial" w:cs="Arial"/>
            <w:strike w:val="0"/>
            <w:dstrike w:val="0"/>
            <w:color w:val="0563C1"/>
            <w:u w:val="single"/>
          </w:rPr>
          <w:t>http://digitalrepository.cipmlk.org/handle/1/1298</w:t>
        </w:r>
      </w:hyperlink>
      <w:r w:rsidRPr="5D45256D" w:rsidR="1571A20D">
        <w:rPr>
          <w:rFonts w:ascii="Arial" w:hAnsi="Arial" w:eastAsia="Arial" w:cs="Arial"/>
          <w:color w:val="000000" w:themeColor="text1" w:themeTint="FF" w:themeShade="FF"/>
          <w:sz w:val="24"/>
          <w:szCs w:val="24"/>
        </w:rPr>
        <w:t>.</w:t>
      </w:r>
    </w:p>
    <w:p w:rsidR="1571A20D" w:rsidP="5D45256D" w:rsidRDefault="1571A20D" w14:paraId="2EDE9CCF" w14:textId="3951428D">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Taherdoost, H. (2022). What are different research approaches? Comprehensive review of Qualitative, quantitative, and mixed method research, their applications, types, and limitations. </w:t>
      </w:r>
      <w:r w:rsidRPr="5D45256D" w:rsidR="1571A20D">
        <w:rPr>
          <w:rFonts w:ascii="Arial" w:hAnsi="Arial" w:eastAsia="Arial" w:cs="Arial"/>
          <w:i w:val="1"/>
          <w:iCs w:val="1"/>
          <w:color w:val="000000" w:themeColor="text1" w:themeTint="FF" w:themeShade="FF"/>
          <w:sz w:val="24"/>
          <w:szCs w:val="24"/>
        </w:rPr>
        <w:t>Journal of Management science &amp; engineering research</w:t>
      </w:r>
      <w:r w:rsidRPr="5D45256D" w:rsidR="1571A20D">
        <w:rPr>
          <w:rFonts w:ascii="Arial" w:hAnsi="Arial" w:eastAsia="Arial" w:cs="Arial"/>
          <w:color w:val="000000" w:themeColor="text1" w:themeTint="FF" w:themeShade="FF"/>
          <w:sz w:val="24"/>
          <w:szCs w:val="24"/>
        </w:rPr>
        <w:t xml:space="preserve">, [online] 5(1), pp.53–63. Available at: </w:t>
      </w:r>
      <w:hyperlink r:id="Rc34f289080004fe5">
        <w:r w:rsidRPr="5D45256D" w:rsidR="1571A20D">
          <w:rPr>
            <w:rStyle w:val="Hyperlink"/>
            <w:rFonts w:ascii="Arial" w:hAnsi="Arial" w:eastAsia="Arial" w:cs="Arial"/>
          </w:rPr>
          <w:t>https://hal.science/hal-03741840/document</w:t>
        </w:r>
      </w:hyperlink>
      <w:r w:rsidRPr="5D45256D" w:rsidR="1571A20D">
        <w:rPr>
          <w:rFonts w:ascii="Arial" w:hAnsi="Arial" w:eastAsia="Arial" w:cs="Arial"/>
          <w:color w:val="000000" w:themeColor="text1" w:themeTint="FF" w:themeShade="FF"/>
          <w:sz w:val="24"/>
          <w:szCs w:val="24"/>
        </w:rPr>
        <w:t xml:space="preserve"> [Accessed 25 July 2026].</w:t>
      </w:r>
    </w:p>
    <w:p w:rsidR="1571A20D" w:rsidP="5D45256D" w:rsidRDefault="1571A20D" w14:paraId="6E9114BB" w14:textId="244759B0">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Thwaites, C. (2023). Factors </w:t>
      </w:r>
      <w:r w:rsidRPr="5D45256D" w:rsidR="1571A20D">
        <w:rPr>
          <w:rFonts w:ascii="Arial" w:hAnsi="Arial" w:eastAsia="Arial" w:cs="Arial"/>
          <w:color w:val="000000" w:themeColor="text1" w:themeTint="FF" w:themeShade="FF"/>
          <w:sz w:val="24"/>
          <w:szCs w:val="24"/>
        </w:rPr>
        <w:t>impacting</w:t>
      </w:r>
      <w:r w:rsidRPr="5D45256D" w:rsidR="1571A20D">
        <w:rPr>
          <w:rFonts w:ascii="Arial" w:hAnsi="Arial" w:eastAsia="Arial" w:cs="Arial"/>
          <w:color w:val="000000" w:themeColor="text1" w:themeTint="FF" w:themeShade="FF"/>
          <w:sz w:val="24"/>
          <w:szCs w:val="24"/>
        </w:rPr>
        <w:t xml:space="preserve"> retention of </w:t>
      </w:r>
      <w:r w:rsidRPr="5D45256D" w:rsidR="1571A20D">
        <w:rPr>
          <w:rFonts w:ascii="Arial" w:hAnsi="Arial" w:eastAsia="Arial" w:cs="Arial"/>
          <w:color w:val="000000" w:themeColor="text1" w:themeTint="FF" w:themeShade="FF"/>
          <w:sz w:val="24"/>
          <w:szCs w:val="24"/>
        </w:rPr>
        <w:t>Aged</w:t>
      </w:r>
      <w:r w:rsidRPr="5D45256D" w:rsidR="1571A20D">
        <w:rPr>
          <w:rFonts w:ascii="Arial" w:hAnsi="Arial" w:eastAsia="Arial" w:cs="Arial"/>
          <w:color w:val="000000" w:themeColor="text1" w:themeTint="FF" w:themeShade="FF"/>
          <w:sz w:val="24"/>
          <w:szCs w:val="24"/>
        </w:rPr>
        <w:t xml:space="preserve"> care workers: A systematic review. </w:t>
      </w:r>
      <w:r w:rsidRPr="5D45256D" w:rsidR="1571A20D">
        <w:rPr>
          <w:rFonts w:ascii="Arial" w:hAnsi="Arial" w:eastAsia="Arial" w:cs="Arial"/>
          <w:i w:val="1"/>
          <w:iCs w:val="1"/>
          <w:color w:val="000000" w:themeColor="text1" w:themeTint="FF" w:themeShade="FF"/>
          <w:sz w:val="24"/>
          <w:szCs w:val="24"/>
        </w:rPr>
        <w:t>Healthcare (</w:t>
      </w:r>
      <w:r w:rsidRPr="5D45256D" w:rsidR="1571A20D">
        <w:rPr>
          <w:rFonts w:ascii="Arial" w:hAnsi="Arial" w:eastAsia="Arial" w:cs="Arial"/>
          <w:i w:val="1"/>
          <w:iCs w:val="1"/>
          <w:color w:val="000000" w:themeColor="text1" w:themeTint="FF" w:themeShade="FF"/>
          <w:sz w:val="24"/>
          <w:szCs w:val="24"/>
        </w:rPr>
        <w:t>basel</w:t>
      </w:r>
      <w:r w:rsidRPr="5D45256D" w:rsidR="1571A20D">
        <w:rPr>
          <w:rFonts w:ascii="Arial" w:hAnsi="Arial" w:eastAsia="Arial" w:cs="Arial"/>
          <w:i w:val="1"/>
          <w:iCs w:val="1"/>
          <w:color w:val="000000" w:themeColor="text1" w:themeTint="FF" w:themeShade="FF"/>
          <w:sz w:val="24"/>
          <w:szCs w:val="24"/>
        </w:rPr>
        <w:t xml:space="preserve">, </w:t>
      </w:r>
      <w:r w:rsidRPr="5D45256D" w:rsidR="1571A20D">
        <w:rPr>
          <w:rFonts w:ascii="Arial" w:hAnsi="Arial" w:eastAsia="Arial" w:cs="Arial"/>
          <w:i w:val="1"/>
          <w:iCs w:val="1"/>
          <w:color w:val="000000" w:themeColor="text1" w:themeTint="FF" w:themeShade="FF"/>
          <w:sz w:val="24"/>
          <w:szCs w:val="24"/>
        </w:rPr>
        <w:t>switzerland</w:t>
      </w:r>
      <w:r w:rsidRPr="5D45256D" w:rsidR="1571A20D">
        <w:rPr>
          <w:rFonts w:ascii="Arial" w:hAnsi="Arial" w:eastAsia="Arial" w:cs="Arial"/>
          <w:i w:val="1"/>
          <w:iCs w:val="1"/>
          <w:color w:val="000000" w:themeColor="text1" w:themeTint="FF" w:themeShade="FF"/>
          <w:sz w:val="24"/>
          <w:szCs w:val="24"/>
        </w:rPr>
        <w:t>)</w:t>
      </w:r>
      <w:r w:rsidRPr="5D45256D" w:rsidR="1571A20D">
        <w:rPr>
          <w:rFonts w:ascii="Arial" w:hAnsi="Arial" w:eastAsia="Arial" w:cs="Arial"/>
          <w:color w:val="000000" w:themeColor="text1" w:themeTint="FF" w:themeShade="FF"/>
          <w:sz w:val="24"/>
          <w:szCs w:val="24"/>
        </w:rPr>
        <w:t>, [online] 11(23), p.3008</w:t>
      </w:r>
    </w:p>
    <w:p w:rsidR="7BECD5DC" w:rsidP="5D45256D" w:rsidRDefault="7BECD5DC" w14:paraId="322AB3A8" w14:textId="4A1958A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hyperlink r:id="R2e47995aeab6464f">
        <w:r w:rsidRPr="5D45256D" w:rsidR="7BECD5DC">
          <w:rPr>
            <w:rStyle w:val="Hyperlink"/>
            <w:rFonts w:ascii="Arial" w:hAnsi="Arial" w:eastAsia="Arial" w:cs="Arial"/>
          </w:rPr>
          <w:t>https://doi.org/10.3390/healthcare11233008?urlappend=%3Futm_source%3Dresearchgate.net%26utm_medium%3Darticle</w:t>
        </w:r>
      </w:hyperlink>
      <w:r w:rsidRPr="5D45256D" w:rsidR="7BECD5DC">
        <w:rPr>
          <w:rFonts w:ascii="Arial" w:hAnsi="Arial" w:eastAsia="Arial" w:cs="Arial"/>
          <w:color w:val="000000" w:themeColor="text1" w:themeTint="FF" w:themeShade="FF"/>
          <w:sz w:val="24"/>
          <w:szCs w:val="24"/>
        </w:rPr>
        <w:t xml:space="preserve"> </w:t>
      </w:r>
    </w:p>
    <w:p w:rsidR="5D45256D" w:rsidP="5D45256D" w:rsidRDefault="5D45256D" w14:paraId="0AC34E51" w14:textId="67AE1A89">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p>
    <w:p w:rsidR="1571A20D" w:rsidP="5D45256D" w:rsidRDefault="1571A20D" w14:paraId="2DD7AD40" w14:textId="2BB2DB3E">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Thwaites, C. (2023). Factors </w:t>
      </w:r>
      <w:r w:rsidRPr="5D45256D" w:rsidR="1571A20D">
        <w:rPr>
          <w:rFonts w:ascii="Arial" w:hAnsi="Arial" w:eastAsia="Arial" w:cs="Arial"/>
          <w:color w:val="000000" w:themeColor="text1" w:themeTint="FF" w:themeShade="FF"/>
          <w:sz w:val="24"/>
          <w:szCs w:val="24"/>
        </w:rPr>
        <w:t>impacting</w:t>
      </w:r>
      <w:r w:rsidRPr="5D45256D" w:rsidR="1571A20D">
        <w:rPr>
          <w:rFonts w:ascii="Arial" w:hAnsi="Arial" w:eastAsia="Arial" w:cs="Arial"/>
          <w:color w:val="000000" w:themeColor="text1" w:themeTint="FF" w:themeShade="FF"/>
          <w:sz w:val="24"/>
          <w:szCs w:val="24"/>
        </w:rPr>
        <w:t xml:space="preserve"> retention of </w:t>
      </w:r>
      <w:r w:rsidRPr="5D45256D" w:rsidR="1571A20D">
        <w:rPr>
          <w:rFonts w:ascii="Arial" w:hAnsi="Arial" w:eastAsia="Arial" w:cs="Arial"/>
          <w:color w:val="000000" w:themeColor="text1" w:themeTint="FF" w:themeShade="FF"/>
          <w:sz w:val="24"/>
          <w:szCs w:val="24"/>
        </w:rPr>
        <w:t>Aged</w:t>
      </w:r>
      <w:r w:rsidRPr="5D45256D" w:rsidR="1571A20D">
        <w:rPr>
          <w:rFonts w:ascii="Arial" w:hAnsi="Arial" w:eastAsia="Arial" w:cs="Arial"/>
          <w:color w:val="000000" w:themeColor="text1" w:themeTint="FF" w:themeShade="FF"/>
          <w:sz w:val="24"/>
          <w:szCs w:val="24"/>
        </w:rPr>
        <w:t xml:space="preserve"> care workers: A systematic review. </w:t>
      </w:r>
      <w:r w:rsidRPr="5D45256D" w:rsidR="1571A20D">
        <w:rPr>
          <w:rFonts w:ascii="Arial" w:hAnsi="Arial" w:eastAsia="Arial" w:cs="Arial"/>
          <w:i w:val="1"/>
          <w:iCs w:val="1"/>
          <w:color w:val="000000" w:themeColor="text1" w:themeTint="FF" w:themeShade="FF"/>
          <w:sz w:val="24"/>
          <w:szCs w:val="24"/>
        </w:rPr>
        <w:t>Healthcare (</w:t>
      </w:r>
      <w:r w:rsidRPr="5D45256D" w:rsidR="1571A20D">
        <w:rPr>
          <w:rFonts w:ascii="Arial" w:hAnsi="Arial" w:eastAsia="Arial" w:cs="Arial"/>
          <w:i w:val="1"/>
          <w:iCs w:val="1"/>
          <w:color w:val="000000" w:themeColor="text1" w:themeTint="FF" w:themeShade="FF"/>
          <w:sz w:val="24"/>
          <w:szCs w:val="24"/>
        </w:rPr>
        <w:t>basel</w:t>
      </w:r>
      <w:r w:rsidRPr="5D45256D" w:rsidR="1571A20D">
        <w:rPr>
          <w:rFonts w:ascii="Arial" w:hAnsi="Arial" w:eastAsia="Arial" w:cs="Arial"/>
          <w:i w:val="1"/>
          <w:iCs w:val="1"/>
          <w:color w:val="000000" w:themeColor="text1" w:themeTint="FF" w:themeShade="FF"/>
          <w:sz w:val="24"/>
          <w:szCs w:val="24"/>
        </w:rPr>
        <w:t xml:space="preserve">, </w:t>
      </w:r>
      <w:r w:rsidRPr="5D45256D" w:rsidR="1571A20D">
        <w:rPr>
          <w:rFonts w:ascii="Arial" w:hAnsi="Arial" w:eastAsia="Arial" w:cs="Arial"/>
          <w:i w:val="1"/>
          <w:iCs w:val="1"/>
          <w:color w:val="000000" w:themeColor="text1" w:themeTint="FF" w:themeShade="FF"/>
          <w:sz w:val="24"/>
          <w:szCs w:val="24"/>
        </w:rPr>
        <w:t>switzerland</w:t>
      </w:r>
      <w:r w:rsidRPr="5D45256D" w:rsidR="1571A20D">
        <w:rPr>
          <w:rFonts w:ascii="Arial" w:hAnsi="Arial" w:eastAsia="Arial" w:cs="Arial"/>
          <w:i w:val="1"/>
          <w:iCs w:val="1"/>
          <w:color w:val="000000" w:themeColor="text1" w:themeTint="FF" w:themeShade="FF"/>
          <w:sz w:val="24"/>
          <w:szCs w:val="24"/>
        </w:rPr>
        <w:t>)</w:t>
      </w:r>
      <w:r w:rsidRPr="5D45256D" w:rsidR="1571A20D">
        <w:rPr>
          <w:rFonts w:ascii="Arial" w:hAnsi="Arial" w:eastAsia="Arial" w:cs="Arial"/>
          <w:color w:val="000000" w:themeColor="text1" w:themeTint="FF" w:themeShade="FF"/>
          <w:sz w:val="24"/>
          <w:szCs w:val="24"/>
        </w:rPr>
        <w:t xml:space="preserve">, 11(23), p.3008. </w:t>
      </w:r>
      <w:hyperlink r:id="R858b2e413d534b82">
        <w:r w:rsidRPr="5D45256D" w:rsidR="6190685A">
          <w:rPr>
            <w:rStyle w:val="Hyperlink"/>
            <w:rFonts w:ascii="Arial" w:hAnsi="Arial" w:eastAsia="Arial" w:cs="Arial"/>
          </w:rPr>
          <w:t>https://doi.org/10.3390/healthcare11233008?urlappend=%3Futm_source%3Dresearchgate.net%26utm_medium%3Darticle</w:t>
        </w:r>
      </w:hyperlink>
      <w:r w:rsidRPr="5D45256D" w:rsidR="6190685A">
        <w:rPr>
          <w:rFonts w:ascii="Arial" w:hAnsi="Arial" w:eastAsia="Arial" w:cs="Arial"/>
          <w:color w:val="000000" w:themeColor="text1" w:themeTint="FF" w:themeShade="FF"/>
          <w:sz w:val="24"/>
          <w:szCs w:val="24"/>
        </w:rPr>
        <w:t xml:space="preserve"> </w:t>
      </w:r>
    </w:p>
    <w:p w:rsidR="1571A20D" w:rsidP="5D45256D" w:rsidRDefault="1571A20D" w14:paraId="5407E41D" w14:textId="44108231">
      <w:pPr>
        <w:pStyle w:val="Normal"/>
        <w:spacing w:before="0" w:beforeAutospacing="off" w:after="160" w:afterAutospacing="off" w:line="360" w:lineRule="auto"/>
        <w:ind w:left="720" w:right="0" w:hanging="720"/>
        <w:jc w:val="both"/>
        <w:rPr>
          <w:rFonts w:ascii="Arial" w:hAnsi="Arial" w:eastAsia="Arial" w:cs="Arial"/>
          <w:noProof w:val="0"/>
          <w:sz w:val="24"/>
          <w:szCs w:val="24"/>
          <w:lang w:val="en-GB"/>
        </w:rPr>
      </w:pPr>
      <w:r w:rsidRPr="5D45256D" w:rsidR="1571A20D">
        <w:rPr>
          <w:rFonts w:ascii="Arial" w:hAnsi="Arial" w:eastAsia="Arial" w:cs="Arial"/>
          <w:color w:val="000000" w:themeColor="text1" w:themeTint="FF" w:themeShade="FF"/>
          <w:sz w:val="24"/>
          <w:szCs w:val="24"/>
        </w:rPr>
        <w:t xml:space="preserve">Urme, U.N. (2023). The impact of Talent management strategies on employee retention. </w:t>
      </w:r>
      <w:r w:rsidRPr="5D45256D" w:rsidR="1571A20D">
        <w:rPr>
          <w:rFonts w:ascii="Arial" w:hAnsi="Arial" w:eastAsia="Arial" w:cs="Arial"/>
          <w:i w:val="1"/>
          <w:iCs w:val="1"/>
          <w:color w:val="000000" w:themeColor="text1" w:themeTint="FF" w:themeShade="FF"/>
          <w:sz w:val="24"/>
          <w:szCs w:val="24"/>
        </w:rPr>
        <w:t xml:space="preserve">International journal of Science and </w:t>
      </w:r>
      <w:r w:rsidRPr="5D45256D" w:rsidR="1571A20D">
        <w:rPr>
          <w:rFonts w:ascii="Arial" w:hAnsi="Arial" w:eastAsia="Arial" w:cs="Arial"/>
          <w:i w:val="1"/>
          <w:iCs w:val="1"/>
          <w:color w:val="000000" w:themeColor="text1" w:themeTint="FF" w:themeShade="FF"/>
          <w:sz w:val="24"/>
          <w:szCs w:val="24"/>
        </w:rPr>
        <w:t>business</w:t>
      </w:r>
      <w:r w:rsidRPr="5D45256D" w:rsidR="1571A20D">
        <w:rPr>
          <w:rFonts w:ascii="Arial" w:hAnsi="Arial" w:eastAsia="Arial" w:cs="Arial"/>
          <w:color w:val="000000" w:themeColor="text1" w:themeTint="FF" w:themeShade="FF"/>
          <w:sz w:val="24"/>
          <w:szCs w:val="24"/>
        </w:rPr>
        <w:t>, 28(1), pp.127–146.</w:t>
      </w:r>
      <w:r w:rsidRPr="5D45256D" w:rsidR="7A2E2B98">
        <w:rPr>
          <w:rFonts w:ascii="Arial" w:hAnsi="Arial" w:eastAsia="Arial" w:cs="Arial"/>
          <w:b w:val="0"/>
          <w:bCs w:val="0"/>
          <w:i w:val="0"/>
          <w:iCs w:val="0"/>
          <w:caps w:val="0"/>
          <w:smallCaps w:val="0"/>
          <w:noProof w:val="0"/>
          <w:color w:val="222222"/>
          <w:sz w:val="24"/>
          <w:szCs w:val="24"/>
          <w:lang w:val="en-GB"/>
        </w:rPr>
        <w:t xml:space="preserve"> </w:t>
      </w:r>
      <w:hyperlink r:id="R2a04ac9a517045c5">
        <w:r w:rsidRPr="5D45256D" w:rsidR="7A2E2B98">
          <w:rPr>
            <w:rStyle w:val="Hyperlink"/>
            <w:rFonts w:ascii="Arial" w:hAnsi="Arial" w:eastAsia="Arial" w:cs="Arial"/>
            <w:b w:val="0"/>
            <w:bCs w:val="0"/>
            <w:i w:val="0"/>
            <w:iCs w:val="0"/>
            <w:caps w:val="0"/>
            <w:smallCaps w:val="0"/>
            <w:noProof w:val="0"/>
            <w:lang w:val="en-GB"/>
          </w:rPr>
          <w:t>https://doi.org/10.58970/IJSB.2209</w:t>
        </w:r>
      </w:hyperlink>
      <w:r w:rsidRPr="5D45256D" w:rsidR="38D7F7D5">
        <w:rPr>
          <w:rFonts w:ascii="Arial" w:hAnsi="Arial" w:eastAsia="Arial" w:cs="Arial"/>
          <w:b w:val="0"/>
          <w:bCs w:val="0"/>
          <w:i w:val="0"/>
          <w:iCs w:val="0"/>
          <w:caps w:val="0"/>
          <w:smallCaps w:val="0"/>
          <w:noProof w:val="0"/>
          <w:color w:val="222222"/>
          <w:sz w:val="24"/>
          <w:szCs w:val="24"/>
          <w:lang w:val="en-GB"/>
        </w:rPr>
        <w:t xml:space="preserve"> </w:t>
      </w:r>
    </w:p>
    <w:p w:rsidR="1571A20D" w:rsidP="5D45256D" w:rsidRDefault="1571A20D" w14:paraId="11FA2267" w14:textId="2A9F5E94">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Vries, N. de, </w:t>
      </w:r>
      <w:r w:rsidRPr="5D45256D" w:rsidR="1571A20D">
        <w:rPr>
          <w:rFonts w:ascii="Arial" w:hAnsi="Arial" w:eastAsia="Arial" w:cs="Arial"/>
          <w:color w:val="000000" w:themeColor="text1" w:themeTint="FF" w:themeShade="FF"/>
          <w:sz w:val="24"/>
          <w:szCs w:val="24"/>
        </w:rPr>
        <w:t>Lavreysen</w:t>
      </w:r>
      <w:r w:rsidRPr="5D45256D" w:rsidR="1571A20D">
        <w:rPr>
          <w:rFonts w:ascii="Arial" w:hAnsi="Arial" w:eastAsia="Arial" w:cs="Arial"/>
          <w:color w:val="000000" w:themeColor="text1" w:themeTint="FF" w:themeShade="FF"/>
          <w:sz w:val="24"/>
          <w:szCs w:val="24"/>
        </w:rPr>
        <w:t xml:space="preserve">, O., Boone, A., Bouman, J., </w:t>
      </w:r>
      <w:r w:rsidRPr="5D45256D" w:rsidR="1571A20D">
        <w:rPr>
          <w:rFonts w:ascii="Arial" w:hAnsi="Arial" w:eastAsia="Arial" w:cs="Arial"/>
          <w:color w:val="000000" w:themeColor="text1" w:themeTint="FF" w:themeShade="FF"/>
          <w:sz w:val="24"/>
          <w:szCs w:val="24"/>
        </w:rPr>
        <w:t>Szemik</w:t>
      </w:r>
      <w:r w:rsidRPr="5D45256D" w:rsidR="1571A20D">
        <w:rPr>
          <w:rFonts w:ascii="Arial" w:hAnsi="Arial" w:eastAsia="Arial" w:cs="Arial"/>
          <w:color w:val="000000" w:themeColor="text1" w:themeTint="FF" w:themeShade="FF"/>
          <w:sz w:val="24"/>
          <w:szCs w:val="24"/>
        </w:rPr>
        <w:t xml:space="preserve">, S., </w:t>
      </w:r>
      <w:r w:rsidRPr="5D45256D" w:rsidR="1571A20D">
        <w:rPr>
          <w:rFonts w:ascii="Arial" w:hAnsi="Arial" w:eastAsia="Arial" w:cs="Arial"/>
          <w:color w:val="000000" w:themeColor="text1" w:themeTint="FF" w:themeShade="FF"/>
          <w:sz w:val="24"/>
          <w:szCs w:val="24"/>
        </w:rPr>
        <w:t>Barański</w:t>
      </w:r>
      <w:r w:rsidRPr="5D45256D" w:rsidR="1571A20D">
        <w:rPr>
          <w:rFonts w:ascii="Arial" w:hAnsi="Arial" w:eastAsia="Arial" w:cs="Arial"/>
          <w:color w:val="000000" w:themeColor="text1" w:themeTint="FF" w:themeShade="FF"/>
          <w:sz w:val="24"/>
          <w:szCs w:val="24"/>
        </w:rPr>
        <w:t xml:space="preserve">, K., </w:t>
      </w:r>
      <w:r w:rsidRPr="5D45256D" w:rsidR="1571A20D">
        <w:rPr>
          <w:rFonts w:ascii="Arial" w:hAnsi="Arial" w:eastAsia="Arial" w:cs="Arial"/>
          <w:color w:val="000000" w:themeColor="text1" w:themeTint="FF" w:themeShade="FF"/>
          <w:sz w:val="24"/>
          <w:szCs w:val="24"/>
        </w:rPr>
        <w:t>Godderis</w:t>
      </w:r>
      <w:r w:rsidRPr="5D45256D" w:rsidR="1571A20D">
        <w:rPr>
          <w:rFonts w:ascii="Arial" w:hAnsi="Arial" w:eastAsia="Arial" w:cs="Arial"/>
          <w:color w:val="000000" w:themeColor="text1" w:themeTint="FF" w:themeShade="FF"/>
          <w:sz w:val="24"/>
          <w:szCs w:val="24"/>
        </w:rPr>
        <w:t xml:space="preserve">, L. and Winter, P. de (2023). Retaining healthcare workers: A systematic review of strategies for sustaining power in the workplace. </w:t>
      </w:r>
      <w:r w:rsidRPr="5D45256D" w:rsidR="1571A20D">
        <w:rPr>
          <w:rFonts w:ascii="Arial" w:hAnsi="Arial" w:eastAsia="Arial" w:cs="Arial"/>
          <w:i w:val="1"/>
          <w:iCs w:val="1"/>
          <w:color w:val="000000" w:themeColor="text1" w:themeTint="FF" w:themeShade="FF"/>
          <w:sz w:val="24"/>
          <w:szCs w:val="24"/>
        </w:rPr>
        <w:t>Healthcare</w:t>
      </w:r>
      <w:r w:rsidRPr="5D45256D" w:rsidR="1571A20D">
        <w:rPr>
          <w:rFonts w:ascii="Arial" w:hAnsi="Arial" w:eastAsia="Arial" w:cs="Arial"/>
          <w:color w:val="000000" w:themeColor="text1" w:themeTint="FF" w:themeShade="FF"/>
          <w:sz w:val="24"/>
          <w:szCs w:val="24"/>
        </w:rPr>
        <w:t>, 11(13), pp.1–29.</w:t>
      </w:r>
      <w:r w:rsidRPr="5D45256D" w:rsidR="7F099B3E">
        <w:rPr>
          <w:rFonts w:ascii="Arial" w:hAnsi="Arial" w:eastAsia="Arial" w:cs="Arial"/>
          <w:color w:val="000000" w:themeColor="text1" w:themeTint="FF" w:themeShade="FF"/>
          <w:sz w:val="24"/>
          <w:szCs w:val="24"/>
        </w:rPr>
        <w:t xml:space="preserve"> </w:t>
      </w:r>
    </w:p>
    <w:p w:rsidR="1571A20D" w:rsidP="5D45256D" w:rsidRDefault="1571A20D" w14:paraId="3A02C487" w14:textId="5BAF870D">
      <w:pPr>
        <w:pStyle w:val="Normal"/>
        <w:spacing w:before="0" w:beforeAutospacing="off" w:after="160" w:afterAutospacing="off" w:line="360" w:lineRule="auto"/>
        <w:ind w:left="720" w:right="0" w:hanging="720"/>
        <w:jc w:val="both"/>
        <w:rPr>
          <w:rFonts w:ascii="Arial" w:hAnsi="Arial" w:eastAsia="Arial" w:cs="Arial"/>
          <w:noProof w:val="0"/>
          <w:sz w:val="24"/>
          <w:szCs w:val="24"/>
          <w:lang w:val="en-GB"/>
        </w:rPr>
      </w:pPr>
      <w:r w:rsidRPr="5D45256D" w:rsidR="1571A20D">
        <w:rPr>
          <w:rFonts w:ascii="Arial" w:hAnsi="Arial" w:eastAsia="Arial" w:cs="Arial"/>
          <w:color w:val="000000" w:themeColor="text1" w:themeTint="FF" w:themeShade="FF"/>
          <w:sz w:val="24"/>
          <w:szCs w:val="24"/>
        </w:rPr>
        <w:t xml:space="preserve">Vries, N. de, </w:t>
      </w:r>
      <w:r w:rsidRPr="5D45256D" w:rsidR="1571A20D">
        <w:rPr>
          <w:rFonts w:ascii="Arial" w:hAnsi="Arial" w:eastAsia="Arial" w:cs="Arial"/>
          <w:color w:val="000000" w:themeColor="text1" w:themeTint="FF" w:themeShade="FF"/>
          <w:sz w:val="24"/>
          <w:szCs w:val="24"/>
        </w:rPr>
        <w:t>Lavreysen</w:t>
      </w:r>
      <w:r w:rsidRPr="5D45256D" w:rsidR="1571A20D">
        <w:rPr>
          <w:rFonts w:ascii="Arial" w:hAnsi="Arial" w:eastAsia="Arial" w:cs="Arial"/>
          <w:color w:val="000000" w:themeColor="text1" w:themeTint="FF" w:themeShade="FF"/>
          <w:sz w:val="24"/>
          <w:szCs w:val="24"/>
        </w:rPr>
        <w:t xml:space="preserve">, O., Boone, A., Bouman, J., Szemik, S., Barański, K., </w:t>
      </w:r>
      <w:r w:rsidRPr="5D45256D" w:rsidR="1571A20D">
        <w:rPr>
          <w:rFonts w:ascii="Arial" w:hAnsi="Arial" w:eastAsia="Arial" w:cs="Arial"/>
          <w:color w:val="000000" w:themeColor="text1" w:themeTint="FF" w:themeShade="FF"/>
          <w:sz w:val="24"/>
          <w:szCs w:val="24"/>
        </w:rPr>
        <w:t>Godderis</w:t>
      </w:r>
      <w:r w:rsidRPr="5D45256D" w:rsidR="1571A20D">
        <w:rPr>
          <w:rFonts w:ascii="Arial" w:hAnsi="Arial" w:eastAsia="Arial" w:cs="Arial"/>
          <w:color w:val="000000" w:themeColor="text1" w:themeTint="FF" w:themeShade="FF"/>
          <w:sz w:val="24"/>
          <w:szCs w:val="24"/>
        </w:rPr>
        <w:t xml:space="preserve">, L. and Winter, P. de (2023). Retaining healthcare workers: A systematic review of strategies for sustaining power in the workplace. </w:t>
      </w:r>
      <w:r w:rsidRPr="5D45256D" w:rsidR="1571A20D">
        <w:rPr>
          <w:rFonts w:ascii="Arial" w:hAnsi="Arial" w:eastAsia="Arial" w:cs="Arial"/>
          <w:i w:val="1"/>
          <w:iCs w:val="1"/>
          <w:color w:val="000000" w:themeColor="text1" w:themeTint="FF" w:themeShade="FF"/>
          <w:sz w:val="24"/>
          <w:szCs w:val="24"/>
        </w:rPr>
        <w:t>Healthcare</w:t>
      </w:r>
      <w:r w:rsidRPr="5D45256D" w:rsidR="1571A20D">
        <w:rPr>
          <w:rFonts w:ascii="Arial" w:hAnsi="Arial" w:eastAsia="Arial" w:cs="Arial"/>
          <w:color w:val="000000" w:themeColor="text1" w:themeTint="FF" w:themeShade="FF"/>
          <w:sz w:val="24"/>
          <w:szCs w:val="24"/>
        </w:rPr>
        <w:t>, 11(13), pp</w:t>
      </w:r>
      <w:r w:rsidRPr="5D45256D" w:rsidR="1B44C154">
        <w:rPr>
          <w:rFonts w:ascii="Arial" w:hAnsi="Arial" w:eastAsia="Arial" w:cs="Arial"/>
          <w:color w:val="000000" w:themeColor="text1" w:themeTint="FF" w:themeShade="FF"/>
          <w:sz w:val="24"/>
          <w:szCs w:val="24"/>
        </w:rPr>
        <w:t>. 1</w:t>
      </w:r>
      <w:r w:rsidRPr="5D45256D" w:rsidR="1571A20D">
        <w:rPr>
          <w:rFonts w:ascii="Arial" w:hAnsi="Arial" w:eastAsia="Arial" w:cs="Arial"/>
          <w:color w:val="000000" w:themeColor="text1" w:themeTint="FF" w:themeShade="FF"/>
          <w:sz w:val="24"/>
          <w:szCs w:val="24"/>
        </w:rPr>
        <w:t>–29.</w:t>
      </w:r>
      <w:r w:rsidRPr="5D45256D" w:rsidR="13B4CE16">
        <w:rPr>
          <w:rFonts w:ascii="Arial" w:hAnsi="Arial" w:eastAsia="Arial" w:cs="Arial"/>
          <w:color w:val="000000" w:themeColor="text1" w:themeTint="FF" w:themeShade="FF"/>
          <w:sz w:val="24"/>
          <w:szCs w:val="24"/>
        </w:rPr>
        <w:t xml:space="preserve"> </w:t>
      </w:r>
      <w:r w:rsidRPr="5D45256D" w:rsidR="072FD0B1">
        <w:rPr>
          <w:rFonts w:ascii="Arial" w:hAnsi="Arial" w:eastAsia="Arial" w:cs="Arial"/>
          <w:b w:val="0"/>
          <w:bCs w:val="0"/>
          <w:i w:val="0"/>
          <w:iCs w:val="0"/>
          <w:caps w:val="0"/>
          <w:smallCaps w:val="0"/>
          <w:noProof w:val="0"/>
          <w:color w:val="1B1B1B"/>
          <w:sz w:val="24"/>
          <w:szCs w:val="24"/>
          <w:lang w:val="en-GB"/>
        </w:rPr>
        <w:t xml:space="preserve"> </w:t>
      </w:r>
      <w:r w:rsidRPr="5D45256D" w:rsidR="072FD0B1">
        <w:rPr>
          <w:rFonts w:ascii="Arial" w:hAnsi="Arial" w:eastAsia="Arial" w:cs="Arial"/>
          <w:b w:val="0"/>
          <w:bCs w:val="0"/>
          <w:i w:val="0"/>
          <w:iCs w:val="0"/>
          <w:caps w:val="0"/>
          <w:smallCaps w:val="0"/>
          <w:noProof w:val="0"/>
          <w:color w:val="1B1B1B"/>
          <w:sz w:val="24"/>
          <w:szCs w:val="24"/>
          <w:lang w:val="en-GB"/>
        </w:rPr>
        <w:t>doi</w:t>
      </w:r>
      <w:r w:rsidRPr="5D45256D" w:rsidR="072FD0B1">
        <w:rPr>
          <w:rFonts w:ascii="Arial" w:hAnsi="Arial" w:eastAsia="Arial" w:cs="Arial"/>
          <w:b w:val="0"/>
          <w:bCs w:val="0"/>
          <w:i w:val="0"/>
          <w:iCs w:val="0"/>
          <w:caps w:val="0"/>
          <w:smallCaps w:val="0"/>
          <w:noProof w:val="0"/>
          <w:color w:val="1B1B1B"/>
          <w:sz w:val="24"/>
          <w:szCs w:val="24"/>
          <w:lang w:val="en-GB"/>
        </w:rPr>
        <w:t xml:space="preserve">: </w:t>
      </w:r>
      <w:hyperlink r:id="R99fa4281c50347b8">
        <w:r w:rsidRPr="5D45256D" w:rsidR="072FD0B1">
          <w:rPr>
            <w:rStyle w:val="Hyperlink"/>
            <w:rFonts w:ascii="Arial" w:hAnsi="Arial" w:eastAsia="Arial" w:cs="Arial"/>
            <w:b w:val="0"/>
            <w:bCs w:val="0"/>
            <w:i w:val="0"/>
            <w:iCs w:val="0"/>
            <w:caps w:val="0"/>
            <w:smallCaps w:val="0"/>
            <w:strike w:val="0"/>
            <w:dstrike w:val="0"/>
            <w:noProof w:val="0"/>
            <w:color w:val="005EA2"/>
            <w:u w:val="single"/>
            <w:lang w:val="en-GB"/>
          </w:rPr>
          <w:t>10.3390/healthcare11131887</w:t>
        </w:r>
        <w:r w:rsidRPr="5D45256D" w:rsidR="04B6E0DF">
          <w:rPr>
            <w:rStyle w:val="Hyperlink"/>
            <w:rFonts w:ascii="Arial" w:hAnsi="Arial" w:eastAsia="Arial" w:cs="Arial"/>
            <w:b w:val="0"/>
            <w:bCs w:val="0"/>
            <w:i w:val="0"/>
            <w:iCs w:val="0"/>
            <w:caps w:val="0"/>
            <w:smallCaps w:val="0"/>
            <w:strike w:val="0"/>
            <w:dstrike w:val="0"/>
            <w:noProof w:val="0"/>
            <w:color w:val="005EA2"/>
            <w:u w:val="single"/>
            <w:lang w:val="en-GB"/>
          </w:rPr>
          <w:t>.</w:t>
        </w:r>
      </w:hyperlink>
    </w:p>
    <w:p w:rsidR="1571A20D" w:rsidP="5D45256D" w:rsidRDefault="1571A20D" w14:paraId="6135463C" w14:textId="11F4D7CE">
      <w:pPr>
        <w:pStyle w:val="Normal"/>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Wang, D., </w:t>
      </w:r>
      <w:r w:rsidRPr="5D45256D" w:rsidR="1571A20D">
        <w:rPr>
          <w:rFonts w:ascii="Arial" w:hAnsi="Arial" w:eastAsia="Arial" w:cs="Arial"/>
          <w:color w:val="000000" w:themeColor="text1" w:themeTint="FF" w:themeShade="FF"/>
          <w:sz w:val="24"/>
          <w:szCs w:val="24"/>
        </w:rPr>
        <w:t>Maneze</w:t>
      </w:r>
      <w:r w:rsidRPr="5D45256D" w:rsidR="1571A20D">
        <w:rPr>
          <w:rFonts w:ascii="Arial" w:hAnsi="Arial" w:eastAsia="Arial" w:cs="Arial"/>
          <w:color w:val="000000" w:themeColor="text1" w:themeTint="FF" w:themeShade="FF"/>
          <w:sz w:val="24"/>
          <w:szCs w:val="24"/>
        </w:rPr>
        <w:t xml:space="preserve">, D., Everett, B., George, A., Josh and Salamonson, Y. (2024). Personal care workers” intention to stay in residential aged care: An integrative review. </w:t>
      </w:r>
      <w:r w:rsidRPr="5D45256D" w:rsidR="1571A20D">
        <w:rPr>
          <w:rFonts w:ascii="Arial" w:hAnsi="Arial" w:eastAsia="Arial" w:cs="Arial"/>
          <w:i w:val="1"/>
          <w:iCs w:val="1"/>
          <w:color w:val="000000" w:themeColor="text1" w:themeTint="FF" w:themeShade="FF"/>
          <w:sz w:val="24"/>
          <w:szCs w:val="24"/>
        </w:rPr>
        <w:t>Journal of Advanced nursing</w:t>
      </w:r>
      <w:r w:rsidRPr="5D45256D" w:rsidR="1571A20D">
        <w:rPr>
          <w:rFonts w:ascii="Arial" w:hAnsi="Arial" w:eastAsia="Arial" w:cs="Arial"/>
          <w:color w:val="000000" w:themeColor="text1" w:themeTint="FF" w:themeShade="FF"/>
          <w:sz w:val="24"/>
          <w:szCs w:val="24"/>
        </w:rPr>
        <w:t xml:space="preserve">. </w:t>
      </w:r>
      <w:r>
        <w:fldChar w:fldCharType="begin"/>
      </w:r>
      <w:r>
        <w:instrText xml:space="preserve">HYPERLINK "https://doi:10.1111/jan.16242" </w:instrText>
      </w:r>
      <w:r>
        <w:fldChar w:fldCharType="separate"/>
      </w:r>
      <w:r w:rsidRPr="5D45256D" w:rsidR="6DD52EBC">
        <w:rPr>
          <w:rStyle w:val="Hyperlink"/>
          <w:rFonts w:ascii="Arial" w:hAnsi="Arial" w:eastAsia="Arial" w:cs="Arial"/>
        </w:rPr>
        <w:t>https://</w:t>
      </w:r>
      <w:r w:rsidRPr="5D45256D" w:rsidR="1571A20D">
        <w:rPr>
          <w:rStyle w:val="Hyperlink"/>
          <w:rFonts w:ascii="Arial" w:hAnsi="Arial" w:eastAsia="Arial" w:cs="Arial"/>
        </w:rPr>
        <w:t>doi:10.1111/jan.16242</w:t>
      </w:r>
      <w:r>
        <w:fldChar w:fldCharType="end"/>
      </w:r>
      <w:r w:rsidRPr="5D45256D" w:rsidR="1571A20D">
        <w:rPr>
          <w:rFonts w:ascii="Arial" w:hAnsi="Arial" w:eastAsia="Arial" w:cs="Arial"/>
          <w:color w:val="000000" w:themeColor="text1" w:themeTint="FF" w:themeShade="FF"/>
          <w:sz w:val="24"/>
          <w:szCs w:val="24"/>
        </w:rPr>
        <w:t>.</w:t>
      </w:r>
      <w:r w:rsidRPr="5D45256D" w:rsidR="7101F07B">
        <w:rPr>
          <w:rFonts w:ascii="Arial" w:hAnsi="Arial" w:eastAsia="Arial" w:cs="Arial"/>
          <w:color w:val="000000" w:themeColor="text1" w:themeTint="FF" w:themeShade="FF"/>
          <w:sz w:val="24"/>
          <w:szCs w:val="24"/>
        </w:rPr>
        <w:t xml:space="preserve"> </w:t>
      </w:r>
    </w:p>
    <w:p w:rsidR="1571A20D" w:rsidP="5D45256D" w:rsidRDefault="1571A20D" w14:paraId="43457631" w14:textId="5547D6EB">
      <w:pPr>
        <w:spacing w:before="0" w:beforeAutospacing="off" w:after="160" w:afterAutospacing="off" w:line="360" w:lineRule="auto"/>
        <w:ind w:left="720" w:right="0" w:hanging="720"/>
        <w:jc w:val="both"/>
        <w:rPr>
          <w:rFonts w:ascii="Arial" w:hAnsi="Arial" w:eastAsia="Arial" w:cs="Arial"/>
          <w:color w:val="000000" w:themeColor="text1" w:themeTint="FF" w:themeShade="FF"/>
          <w:sz w:val="24"/>
          <w:szCs w:val="24"/>
        </w:rPr>
      </w:pPr>
      <w:r w:rsidRPr="5D45256D" w:rsidR="1571A20D">
        <w:rPr>
          <w:rFonts w:ascii="Arial" w:hAnsi="Arial" w:eastAsia="Arial" w:cs="Arial"/>
          <w:color w:val="000000" w:themeColor="text1" w:themeTint="FF" w:themeShade="FF"/>
          <w:sz w:val="24"/>
          <w:szCs w:val="24"/>
        </w:rPr>
        <w:t xml:space="preserve">World Health Organisation (2026). </w:t>
      </w:r>
      <w:r w:rsidRPr="5D45256D" w:rsidR="1571A20D">
        <w:rPr>
          <w:rFonts w:ascii="Arial" w:hAnsi="Arial" w:eastAsia="Arial" w:cs="Arial"/>
          <w:i w:val="1"/>
          <w:iCs w:val="1"/>
          <w:color w:val="000000" w:themeColor="text1" w:themeTint="FF" w:themeShade="FF"/>
          <w:sz w:val="24"/>
          <w:szCs w:val="24"/>
        </w:rPr>
        <w:t>Health workforce</w:t>
      </w:r>
      <w:r w:rsidRPr="5D45256D" w:rsidR="1571A20D">
        <w:rPr>
          <w:rFonts w:ascii="Arial" w:hAnsi="Arial" w:eastAsia="Arial" w:cs="Arial"/>
          <w:color w:val="000000" w:themeColor="text1" w:themeTint="FF" w:themeShade="FF"/>
          <w:sz w:val="24"/>
          <w:szCs w:val="24"/>
        </w:rPr>
        <w:t xml:space="preserve">. [online] Who.int. Available at: </w:t>
      </w:r>
      <w:hyperlink r:id="R44f1b1201d1c437e">
        <w:r w:rsidRPr="5D45256D" w:rsidR="1571A20D">
          <w:rPr>
            <w:rStyle w:val="Hyperlink"/>
            <w:rFonts w:ascii="Arial" w:hAnsi="Arial" w:eastAsia="Arial" w:cs="Arial"/>
          </w:rPr>
          <w:t>https://www.who.int/teams/health-workforce</w:t>
        </w:r>
      </w:hyperlink>
      <w:r w:rsidRPr="5D45256D" w:rsidR="1571A20D">
        <w:rPr>
          <w:rFonts w:ascii="Arial" w:hAnsi="Arial" w:eastAsia="Arial" w:cs="Arial"/>
          <w:color w:val="000000" w:themeColor="text1" w:themeTint="FF" w:themeShade="FF"/>
          <w:sz w:val="24"/>
          <w:szCs w:val="24"/>
        </w:rPr>
        <w:t>? [Accessed 17 July 2026].</w:t>
      </w:r>
    </w:p>
    <w:p w:rsidR="1571A20D" w:rsidP="5D45256D" w:rsidRDefault="1571A20D" w14:paraId="0038609D" w14:textId="34D30B72">
      <w:pPr>
        <w:pStyle w:val="Normal"/>
        <w:spacing w:before="0" w:beforeAutospacing="off" w:after="160" w:afterAutospacing="off" w:line="360" w:lineRule="auto"/>
        <w:ind w:left="720" w:right="0" w:hanging="720"/>
        <w:jc w:val="both"/>
        <w:rPr>
          <w:rFonts w:ascii="Arial" w:hAnsi="Arial" w:eastAsia="Arial" w:cs="Arial"/>
          <w:noProof w:val="0"/>
          <w:sz w:val="24"/>
          <w:szCs w:val="24"/>
          <w:lang w:val="en-GB"/>
        </w:rPr>
      </w:pPr>
      <w:r w:rsidRPr="5D45256D" w:rsidR="1571A20D">
        <w:rPr>
          <w:rFonts w:ascii="Arial" w:hAnsi="Arial" w:eastAsia="Arial" w:cs="Arial"/>
          <w:color w:val="000000" w:themeColor="text1" w:themeTint="FF" w:themeShade="FF"/>
          <w:sz w:val="24"/>
          <w:szCs w:val="24"/>
        </w:rPr>
        <w:t>Yan,</w:t>
      </w:r>
      <w:r w:rsidRPr="5D45256D" w:rsidR="1571A20D">
        <w:rPr>
          <w:rFonts w:ascii="Arial" w:hAnsi="Arial" w:eastAsia="Arial" w:cs="Arial"/>
          <w:color w:val="000000" w:themeColor="text1" w:themeTint="FF" w:themeShade="FF"/>
          <w:sz w:val="24"/>
          <w:szCs w:val="24"/>
        </w:rPr>
        <w:t xml:space="preserve"> E., Wan, D., To</w:t>
      </w:r>
      <w:r w:rsidRPr="5D45256D" w:rsidR="1571A20D">
        <w:rPr>
          <w:rFonts w:ascii="Arial" w:hAnsi="Arial" w:eastAsia="Arial" w:cs="Arial"/>
          <w:color w:val="000000" w:themeColor="text1" w:themeTint="FF" w:themeShade="FF"/>
          <w:sz w:val="24"/>
          <w:szCs w:val="24"/>
        </w:rPr>
        <w:t>, L., Ng, H.K.L., Lai, D.W.L., Cheng, S.-T., Kwok, T., Leung, E.M.F., Lou, V.W.Q., Fo</w:t>
      </w:r>
      <w:r w:rsidRPr="5D45256D" w:rsidR="1571A20D">
        <w:rPr>
          <w:rFonts w:ascii="Arial" w:hAnsi="Arial" w:eastAsia="Arial" w:cs="Arial"/>
          <w:color w:val="000000" w:themeColor="text1" w:themeTint="FF" w:themeShade="FF"/>
          <w:sz w:val="24"/>
          <w:szCs w:val="24"/>
        </w:rPr>
        <w:t>ng, D., C</w:t>
      </w:r>
      <w:r w:rsidRPr="5D45256D" w:rsidR="1571A20D">
        <w:rPr>
          <w:rFonts w:ascii="Arial" w:hAnsi="Arial" w:eastAsia="Arial" w:cs="Arial"/>
          <w:color w:val="000000" w:themeColor="text1" w:themeTint="FF" w:themeShade="FF"/>
          <w:sz w:val="24"/>
          <w:szCs w:val="24"/>
        </w:rPr>
        <w:t>haudhu</w:t>
      </w:r>
      <w:r w:rsidRPr="5D45256D" w:rsidR="1571A20D">
        <w:rPr>
          <w:rFonts w:ascii="Arial" w:hAnsi="Arial" w:eastAsia="Arial" w:cs="Arial"/>
          <w:color w:val="000000" w:themeColor="text1" w:themeTint="FF" w:themeShade="FF"/>
          <w:sz w:val="24"/>
          <w:szCs w:val="24"/>
        </w:rPr>
        <w:t>ry, H.</w:t>
      </w:r>
      <w:r w:rsidRPr="5D45256D" w:rsidR="1571A20D">
        <w:rPr>
          <w:rFonts w:ascii="Arial" w:hAnsi="Arial" w:eastAsia="Arial" w:cs="Arial"/>
          <w:color w:val="000000" w:themeColor="text1" w:themeTint="FF" w:themeShade="FF"/>
          <w:sz w:val="24"/>
          <w:szCs w:val="24"/>
        </w:rPr>
        <w:t xml:space="preserve">, Pillemer, K. and Lachs, M. (2023). Staff turnover intention at Long-Term care facilities: Implications of Resident aggression, burnout, and fatigue. </w:t>
      </w:r>
      <w:r w:rsidRPr="5D45256D" w:rsidR="1571A20D">
        <w:rPr>
          <w:rFonts w:ascii="Arial" w:hAnsi="Arial" w:eastAsia="Arial" w:cs="Arial"/>
          <w:i w:val="1"/>
          <w:iCs w:val="1"/>
          <w:color w:val="000000" w:themeColor="text1" w:themeTint="FF" w:themeShade="FF"/>
          <w:sz w:val="24"/>
          <w:szCs w:val="24"/>
        </w:rPr>
        <w:t>Journal of the american medical directors association</w:t>
      </w:r>
      <w:r w:rsidRPr="5D45256D" w:rsidR="1571A20D">
        <w:rPr>
          <w:rFonts w:ascii="Arial" w:hAnsi="Arial" w:eastAsia="Arial" w:cs="Arial"/>
          <w:color w:val="000000" w:themeColor="text1" w:themeTint="FF" w:themeShade="FF"/>
          <w:sz w:val="24"/>
          <w:szCs w:val="24"/>
        </w:rPr>
        <w:t xml:space="preserve">, 25(3). </w:t>
      </w:r>
      <w:hyperlink r:id="R9547f9fdcc944c03">
        <w:r w:rsidRPr="5D45256D" w:rsidR="68F00FCC">
          <w:rPr>
            <w:rStyle w:val="Hyperlink"/>
            <w:rFonts w:ascii="Arial" w:hAnsi="Arial" w:eastAsia="Arial" w:cs="Arial"/>
            <w:b w:val="0"/>
            <w:bCs w:val="0"/>
            <w:i w:val="0"/>
            <w:iCs w:val="0"/>
            <w:caps w:val="0"/>
            <w:smallCaps w:val="0"/>
            <w:strike w:val="0"/>
            <w:dstrike w:val="0"/>
            <w:noProof w:val="0"/>
            <w:u w:val="none"/>
            <w:lang w:val="en-GB"/>
          </w:rPr>
          <w:t>https://doi.org/10.1177/07334648241272027</w:t>
        </w:r>
      </w:hyperlink>
    </w:p>
    <w:p w:rsidR="1571A20D" w:rsidP="5D45256D" w:rsidRDefault="1571A20D" w14:paraId="1FFC0730" w14:textId="414093A2">
      <w:pPr>
        <w:pStyle w:val="Heading1"/>
        <w:spacing w:before="480" w:beforeAutospacing="off" w:after="0" w:afterAutospacing="off" w:line="360" w:lineRule="auto"/>
        <w:jc w:val="both"/>
        <w:rPr>
          <w:rFonts w:ascii="Arial" w:hAnsi="Arial" w:eastAsia="Arial" w:cs="Arial"/>
          <w:b w:val="1"/>
          <w:bCs w:val="1"/>
          <w:color w:val="000000" w:themeColor="text1" w:themeTint="FF" w:themeShade="FF"/>
          <w:sz w:val="28"/>
          <w:szCs w:val="28"/>
        </w:rPr>
      </w:pPr>
      <w:r w:rsidRPr="5D45256D" w:rsidR="1571A20D">
        <w:rPr>
          <w:rFonts w:ascii="Arial" w:hAnsi="Arial" w:eastAsia="Arial" w:cs="Arial"/>
          <w:b w:val="1"/>
          <w:bCs w:val="1"/>
          <w:color w:val="000000" w:themeColor="text1" w:themeTint="FF" w:themeShade="FF"/>
          <w:sz w:val="28"/>
          <w:szCs w:val="28"/>
        </w:rPr>
        <w:t>Appendix</w:t>
      </w:r>
    </w:p>
    <w:p w:rsidR="1571A20D" w:rsidP="5D45256D" w:rsidRDefault="1571A20D" w14:paraId="04BC41F7" w14:textId="0338D444">
      <w:pPr>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1571A20D">
        <w:rPr>
          <w:rFonts w:ascii="Arial" w:hAnsi="Arial" w:eastAsia="Arial" w:cs="Arial"/>
          <w:b w:val="1"/>
          <w:bCs w:val="1"/>
          <w:color w:val="000000" w:themeColor="text1" w:themeTint="FF" w:themeShade="FF"/>
          <w:sz w:val="24"/>
          <w:szCs w:val="24"/>
        </w:rPr>
        <w:t>Table 1.1:</w:t>
      </w:r>
      <w:r w:rsidRPr="5D45256D" w:rsidR="1571A20D">
        <w:rPr>
          <w:rFonts w:ascii="Arial" w:hAnsi="Arial" w:eastAsia="Arial" w:cs="Arial"/>
          <w:color w:val="000000" w:themeColor="text1" w:themeTint="FF" w:themeShade="FF"/>
          <w:sz w:val="24"/>
          <w:szCs w:val="24"/>
        </w:rPr>
        <w:t xml:space="preserve"> thinking about your recent experience, how would you describe the current workforce situation regarding retaining staff?</w:t>
      </w:r>
    </w:p>
    <w:tbl>
      <w:tblPr>
        <w:tblStyle w:val="TableGrid"/>
        <w:bidiVisual w:val="0"/>
        <w:tblW w:w="0" w:type="auto"/>
        <w:tblLook w:val="04A0" w:firstRow="1" w:lastRow="0" w:firstColumn="1" w:lastColumn="0" w:noHBand="0" w:noVBand="1"/>
      </w:tblPr>
      <w:tblGrid>
        <w:gridCol w:w="3380"/>
        <w:gridCol w:w="2140"/>
        <w:gridCol w:w="2380"/>
      </w:tblGrid>
      <w:tr w:rsidR="5D45256D" w:rsidTr="5D45256D" w14:paraId="290293CA">
        <w:trPr>
          <w:trHeight w:val="630"/>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08F13F99" w14:textId="265906BA">
            <w:pPr>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7BB60A7D" w14:textId="15617F38">
            <w:pPr>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52CB141F" w14:textId="48EB3B26">
            <w:pPr>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44398E46">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32AB4522" w14:textId="7F96736F">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Extremely challenging</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29CAA6E0" w14:textId="4A1E208D">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98</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1CCBE6FB" w14:textId="53220087">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4.9%</w:t>
            </w:r>
          </w:p>
        </w:tc>
      </w:tr>
      <w:tr w:rsidR="5D45256D" w:rsidTr="5D45256D" w14:paraId="2E388505">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0332A4DB" w14:textId="1DB2658F">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Not challenging at all</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13D4BE41" w14:textId="26A32B12">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297</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38D4132D" w14:textId="4EED82B4">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14.8%</w:t>
            </w:r>
          </w:p>
        </w:tc>
      </w:tr>
      <w:tr w:rsidR="5D45256D" w:rsidTr="5D45256D" w14:paraId="268EF957">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77D23DD9" w14:textId="2072FFBD">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Not very challenging</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2E2DE962" w14:textId="27BBDC20">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605</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6918E263" w14:textId="0FC1DB9E">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30.2%</w:t>
            </w:r>
          </w:p>
        </w:tc>
      </w:tr>
      <w:tr w:rsidR="5D45256D" w:rsidTr="5D45256D" w14:paraId="239DA7F9">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61ED9D6E" w14:textId="4623A8D5">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Somewhat challenging</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04C086E2" w14:textId="20034BE5">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824</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0B6DE798" w14:textId="62E518B7">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41.2%</w:t>
            </w:r>
          </w:p>
        </w:tc>
      </w:tr>
      <w:tr w:rsidR="5D45256D" w:rsidTr="5D45256D" w14:paraId="4960049C">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703E97FC" w14:textId="65852CB4">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Unable to say</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167D3F1C" w14:textId="470E71D9">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6CC8431D" w14:textId="5FA081BF">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w:t>
            </w:r>
          </w:p>
        </w:tc>
      </w:tr>
      <w:tr w:rsidR="5D45256D" w:rsidTr="5D45256D" w14:paraId="29E99D4D">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19B04158" w14:textId="2D79B196">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Very challenging</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4D453E0F" w14:textId="67A00D50">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158</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3A751B59" w14:textId="7DF3DE15">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7.9%</w:t>
            </w:r>
          </w:p>
        </w:tc>
      </w:tr>
      <w:tr w:rsidR="5D45256D" w:rsidTr="5D45256D" w14:paraId="36790C54">
        <w:trPr>
          <w:trHeight w:val="315"/>
        </w:trPr>
        <w:tc>
          <w:tcPr>
            <w:tcW w:w="3380" w:type="dxa"/>
            <w:tcBorders>
              <w:top w:val="single" w:sz="4"/>
              <w:left w:val="single" w:sz="4"/>
              <w:bottom w:val="single" w:sz="4"/>
              <w:right w:val="single" w:sz="4"/>
            </w:tcBorders>
            <w:tcMar>
              <w:left w:w="108" w:type="dxa"/>
              <w:right w:w="108" w:type="dxa"/>
            </w:tcMar>
            <w:vAlign w:val="top"/>
          </w:tcPr>
          <w:p w:rsidR="5D45256D" w:rsidP="5D45256D" w:rsidRDefault="5D45256D" w14:paraId="268C1239" w14:textId="3C547F75">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(or left blank)</w:t>
            </w:r>
          </w:p>
        </w:tc>
        <w:tc>
          <w:tcPr>
            <w:tcW w:w="2140" w:type="dxa"/>
            <w:tcBorders>
              <w:top w:val="single" w:sz="4"/>
              <w:left w:val="single" w:sz="4"/>
              <w:bottom w:val="single" w:sz="4"/>
              <w:right w:val="single" w:sz="4"/>
            </w:tcBorders>
            <w:tcMar>
              <w:left w:w="108" w:type="dxa"/>
              <w:right w:w="108" w:type="dxa"/>
            </w:tcMar>
            <w:vAlign w:val="top"/>
          </w:tcPr>
          <w:p w:rsidR="5D45256D" w:rsidP="5D45256D" w:rsidRDefault="5D45256D" w14:paraId="2DD04A78" w14:textId="2E5416F4">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w:t>
            </w:r>
          </w:p>
        </w:tc>
        <w:tc>
          <w:tcPr>
            <w:tcW w:w="2380" w:type="dxa"/>
            <w:tcBorders>
              <w:top w:val="single" w:sz="4"/>
              <w:left w:val="single" w:sz="4"/>
              <w:bottom w:val="single" w:sz="4"/>
              <w:right w:val="single" w:sz="4"/>
            </w:tcBorders>
            <w:tcMar>
              <w:left w:w="108" w:type="dxa"/>
              <w:right w:w="108" w:type="dxa"/>
            </w:tcMar>
            <w:vAlign w:val="top"/>
          </w:tcPr>
          <w:p w:rsidR="5D45256D" w:rsidP="5D45256D" w:rsidRDefault="5D45256D" w14:paraId="00EC5E3A" w14:textId="1A7DB523">
            <w:pPr>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74D58705" w14:textId="33DF2DF8">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0412980F" w14:textId="66BB0424">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Table 1.3:</w:t>
      </w:r>
      <w:r w:rsidRPr="5D45256D" w:rsidR="6B8620FB">
        <w:rPr>
          <w:rFonts w:ascii="Arial" w:hAnsi="Arial" w:eastAsia="Arial" w:cs="Arial"/>
          <w:color w:val="000000" w:themeColor="text1" w:themeTint="FF" w:themeShade="FF"/>
          <w:sz w:val="24"/>
          <w:szCs w:val="24"/>
        </w:rPr>
        <w:t xml:space="preserve"> thinking about your recent experience with retaining staff, what do you believe are the causes for staff leaving?</w:t>
      </w:r>
    </w:p>
    <w:tbl>
      <w:tblPr>
        <w:tblStyle w:val="TableGrid"/>
        <w:bidiVisual w:val="0"/>
        <w:tblW w:w="0" w:type="auto"/>
        <w:tblLook w:val="04A0" w:firstRow="1" w:lastRow="0" w:firstColumn="1" w:lastColumn="0" w:noHBand="0" w:noVBand="1"/>
      </w:tblPr>
      <w:tblGrid>
        <w:gridCol w:w="6940"/>
        <w:gridCol w:w="1789"/>
        <w:gridCol w:w="1311"/>
      </w:tblGrid>
      <w:tr w:rsidR="5D45256D" w:rsidTr="5D45256D" w14:paraId="7D00CD77">
        <w:trPr>
          <w:trHeight w:val="1260"/>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2E7EC93E" w14:textId="37BDB0CA">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2E0E2C64" w14:textId="55759EE1">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7DC37B55" w14:textId="29FDA70C">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04029BEA">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317A8727" w14:textId="667D6A5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hours elsewhere – outside of care sector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77758AF5" w14:textId="2D547E8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421</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35EC4B54" w14:textId="3DBB51D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28.3%</w:t>
            </w:r>
          </w:p>
        </w:tc>
      </w:tr>
      <w:tr w:rsidR="5D45256D" w:rsidTr="5D45256D" w14:paraId="531D0A31">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351263F3" w14:textId="5F77526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hours elsewhere – within care sector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27605363" w14:textId="651D575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252</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52510859" w14:textId="30AA87B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16.9%</w:t>
            </w:r>
          </w:p>
        </w:tc>
      </w:tr>
      <w:tr w:rsidR="5D45256D" w:rsidTr="5D45256D" w14:paraId="43D35FAB">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7C6F1C32" w14:textId="7FC5BBB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pay elsewhere – outside of care sector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3992BC75" w14:textId="73CA5F2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802</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2696F27C" w14:textId="392EB03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53.8%</w:t>
            </w:r>
          </w:p>
        </w:tc>
      </w:tr>
      <w:tr w:rsidR="5D45256D" w:rsidTr="5D45256D" w14:paraId="58313EB1">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2E30C5CF" w14:textId="39D6463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pay elsewhere – within care sector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450E3D41" w14:textId="19C5A46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507</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1459066B" w14:textId="5841609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34.0%</w:t>
            </w:r>
          </w:p>
        </w:tc>
      </w:tr>
      <w:tr w:rsidR="5D45256D" w:rsidTr="5D45256D" w14:paraId="2E67E86F">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7124C53B" w14:textId="6F44A58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Cost or distance of travel to work too high</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5442A8C7" w14:textId="638D960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100</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3A93615B" w14:textId="36B57FF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6.7%</w:t>
            </w:r>
          </w:p>
        </w:tc>
      </w:tr>
      <w:tr w:rsidR="5D45256D" w:rsidTr="5D45256D" w14:paraId="40D43E41">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0891270C" w14:textId="6BE4912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Don’t Know</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78D2329C" w14:textId="2E21F10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70</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57C0E9C4" w14:textId="387F0C8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4.7%</w:t>
            </w:r>
          </w:p>
        </w:tc>
      </w:tr>
      <w:tr w:rsidR="5D45256D" w:rsidTr="5D45256D" w14:paraId="5B28578B">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06B1D9D5" w14:textId="3684358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Feeling burnt out or stressed</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7805DC9B" w14:textId="09A9FF9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425</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13853135" w14:textId="3367966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28.5%</w:t>
            </w:r>
          </w:p>
        </w:tc>
      </w:tr>
      <w:tr w:rsidR="5D45256D" w:rsidTr="5D45256D" w14:paraId="3BBDAD1F">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7DC8C6F1" w14:textId="309867E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Lack of training opportunities</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04AF0BE7" w14:textId="71F8DD9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6F675C68" w14:textId="3589E00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0.7%</w:t>
            </w:r>
          </w:p>
        </w:tc>
      </w:tr>
      <w:tr w:rsidR="5D45256D" w:rsidTr="5D45256D" w14:paraId="2607D21B">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633B7393" w14:textId="5F2CE03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Limited progression into higher paid roles</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13D375B4" w14:textId="0CFE5DC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97</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5257BDFD" w14:textId="2EB566F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6.5%</w:t>
            </w:r>
          </w:p>
        </w:tc>
      </w:tr>
      <w:tr w:rsidR="5D45256D" w:rsidTr="5D45256D" w14:paraId="5AA735DA">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5FAC1486" w14:textId="371DB2B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Migration issues or leaving UK</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76E0B293" w14:textId="38FC1D2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171</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033C8437" w14:textId="7972859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11.5%</w:t>
            </w:r>
          </w:p>
        </w:tc>
      </w:tr>
      <w:tr w:rsidR="5D45256D" w:rsidTr="5D45256D" w14:paraId="31EE9834">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02235B39" w14:textId="07C3BD6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Outside work commitments</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6CF8FADD" w14:textId="4BA45F5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357</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20F0F7AD" w14:textId="68CDF83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24.0%</w:t>
            </w:r>
          </w:p>
        </w:tc>
      </w:tr>
      <w:tr w:rsidR="5D45256D" w:rsidTr="5D45256D" w14:paraId="0A62EFD8">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05BFF19E" w14:textId="5B8FC30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Public perception of care</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2DA60155" w14:textId="2DB6111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259</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3F0AC76A" w14:textId="1EA25BE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17.4%</w:t>
            </w:r>
          </w:p>
        </w:tc>
      </w:tr>
      <w:tr w:rsidR="5D45256D" w:rsidTr="5D45256D" w14:paraId="3271B9F8">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69DEAE29" w14:textId="11A4CBD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Roles with lower responsibility - within the care sector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6DDB82F6" w14:textId="619DCE4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100</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1078CEF3" w14:textId="4E03F85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6.7%</w:t>
            </w:r>
          </w:p>
        </w:tc>
      </w:tr>
      <w:tr w:rsidR="5D45256D" w:rsidTr="5D45256D" w14:paraId="1CB72F5E">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1EB4661E" w14:textId="726198D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Roles with lower responsibility -outside of the care sector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5BFF1658" w14:textId="4C04A8F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355</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28AC35F5" w14:textId="4C9021A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23.8%</w:t>
            </w:r>
          </w:p>
        </w:tc>
      </w:tr>
      <w:tr w:rsidR="5D45256D" w:rsidTr="5D45256D" w14:paraId="664CD173">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0C72C266" w14:textId="4C02A71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Work related health issue</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15C3D485" w14:textId="0513C58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88</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7F8ABE49" w14:textId="0D1B02F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5.9%</w:t>
            </w:r>
          </w:p>
        </w:tc>
      </w:tr>
      <w:tr w:rsidR="5D45256D" w:rsidTr="5D45256D" w14:paraId="4101DB6E">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269BBC28" w14:textId="0F23603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Working pattern or lack of flexibility in hours worked</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2AE3C683" w14:textId="088873B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203</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6AAB8F1B" w14:textId="131BC9D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13.6%</w:t>
            </w:r>
          </w:p>
        </w:tc>
      </w:tr>
      <w:tr w:rsidR="5D45256D" w:rsidTr="5D45256D" w14:paraId="20F59770">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7EFBCBB5" w14:textId="2AF79BF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(or left blank)</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024D733A" w14:textId="142ACF3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399</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23DF1605" w14:textId="5FA4737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r w:rsidR="5D45256D" w:rsidTr="5D45256D" w14:paraId="68CA0D7F">
        <w:trPr>
          <w:trHeight w:val="315"/>
        </w:trPr>
        <w:tc>
          <w:tcPr>
            <w:tcW w:w="6940" w:type="dxa"/>
            <w:tcBorders>
              <w:top w:val="single" w:sz="4"/>
              <w:left w:val="single" w:sz="4"/>
              <w:bottom w:val="single" w:sz="4"/>
              <w:right w:val="single" w:sz="4"/>
            </w:tcBorders>
            <w:tcMar>
              <w:left w:w="108" w:type="dxa"/>
              <w:right w:w="108" w:type="dxa"/>
            </w:tcMar>
            <w:vAlign w:val="top"/>
          </w:tcPr>
          <w:p w:rsidR="5D45256D" w:rsidP="5D45256D" w:rsidRDefault="5D45256D" w14:paraId="02DA5541" w14:textId="16C8D00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Other</w:t>
            </w:r>
          </w:p>
        </w:tc>
        <w:tc>
          <w:tcPr>
            <w:tcW w:w="1789" w:type="dxa"/>
            <w:tcBorders>
              <w:top w:val="single" w:sz="4"/>
              <w:left w:val="single" w:sz="4"/>
              <w:bottom w:val="single" w:sz="4"/>
              <w:right w:val="single" w:sz="4"/>
            </w:tcBorders>
            <w:tcMar>
              <w:left w:w="108" w:type="dxa"/>
              <w:right w:w="108" w:type="dxa"/>
            </w:tcMar>
            <w:vAlign w:val="top"/>
          </w:tcPr>
          <w:p w:rsidR="5D45256D" w:rsidP="5D45256D" w:rsidRDefault="5D45256D" w14:paraId="1BCE87D4" w14:textId="2D7B74D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118</w:t>
            </w:r>
          </w:p>
        </w:tc>
        <w:tc>
          <w:tcPr>
            <w:tcW w:w="1311" w:type="dxa"/>
            <w:tcBorders>
              <w:top w:val="single" w:sz="4"/>
              <w:left w:val="single" w:sz="4"/>
              <w:bottom w:val="single" w:sz="4"/>
              <w:right w:val="single" w:sz="4"/>
            </w:tcBorders>
            <w:tcMar>
              <w:left w:w="108" w:type="dxa"/>
              <w:right w:w="108" w:type="dxa"/>
            </w:tcMar>
            <w:vAlign w:val="top"/>
          </w:tcPr>
          <w:p w:rsidR="5D45256D" w:rsidP="5D45256D" w:rsidRDefault="5D45256D" w14:paraId="0C30B3C3" w14:textId="212A504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09E621CD" w14:textId="56ECA3A6">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6C6540CC" w14:textId="321ADC98">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 xml:space="preserve">Table 1.4: </w:t>
      </w:r>
      <w:r w:rsidRPr="5D45256D" w:rsidR="6B8620FB">
        <w:rPr>
          <w:rFonts w:ascii="Arial" w:hAnsi="Arial" w:eastAsia="Arial" w:cs="Arial"/>
          <w:color w:val="000000" w:themeColor="text1" w:themeTint="FF" w:themeShade="FF"/>
          <w:sz w:val="24"/>
          <w:szCs w:val="24"/>
        </w:rPr>
        <w:t>thinking about your recent experience with retaining staff, what do you believe is the main cause of staff leaving?</w:t>
      </w:r>
    </w:p>
    <w:tbl>
      <w:tblPr>
        <w:tblStyle w:val="TableGrid"/>
        <w:bidiVisual w:val="0"/>
        <w:tblW w:w="0" w:type="auto"/>
        <w:tblLook w:val="04A0" w:firstRow="1" w:lastRow="0" w:firstColumn="1" w:lastColumn="0" w:noHBand="0" w:noVBand="1"/>
      </w:tblPr>
      <w:tblGrid>
        <w:gridCol w:w="6043"/>
        <w:gridCol w:w="880"/>
        <w:gridCol w:w="1280"/>
      </w:tblGrid>
      <w:tr w:rsidR="5D45256D" w:rsidTr="5D45256D" w14:paraId="7BE40C86">
        <w:trPr>
          <w:trHeight w:val="157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67EAEEA0" w14:textId="2640B4F2">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20F8B1F" w14:textId="3A57A9FA">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9C27E90" w14:textId="6A6047A0">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05C8CBA0">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069E7698" w14:textId="3BA7C7A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hours elsewhere – outside of care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599C920E" w14:textId="75CD742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80</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760448F9" w14:textId="3C7054A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5.4%</w:t>
            </w:r>
          </w:p>
        </w:tc>
      </w:tr>
      <w:tr w:rsidR="5D45256D" w:rsidTr="5D45256D" w14:paraId="4730EFEF">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2D8DBFAA" w14:textId="3A01F21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hours elsewhere – within care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D8E7437" w14:textId="6C236F5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16</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C4AB913" w14:textId="2BE0676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w:t>
            </w:r>
          </w:p>
        </w:tc>
      </w:tr>
      <w:tr w:rsidR="5D45256D" w:rsidTr="5D45256D" w14:paraId="0F87D64F">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3FD9CDA2" w14:textId="64BF1D0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pay elsewhere – outside of care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4A0C6EC6" w14:textId="3901C1A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523</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C76D4F9" w14:textId="53B6AD6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35.0%</w:t>
            </w:r>
          </w:p>
        </w:tc>
      </w:tr>
      <w:tr w:rsidR="5D45256D" w:rsidTr="5D45256D" w14:paraId="31C489EB">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437F2D65" w14:textId="36D5801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Better pay elsewhere – within care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6EAC4FAD" w14:textId="001287D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255</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517CA1C1" w14:textId="4F18F38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17.1%</w:t>
            </w:r>
          </w:p>
        </w:tc>
      </w:tr>
      <w:tr w:rsidR="5D45256D" w:rsidTr="5D45256D" w14:paraId="7B7C2B2A">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104FE78A" w14:textId="00EFFE6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Cost or Distance of travel to work too high</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4501C9F0" w14:textId="43BFCB2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37</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5FCABF94" w14:textId="1C4F211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2.5%</w:t>
            </w:r>
          </w:p>
        </w:tc>
      </w:tr>
      <w:tr w:rsidR="5D45256D" w:rsidTr="5D45256D" w14:paraId="6713E5B6">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535DEE48" w14:textId="7F1AA7F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Don’t Know</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430022A2" w14:textId="11DACF2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84</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2784E03A" w14:textId="36E5EB2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5.6%</w:t>
            </w:r>
          </w:p>
        </w:tc>
      </w:tr>
      <w:tr w:rsidR="5D45256D" w:rsidTr="5D45256D" w14:paraId="5099D51E">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1F35C0AD" w14:textId="6E330E7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Feeling burnt out or stressed</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50473AB8" w14:textId="6C76429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69</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B69939B" w14:textId="5DC3303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4.6%</w:t>
            </w:r>
          </w:p>
        </w:tc>
      </w:tr>
      <w:tr w:rsidR="5D45256D" w:rsidTr="5D45256D" w14:paraId="50C20B4D">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553D1CA4" w14:textId="0E35952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Limited progression into higher paid roles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2C3C086" w14:textId="409099E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24</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6232BE5" w14:textId="14691FE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1.6%</w:t>
            </w:r>
          </w:p>
        </w:tc>
      </w:tr>
      <w:tr w:rsidR="5D45256D" w:rsidTr="5D45256D" w14:paraId="135E4958">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7ABCFF55" w14:textId="4B8378D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Migration issues or leaving UK</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722AF93B" w14:textId="422F3C4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54</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7A16083" w14:textId="48A996A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3.6%</w:t>
            </w:r>
          </w:p>
        </w:tc>
      </w:tr>
      <w:tr w:rsidR="5D45256D" w:rsidTr="5D45256D" w14:paraId="582CEDED">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348FCC93" w14:textId="45286CD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Outside work commitments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4E034ED" w14:textId="5E4F4D5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98</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7167751F" w14:textId="1967EC3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6.6%</w:t>
            </w:r>
          </w:p>
        </w:tc>
      </w:tr>
      <w:tr w:rsidR="5D45256D" w:rsidTr="5D45256D" w14:paraId="5917E930">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2FAAC116" w14:textId="0AA776B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Public perception of care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7670FDE9" w14:textId="725640E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16</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2719D18" w14:textId="2427352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w:t>
            </w:r>
          </w:p>
        </w:tc>
      </w:tr>
      <w:tr w:rsidR="5D45256D" w:rsidTr="5D45256D" w14:paraId="7847A444">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2181D9CB" w14:textId="02DE9A5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Roles with lower responsibility - within the care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60A95DDF" w14:textId="5C7A4B5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21</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09A30D64" w14:textId="4F12397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w:t>
            </w:r>
          </w:p>
        </w:tc>
      </w:tr>
      <w:tr w:rsidR="5D45256D" w:rsidTr="5D45256D" w14:paraId="76A5C83B">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31C34E1F" w14:textId="3F296C0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Roles with lower responsibility -outside of the care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61180D70" w14:textId="03EEDE8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176</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633ED501" w14:textId="26EB1C7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11.8%</w:t>
            </w:r>
          </w:p>
        </w:tc>
      </w:tr>
      <w:tr w:rsidR="5D45256D" w:rsidTr="5D45256D" w14:paraId="60F0449B">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4C84FA7A" w14:textId="6E0D70D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Work related health issue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3009005" w14:textId="11E13F4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A7934CE" w14:textId="6D4EC71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0.7%</w:t>
            </w:r>
          </w:p>
        </w:tc>
      </w:tr>
      <w:tr w:rsidR="5D45256D" w:rsidTr="5D45256D" w14:paraId="0ECBDDFE">
        <w:trPr>
          <w:trHeight w:val="315"/>
        </w:trPr>
        <w:tc>
          <w:tcPr>
            <w:tcW w:w="6043" w:type="dxa"/>
            <w:tcBorders>
              <w:top w:val="single" w:sz="4"/>
              <w:left w:val="single" w:sz="4"/>
              <w:bottom w:val="single" w:sz="4"/>
              <w:right w:val="single" w:sz="4"/>
            </w:tcBorders>
            <w:tcMar>
              <w:left w:w="108" w:type="dxa"/>
              <w:right w:w="108" w:type="dxa"/>
            </w:tcMar>
            <w:vAlign w:val="top"/>
          </w:tcPr>
          <w:p w:rsidR="5D45256D" w:rsidP="5D45256D" w:rsidRDefault="5D45256D" w14:paraId="3120960E" w14:textId="5884A49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Working pattern or lack of flexibility in hours worked</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4471013C" w14:textId="70F0B08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32</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6928D96" w14:textId="2A838F3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2.1%</w:t>
            </w:r>
          </w:p>
        </w:tc>
      </w:tr>
    </w:tbl>
    <w:p w:rsidR="6B8620FB" w:rsidP="5D45256D" w:rsidRDefault="6B8620FB" w14:paraId="73FE47BE" w14:textId="046650A9">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0F7918CA" w14:textId="61CD83C2">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4C0531D6" w14:textId="01ED9E5F">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0E1E7A8E" w14:textId="25F12052">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 xml:space="preserve">Table 1.5: </w:t>
      </w:r>
      <w:r w:rsidRPr="5D45256D" w:rsidR="6B8620FB">
        <w:rPr>
          <w:rFonts w:ascii="Arial" w:hAnsi="Arial" w:eastAsia="Arial" w:cs="Arial"/>
          <w:color w:val="000000" w:themeColor="text1" w:themeTint="FF" w:themeShade="FF"/>
          <w:sz w:val="24"/>
          <w:szCs w:val="24"/>
        </w:rPr>
        <w:t>are there specific roles that are currently harder to retain than at this time last year?  If so, which roles?</w:t>
      </w:r>
    </w:p>
    <w:tbl>
      <w:tblPr>
        <w:tblStyle w:val="TableGrid"/>
        <w:bidiVisual w:val="0"/>
        <w:tblW w:w="0" w:type="auto"/>
        <w:tblLook w:val="04A0" w:firstRow="1" w:lastRow="0" w:firstColumn="1" w:lastColumn="0" w:noHBand="0" w:noVBand="1"/>
      </w:tblPr>
      <w:tblGrid>
        <w:gridCol w:w="5725"/>
        <w:gridCol w:w="1180"/>
        <w:gridCol w:w="1580"/>
      </w:tblGrid>
      <w:tr w:rsidR="5D45256D" w:rsidTr="5D45256D" w14:paraId="54106D11">
        <w:trPr>
          <w:trHeight w:val="157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4B30D834" w14:textId="2EA871C4">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30871AB5" w14:textId="40D8264B">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4DDCFDBF" w14:textId="3649EFBD">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655BCDF5">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4D59D5DB" w14:textId="586AED6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Admin</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483C5B6C" w14:textId="535551B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32</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21734253" w14:textId="7E0528D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w:t>
            </w:r>
          </w:p>
        </w:tc>
      </w:tr>
      <w:tr w:rsidR="5D45256D" w:rsidTr="5D45256D" w14:paraId="49DC3042">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7AE6C326" w14:textId="17E313A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Chef or Catering</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0B2F0C58" w14:textId="12BA71C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351</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0939E99F" w14:textId="5C42059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21.9%</w:t>
            </w:r>
          </w:p>
        </w:tc>
      </w:tr>
      <w:tr w:rsidR="5D45256D" w:rsidTr="5D45256D" w14:paraId="5E0312EB">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4A0C2A1C" w14:textId="1775F4D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Cleaner</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7B923F00" w14:textId="5405939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148</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41DA681E" w14:textId="144F495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9.2%</w:t>
            </w:r>
          </w:p>
        </w:tc>
      </w:tr>
      <w:tr w:rsidR="5D45256D" w:rsidTr="5D45256D" w14:paraId="37173332">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19B76F02" w14:textId="58EF416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General or Nursing Care Worker</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08479B1A" w14:textId="0791CD8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245</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23DC8A77" w14:textId="2F47732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15.3%</w:t>
            </w:r>
          </w:p>
        </w:tc>
      </w:tr>
      <w:tr w:rsidR="5D45256D" w:rsidTr="5D45256D" w14:paraId="6FB55968">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10ADBD73" w14:textId="07754ED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Home Care worker</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476577CC" w14:textId="72943F0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170</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7967A130" w14:textId="318A0CC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10.6%</w:t>
            </w:r>
          </w:p>
        </w:tc>
      </w:tr>
      <w:tr w:rsidR="5D45256D" w:rsidTr="5D45256D" w14:paraId="41AFFEE6">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0B5AAF57" w14:textId="39DEF8B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Maintenance</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0CD2B986" w14:textId="1C8AAB2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129</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1E224D45" w14:textId="5F0EE01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8.0%</w:t>
            </w:r>
          </w:p>
        </w:tc>
      </w:tr>
      <w:tr w:rsidR="5D45256D" w:rsidTr="5D45256D" w14:paraId="1E004FA8">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32C84E3A" w14:textId="18DBCC5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Nursing associate</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5B18AA50" w14:textId="4903F2B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01068BC9" w14:textId="4490D21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0.5%</w:t>
            </w:r>
          </w:p>
        </w:tc>
      </w:tr>
      <w:tr w:rsidR="5D45256D" w:rsidTr="5D45256D" w14:paraId="694E13B0">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6D9AABDE" w14:textId="774666C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Occupational therapist</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0F599B52" w14:textId="705B963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40DCDEEF" w14:textId="3DA05CE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0.6%</w:t>
            </w:r>
          </w:p>
        </w:tc>
      </w:tr>
      <w:tr w:rsidR="5D45256D" w:rsidTr="5D45256D" w14:paraId="1F5B80BB">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26C8F24E" w14:textId="2329566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Personal Assistant</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78439F3B" w14:textId="526D81C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601753BE" w14:textId="357C148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w:t>
            </w:r>
          </w:p>
        </w:tc>
      </w:tr>
      <w:tr w:rsidR="5D45256D" w:rsidTr="5D45256D" w14:paraId="1E0F8397">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354B906D" w14:textId="6F24B77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Registered Manager</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7696A484" w14:textId="572A95F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59</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02969E2E" w14:textId="0F2872D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3.7%</w:t>
            </w:r>
          </w:p>
        </w:tc>
      </w:tr>
      <w:tr w:rsidR="5D45256D" w:rsidTr="5D45256D" w14:paraId="5D2A3B6B">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420EFA66" w14:textId="068382D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Registered Nurse</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1B75DBF5" w14:textId="0088902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309</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485EE9C1" w14:textId="5D110BD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19.3%</w:t>
            </w:r>
          </w:p>
        </w:tc>
      </w:tr>
      <w:tr w:rsidR="5D45256D" w:rsidTr="5D45256D" w14:paraId="0B3A3720">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6DBA5097" w14:textId="23AF4D1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Senior Care Worker</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1DC4EE38" w14:textId="77C84C6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570</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2910FD02" w14:textId="7EF932F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35.6%</w:t>
            </w:r>
          </w:p>
        </w:tc>
      </w:tr>
      <w:tr w:rsidR="5D45256D" w:rsidTr="5D45256D" w14:paraId="03EE831C">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4846AD57" w14:textId="3B41073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Senior Management</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43A0F829" w14:textId="46C59FD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776E6C59" w14:textId="5E59645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w:t>
            </w:r>
          </w:p>
        </w:tc>
      </w:tr>
      <w:tr w:rsidR="5D45256D" w:rsidTr="5D45256D" w14:paraId="6945E922">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5CCDEDB8" w14:textId="3B26B69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Social Worker</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7AEEC35D" w14:textId="3FF335F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7</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41C4D172" w14:textId="20F306E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0.4%</w:t>
            </w:r>
          </w:p>
        </w:tc>
      </w:tr>
      <w:tr w:rsidR="5D45256D" w:rsidTr="5D45256D" w14:paraId="74D1C448">
        <w:trPr>
          <w:trHeight w:val="315"/>
        </w:trPr>
        <w:tc>
          <w:tcPr>
            <w:tcW w:w="5725" w:type="dxa"/>
            <w:tcBorders>
              <w:top w:val="single" w:sz="4"/>
              <w:left w:val="single" w:sz="4"/>
              <w:bottom w:val="single" w:sz="4"/>
              <w:right w:val="single" w:sz="4"/>
            </w:tcBorders>
            <w:tcMar>
              <w:left w:w="108" w:type="dxa"/>
              <w:right w:w="108" w:type="dxa"/>
            </w:tcMar>
            <w:vAlign w:val="top"/>
          </w:tcPr>
          <w:p w:rsidR="5D45256D" w:rsidP="5D45256D" w:rsidRDefault="5D45256D" w14:paraId="1E9A8C57" w14:textId="729940E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Support and Outreach</w:t>
            </w:r>
          </w:p>
        </w:tc>
        <w:tc>
          <w:tcPr>
            <w:tcW w:w="1180" w:type="dxa"/>
            <w:tcBorders>
              <w:top w:val="single" w:sz="4"/>
              <w:left w:val="single" w:sz="4"/>
              <w:bottom w:val="single" w:sz="4"/>
              <w:right w:val="single" w:sz="4"/>
            </w:tcBorders>
            <w:tcMar>
              <w:left w:w="108" w:type="dxa"/>
              <w:right w:w="108" w:type="dxa"/>
            </w:tcMar>
            <w:vAlign w:val="top"/>
          </w:tcPr>
          <w:p w:rsidR="5D45256D" w:rsidP="5D45256D" w:rsidRDefault="5D45256D" w14:paraId="63D86E7A" w14:textId="72F5D8B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133</w:t>
            </w:r>
          </w:p>
        </w:tc>
        <w:tc>
          <w:tcPr>
            <w:tcW w:w="1580" w:type="dxa"/>
            <w:tcBorders>
              <w:top w:val="single" w:sz="4"/>
              <w:left w:val="single" w:sz="4"/>
              <w:bottom w:val="single" w:sz="4"/>
              <w:right w:val="single" w:sz="4"/>
            </w:tcBorders>
            <w:tcMar>
              <w:left w:w="108" w:type="dxa"/>
              <w:right w:w="108" w:type="dxa"/>
            </w:tcMar>
            <w:vAlign w:val="top"/>
          </w:tcPr>
          <w:p w:rsidR="5D45256D" w:rsidP="5D45256D" w:rsidRDefault="5D45256D" w14:paraId="6E5ACBCF" w14:textId="7B20CAB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8.3%</w:t>
            </w:r>
          </w:p>
        </w:tc>
      </w:tr>
    </w:tbl>
    <w:p w:rsidR="6B8620FB" w:rsidP="5D45256D" w:rsidRDefault="6B8620FB" w14:paraId="31C8C6DF" w14:textId="5D417B1D">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4864DD31" w14:textId="6EE71389">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 xml:space="preserve">Table 3.1: </w:t>
      </w:r>
      <w:r w:rsidRPr="5D45256D" w:rsidR="6B8620FB">
        <w:rPr>
          <w:rFonts w:ascii="Arial" w:hAnsi="Arial" w:eastAsia="Arial" w:cs="Arial"/>
          <w:color w:val="000000" w:themeColor="text1" w:themeTint="FF" w:themeShade="FF"/>
          <w:sz w:val="24"/>
          <w:szCs w:val="24"/>
        </w:rPr>
        <w:t>thinking about your recent experience, how would you describe the current workforce situation regarding your staffs morale?</w:t>
      </w:r>
    </w:p>
    <w:tbl>
      <w:tblPr>
        <w:tblStyle w:val="TableGrid"/>
        <w:bidiVisual w:val="0"/>
        <w:tblW w:w="0" w:type="auto"/>
        <w:tblLook w:val="04A0" w:firstRow="1" w:lastRow="0" w:firstColumn="1" w:lastColumn="0" w:noHBand="0" w:noVBand="1"/>
      </w:tblPr>
      <w:tblGrid>
        <w:gridCol w:w="4660"/>
        <w:gridCol w:w="1296"/>
        <w:gridCol w:w="1585"/>
      </w:tblGrid>
      <w:tr w:rsidR="5D45256D" w:rsidTr="5D45256D" w14:paraId="6C5C09F8">
        <w:trPr>
          <w:trHeight w:val="157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23731C6B" w14:textId="7C794A35">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0EA8000F" w14:textId="7250340B">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0BF6864D" w14:textId="2ABD3B6B">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40D730E0">
        <w:trPr>
          <w:trHeight w:val="3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14243638" w14:textId="4397BCA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Extremely challenging</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6B992AD9" w14:textId="392DD63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6BDB8D8D" w14:textId="7011D22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w:t>
            </w:r>
          </w:p>
        </w:tc>
      </w:tr>
      <w:tr w:rsidR="5D45256D" w:rsidTr="5D45256D" w14:paraId="58D1FECD">
        <w:trPr>
          <w:trHeight w:val="3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15DB0189" w14:textId="6CD5ACA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Not challenging at all</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09BB9463" w14:textId="7BD76AB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344</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3518E891" w14:textId="35171CC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17.2%</w:t>
            </w:r>
          </w:p>
        </w:tc>
      </w:tr>
      <w:tr w:rsidR="5D45256D" w:rsidTr="5D45256D" w14:paraId="0877B541">
        <w:trPr>
          <w:trHeight w:val="3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191B3654" w14:textId="7110AFE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Not very challenging</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2D289A3D" w14:textId="0DADC16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796</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296E41EC" w14:textId="799C0FE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39.8%</w:t>
            </w:r>
          </w:p>
        </w:tc>
      </w:tr>
      <w:tr w:rsidR="5D45256D" w:rsidTr="5D45256D" w14:paraId="494A5051">
        <w:trPr>
          <w:trHeight w:val="3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557FC18E" w14:textId="5E4BCFA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Somewhat challenging</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18436B0C" w14:textId="2974F29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707</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563C8E89" w14:textId="51AA1F4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35.3%</w:t>
            </w:r>
          </w:p>
        </w:tc>
      </w:tr>
      <w:tr w:rsidR="5D45256D" w:rsidTr="5D45256D" w14:paraId="612EECFF">
        <w:trPr>
          <w:trHeight w:val="3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5DB898D3" w14:textId="71D7706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Unable to say</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3BEA3A96" w14:textId="168C2C7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33</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4138D377" w14:textId="44A88E9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1.6%</w:t>
            </w:r>
          </w:p>
        </w:tc>
      </w:tr>
      <w:tr w:rsidR="5D45256D" w:rsidTr="5D45256D" w14:paraId="7F668336">
        <w:trPr>
          <w:trHeight w:val="3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7E5D03E0" w14:textId="34610D6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Very challenging</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56396B5F" w14:textId="21D1D60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102</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5CF0D81B" w14:textId="36391EA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5.1%</w:t>
            </w:r>
          </w:p>
        </w:tc>
      </w:tr>
      <w:tr w:rsidR="5D45256D" w:rsidTr="5D45256D" w14:paraId="1FA539D4">
        <w:trPr>
          <w:trHeight w:val="915"/>
        </w:trPr>
        <w:tc>
          <w:tcPr>
            <w:tcW w:w="4660" w:type="dxa"/>
            <w:tcBorders>
              <w:top w:val="single" w:sz="4"/>
              <w:left w:val="single" w:sz="4"/>
              <w:bottom w:val="single" w:sz="4"/>
              <w:right w:val="single" w:sz="4"/>
            </w:tcBorders>
            <w:tcMar>
              <w:left w:w="108" w:type="dxa"/>
              <w:right w:w="108" w:type="dxa"/>
            </w:tcMar>
            <w:vAlign w:val="top"/>
          </w:tcPr>
          <w:p w:rsidR="5D45256D" w:rsidP="5D45256D" w:rsidRDefault="5D45256D" w14:paraId="17A225B4" w14:textId="7A925BF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(or left blank)</w:t>
            </w:r>
          </w:p>
        </w:tc>
        <w:tc>
          <w:tcPr>
            <w:tcW w:w="1296" w:type="dxa"/>
            <w:tcBorders>
              <w:top w:val="single" w:sz="4"/>
              <w:left w:val="single" w:sz="4"/>
              <w:bottom w:val="single" w:sz="4"/>
              <w:right w:val="single" w:sz="4"/>
            </w:tcBorders>
            <w:tcMar>
              <w:left w:w="108" w:type="dxa"/>
              <w:right w:w="108" w:type="dxa"/>
            </w:tcMar>
            <w:vAlign w:val="top"/>
          </w:tcPr>
          <w:p w:rsidR="5D45256D" w:rsidP="5D45256D" w:rsidRDefault="5D45256D" w14:paraId="57013BA4" w14:textId="0BCFE79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w:t>
            </w:r>
          </w:p>
        </w:tc>
        <w:tc>
          <w:tcPr>
            <w:tcW w:w="1585" w:type="dxa"/>
            <w:tcBorders>
              <w:top w:val="single" w:sz="4"/>
              <w:left w:val="single" w:sz="4"/>
              <w:bottom w:val="single" w:sz="4"/>
              <w:right w:val="single" w:sz="4"/>
            </w:tcBorders>
            <w:tcMar>
              <w:left w:w="108" w:type="dxa"/>
              <w:right w:w="108" w:type="dxa"/>
            </w:tcMar>
            <w:vAlign w:val="top"/>
          </w:tcPr>
          <w:p w:rsidR="5D45256D" w:rsidP="5D45256D" w:rsidRDefault="5D45256D" w14:paraId="554C997E" w14:textId="1C27672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38DA9123" w14:textId="0CCC1987">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67AC53FD" w14:textId="6494D9FD">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 xml:space="preserve">Table 3.3: </w:t>
      </w:r>
      <w:r w:rsidRPr="5D45256D" w:rsidR="6B8620FB">
        <w:rPr>
          <w:rFonts w:ascii="Arial" w:hAnsi="Arial" w:eastAsia="Arial" w:cs="Arial"/>
          <w:color w:val="000000" w:themeColor="text1" w:themeTint="FF" w:themeShade="FF"/>
          <w:sz w:val="24"/>
          <w:szCs w:val="24"/>
        </w:rPr>
        <w:t>thinking about your staff, are you experiencing any impact(s) due to staff morale?</w:t>
      </w:r>
    </w:p>
    <w:tbl>
      <w:tblPr>
        <w:tblStyle w:val="TableGrid"/>
        <w:bidiVisual w:val="0"/>
        <w:tblW w:w="0" w:type="auto"/>
        <w:tblLook w:val="04A0" w:firstRow="1" w:lastRow="0" w:firstColumn="1" w:lastColumn="0" w:noHBand="0" w:noVBand="1"/>
      </w:tblPr>
      <w:tblGrid>
        <w:gridCol w:w="6759"/>
        <w:gridCol w:w="880"/>
        <w:gridCol w:w="1280"/>
      </w:tblGrid>
      <w:tr w:rsidR="5D45256D" w:rsidTr="5D45256D" w14:paraId="64C68E13">
        <w:trPr>
          <w:trHeight w:val="157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2A51B96B" w14:textId="482D2BCF">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0A97D4E3" w14:textId="2B1F4B31">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206824A" w14:textId="7468316D">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7DF34D62">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75068218" w14:textId="7B9ED2B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Don’t know</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33497615" w14:textId="2DC2A55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54</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2F81ED2A" w14:textId="6176DFD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5.1%</w:t>
            </w:r>
          </w:p>
        </w:tc>
      </w:tr>
      <w:tr w:rsidR="5D45256D" w:rsidTr="5D45256D" w14:paraId="0F8A69D5">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335DC6D0" w14:textId="780DD82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Increased sickness levels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E5F296C" w14:textId="36BDA64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318</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F2166FB" w14:textId="52A320C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29.9%</w:t>
            </w:r>
          </w:p>
        </w:tc>
      </w:tr>
      <w:tr w:rsidR="5D45256D" w:rsidTr="5D45256D" w14:paraId="40FDB744">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0210444C" w14:textId="5466F6D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indicating thinking of leaving</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779ABABA" w14:textId="7A634B6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291</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29298323" w14:textId="34439EF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27.3%</w:t>
            </w:r>
          </w:p>
        </w:tc>
      </w:tr>
      <w:tr w:rsidR="5D45256D" w:rsidTr="5D45256D" w14:paraId="430E86A5">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495F534D" w14:textId="7FBFD28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less energised or aren’t able to do more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45B94C8B" w14:textId="5950D52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419</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054E59C" w14:textId="4AD6D8F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39.4%</w:t>
            </w:r>
          </w:p>
        </w:tc>
      </w:tr>
      <w:tr w:rsidR="5D45256D" w:rsidTr="5D45256D" w14:paraId="67EB17CF">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74F48487" w14:textId="7F1E664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not able or willing to take on additional hours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5A15933F" w14:textId="2CECB6D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447</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54557895" w14:textId="2C747D3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42.0%</w:t>
            </w:r>
          </w:p>
        </w:tc>
      </w:tr>
      <w:tr w:rsidR="5D45256D" w:rsidTr="5D45256D" w14:paraId="72598A98">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2590DD49" w14:textId="56D0F1C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not able or willing to take on additional responsibilities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550EE76B" w14:textId="783713D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326</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6119252" w14:textId="19F26FE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30.6%</w:t>
            </w:r>
          </w:p>
        </w:tc>
      </w:tr>
      <w:tr w:rsidR="5D45256D" w:rsidTr="5D45256D" w14:paraId="624B6F87">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7AB6082B" w14:textId="78171F4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wellbeing worries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0D6F6D17" w14:textId="297EEBC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385</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6CB9B902" w14:textId="02F415D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36.2%</w:t>
            </w:r>
          </w:p>
        </w:tc>
      </w:tr>
      <w:tr w:rsidR="5D45256D" w:rsidTr="5D45256D" w14:paraId="6450E370">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78442C7E" w14:textId="21B01BE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 we are not experiencing any impact(s) due to staff morale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656BD683" w14:textId="1C8547B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896</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0345D30" w14:textId="7B54747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r w:rsidR="5D45256D" w:rsidTr="5D45256D" w14:paraId="75E5ED8B">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3C9AC576" w14:textId="57226C1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Other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3A0C6D83" w14:textId="16B438C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42</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BB6A713" w14:textId="6FA0705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7DF4690B" w14:textId="389C4175">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6CFE9B26" w14:textId="50DECE97">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 xml:space="preserve">Table 3.4: </w:t>
      </w:r>
      <w:r w:rsidRPr="5D45256D" w:rsidR="6B8620FB">
        <w:rPr>
          <w:rFonts w:ascii="Arial" w:hAnsi="Arial" w:eastAsia="Arial" w:cs="Arial"/>
          <w:color w:val="000000" w:themeColor="text1" w:themeTint="FF" w:themeShade="FF"/>
          <w:sz w:val="24"/>
          <w:szCs w:val="24"/>
        </w:rPr>
        <w:t>thinking about your staff, what is the main impact you are experiencing (if any) due to staff morale?</w:t>
      </w:r>
    </w:p>
    <w:tbl>
      <w:tblPr>
        <w:tblStyle w:val="TableGrid"/>
        <w:bidiVisual w:val="0"/>
        <w:tblW w:w="0" w:type="auto"/>
        <w:tblLook w:val="04A0" w:firstRow="1" w:lastRow="0" w:firstColumn="1" w:lastColumn="0" w:noHBand="0" w:noVBand="1"/>
      </w:tblPr>
      <w:tblGrid>
        <w:gridCol w:w="6759"/>
        <w:gridCol w:w="1030"/>
        <w:gridCol w:w="1332"/>
      </w:tblGrid>
      <w:tr w:rsidR="5D45256D" w:rsidTr="5D45256D" w14:paraId="46C84D47">
        <w:trPr>
          <w:trHeight w:val="157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144FE8D4" w14:textId="01CDF571">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0EB041DD" w14:textId="4B1D4CDD">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082CF72F" w14:textId="5E592650">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205E5C21">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09588272" w14:textId="1D3F02E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Don’t know</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46A4CAA2" w14:textId="698FDAF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61</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008555E8" w14:textId="1A809D3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5.7%</w:t>
            </w:r>
          </w:p>
        </w:tc>
      </w:tr>
      <w:tr w:rsidR="5D45256D" w:rsidTr="5D45256D" w14:paraId="7901294E">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7BB03793" w14:textId="2E46C9B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Increased sickness levels</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334911AA" w14:textId="742798D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206</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3FF6237A" w14:textId="289187C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19.3%</w:t>
            </w:r>
          </w:p>
        </w:tc>
      </w:tr>
      <w:tr w:rsidR="5D45256D" w:rsidTr="5D45256D" w14:paraId="48182882">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32D12523" w14:textId="0FE954B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indicating thinking of leaving</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5E70421A" w14:textId="0E61951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90</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28F16D41" w14:textId="117F663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8.4%</w:t>
            </w:r>
          </w:p>
        </w:tc>
      </w:tr>
      <w:tr w:rsidR="5D45256D" w:rsidTr="5D45256D" w14:paraId="78173437">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78C56951" w14:textId="3718D4C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less energised or aren’t able to do more</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70089038" w14:textId="3E0B3D0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131</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0F25FE8A" w14:textId="12F0C76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12.3%</w:t>
            </w:r>
          </w:p>
        </w:tc>
      </w:tr>
      <w:tr w:rsidR="5D45256D" w:rsidTr="5D45256D" w14:paraId="5F080F56">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2FF3399C" w14:textId="5825C11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not able or willing to take on additional hours</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4D790EB4" w14:textId="577AEEC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223</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4F1FD308" w14:textId="26346A9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20.9%</w:t>
            </w:r>
          </w:p>
        </w:tc>
      </w:tr>
      <w:tr w:rsidR="5D45256D" w:rsidTr="5D45256D" w14:paraId="01802E83">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42D27EA3" w14:textId="3F86E06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not able or willing to take on additional responsibilities</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10D773BB" w14:textId="78D5E2C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140</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19320F70" w14:textId="0B32454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13.1%</w:t>
            </w:r>
          </w:p>
        </w:tc>
      </w:tr>
      <w:tr w:rsidR="5D45256D" w:rsidTr="5D45256D" w14:paraId="778CB3A3">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549C059B" w14:textId="10AEF92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Staff wellbeing worries</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72A66A48" w14:textId="4C9ABDA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218</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2E613072" w14:textId="2C0EDE4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20.4%</w:t>
            </w:r>
          </w:p>
        </w:tc>
      </w:tr>
      <w:tr w:rsidR="5D45256D" w:rsidTr="5D45256D" w14:paraId="437A5943">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14884DE1" w14:textId="6826A61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 we are not experiencing any impact(s) due to staff morale</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037A87B0" w14:textId="5BF58ED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895</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13482257" w14:textId="59884C0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r w:rsidR="5D45256D" w:rsidTr="5D45256D" w14:paraId="71FCF7D3">
        <w:trPr>
          <w:trHeight w:val="315"/>
        </w:trPr>
        <w:tc>
          <w:tcPr>
            <w:tcW w:w="6759" w:type="dxa"/>
            <w:tcBorders>
              <w:top w:val="single" w:sz="4"/>
              <w:left w:val="single" w:sz="4"/>
              <w:bottom w:val="single" w:sz="4"/>
              <w:right w:val="single" w:sz="4"/>
            </w:tcBorders>
            <w:tcMar>
              <w:left w:w="108" w:type="dxa"/>
              <w:right w:w="108" w:type="dxa"/>
            </w:tcMar>
            <w:vAlign w:val="top"/>
          </w:tcPr>
          <w:p w:rsidR="5D45256D" w:rsidP="5D45256D" w:rsidRDefault="5D45256D" w14:paraId="22E8D1E3" w14:textId="7F1A85E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Other</w:t>
            </w:r>
          </w:p>
        </w:tc>
        <w:tc>
          <w:tcPr>
            <w:tcW w:w="1030" w:type="dxa"/>
            <w:tcBorders>
              <w:top w:val="single" w:sz="4"/>
              <w:left w:val="single" w:sz="4"/>
              <w:bottom w:val="single" w:sz="4"/>
              <w:right w:val="single" w:sz="4"/>
            </w:tcBorders>
            <w:tcMar>
              <w:left w:w="108" w:type="dxa"/>
              <w:right w:w="108" w:type="dxa"/>
            </w:tcMar>
            <w:vAlign w:val="top"/>
          </w:tcPr>
          <w:p w:rsidR="5D45256D" w:rsidP="5D45256D" w:rsidRDefault="5D45256D" w14:paraId="7384B461" w14:textId="7CE1E67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38</w:t>
            </w:r>
          </w:p>
        </w:tc>
        <w:tc>
          <w:tcPr>
            <w:tcW w:w="1332" w:type="dxa"/>
            <w:tcBorders>
              <w:top w:val="single" w:sz="4"/>
              <w:left w:val="single" w:sz="4"/>
              <w:bottom w:val="single" w:sz="4"/>
              <w:right w:val="single" w:sz="4"/>
            </w:tcBorders>
            <w:tcMar>
              <w:left w:w="108" w:type="dxa"/>
              <w:right w:w="108" w:type="dxa"/>
            </w:tcMar>
            <w:vAlign w:val="top"/>
          </w:tcPr>
          <w:p w:rsidR="5D45256D" w:rsidP="5D45256D" w:rsidRDefault="5D45256D" w14:paraId="5F2E3FEF" w14:textId="5631217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0B2DD345" w14:textId="1B7BE554">
      <w:pPr>
        <w:bidi w:val="0"/>
        <w:spacing w:before="0" w:beforeAutospacing="off" w:after="160" w:afterAutospacing="off" w:line="360" w:lineRule="auto"/>
        <w:jc w:val="both"/>
        <w:rPr>
          <w:rFonts w:ascii="Arial" w:hAnsi="Arial" w:eastAsia="Arial" w:cs="Arial"/>
          <w:b w:val="1"/>
          <w:bCs w:val="1"/>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 xml:space="preserve"> </w:t>
      </w:r>
    </w:p>
    <w:p w:rsidR="6B8620FB" w:rsidP="5D45256D" w:rsidRDefault="6B8620FB" w14:paraId="2EBBD049" w14:textId="3ABC933A">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Table 5.1:</w:t>
      </w:r>
      <w:r w:rsidRPr="5D45256D" w:rsidR="6B8620FB">
        <w:rPr>
          <w:rFonts w:ascii="Arial" w:hAnsi="Arial" w:eastAsia="Arial" w:cs="Arial"/>
          <w:color w:val="000000" w:themeColor="text1" w:themeTint="FF" w:themeShade="FF"/>
          <w:sz w:val="24"/>
          <w:szCs w:val="24"/>
        </w:rPr>
        <w:t xml:space="preserve"> what do you think are the most important barriers to recruitment and retention in the sector that need to be addressed?</w:t>
      </w:r>
    </w:p>
    <w:tbl>
      <w:tblPr>
        <w:tblStyle w:val="TableGrid"/>
        <w:bidiVisual w:val="0"/>
        <w:tblW w:w="0" w:type="auto"/>
        <w:tblInd w:w="-1395" w:type="dxa"/>
        <w:tblLook w:val="04A0" w:firstRow="1" w:lastRow="0" w:firstColumn="1" w:lastColumn="0" w:noHBand="0" w:noVBand="1"/>
      </w:tblPr>
      <w:tblGrid>
        <w:gridCol w:w="9428"/>
        <w:gridCol w:w="880"/>
        <w:gridCol w:w="1280"/>
      </w:tblGrid>
      <w:tr w:rsidR="5D45256D" w:rsidTr="5D45256D" w14:paraId="2C366600">
        <w:trPr>
          <w:trHeight w:val="157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73109C83" w14:textId="3D6117A2">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552EDE57" w14:textId="046FED1D">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0478FF56" w14:textId="6CA12EC6">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4C4704F9">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53D1FD28" w14:textId="39C57F8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Access to childcare support</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A217531" w14:textId="7437BC8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578</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3944355" w14:textId="7834FD8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33.6%</w:t>
            </w:r>
          </w:p>
        </w:tc>
      </w:tr>
      <w:tr w:rsidR="5D45256D" w:rsidTr="5D45256D" w14:paraId="20105C38">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46B977C7" w14:textId="53CB088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Access to funding to pay for childcare support</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ECDB1F9" w14:textId="1CE6A51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531</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5958C49" w14:textId="4105B9B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30.9%</w:t>
            </w:r>
          </w:p>
        </w:tc>
      </w:tr>
      <w:tr w:rsidR="5D45256D" w:rsidTr="5D45256D" w14:paraId="572796A8">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55F6E224" w14:textId="0BAFFCA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Access to funding to pay for transport</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247170D" w14:textId="600C38A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205</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75C039A0" w14:textId="63F8BA3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11.9%</w:t>
            </w:r>
          </w:p>
        </w:tc>
      </w:tr>
      <w:tr w:rsidR="5D45256D" w:rsidTr="5D45256D" w14:paraId="0ACC82AC">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4B48EE66" w14:textId="689FD1F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Access to transport</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F1F565B" w14:textId="7399FB5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355</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28CDEF45" w14:textId="071FA8B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20.6%</w:t>
            </w:r>
          </w:p>
        </w:tc>
      </w:tr>
      <w:tr w:rsidR="5D45256D" w:rsidTr="5D45256D" w14:paraId="075302DF">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7A3F1A2F" w14:textId="3A44F09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Annual leave offer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06AB9EEE" w14:textId="6EAE3B6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112</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243B6E64" w14:textId="60FC6E6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6.5%</w:t>
            </w:r>
          </w:p>
        </w:tc>
      </w:tr>
      <w:tr w:rsidR="5D45256D" w:rsidTr="5D45256D" w14:paraId="4669F927">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356E98B2" w14:textId="7040522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Awareness of roles available in local area</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04407C7F" w14:textId="009F9D2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148</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1F27639" w14:textId="5E8CD36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8.6%</w:t>
            </w:r>
          </w:p>
        </w:tc>
      </w:tr>
      <w:tr w:rsidR="5D45256D" w:rsidTr="5D45256D" w14:paraId="61A6D414">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494614A3" w14:textId="27B70CD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Awareness of roles available in the sector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3E3C980" w14:textId="745749D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98</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76FB8D8" w14:textId="43A6C91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5.7%</w:t>
            </w:r>
          </w:p>
        </w:tc>
      </w:tr>
      <w:tr w:rsidR="5D45256D" w:rsidTr="5D45256D" w14:paraId="2B97EE1E">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749F95ED" w14:textId="5C089DF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DBS checks too long</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89E11A3" w14:textId="6F1E63E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650</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57374861" w14:textId="11F260B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37.8%</w:t>
            </w:r>
          </w:p>
        </w:tc>
      </w:tr>
      <w:tr w:rsidR="5D45256D" w:rsidTr="5D45256D" w14:paraId="3FB38CE3">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57A743EC" w14:textId="5D33137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Immigration rule changes which have impacted retention</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621424B8" w14:textId="7E3A04E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241</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0308E85" w14:textId="18D4977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14.0%</w:t>
            </w:r>
          </w:p>
        </w:tc>
      </w:tr>
      <w:tr w:rsidR="5D45256D" w:rsidTr="5D45256D" w14:paraId="04F9AE61">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4255D977" w14:textId="5958D5B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Immigration rule changes which have reduced volume of applications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22127AF3" w14:textId="697A450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475</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69CC5EA8" w14:textId="309910D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27.6%</w:t>
            </w:r>
          </w:p>
        </w:tc>
      </w:tr>
      <w:tr w:rsidR="5D45256D" w:rsidTr="5D45256D" w14:paraId="49E9B314">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56B87929" w14:textId="3493D86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Length of recruitment process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72435AB4" w14:textId="1A2B0DA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439</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7E99E1DD" w14:textId="738CBAF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25.5%</w:t>
            </w:r>
          </w:p>
        </w:tc>
      </w:tr>
      <w:tr w:rsidR="5D45256D" w:rsidTr="5D45256D" w14:paraId="14B506B7">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44B2E16F" w14:textId="5DE5DAD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Level of pay compared to other sectors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E170AB6" w14:textId="5EFC7E9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1113</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A528980" w14:textId="79DC992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64.7%</w:t>
            </w:r>
          </w:p>
        </w:tc>
      </w:tr>
      <w:tr w:rsidR="5D45256D" w:rsidTr="5D45256D" w14:paraId="537E2166">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64C47E0F" w14:textId="61BEB33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Non transferability of DBS check</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00B335FC" w14:textId="0737459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250</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DD58BD8" w14:textId="75DE862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14.5%</w:t>
            </w:r>
          </w:p>
        </w:tc>
      </w:tr>
      <w:tr w:rsidR="5D45256D" w:rsidTr="5D45256D" w14:paraId="1BA736AC">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541769DC" w14:textId="5DEE72C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Sick pay offer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781CABEC" w14:textId="59BB0FB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452</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61D4254C" w14:textId="1C17829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26.3%</w:t>
            </w:r>
          </w:p>
        </w:tc>
      </w:tr>
      <w:tr w:rsidR="5D45256D" w:rsidTr="5D45256D" w14:paraId="0CECCD92">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67D07668" w14:textId="4F7CC92C">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Terms and conditions</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3ABEF8CC" w14:textId="541CE22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63</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47C39062" w14:textId="2B22E83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3.7%</w:t>
            </w:r>
          </w:p>
        </w:tc>
      </w:tr>
      <w:tr w:rsidR="5D45256D" w:rsidTr="5D45256D" w14:paraId="178CD44C">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1B6EE58B" w14:textId="2064151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The process of evidencing genuine vacancy requirements for recruiting international staff</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81863B9" w14:textId="22EA833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87</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14731209" w14:textId="3B48F68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5.1%</w:t>
            </w:r>
          </w:p>
        </w:tc>
      </w:tr>
      <w:tr w:rsidR="5D45256D" w:rsidTr="5D45256D" w14:paraId="4FE2F620">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6594CFEC" w14:textId="15DE56D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Workforce recognition</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07C53980" w14:textId="5FA3AAA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327</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DC4C2B6" w14:textId="1B76B52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19.0%</w:t>
            </w:r>
          </w:p>
        </w:tc>
      </w:tr>
      <w:tr w:rsidR="5D45256D" w:rsidTr="5D45256D" w14:paraId="321894FA">
        <w:trPr>
          <w:trHeight w:val="9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12E8E198" w14:textId="73C4CC8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(or left blank)</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320BFA70" w14:textId="3090391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283</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61232A1A" w14:textId="4B58784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r w:rsidR="5D45256D" w:rsidTr="5D45256D" w14:paraId="7286EBA3">
        <w:trPr>
          <w:trHeight w:val="315"/>
        </w:trPr>
        <w:tc>
          <w:tcPr>
            <w:tcW w:w="9428" w:type="dxa"/>
            <w:tcBorders>
              <w:top w:val="single" w:sz="4"/>
              <w:left w:val="single" w:sz="4"/>
              <w:bottom w:val="single" w:sz="4"/>
              <w:right w:val="single" w:sz="4"/>
            </w:tcBorders>
            <w:tcMar>
              <w:left w:w="108" w:type="dxa"/>
              <w:right w:w="108" w:type="dxa"/>
            </w:tcMar>
            <w:vAlign w:val="top"/>
          </w:tcPr>
          <w:p w:rsidR="5D45256D" w:rsidP="5D45256D" w:rsidRDefault="5D45256D" w14:paraId="041A11D0" w14:textId="0379A28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Other</w:t>
            </w:r>
          </w:p>
        </w:tc>
        <w:tc>
          <w:tcPr>
            <w:tcW w:w="880" w:type="dxa"/>
            <w:tcBorders>
              <w:top w:val="single" w:sz="4"/>
              <w:left w:val="single" w:sz="4"/>
              <w:bottom w:val="single" w:sz="4"/>
              <w:right w:val="single" w:sz="4"/>
            </w:tcBorders>
            <w:tcMar>
              <w:left w:w="108" w:type="dxa"/>
              <w:right w:w="108" w:type="dxa"/>
            </w:tcMar>
            <w:vAlign w:val="top"/>
          </w:tcPr>
          <w:p w:rsidR="5D45256D" w:rsidP="5D45256D" w:rsidRDefault="5D45256D" w14:paraId="1AB64482" w14:textId="3874D95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46</w:t>
            </w:r>
          </w:p>
        </w:tc>
        <w:tc>
          <w:tcPr>
            <w:tcW w:w="1280" w:type="dxa"/>
            <w:tcBorders>
              <w:top w:val="single" w:sz="4"/>
              <w:left w:val="single" w:sz="4"/>
              <w:bottom w:val="single" w:sz="4"/>
              <w:right w:val="single" w:sz="4"/>
            </w:tcBorders>
            <w:tcMar>
              <w:left w:w="108" w:type="dxa"/>
              <w:right w:w="108" w:type="dxa"/>
            </w:tcMar>
            <w:vAlign w:val="top"/>
          </w:tcPr>
          <w:p w:rsidR="5D45256D" w:rsidP="5D45256D" w:rsidRDefault="5D45256D" w14:paraId="33A41907" w14:textId="1846CDD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6DA78F95" w14:textId="1325472B">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6B8620FB" w:rsidP="5D45256D" w:rsidRDefault="6B8620FB" w14:paraId="17749AC9" w14:textId="1621BF11">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b w:val="1"/>
          <w:bCs w:val="1"/>
          <w:color w:val="000000" w:themeColor="text1" w:themeTint="FF" w:themeShade="FF"/>
          <w:sz w:val="24"/>
          <w:szCs w:val="24"/>
        </w:rPr>
        <w:t>Table 6.9:</w:t>
      </w:r>
      <w:r w:rsidRPr="5D45256D" w:rsidR="6B8620FB">
        <w:rPr>
          <w:rFonts w:ascii="Arial" w:hAnsi="Arial" w:eastAsia="Arial" w:cs="Arial"/>
          <w:color w:val="000000" w:themeColor="text1" w:themeTint="FF" w:themeShade="FF"/>
          <w:sz w:val="24"/>
          <w:szCs w:val="24"/>
        </w:rPr>
        <w:t xml:space="preserve"> if you have experienced challenges with international recruited care workers and senior care workers leaving their role, what do you believe is the main cause of this?</w:t>
      </w:r>
    </w:p>
    <w:tbl>
      <w:tblPr>
        <w:tblStyle w:val="TableGrid"/>
        <w:bidiVisual w:val="0"/>
        <w:tblW w:w="0" w:type="auto"/>
        <w:tblLook w:val="04A0" w:firstRow="1" w:lastRow="0" w:firstColumn="1" w:lastColumn="0" w:noHBand="0" w:noVBand="1"/>
      </w:tblPr>
      <w:tblGrid>
        <w:gridCol w:w="7190"/>
        <w:gridCol w:w="536"/>
        <w:gridCol w:w="779"/>
      </w:tblGrid>
      <w:tr w:rsidR="5D45256D" w:rsidTr="5D45256D" w14:paraId="27E088FF">
        <w:trPr>
          <w:trHeight w:val="157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06BA11A0" w14:textId="238ED994">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Response</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47583980" w14:textId="61575041">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homes - number</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4B0C15C8" w14:textId="38C5DF53">
            <w:pPr>
              <w:bidi w:val="0"/>
              <w:spacing w:before="0" w:beforeAutospacing="off" w:after="0" w:afterAutospacing="off" w:line="360" w:lineRule="auto"/>
              <w:jc w:val="both"/>
              <w:rPr>
                <w:rFonts w:ascii="Arial" w:hAnsi="Arial" w:eastAsia="Arial" w:cs="Arial"/>
                <w:b w:val="1"/>
                <w:bCs w:val="1"/>
                <w:color w:val="000000" w:themeColor="text1" w:themeTint="FF" w:themeShade="FF"/>
                <w:sz w:val="24"/>
                <w:szCs w:val="24"/>
              </w:rPr>
            </w:pPr>
            <w:r w:rsidRPr="5D45256D" w:rsidR="5D45256D">
              <w:rPr>
                <w:rFonts w:ascii="Arial" w:hAnsi="Arial" w:eastAsia="Arial" w:cs="Arial"/>
                <w:b w:val="1"/>
                <w:bCs w:val="1"/>
                <w:color w:val="000000" w:themeColor="text1" w:themeTint="FF" w:themeShade="FF"/>
                <w:sz w:val="24"/>
                <w:szCs w:val="24"/>
              </w:rPr>
              <w:t>Care Home - percentage</w:t>
            </w:r>
          </w:p>
        </w:tc>
      </w:tr>
      <w:tr w:rsidR="5D45256D" w:rsidTr="5D45256D" w14:paraId="194D2673">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7ECB4A39" w14:textId="73A18E5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Don't know</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5BA5E15B" w14:textId="4106883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109</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0698FB74" w14:textId="26CAFCF5">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32.3%</w:t>
            </w:r>
          </w:p>
        </w:tc>
      </w:tr>
      <w:tr w:rsidR="5D45256D" w:rsidTr="5D45256D" w14:paraId="71A9C452">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25D73450" w14:textId="59D3C94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Internation recruits could not find appropriate and affordable accommodation</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46B3B64B" w14:textId="65D2582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60</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73B39F53" w14:textId="2F31BC8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17.8%</w:t>
            </w:r>
          </w:p>
        </w:tc>
      </w:tr>
      <w:tr w:rsidR="5D45256D" w:rsidTr="5D45256D" w14:paraId="21C6C8B7">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105AEA04" w14:textId="1659368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Internation recruits could not get a UK driving license</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53EB5538" w14:textId="3DE7619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234C471A" w14:textId="0B24644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0.3%</w:t>
            </w:r>
          </w:p>
        </w:tc>
      </w:tr>
      <w:tr w:rsidR="5D45256D" w:rsidTr="5D45256D" w14:paraId="0764C6D7">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7A1B438E" w14:textId="663BEEA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International recruits could not afford a car</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5982DB9C" w14:textId="214CB15E">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5</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6B57F839" w14:textId="109179B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1.5%</w:t>
            </w:r>
          </w:p>
        </w:tc>
      </w:tr>
      <w:tr w:rsidR="5D45256D" w:rsidTr="5D45256D" w14:paraId="7B46B213">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53044B16" w14:textId="028D593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International recruits could not afford cost of living</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68CCDBF7" w14:textId="691C192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39</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7F03451E" w14:textId="247A48F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11.6%</w:t>
            </w:r>
          </w:p>
        </w:tc>
      </w:tr>
      <w:tr w:rsidR="5D45256D" w:rsidTr="5D45256D" w14:paraId="0A76791E">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332A1A04" w14:textId="45628D3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Job role was not as expected</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0D7F9BA1" w14:textId="5D9C2A16">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47</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44C90510" w14:textId="33D7740F">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13.9%</w:t>
            </w:r>
          </w:p>
        </w:tc>
      </w:tr>
      <w:tr w:rsidR="5D45256D" w:rsidTr="5D45256D" w14:paraId="29334C97">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4312050D" w14:textId="3811D5D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Workers not working the hours required as per their visa requirements and so you have terminated sponsorship</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33EFFF68" w14:textId="21330A8D">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9</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6921A199" w14:textId="7A5D9B04">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w:t>
            </w:r>
          </w:p>
        </w:tc>
      </w:tr>
      <w:tr w:rsidR="5D45256D" w:rsidTr="5D45256D" w14:paraId="0E752F18">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1A16F67C" w14:textId="788F9593">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You are unable to guarantee sufficient hours to meet the sponsorship requirements</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0954B257" w14:textId="2E049DE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7E046F89" w14:textId="4765780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8.0%</w:t>
            </w:r>
          </w:p>
        </w:tc>
      </w:tr>
      <w:tr w:rsidR="5D45256D" w:rsidTr="5D45256D" w14:paraId="126FF5D3">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4F330D23" w14:textId="5E70182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You are unable to meet genuine vacancy requirements to be able to renew their certificates of sponsorship</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1BC08669" w14:textId="484B3C0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27</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054BB28E" w14:textId="0620B5A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8.0%</w:t>
            </w:r>
          </w:p>
        </w:tc>
      </w:tr>
      <w:tr w:rsidR="5D45256D" w:rsidTr="5D45256D" w14:paraId="17EFF67F">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12685FE9" w14:textId="7A69ECFA">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You are unable to offer additional hours or overtime to staff</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6067D406" w14:textId="1E788FC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13</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2FAC70CA" w14:textId="62E95B77">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3.9%</w:t>
            </w:r>
          </w:p>
        </w:tc>
      </w:tr>
      <w:tr w:rsidR="5D45256D" w:rsidTr="5D45256D" w14:paraId="6CA15267">
        <w:trPr>
          <w:trHeight w:val="9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047C4DFE" w14:textId="36AF4F19">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N/A (or left blank)</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1D7AB017" w14:textId="49F0ADA2">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1555</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17004B83" w14:textId="598B87B1">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r w:rsidR="5D45256D" w:rsidTr="5D45256D" w14:paraId="7BA15578">
        <w:trPr>
          <w:trHeight w:val="315"/>
        </w:trPr>
        <w:tc>
          <w:tcPr>
            <w:tcW w:w="7190" w:type="dxa"/>
            <w:tcBorders>
              <w:top w:val="single" w:sz="4"/>
              <w:left w:val="single" w:sz="4"/>
              <w:bottom w:val="single" w:sz="4"/>
              <w:right w:val="single" w:sz="4"/>
            </w:tcBorders>
            <w:tcMar>
              <w:left w:w="108" w:type="dxa"/>
              <w:right w:w="108" w:type="dxa"/>
            </w:tcMar>
            <w:vAlign w:val="top"/>
          </w:tcPr>
          <w:p w:rsidR="5D45256D" w:rsidP="5D45256D" w:rsidRDefault="5D45256D" w14:paraId="265792C1" w14:textId="7B10F948">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Other</w:t>
            </w:r>
          </w:p>
        </w:tc>
        <w:tc>
          <w:tcPr>
            <w:tcW w:w="536" w:type="dxa"/>
            <w:tcBorders>
              <w:top w:val="single" w:sz="4"/>
              <w:left w:val="single" w:sz="4"/>
              <w:bottom w:val="single" w:sz="4"/>
              <w:right w:val="single" w:sz="4"/>
            </w:tcBorders>
            <w:tcMar>
              <w:left w:w="108" w:type="dxa"/>
              <w:right w:w="108" w:type="dxa"/>
            </w:tcMar>
            <w:vAlign w:val="top"/>
          </w:tcPr>
          <w:p w:rsidR="5D45256D" w:rsidP="5D45256D" w:rsidRDefault="5D45256D" w14:paraId="5488F357" w14:textId="57FC6AAB">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110</w:t>
            </w:r>
          </w:p>
        </w:tc>
        <w:tc>
          <w:tcPr>
            <w:tcW w:w="779" w:type="dxa"/>
            <w:tcBorders>
              <w:top w:val="single" w:sz="4"/>
              <w:left w:val="single" w:sz="4"/>
              <w:bottom w:val="single" w:sz="4"/>
              <w:right w:val="single" w:sz="4"/>
            </w:tcBorders>
            <w:tcMar>
              <w:left w:w="108" w:type="dxa"/>
              <w:right w:w="108" w:type="dxa"/>
            </w:tcMar>
            <w:vAlign w:val="top"/>
          </w:tcPr>
          <w:p w:rsidR="5D45256D" w:rsidP="5D45256D" w:rsidRDefault="5D45256D" w14:paraId="7C86A4E1" w14:textId="7974A460">
            <w:pPr>
              <w:bidi w:val="0"/>
              <w:spacing w:before="0" w:beforeAutospacing="off" w:after="0" w:afterAutospacing="off" w:line="360" w:lineRule="auto"/>
              <w:jc w:val="both"/>
              <w:rPr>
                <w:rFonts w:ascii="Arial" w:hAnsi="Arial" w:eastAsia="Arial" w:cs="Arial"/>
                <w:color w:val="000000" w:themeColor="text1" w:themeTint="FF" w:themeShade="FF"/>
                <w:sz w:val="24"/>
                <w:szCs w:val="24"/>
              </w:rPr>
            </w:pPr>
            <w:r w:rsidRPr="5D45256D" w:rsidR="5D45256D">
              <w:rPr>
                <w:rFonts w:ascii="Arial" w:hAnsi="Arial" w:eastAsia="Arial" w:cs="Arial"/>
                <w:color w:val="000000" w:themeColor="text1" w:themeTint="FF" w:themeShade="FF"/>
                <w:sz w:val="24"/>
                <w:szCs w:val="24"/>
              </w:rPr>
              <w:t>[x]</w:t>
            </w:r>
          </w:p>
        </w:tc>
      </w:tr>
    </w:tbl>
    <w:p w:rsidR="6B8620FB" w:rsidP="5D45256D" w:rsidRDefault="6B8620FB" w14:paraId="0F1670F2" w14:textId="5B5D7270">
      <w:pPr>
        <w:bidi w:val="0"/>
        <w:spacing w:before="0" w:beforeAutospacing="off" w:after="160" w:afterAutospacing="off" w:line="360" w:lineRule="auto"/>
        <w:jc w:val="both"/>
        <w:rPr>
          <w:rFonts w:ascii="Arial" w:hAnsi="Arial" w:eastAsia="Arial" w:cs="Arial"/>
          <w:color w:val="000000" w:themeColor="text1" w:themeTint="FF" w:themeShade="FF"/>
          <w:sz w:val="24"/>
          <w:szCs w:val="24"/>
        </w:rPr>
      </w:pPr>
      <w:r w:rsidRPr="5D45256D" w:rsidR="6B8620FB">
        <w:rPr>
          <w:rFonts w:ascii="Arial" w:hAnsi="Arial" w:eastAsia="Arial" w:cs="Arial"/>
          <w:color w:val="000000" w:themeColor="text1" w:themeTint="FF" w:themeShade="FF"/>
          <w:sz w:val="24"/>
          <w:szCs w:val="24"/>
        </w:rPr>
        <w:t xml:space="preserve"> </w:t>
      </w:r>
    </w:p>
    <w:p w:rsidR="5D45256D" w:rsidP="5D45256D" w:rsidRDefault="5D45256D" w14:paraId="1BDFE6DF" w14:textId="632F6175">
      <w:pPr>
        <w:bidi w:val="0"/>
        <w:spacing w:before="120" w:beforeAutospacing="off" w:after="120" w:afterAutospacing="off" w:line="360" w:lineRule="auto"/>
        <w:ind w:left="720" w:right="0" w:hanging="720"/>
        <w:jc w:val="both"/>
        <w:rPr>
          <w:rFonts w:ascii="Arial" w:hAnsi="Arial" w:eastAsia="Arial" w:cs="Arial"/>
          <w:color w:val="000000" w:themeColor="text1" w:themeTint="FF" w:themeShade="FF"/>
          <w:sz w:val="24"/>
          <w:szCs w:val="24"/>
        </w:rPr>
      </w:pPr>
    </w:p>
    <w:p w:rsidR="5D45256D" w:rsidP="5D45256D" w:rsidRDefault="5D45256D" w14:paraId="05228E7E" w14:textId="02E0EE0D">
      <w:pPr>
        <w:pStyle w:val="Normal"/>
        <w:rPr>
          <w:rFonts w:ascii="Arial" w:hAnsi="Arial" w:eastAsia="Arial" w:cs="Arial"/>
        </w:rPr>
      </w:pPr>
    </w:p>
    <w:p w:rsidR="5D45256D" w:rsidP="5D45256D" w:rsidRDefault="5D45256D" w14:paraId="7E0CF220" w14:textId="5FA6EEF7">
      <w:pPr>
        <w:pStyle w:val="Normal"/>
        <w:rPr>
          <w:rFonts w:ascii="Arial" w:hAnsi="Arial" w:eastAsia="Arial" w:cs="Arial"/>
        </w:rPr>
      </w:pPr>
    </w:p>
    <w:p w:rsidR="5D45256D" w:rsidP="5D45256D" w:rsidRDefault="5D45256D" w14:paraId="31FDCE44" w14:textId="115E7121">
      <w:pPr>
        <w:pStyle w:val="Normal"/>
        <w:rPr>
          <w:rFonts w:ascii="Arial" w:hAnsi="Arial" w:eastAsia="Arial" w:cs="Arial"/>
        </w:rPr>
      </w:pPr>
    </w:p>
    <w:p w:rsidR="5D45256D" w:rsidP="5D45256D" w:rsidRDefault="5D45256D" w14:paraId="088E0FB8" w14:textId="5B5BABFC">
      <w:pPr>
        <w:spacing w:before="0" w:beforeAutospacing="off" w:after="160" w:afterAutospacing="off" w:line="360" w:lineRule="auto"/>
        <w:jc w:val="both"/>
        <w:rPr>
          <w:rFonts w:ascii="Arial" w:hAnsi="Arial" w:eastAsia="Arial" w:cs="Arial"/>
          <w:color w:val="000000" w:themeColor="text1" w:themeTint="FF" w:themeShade="FF"/>
          <w:sz w:val="24"/>
          <w:szCs w:val="24"/>
        </w:rPr>
      </w:pPr>
    </w:p>
    <w:p w:rsidR="5D45256D" w:rsidP="5D45256D" w:rsidRDefault="5D45256D" w14:paraId="3BD7B8BC" w14:textId="3B635D70">
      <w:pPr>
        <w:spacing w:before="0" w:beforeAutospacing="off" w:after="160" w:afterAutospacing="off" w:line="360" w:lineRule="auto"/>
        <w:jc w:val="both"/>
        <w:rPr>
          <w:rFonts w:ascii="Arial" w:hAnsi="Arial" w:eastAsia="Arial" w:cs="Arial"/>
          <w:b w:val="1"/>
          <w:bCs w:val="1"/>
          <w:color w:val="000000" w:themeColor="text1" w:themeTint="FF" w:themeShade="FF"/>
          <w:sz w:val="24"/>
          <w:szCs w:val="24"/>
        </w:rPr>
      </w:pPr>
    </w:p>
    <w:p w:rsidR="5D45256D" w:rsidP="5D45256D" w:rsidRDefault="5D45256D" w14:paraId="20505827" w14:textId="78DD604E">
      <w:pPr>
        <w:rPr>
          <w:rFonts w:ascii="Arial" w:hAnsi="Arial" w:eastAsia="Arial" w:cs="Arial"/>
        </w:rPr>
      </w:pPr>
    </w:p>
    <w:p w:rsidR="05E7D153" w:rsidP="5D45256D" w:rsidRDefault="05E7D153" w14:paraId="33E3D202" w14:textId="64A90699">
      <w:pPr>
        <w:rPr>
          <w:rFonts w:ascii="Arial" w:hAnsi="Arial" w:eastAsia="Arial" w:cs="Arial"/>
        </w:rPr>
      </w:pPr>
    </w:p>
    <w:p w:rsidR="05E7D153" w:rsidP="5D45256D" w:rsidRDefault="05E7D153" w14:paraId="410EE382" w14:textId="4D2E5DFF">
      <w:pPr>
        <w:rPr>
          <w:rFonts w:ascii="Arial" w:hAnsi="Arial" w:eastAsia="Arial" w:cs="Arial"/>
        </w:rPr>
      </w:pPr>
    </w:p>
    <w:p w:rsidR="05E7D153" w:rsidP="5D45256D" w:rsidRDefault="05E7D153" w14:paraId="3879A9FF" w14:textId="705A1B1A">
      <w:pPr>
        <w:rPr>
          <w:rFonts w:ascii="Arial" w:hAnsi="Arial" w:eastAsia="Arial" w:cs="Arial"/>
        </w:rPr>
      </w:pPr>
    </w:p>
    <w:p w:rsidR="05E7D153" w:rsidP="5D45256D" w:rsidRDefault="05E7D153" w14:paraId="2654AB05" w14:textId="5713EBD4">
      <w:pPr>
        <w:rPr>
          <w:rFonts w:ascii="Arial" w:hAnsi="Arial" w:eastAsia="Arial" w:cs="Arial"/>
        </w:rPr>
      </w:pPr>
    </w:p>
    <w:p w:rsidR="05E7D153" w:rsidP="5D45256D" w:rsidRDefault="05E7D153" w14:paraId="29030EA2" w14:textId="1626E378">
      <w:pPr>
        <w:rPr>
          <w:rFonts w:ascii="Arial" w:hAnsi="Arial" w:eastAsia="Arial" w:cs="Arial"/>
        </w:rPr>
      </w:pPr>
    </w:p>
    <w:p w:rsidR="05E7D153" w:rsidP="5D45256D" w:rsidRDefault="05E7D153" w14:paraId="2D5A46AA" w14:textId="62E853C0">
      <w:pPr>
        <w:rPr>
          <w:rFonts w:ascii="Arial" w:hAnsi="Arial" w:eastAsia="Arial" w:cs="Arial"/>
        </w:rPr>
      </w:pPr>
    </w:p>
    <w:p w:rsidR="05E7D153" w:rsidP="5D45256D" w:rsidRDefault="05E7D153" w14:paraId="37BB2CFC" w14:textId="091D7024">
      <w:pPr>
        <w:rPr>
          <w:rFonts w:ascii="Arial" w:hAnsi="Arial" w:eastAsia="Arial" w:cs="Arial"/>
        </w:rPr>
      </w:pPr>
    </w:p>
    <w:p w:rsidR="05E7D153" w:rsidP="5D45256D" w:rsidRDefault="05E7D153" w14:paraId="1C612D4F" w14:textId="682135B8">
      <w:pPr>
        <w:rPr>
          <w:rFonts w:ascii="Arial" w:hAnsi="Arial" w:eastAsia="Arial" w:cs="Arial"/>
        </w:rPr>
      </w:pPr>
    </w:p>
    <w:p w:rsidR="05E7D153" w:rsidP="5D45256D" w:rsidRDefault="05E7D153" w14:paraId="6F72A7A8" w14:textId="74573D44">
      <w:pPr>
        <w:rPr>
          <w:rFonts w:ascii="Arial" w:hAnsi="Arial" w:eastAsia="Arial" w:cs="Arial"/>
        </w:rPr>
      </w:pPr>
    </w:p>
    <w:p w:rsidR="05E7D153" w:rsidP="5D45256D" w:rsidRDefault="05E7D153" w14:paraId="38D6F6D5" w14:textId="46C3B0F0">
      <w:pPr>
        <w:rPr>
          <w:rFonts w:ascii="Arial" w:hAnsi="Arial" w:eastAsia="Arial" w:cs="Arial"/>
        </w:rPr>
      </w:pPr>
    </w:p>
    <w:p w:rsidR="05E7D153" w:rsidP="5D45256D" w:rsidRDefault="05E7D153" w14:paraId="20B8C81B" w14:textId="609571B9">
      <w:pPr>
        <w:rPr>
          <w:rFonts w:ascii="Arial" w:hAnsi="Arial" w:eastAsia="Arial" w:cs="Arial"/>
        </w:rPr>
      </w:pPr>
    </w:p>
    <w:p w:rsidR="05E7D153" w:rsidP="5D45256D" w:rsidRDefault="05E7D153" w14:paraId="5CCE34AB" w14:textId="13EE92AB">
      <w:pPr>
        <w:rPr>
          <w:rFonts w:ascii="Arial" w:hAnsi="Arial" w:eastAsia="Arial" w:cs="Arial"/>
        </w:rPr>
      </w:pPr>
    </w:p>
    <w:p w:rsidR="05E7D153" w:rsidP="5D45256D" w:rsidRDefault="05E7D153" w14:paraId="4D828F2E" w14:textId="641DC028">
      <w:pPr>
        <w:rPr>
          <w:rFonts w:ascii="Arial" w:hAnsi="Arial" w:eastAsia="Arial" w:cs="Arial"/>
        </w:rPr>
      </w:pPr>
    </w:p>
    <w:p w:rsidR="05E7D153" w:rsidP="5D45256D" w:rsidRDefault="05E7D153" w14:paraId="22C6361A" w14:textId="041E9E7F">
      <w:pPr>
        <w:rPr>
          <w:rFonts w:ascii="Arial" w:hAnsi="Arial" w:eastAsia="Arial" w:cs="Arial"/>
        </w:rPr>
      </w:pPr>
    </w:p>
    <w:p w:rsidR="05E7D153" w:rsidP="5D45256D" w:rsidRDefault="05E7D153" w14:paraId="4FDE1899" w14:textId="3F5DCC15">
      <w:pPr>
        <w:rPr>
          <w:rFonts w:ascii="Arial" w:hAnsi="Arial" w:eastAsia="Arial" w:cs="Arial"/>
        </w:rPr>
      </w:pPr>
    </w:p>
    <w:p w:rsidR="05E7D153" w:rsidP="5D45256D" w:rsidRDefault="05E7D153" w14:paraId="203E64EB" w14:textId="57C5A1B6">
      <w:pPr>
        <w:rPr>
          <w:rFonts w:ascii="Arial" w:hAnsi="Arial" w:eastAsia="Arial" w:cs="Arial"/>
        </w:rPr>
      </w:pPr>
    </w:p>
    <w:p w:rsidR="05E7D153" w:rsidP="5D45256D" w:rsidRDefault="05E7D153" w14:paraId="24C740D3" w14:textId="0FC02D0B">
      <w:pPr>
        <w:rPr>
          <w:rFonts w:ascii="Arial" w:hAnsi="Arial" w:eastAsia="Arial" w:cs="Arial"/>
        </w:rPr>
      </w:pPr>
    </w:p>
    <w:p w:rsidR="05E7D153" w:rsidP="5D45256D" w:rsidRDefault="05E7D153" w14:paraId="61B1E0AB" w14:textId="3072224B">
      <w:pPr>
        <w:rPr>
          <w:rFonts w:ascii="Arial" w:hAnsi="Arial" w:eastAsia="Arial" w:cs="Arial"/>
        </w:rPr>
      </w:pPr>
    </w:p>
    <w:p w:rsidR="00085BA9" w:rsidP="5D45256D" w:rsidRDefault="00085BA9" w14:paraId="5E48FBEA" w14:textId="1F2EF020">
      <w:pPr>
        <w:rPr>
          <w:rFonts w:ascii="Arial" w:hAnsi="Arial" w:eastAsia="Arial" w:cs="Arial"/>
        </w:rPr>
      </w:pPr>
    </w:p>
    <w:sectPr w:rsidR="00085BA9">
      <w:pgSz w:w="11907" w:h="16839" w:orient="portrait"/>
      <w:pgMar w:top="1417" w:right="1701" w:bottom="1417" w:left="1701" w:header="708" w:footer="708" w:gutter="0"/>
      <w:cols w:equalWidth="1" w:space="708" w:num="1"/>
      <w:docGrid w:linePitch="360"/>
      <w:headerReference w:type="default" r:id="Rfc3a5842041c4232"/>
      <w:footerReference w:type="default" r:id="R98377521e15042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30"/>
      <w:gridCol w:w="2830"/>
      <w:gridCol w:w="2830"/>
    </w:tblGrid>
    <w:tr w:rsidR="35F6D9A2" w:rsidTr="5D45256D" w14:paraId="3D3ADE34">
      <w:trPr>
        <w:trHeight w:val="300"/>
      </w:trPr>
      <w:tc>
        <w:tcPr>
          <w:tcW w:w="2830" w:type="dxa"/>
          <w:tcMar/>
        </w:tcPr>
        <w:p w:rsidR="35F6D9A2" w:rsidP="35F6D9A2" w:rsidRDefault="35F6D9A2" w14:paraId="4CD6AE61" w14:textId="0581A3D5">
          <w:pPr>
            <w:pStyle w:val="Header"/>
            <w:bidi w:val="0"/>
            <w:ind w:left="-115"/>
            <w:jc w:val="left"/>
          </w:pPr>
        </w:p>
      </w:tc>
      <w:tc>
        <w:tcPr>
          <w:tcW w:w="2830" w:type="dxa"/>
          <w:tcMar/>
        </w:tcPr>
        <w:p w:rsidR="35F6D9A2" w:rsidP="35F6D9A2" w:rsidRDefault="35F6D9A2" w14:paraId="7BC6F5A8" w14:textId="30EB8AA7">
          <w:pPr>
            <w:pStyle w:val="Header"/>
            <w:bidi w:val="0"/>
            <w:jc w:val="center"/>
          </w:pPr>
        </w:p>
      </w:tc>
      <w:tc>
        <w:tcPr>
          <w:tcW w:w="2830" w:type="dxa"/>
          <w:tcMar/>
        </w:tcPr>
        <w:p w:rsidR="35F6D9A2" w:rsidP="35F6D9A2" w:rsidRDefault="35F6D9A2" w14:paraId="7B061483" w14:textId="358BD720">
          <w:pPr>
            <w:pStyle w:val="Header"/>
            <w:bidi w:val="0"/>
            <w:ind w:right="-115"/>
            <w:jc w:val="right"/>
          </w:pPr>
        </w:p>
      </w:tc>
    </w:tr>
  </w:tbl>
  <w:p w:rsidR="35F6D9A2" w:rsidP="35F6D9A2" w:rsidRDefault="35F6D9A2" w14:paraId="36C60EAA" w14:textId="7A08BC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35"/>
      <w:gridCol w:w="2835"/>
      <w:gridCol w:w="2835"/>
    </w:tblGrid>
    <w:tr w:rsidR="35F6D9A2" w:rsidTr="5D45256D" w14:paraId="46C29B26">
      <w:trPr>
        <w:trHeight w:val="300"/>
      </w:trPr>
      <w:tc>
        <w:tcPr>
          <w:tcW w:w="2835" w:type="dxa"/>
          <w:tcMar/>
        </w:tcPr>
        <w:p w:rsidR="35F6D9A2" w:rsidP="35F6D9A2" w:rsidRDefault="35F6D9A2" w14:paraId="140439E2" w14:textId="5A33F828">
          <w:pPr>
            <w:pStyle w:val="Header"/>
            <w:bidi w:val="0"/>
            <w:ind w:left="-115"/>
            <w:jc w:val="left"/>
          </w:pPr>
        </w:p>
      </w:tc>
      <w:tc>
        <w:tcPr>
          <w:tcW w:w="2835" w:type="dxa"/>
          <w:tcMar/>
        </w:tcPr>
        <w:p w:rsidR="35F6D9A2" w:rsidP="35F6D9A2" w:rsidRDefault="35F6D9A2" w14:paraId="3728A422" w14:textId="06F74384">
          <w:pPr>
            <w:pStyle w:val="Header"/>
            <w:bidi w:val="0"/>
            <w:jc w:val="center"/>
          </w:pPr>
        </w:p>
      </w:tc>
      <w:tc>
        <w:tcPr>
          <w:tcW w:w="2835" w:type="dxa"/>
          <w:tcMar/>
        </w:tcPr>
        <w:p w:rsidR="35F6D9A2" w:rsidP="35F6D9A2" w:rsidRDefault="35F6D9A2" w14:paraId="7465C83D" w14:textId="77676589">
          <w:pPr>
            <w:pStyle w:val="Header"/>
            <w:bidi w:val="0"/>
            <w:ind w:right="-115"/>
            <w:jc w:val="right"/>
          </w:pPr>
        </w:p>
      </w:tc>
    </w:tr>
  </w:tbl>
  <w:p w:rsidR="35F6D9A2" w:rsidP="35F6D9A2" w:rsidRDefault="35F6D9A2" w14:paraId="1E5CF891" w14:textId="071E7231">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jol2/xyKf9Glms" int2:id="gCRVxbln">
      <int2:state int2:type="spell" int2:value="Rejected"/>
    </int2:textHash>
    <int2:textHash int2:hashCode="nGRAP2XLJjm94T" int2:id="HGvfDK0v">
      <int2:state int2:type="spell" int2:value="Rejected"/>
    </int2:textHash>
    <int2:textHash int2:hashCode="7D7DM2eucUBeNb" int2:id="dHiJJvQ4">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77e17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79ccc1"/>
    <w:multiLevelType xmlns:w="http://schemas.openxmlformats.org/wordprocessingml/2006/main" w:val="multilevel"/>
    <w:lvl xmlns:w="http://schemas.openxmlformats.org/wordprocessingml/2006/main" w:ilvl="0">
      <w:start w:val="1"/>
      <w:numFmt w:val="decimal"/>
      <w:lvlText w:val="%1."/>
      <w:lvlJc w:val="left"/>
      <w:pPr>
        <w:ind w:left="600" w:hanging="360"/>
      </w:pPr>
    </w:lvl>
    <w:lvl xmlns:w="http://schemas.openxmlformats.org/wordprocessingml/2006/main" w:ilvl="1">
      <w:start w:val="1"/>
      <w:numFmt w:val="decimal"/>
      <w:lvlText w:val="%1.%2."/>
      <w:lvlJc w:val="left"/>
      <w:pPr>
        <w:ind w:left="1320" w:hanging="360"/>
      </w:pPr>
    </w:lvl>
    <w:lvl xmlns:w="http://schemas.openxmlformats.org/wordprocessingml/2006/main" w:ilvl="2">
      <w:start w:val="1"/>
      <w:numFmt w:val="decimal"/>
      <w:lvlText w:val="%1.%2.%3."/>
      <w:lvlJc w:val="left"/>
      <w:pPr>
        <w:ind w:left="2040" w:hanging="180"/>
      </w:pPr>
    </w:lvl>
    <w:lvl xmlns:w="http://schemas.openxmlformats.org/wordprocessingml/2006/main" w:ilvl="3">
      <w:start w:val="1"/>
      <w:numFmt w:val="decimal"/>
      <w:lvlText w:val="%1.%2.%3.%4."/>
      <w:lvlJc w:val="left"/>
      <w:pPr>
        <w:ind w:left="2760" w:hanging="360"/>
      </w:pPr>
    </w:lvl>
    <w:lvl xmlns:w="http://schemas.openxmlformats.org/wordprocessingml/2006/main" w:ilvl="4">
      <w:start w:val="1"/>
      <w:numFmt w:val="decimal"/>
      <w:lvlText w:val="%1.%2.%3.%4.%5."/>
      <w:lvlJc w:val="left"/>
      <w:pPr>
        <w:ind w:left="3480" w:hanging="360"/>
      </w:pPr>
    </w:lvl>
    <w:lvl xmlns:w="http://schemas.openxmlformats.org/wordprocessingml/2006/main" w:ilvl="5">
      <w:start w:val="1"/>
      <w:numFmt w:val="decimal"/>
      <w:lvlText w:val="%1.%2.%3.%4.%5.%6."/>
      <w:lvlJc w:val="left"/>
      <w:pPr>
        <w:ind w:left="4200" w:hanging="180"/>
      </w:pPr>
    </w:lvl>
    <w:lvl xmlns:w="http://schemas.openxmlformats.org/wordprocessingml/2006/main" w:ilvl="6">
      <w:start w:val="1"/>
      <w:numFmt w:val="decimal"/>
      <w:lvlText w:val="%1.%2.%3.%4.%5.%6.%7."/>
      <w:lvlJc w:val="left"/>
      <w:pPr>
        <w:ind w:left="4920" w:hanging="360"/>
      </w:pPr>
    </w:lvl>
    <w:lvl xmlns:w="http://schemas.openxmlformats.org/wordprocessingml/2006/main" w:ilvl="7">
      <w:start w:val="1"/>
      <w:numFmt w:val="decimal"/>
      <w:lvlText w:val="%1.%2.%3.%4.%5.%6.%7.%8."/>
      <w:lvlJc w:val="left"/>
      <w:pPr>
        <w:ind w:left="5640" w:hanging="360"/>
      </w:pPr>
    </w:lvl>
    <w:lvl xmlns:w="http://schemas.openxmlformats.org/wordprocessingml/2006/main" w:ilvl="8">
      <w:start w:val="1"/>
      <w:numFmt w:val="decimal"/>
      <w:lvlText w:val="%1.%2.%3.%4.%5.%6.%7.%8.%9."/>
      <w:lvlJc w:val="left"/>
      <w:pPr>
        <w:ind w:left="6360" w:hanging="180"/>
      </w:pPr>
    </w:lvl>
  </w:abstractNum>
  <w:abstractNum xmlns:w="http://schemas.openxmlformats.org/wordprocessingml/2006/main" w:abstractNumId="3">
    <w:nsid w:val="f4ef3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df32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aba2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A9"/>
    <w:rsid w:val="0004EA13"/>
    <w:rsid w:val="00085BA9"/>
    <w:rsid w:val="004DB5C2"/>
    <w:rsid w:val="006716BC"/>
    <w:rsid w:val="007374B2"/>
    <w:rsid w:val="008D0E67"/>
    <w:rsid w:val="00AB790D"/>
    <w:rsid w:val="00B447CA"/>
    <w:rsid w:val="00C542E0"/>
    <w:rsid w:val="00C77F87"/>
    <w:rsid w:val="00DD9A8E"/>
    <w:rsid w:val="00F72B20"/>
    <w:rsid w:val="014E308D"/>
    <w:rsid w:val="014E6DBE"/>
    <w:rsid w:val="016BC066"/>
    <w:rsid w:val="0180834D"/>
    <w:rsid w:val="019CEC25"/>
    <w:rsid w:val="01A6034B"/>
    <w:rsid w:val="0200D43E"/>
    <w:rsid w:val="0219BDF8"/>
    <w:rsid w:val="024F121D"/>
    <w:rsid w:val="024F121D"/>
    <w:rsid w:val="030A0BAB"/>
    <w:rsid w:val="0394615C"/>
    <w:rsid w:val="03DA4631"/>
    <w:rsid w:val="04185F9C"/>
    <w:rsid w:val="0482EBDC"/>
    <w:rsid w:val="04B6E0DF"/>
    <w:rsid w:val="04BD99A9"/>
    <w:rsid w:val="04DBAFA8"/>
    <w:rsid w:val="05031ED9"/>
    <w:rsid w:val="055253C7"/>
    <w:rsid w:val="0562B045"/>
    <w:rsid w:val="057C0F22"/>
    <w:rsid w:val="05E7D153"/>
    <w:rsid w:val="060468DA"/>
    <w:rsid w:val="064FD88A"/>
    <w:rsid w:val="0656CACC"/>
    <w:rsid w:val="072FD0B1"/>
    <w:rsid w:val="074B8D5E"/>
    <w:rsid w:val="074E0374"/>
    <w:rsid w:val="0775362E"/>
    <w:rsid w:val="07AFE598"/>
    <w:rsid w:val="08E6F9E8"/>
    <w:rsid w:val="08EDA0DE"/>
    <w:rsid w:val="096B7FE9"/>
    <w:rsid w:val="096B7FE9"/>
    <w:rsid w:val="09C0B414"/>
    <w:rsid w:val="09CD3DB5"/>
    <w:rsid w:val="09D66E34"/>
    <w:rsid w:val="0A022BCF"/>
    <w:rsid w:val="0A070988"/>
    <w:rsid w:val="0A122DD9"/>
    <w:rsid w:val="0A122DD9"/>
    <w:rsid w:val="0ADDBAF4"/>
    <w:rsid w:val="0B238408"/>
    <w:rsid w:val="0B35A810"/>
    <w:rsid w:val="0B5FA1CB"/>
    <w:rsid w:val="0B9912C5"/>
    <w:rsid w:val="0BA537B8"/>
    <w:rsid w:val="0BA537B8"/>
    <w:rsid w:val="0BC0C757"/>
    <w:rsid w:val="0BD48A97"/>
    <w:rsid w:val="0BD48A97"/>
    <w:rsid w:val="0BD8591F"/>
    <w:rsid w:val="0BD8591F"/>
    <w:rsid w:val="0C0FF25B"/>
    <w:rsid w:val="0C6BD10A"/>
    <w:rsid w:val="0CCC9363"/>
    <w:rsid w:val="0CFAAAA9"/>
    <w:rsid w:val="0D06A6AD"/>
    <w:rsid w:val="0D092D7D"/>
    <w:rsid w:val="0E078CB5"/>
    <w:rsid w:val="0E39991A"/>
    <w:rsid w:val="0EB3F570"/>
    <w:rsid w:val="0ED1BCC2"/>
    <w:rsid w:val="0EEA1DFA"/>
    <w:rsid w:val="0F1A0140"/>
    <w:rsid w:val="0F3D90A6"/>
    <w:rsid w:val="0F7BCF1F"/>
    <w:rsid w:val="0F7BCF1F"/>
    <w:rsid w:val="0FCC65F8"/>
    <w:rsid w:val="0FEBCA38"/>
    <w:rsid w:val="0FEF743D"/>
    <w:rsid w:val="0FF057F1"/>
    <w:rsid w:val="0FF17255"/>
    <w:rsid w:val="100C27F5"/>
    <w:rsid w:val="1017E777"/>
    <w:rsid w:val="10673300"/>
    <w:rsid w:val="109C5834"/>
    <w:rsid w:val="10B09F58"/>
    <w:rsid w:val="10EB13AC"/>
    <w:rsid w:val="111361AC"/>
    <w:rsid w:val="1116B232"/>
    <w:rsid w:val="1116B232"/>
    <w:rsid w:val="11268078"/>
    <w:rsid w:val="116DABC3"/>
    <w:rsid w:val="11E108B9"/>
    <w:rsid w:val="1288A8B7"/>
    <w:rsid w:val="12A996B4"/>
    <w:rsid w:val="132696C9"/>
    <w:rsid w:val="133B7C94"/>
    <w:rsid w:val="13827F51"/>
    <w:rsid w:val="13918F44"/>
    <w:rsid w:val="139DE648"/>
    <w:rsid w:val="13B4CE16"/>
    <w:rsid w:val="1431B706"/>
    <w:rsid w:val="143AC6D2"/>
    <w:rsid w:val="14689114"/>
    <w:rsid w:val="146AB02E"/>
    <w:rsid w:val="14C9F54B"/>
    <w:rsid w:val="14DF1DF3"/>
    <w:rsid w:val="14EE2E11"/>
    <w:rsid w:val="1522A388"/>
    <w:rsid w:val="153D346A"/>
    <w:rsid w:val="1571A20D"/>
    <w:rsid w:val="16119203"/>
    <w:rsid w:val="162646C4"/>
    <w:rsid w:val="163E2BA8"/>
    <w:rsid w:val="16C2F54D"/>
    <w:rsid w:val="16EB5AA4"/>
    <w:rsid w:val="16F2DA01"/>
    <w:rsid w:val="17474DE1"/>
    <w:rsid w:val="177AB02A"/>
    <w:rsid w:val="18213203"/>
    <w:rsid w:val="1841022C"/>
    <w:rsid w:val="18448B46"/>
    <w:rsid w:val="18AFB19F"/>
    <w:rsid w:val="1976EBB9"/>
    <w:rsid w:val="1987B19A"/>
    <w:rsid w:val="19A42C56"/>
    <w:rsid w:val="19D11C6C"/>
    <w:rsid w:val="1A3045C2"/>
    <w:rsid w:val="1AB072C6"/>
    <w:rsid w:val="1ACB8483"/>
    <w:rsid w:val="1AE07610"/>
    <w:rsid w:val="1B057294"/>
    <w:rsid w:val="1B44C154"/>
    <w:rsid w:val="1B98F140"/>
    <w:rsid w:val="1BF47865"/>
    <w:rsid w:val="1C676FFE"/>
    <w:rsid w:val="1D1E3167"/>
    <w:rsid w:val="1D207761"/>
    <w:rsid w:val="1D27DEAD"/>
    <w:rsid w:val="1D5FDD93"/>
    <w:rsid w:val="1D792B1C"/>
    <w:rsid w:val="1DCEA8EB"/>
    <w:rsid w:val="1E0055A6"/>
    <w:rsid w:val="1E60A6FE"/>
    <w:rsid w:val="1E723EE5"/>
    <w:rsid w:val="1E7CC72A"/>
    <w:rsid w:val="1E7CC72A"/>
    <w:rsid w:val="1F3E33AE"/>
    <w:rsid w:val="1FB2A177"/>
    <w:rsid w:val="1FB2A177"/>
    <w:rsid w:val="2037FF75"/>
    <w:rsid w:val="208814DF"/>
    <w:rsid w:val="20D9D57C"/>
    <w:rsid w:val="20FF7666"/>
    <w:rsid w:val="2187B259"/>
    <w:rsid w:val="21883F86"/>
    <w:rsid w:val="2203E506"/>
    <w:rsid w:val="226E3CB2"/>
    <w:rsid w:val="228D598D"/>
    <w:rsid w:val="236BD078"/>
    <w:rsid w:val="236E5086"/>
    <w:rsid w:val="238C41DB"/>
    <w:rsid w:val="23A9F4FA"/>
    <w:rsid w:val="2404EF79"/>
    <w:rsid w:val="2439A978"/>
    <w:rsid w:val="2460A5E7"/>
    <w:rsid w:val="24AA7750"/>
    <w:rsid w:val="24AA7750"/>
    <w:rsid w:val="24B0DDF4"/>
    <w:rsid w:val="24DFB01B"/>
    <w:rsid w:val="24E0EC25"/>
    <w:rsid w:val="2531586C"/>
    <w:rsid w:val="25CF343F"/>
    <w:rsid w:val="25E95C05"/>
    <w:rsid w:val="25EAAD00"/>
    <w:rsid w:val="25F52E8C"/>
    <w:rsid w:val="261DEBD7"/>
    <w:rsid w:val="261DEBD7"/>
    <w:rsid w:val="263362AC"/>
    <w:rsid w:val="26413475"/>
    <w:rsid w:val="2672F301"/>
    <w:rsid w:val="26849FB7"/>
    <w:rsid w:val="26B2984A"/>
    <w:rsid w:val="26CA1566"/>
    <w:rsid w:val="27047EA9"/>
    <w:rsid w:val="27047EA9"/>
    <w:rsid w:val="27A9B8A4"/>
    <w:rsid w:val="27DB9E10"/>
    <w:rsid w:val="282004C4"/>
    <w:rsid w:val="28C263EC"/>
    <w:rsid w:val="28FA83BA"/>
    <w:rsid w:val="293087EF"/>
    <w:rsid w:val="2935546A"/>
    <w:rsid w:val="2935546A"/>
    <w:rsid w:val="29F21A40"/>
    <w:rsid w:val="2A0C1E60"/>
    <w:rsid w:val="2A9B2D6C"/>
    <w:rsid w:val="2A9D62FA"/>
    <w:rsid w:val="2ADE74E1"/>
    <w:rsid w:val="2B2EC5E9"/>
    <w:rsid w:val="2B434C36"/>
    <w:rsid w:val="2B74DC82"/>
    <w:rsid w:val="2BA157EE"/>
    <w:rsid w:val="2BBF4B22"/>
    <w:rsid w:val="2BEB9DC6"/>
    <w:rsid w:val="2C52D461"/>
    <w:rsid w:val="2C633ED3"/>
    <w:rsid w:val="2CDB50F3"/>
    <w:rsid w:val="2CDC58D6"/>
    <w:rsid w:val="2D20CFAB"/>
    <w:rsid w:val="2D59297E"/>
    <w:rsid w:val="2DB0B8B3"/>
    <w:rsid w:val="2DBC166A"/>
    <w:rsid w:val="2DD319EC"/>
    <w:rsid w:val="2E1D8C02"/>
    <w:rsid w:val="2E22472A"/>
    <w:rsid w:val="2E5A2DCA"/>
    <w:rsid w:val="2E5BB11A"/>
    <w:rsid w:val="2E7D4433"/>
    <w:rsid w:val="2E7D4433"/>
    <w:rsid w:val="2EC4D502"/>
    <w:rsid w:val="2F3F9D35"/>
    <w:rsid w:val="2FC770F4"/>
    <w:rsid w:val="2FF4939B"/>
    <w:rsid w:val="2FF4939B"/>
    <w:rsid w:val="2FFE3F63"/>
    <w:rsid w:val="302BD0B0"/>
    <w:rsid w:val="303ED135"/>
    <w:rsid w:val="30662568"/>
    <w:rsid w:val="30D98B74"/>
    <w:rsid w:val="318A1866"/>
    <w:rsid w:val="31BF694A"/>
    <w:rsid w:val="320CCE76"/>
    <w:rsid w:val="3277BAA8"/>
    <w:rsid w:val="3277BAA8"/>
    <w:rsid w:val="3288ABB0"/>
    <w:rsid w:val="32A4F6EE"/>
    <w:rsid w:val="32F2535F"/>
    <w:rsid w:val="32FFCB95"/>
    <w:rsid w:val="32FFCB95"/>
    <w:rsid w:val="3362ADF0"/>
    <w:rsid w:val="3374216F"/>
    <w:rsid w:val="340CAD27"/>
    <w:rsid w:val="341BB78E"/>
    <w:rsid w:val="345BD683"/>
    <w:rsid w:val="34EAD125"/>
    <w:rsid w:val="34F9FC14"/>
    <w:rsid w:val="351DB798"/>
    <w:rsid w:val="3535BD64"/>
    <w:rsid w:val="3561BA55"/>
    <w:rsid w:val="358DD130"/>
    <w:rsid w:val="35F6D9A2"/>
    <w:rsid w:val="360EAB72"/>
    <w:rsid w:val="360EAB72"/>
    <w:rsid w:val="365C5F52"/>
    <w:rsid w:val="36649129"/>
    <w:rsid w:val="367465DA"/>
    <w:rsid w:val="36C1BEA0"/>
    <w:rsid w:val="36C8685B"/>
    <w:rsid w:val="36DACF64"/>
    <w:rsid w:val="3702064D"/>
    <w:rsid w:val="377AA253"/>
    <w:rsid w:val="37B26993"/>
    <w:rsid w:val="37EB1BAE"/>
    <w:rsid w:val="382FA15E"/>
    <w:rsid w:val="3868D8BC"/>
    <w:rsid w:val="38A25FA2"/>
    <w:rsid w:val="38D7F7D5"/>
    <w:rsid w:val="38F24D2E"/>
    <w:rsid w:val="3915E701"/>
    <w:rsid w:val="39783512"/>
    <w:rsid w:val="39F6E019"/>
    <w:rsid w:val="3A0FA655"/>
    <w:rsid w:val="3AB99D58"/>
    <w:rsid w:val="3AC2CE0D"/>
    <w:rsid w:val="3AFF179C"/>
    <w:rsid w:val="3B39E09D"/>
    <w:rsid w:val="3B481DB3"/>
    <w:rsid w:val="3B4D3038"/>
    <w:rsid w:val="3BE52CAD"/>
    <w:rsid w:val="3CEC56F0"/>
    <w:rsid w:val="3CFFFF79"/>
    <w:rsid w:val="3E29A231"/>
    <w:rsid w:val="3EB2A8B3"/>
    <w:rsid w:val="3EE208DF"/>
    <w:rsid w:val="3F5487DA"/>
    <w:rsid w:val="3FE58960"/>
    <w:rsid w:val="40771185"/>
    <w:rsid w:val="42611721"/>
    <w:rsid w:val="43271AEA"/>
    <w:rsid w:val="433A5A62"/>
    <w:rsid w:val="43A94AB2"/>
    <w:rsid w:val="43AE5465"/>
    <w:rsid w:val="43E65D71"/>
    <w:rsid w:val="44340C63"/>
    <w:rsid w:val="448BF30C"/>
    <w:rsid w:val="448BF30C"/>
    <w:rsid w:val="44F6AC9D"/>
    <w:rsid w:val="44F99A4F"/>
    <w:rsid w:val="455AAA51"/>
    <w:rsid w:val="45B44A34"/>
    <w:rsid w:val="467C3F68"/>
    <w:rsid w:val="467C3F68"/>
    <w:rsid w:val="46AC3A4D"/>
    <w:rsid w:val="46B13785"/>
    <w:rsid w:val="46E526FA"/>
    <w:rsid w:val="473EAC5D"/>
    <w:rsid w:val="4790CFF0"/>
    <w:rsid w:val="47961334"/>
    <w:rsid w:val="47D78769"/>
    <w:rsid w:val="48477557"/>
    <w:rsid w:val="486B755A"/>
    <w:rsid w:val="4883FA73"/>
    <w:rsid w:val="48FE76B9"/>
    <w:rsid w:val="49439F0D"/>
    <w:rsid w:val="49954615"/>
    <w:rsid w:val="49A4BAAE"/>
    <w:rsid w:val="4A0799D9"/>
    <w:rsid w:val="4A2F62A5"/>
    <w:rsid w:val="4A2F62A5"/>
    <w:rsid w:val="4A3454B2"/>
    <w:rsid w:val="4A59D487"/>
    <w:rsid w:val="4A7E9CFC"/>
    <w:rsid w:val="4AB4AB61"/>
    <w:rsid w:val="4B31EFC6"/>
    <w:rsid w:val="4B8B561C"/>
    <w:rsid w:val="4BB41D55"/>
    <w:rsid w:val="4BB41D55"/>
    <w:rsid w:val="4BDB71A3"/>
    <w:rsid w:val="4CB2AD04"/>
    <w:rsid w:val="4DEC0241"/>
    <w:rsid w:val="4E59347B"/>
    <w:rsid w:val="4E5A46E9"/>
    <w:rsid w:val="4E853B8D"/>
    <w:rsid w:val="4E86A389"/>
    <w:rsid w:val="4EA6D7A2"/>
    <w:rsid w:val="4F1CBFCC"/>
    <w:rsid w:val="4F23525F"/>
    <w:rsid w:val="4F271C5C"/>
    <w:rsid w:val="4F30D3A3"/>
    <w:rsid w:val="4F706541"/>
    <w:rsid w:val="4F706541"/>
    <w:rsid w:val="4F838165"/>
    <w:rsid w:val="4FB42CCE"/>
    <w:rsid w:val="4FFC3EA1"/>
    <w:rsid w:val="50350F03"/>
    <w:rsid w:val="5096F23D"/>
    <w:rsid w:val="515D4503"/>
    <w:rsid w:val="51A2AEEB"/>
    <w:rsid w:val="51E163A7"/>
    <w:rsid w:val="51E2C194"/>
    <w:rsid w:val="51FF275B"/>
    <w:rsid w:val="5283EB6F"/>
    <w:rsid w:val="5296D83B"/>
    <w:rsid w:val="52A0F2AC"/>
    <w:rsid w:val="52A99B9E"/>
    <w:rsid w:val="52A9D67F"/>
    <w:rsid w:val="52D666F1"/>
    <w:rsid w:val="52DD1A5F"/>
    <w:rsid w:val="53108027"/>
    <w:rsid w:val="538C4AEE"/>
    <w:rsid w:val="538F73B3"/>
    <w:rsid w:val="53945BC1"/>
    <w:rsid w:val="53A6E198"/>
    <w:rsid w:val="54151943"/>
    <w:rsid w:val="546E113D"/>
    <w:rsid w:val="546E113D"/>
    <w:rsid w:val="547397A4"/>
    <w:rsid w:val="5567AF8A"/>
    <w:rsid w:val="559B3A4B"/>
    <w:rsid w:val="559EDE52"/>
    <w:rsid w:val="559EDE52"/>
    <w:rsid w:val="55B166D3"/>
    <w:rsid w:val="55D45E33"/>
    <w:rsid w:val="56611519"/>
    <w:rsid w:val="566CCC62"/>
    <w:rsid w:val="56C60402"/>
    <w:rsid w:val="56FD39EF"/>
    <w:rsid w:val="5734AF49"/>
    <w:rsid w:val="574DEC37"/>
    <w:rsid w:val="575CCED9"/>
    <w:rsid w:val="577976FA"/>
    <w:rsid w:val="57EF4F2F"/>
    <w:rsid w:val="58257D0D"/>
    <w:rsid w:val="5931D8CA"/>
    <w:rsid w:val="596E4063"/>
    <w:rsid w:val="5A07F975"/>
    <w:rsid w:val="5A2C0735"/>
    <w:rsid w:val="5A32F755"/>
    <w:rsid w:val="5A3A679F"/>
    <w:rsid w:val="5A4E08EE"/>
    <w:rsid w:val="5A58BAFF"/>
    <w:rsid w:val="5ADA34B3"/>
    <w:rsid w:val="5ADE9F89"/>
    <w:rsid w:val="5B138D30"/>
    <w:rsid w:val="5B2EAEC6"/>
    <w:rsid w:val="5B2EAEC6"/>
    <w:rsid w:val="5B76BE15"/>
    <w:rsid w:val="5BA4C403"/>
    <w:rsid w:val="5BE1C3D4"/>
    <w:rsid w:val="5BEA2D36"/>
    <w:rsid w:val="5BEE192D"/>
    <w:rsid w:val="5BF889AD"/>
    <w:rsid w:val="5BFFBBEF"/>
    <w:rsid w:val="5C2766A1"/>
    <w:rsid w:val="5C3E9234"/>
    <w:rsid w:val="5C7530C1"/>
    <w:rsid w:val="5C7530C1"/>
    <w:rsid w:val="5CB74D3F"/>
    <w:rsid w:val="5CCEDF66"/>
    <w:rsid w:val="5D1F4106"/>
    <w:rsid w:val="5D26FBE3"/>
    <w:rsid w:val="5D2A7050"/>
    <w:rsid w:val="5D45256D"/>
    <w:rsid w:val="5D5A6743"/>
    <w:rsid w:val="5D5A6743"/>
    <w:rsid w:val="5D6AA2D8"/>
    <w:rsid w:val="5E3C0AEF"/>
    <w:rsid w:val="5E51DBE0"/>
    <w:rsid w:val="5E58161E"/>
    <w:rsid w:val="5E7BF83F"/>
    <w:rsid w:val="5F797B06"/>
    <w:rsid w:val="5FEE5FC9"/>
    <w:rsid w:val="60954228"/>
    <w:rsid w:val="60BE9F31"/>
    <w:rsid w:val="60CE40A6"/>
    <w:rsid w:val="6190685A"/>
    <w:rsid w:val="623FC638"/>
    <w:rsid w:val="626DE444"/>
    <w:rsid w:val="62D0E654"/>
    <w:rsid w:val="62D0E654"/>
    <w:rsid w:val="633584B5"/>
    <w:rsid w:val="634F2792"/>
    <w:rsid w:val="6360954B"/>
    <w:rsid w:val="6365AC56"/>
    <w:rsid w:val="6365AC56"/>
    <w:rsid w:val="63B8B656"/>
    <w:rsid w:val="63D6E008"/>
    <w:rsid w:val="6410488A"/>
    <w:rsid w:val="643D8D23"/>
    <w:rsid w:val="6530975F"/>
    <w:rsid w:val="65588744"/>
    <w:rsid w:val="6563AA88"/>
    <w:rsid w:val="65FDA465"/>
    <w:rsid w:val="665702AB"/>
    <w:rsid w:val="6676D8A1"/>
    <w:rsid w:val="66EBEEA3"/>
    <w:rsid w:val="67155743"/>
    <w:rsid w:val="672C6BFF"/>
    <w:rsid w:val="67FF9419"/>
    <w:rsid w:val="680A9A9F"/>
    <w:rsid w:val="6822CEEE"/>
    <w:rsid w:val="68890285"/>
    <w:rsid w:val="68890285"/>
    <w:rsid w:val="68A8A2DE"/>
    <w:rsid w:val="68F00FCC"/>
    <w:rsid w:val="68F16B1C"/>
    <w:rsid w:val="69822DF3"/>
    <w:rsid w:val="69822DF3"/>
    <w:rsid w:val="6996C7D7"/>
    <w:rsid w:val="69A47EA8"/>
    <w:rsid w:val="6A26ACCE"/>
    <w:rsid w:val="6A5B90D9"/>
    <w:rsid w:val="6B241DDB"/>
    <w:rsid w:val="6B35D4E7"/>
    <w:rsid w:val="6B494BAE"/>
    <w:rsid w:val="6B8620FB"/>
    <w:rsid w:val="6BEB8DE8"/>
    <w:rsid w:val="6BF754B1"/>
    <w:rsid w:val="6BF754B1"/>
    <w:rsid w:val="6C076B2D"/>
    <w:rsid w:val="6C076B2D"/>
    <w:rsid w:val="6C081494"/>
    <w:rsid w:val="6C23A252"/>
    <w:rsid w:val="6C4877F6"/>
    <w:rsid w:val="6C910B39"/>
    <w:rsid w:val="6CB5B984"/>
    <w:rsid w:val="6CB973C5"/>
    <w:rsid w:val="6D077759"/>
    <w:rsid w:val="6D3EBFA1"/>
    <w:rsid w:val="6D4733DA"/>
    <w:rsid w:val="6D6BD5BE"/>
    <w:rsid w:val="6D6BD5BE"/>
    <w:rsid w:val="6DB4D4C1"/>
    <w:rsid w:val="6DB4D4C1"/>
    <w:rsid w:val="6DC9C239"/>
    <w:rsid w:val="6DD52EBC"/>
    <w:rsid w:val="6E05E911"/>
    <w:rsid w:val="6E40D462"/>
    <w:rsid w:val="6E7AAF1F"/>
    <w:rsid w:val="6ED0404B"/>
    <w:rsid w:val="6F760B28"/>
    <w:rsid w:val="6FD6DC7B"/>
    <w:rsid w:val="6FDD2E47"/>
    <w:rsid w:val="6FDDBDB4"/>
    <w:rsid w:val="70166B2A"/>
    <w:rsid w:val="702B1498"/>
    <w:rsid w:val="70ABA4DE"/>
    <w:rsid w:val="70ABA4DE"/>
    <w:rsid w:val="70AEA077"/>
    <w:rsid w:val="70CD371A"/>
    <w:rsid w:val="7101F07B"/>
    <w:rsid w:val="711962FD"/>
    <w:rsid w:val="711962FD"/>
    <w:rsid w:val="718126F5"/>
    <w:rsid w:val="71BD2100"/>
    <w:rsid w:val="71D0AD17"/>
    <w:rsid w:val="71D8278A"/>
    <w:rsid w:val="71E2D9AE"/>
    <w:rsid w:val="71E8B692"/>
    <w:rsid w:val="71F065D2"/>
    <w:rsid w:val="71F94803"/>
    <w:rsid w:val="7212C1A5"/>
    <w:rsid w:val="7213702F"/>
    <w:rsid w:val="727F3A7C"/>
    <w:rsid w:val="72861A02"/>
    <w:rsid w:val="728EE1F7"/>
    <w:rsid w:val="728EE1F7"/>
    <w:rsid w:val="72B13FEA"/>
    <w:rsid w:val="72CD033E"/>
    <w:rsid w:val="738EC1EE"/>
    <w:rsid w:val="74650B42"/>
    <w:rsid w:val="74852954"/>
    <w:rsid w:val="74852954"/>
    <w:rsid w:val="7496D5F8"/>
    <w:rsid w:val="7496D5F8"/>
    <w:rsid w:val="74BB5D7F"/>
    <w:rsid w:val="74E2E1B8"/>
    <w:rsid w:val="74E2E1B8"/>
    <w:rsid w:val="7534C26A"/>
    <w:rsid w:val="75803C80"/>
    <w:rsid w:val="76196AAD"/>
    <w:rsid w:val="763759CE"/>
    <w:rsid w:val="7689EEBA"/>
    <w:rsid w:val="76A1ED53"/>
    <w:rsid w:val="771196F3"/>
    <w:rsid w:val="772BEC11"/>
    <w:rsid w:val="772BEC11"/>
    <w:rsid w:val="775BDB8E"/>
    <w:rsid w:val="775BDB8E"/>
    <w:rsid w:val="77632770"/>
    <w:rsid w:val="77632770"/>
    <w:rsid w:val="77780AE0"/>
    <w:rsid w:val="778599FD"/>
    <w:rsid w:val="77A37D72"/>
    <w:rsid w:val="77AFEB86"/>
    <w:rsid w:val="7824F3F8"/>
    <w:rsid w:val="7824F3F8"/>
    <w:rsid w:val="7861F524"/>
    <w:rsid w:val="78AB55B6"/>
    <w:rsid w:val="78B75AF0"/>
    <w:rsid w:val="78EB8527"/>
    <w:rsid w:val="7952EC95"/>
    <w:rsid w:val="7978AC34"/>
    <w:rsid w:val="7A2E2B98"/>
    <w:rsid w:val="7B1E3193"/>
    <w:rsid w:val="7BACC63B"/>
    <w:rsid w:val="7BECD5DC"/>
    <w:rsid w:val="7BEFDE4F"/>
    <w:rsid w:val="7C20F653"/>
    <w:rsid w:val="7C503022"/>
    <w:rsid w:val="7C55096D"/>
    <w:rsid w:val="7C6E3926"/>
    <w:rsid w:val="7C71140B"/>
    <w:rsid w:val="7CC5524E"/>
    <w:rsid w:val="7CFFDD08"/>
    <w:rsid w:val="7D36FDA3"/>
    <w:rsid w:val="7D5610F1"/>
    <w:rsid w:val="7D7F8103"/>
    <w:rsid w:val="7D8B1517"/>
    <w:rsid w:val="7DAB2C72"/>
    <w:rsid w:val="7E1B29CF"/>
    <w:rsid w:val="7E7076A9"/>
    <w:rsid w:val="7E7076A9"/>
    <w:rsid w:val="7E9EA57F"/>
    <w:rsid w:val="7F099B3E"/>
    <w:rsid w:val="7F5E5E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671A7DC"/>
  <w15:chartTrackingRefBased/>
  <w15:docId w15:val="{B739B27F-50B8-4789-91F1-C3815C5F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D45256D"/>
    <w:rPr>
      <w:noProof w:val="0"/>
      <w:lang w:val="en-GB"/>
    </w:rPr>
  </w:style>
  <w:style w:type="paragraph" w:styleId="Heading1">
    <w:uiPriority w:val="9"/>
    <w:name w:val="heading 1"/>
    <w:basedOn w:val="Normal"/>
    <w:next w:val="Normal"/>
    <w:link w:val="Heading1Char"/>
    <w:qFormat/>
    <w:rsid w:val="5D45256D"/>
    <w:rPr>
      <w:rFonts w:ascii="Aptos Display" w:hAnsi="Aptos Display" w:eastAsia="游ゴシック Light"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5D45256D"/>
    <w:rPr>
      <w:rFonts w:ascii="Aptos Display" w:hAnsi="Aptos Display" w:eastAsia="游ゴシック Light"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5D45256D"/>
    <w:rPr>
      <w:rFonts w:eastAsia="游ゴシック Light"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5D45256D"/>
    <w:rPr>
      <w:rFonts w:eastAsia="游ゴシック Light"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5D45256D"/>
    <w:rPr>
      <w:rFonts w:eastAsia="游ゴシック Light"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5D45256D"/>
    <w:rPr>
      <w:rFonts w:eastAsia="游ゴシック Light"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5D45256D"/>
    <w:rPr>
      <w:rFonts w:eastAsia="游ゴシック Light"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5D45256D"/>
    <w:rPr>
      <w:rFonts w:eastAsia="游ゴシック Light"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5D45256D"/>
    <w:rPr>
      <w:rFonts w:eastAsia="游ゴシック Light"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85BA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85BA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85BA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85BA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85B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85B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85B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85BA9"/>
    <w:rPr>
      <w:rFonts w:eastAsiaTheme="majorEastAsia" w:cstheme="majorBidi"/>
      <w:i/>
      <w:iCs/>
      <w:color w:val="272727"/>
      <w:lang w:val="en-GB"/>
    </w:rPr>
  </w:style>
  <w:style w:type="character" w:styleId="Heading9Char" w:customStyle="1">
    <w:name w:val="Heading 9 Char"/>
    <w:basedOn w:val="DefaultParagraphFont"/>
    <w:link w:val="Heading9"/>
    <w:uiPriority w:val="9"/>
    <w:semiHidden/>
    <w:rsid w:val="00085BA9"/>
    <w:rPr>
      <w:rFonts w:eastAsiaTheme="majorEastAsia" w:cstheme="majorBidi"/>
      <w:color w:val="272727"/>
      <w:lang w:val="en-GB"/>
    </w:rPr>
  </w:style>
  <w:style w:type="paragraph" w:styleId="Title">
    <w:uiPriority w:val="10"/>
    <w:name w:val="Title"/>
    <w:basedOn w:val="Normal"/>
    <w:next w:val="Normal"/>
    <w:link w:val="TitleChar"/>
    <w:qFormat/>
    <w:rsid w:val="5D45256D"/>
    <w:rPr>
      <w:rFonts w:ascii="Aptos Display" w:hAnsi="Aptos Display" w:eastAsia="游ゴシック Light" w:cs="Times New Roman"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085BA9"/>
    <w:rPr>
      <w:rFonts w:asciiTheme="majorHAnsi" w:hAnsiTheme="majorHAnsi" w:eastAsiaTheme="majorEastAsia" w:cstheme="majorBidi"/>
      <w:sz w:val="56"/>
      <w:szCs w:val="56"/>
      <w:lang w:val="en-GB"/>
    </w:rPr>
  </w:style>
  <w:style w:type="paragraph" w:styleId="Subtitle">
    <w:uiPriority w:val="11"/>
    <w:name w:val="Subtitle"/>
    <w:basedOn w:val="Normal"/>
    <w:next w:val="Normal"/>
    <w:link w:val="SubtitleChar"/>
    <w:qFormat/>
    <w:rsid w:val="5D45256D"/>
    <w:rPr>
      <w:rFonts w:eastAsia="游ゴシック Light" w:cs="Times New Roman"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085BA9"/>
    <w:rPr>
      <w:rFonts w:eastAsiaTheme="majorEastAsia" w:cstheme="majorBidi"/>
      <w:color w:val="595959" w:themeColor="text1" w:themeTint="A6"/>
      <w:sz w:val="28"/>
      <w:szCs w:val="28"/>
      <w:lang w:val="en-GB"/>
    </w:rPr>
  </w:style>
  <w:style w:type="paragraph" w:styleId="Quote">
    <w:uiPriority w:val="29"/>
    <w:name w:val="Quote"/>
    <w:basedOn w:val="Normal"/>
    <w:next w:val="Normal"/>
    <w:link w:val="QuoteChar"/>
    <w:qFormat/>
    <w:rsid w:val="5D45256D"/>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085BA9"/>
    <w:rPr>
      <w:i/>
      <w:iCs/>
      <w:color w:val="404040" w:themeColor="text1" w:themeTint="BF"/>
    </w:rPr>
  </w:style>
  <w:style w:type="paragraph" w:styleId="ListParagraph">
    <w:uiPriority w:val="34"/>
    <w:name w:val="List Paragraph"/>
    <w:basedOn w:val="Normal"/>
    <w:qFormat/>
    <w:rsid w:val="5D45256D"/>
    <w:pPr>
      <w:spacing/>
      <w:ind w:left="720"/>
      <w:contextualSpacing/>
    </w:pPr>
  </w:style>
  <w:style w:type="character" w:styleId="IntenseEmphasis">
    <w:name w:val="Intense Emphasis"/>
    <w:basedOn w:val="DefaultParagraphFont"/>
    <w:uiPriority w:val="21"/>
    <w:qFormat/>
    <w:rsid w:val="00085BA9"/>
    <w:rPr>
      <w:i/>
      <w:iCs/>
      <w:color w:val="0F4761" w:themeColor="accent1" w:themeShade="BF"/>
    </w:rPr>
  </w:style>
  <w:style w:type="paragraph" w:styleId="IntenseQuote">
    <w:uiPriority w:val="30"/>
    <w:name w:val="Intense Quote"/>
    <w:basedOn w:val="Normal"/>
    <w:next w:val="Normal"/>
    <w:link w:val="IntenseQuoteChar"/>
    <w:qFormat/>
    <w:rsid w:val="5D45256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085BA9"/>
    <w:rPr>
      <w:i/>
      <w:iCs/>
      <w:color w:val="0F4761" w:themeColor="accent1" w:themeShade="BF"/>
    </w:rPr>
  </w:style>
  <w:style w:type="character" w:styleId="IntenseReference">
    <w:name w:val="Intense Reference"/>
    <w:basedOn w:val="DefaultParagraphFont"/>
    <w:uiPriority w:val="32"/>
    <w:qFormat/>
    <w:rsid w:val="00085BA9"/>
    <w:rPr>
      <w:b/>
      <w:bCs/>
      <w:smallCaps/>
      <w:color w:val="0F4761" w:themeColor="accent1" w:themeShade="BF"/>
      <w:spacing w:val="5"/>
    </w:rPr>
  </w:style>
  <w:style w:type="character" w:styleId="Hyperlink">
    <w:name w:val="Hyperlink"/>
    <w:basedOn w:val="DefaultParagraphFont"/>
    <w:uiPriority w:val="99"/>
    <w:unhideWhenUsed/>
    <w:rsid w:val="00085BA9"/>
    <w:rPr>
      <w:color w:val="467886" w:themeColor="hyperlink"/>
      <w:u w:val="single"/>
    </w:rPr>
  </w:style>
  <w:style w:type="character" w:styleId="UnresolvedMention">
    <w:name w:val="Unresolved Mention"/>
    <w:basedOn w:val="DefaultParagraphFont"/>
    <w:uiPriority w:val="99"/>
    <w:semiHidden/>
    <w:unhideWhenUsed/>
    <w:rsid w:val="00085BA9"/>
    <w:rPr>
      <w:color w:val="605E5C"/>
      <w:shd w:val="clear" w:color="auto" w:fill="E1DFDD"/>
    </w:rPr>
  </w:style>
  <w:style w:type="paragraph" w:styleId="Header">
    <w:uiPriority w:val="99"/>
    <w:name w:val="header"/>
    <w:basedOn w:val="Normal"/>
    <w:unhideWhenUsed/>
    <w:rsid w:val="5D45256D"/>
    <w:pPr>
      <w:tabs>
        <w:tab w:val="center" w:leader="none" w:pos="4680"/>
        <w:tab w:val="right" w:leader="none" w:pos="9360"/>
      </w:tabs>
      <w:spacing w:after="0" w:line="240" w:lineRule="auto"/>
    </w:pPr>
  </w:style>
  <w:style w:type="paragraph" w:styleId="Footer">
    <w:uiPriority w:val="99"/>
    <w:name w:val="footer"/>
    <w:basedOn w:val="Normal"/>
    <w:unhideWhenUsed/>
    <w:rsid w:val="5D45256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png" Id="rId1418593864" /><Relationship Type="http://schemas.openxmlformats.org/officeDocument/2006/relationships/header" Target="header.xml" Id="Rfc3a5842041c4232" /><Relationship Type="http://schemas.openxmlformats.org/officeDocument/2006/relationships/footer" Target="footer.xml" Id="R98377521e1504232" /><Relationship Type="http://schemas.openxmlformats.org/officeDocument/2006/relationships/hyperlink" Target="https://ukc-word-edit.officeapps.live.com/we/wordeditorframe.aspx?ui=en-US&amp;rs=en-US&amp;wopisrc=https%3A%2F%2Fuowtsd-my.sharepoint.com%2Fpersonal%2F2315746_student_uwtsd_ac_uk%2F_vti_bin%2Fwopi.ashx%2Ffiles%2F11469f389da640308a5b6703a936086f&amp;wdenableroaming=1&amp;wdfr=1&amp;mscc=1&amp;wdodb=1&amp;hid=887131A2-00C0-2001-8A05-48CB47CAB940.0&amp;uih=sharepointcom&amp;wdlcid=en-US&amp;jsapi=1&amp;jsapiver=v2&amp;corrid=4ae8f375-0a33-c755-a5b6-39bb9a6995d2&amp;usid=4ae8f375-0a33-c755-a5b6-39bb9a6995d2&amp;newsession=1&amp;sftc=1&amp;hfto=1786788951349.8&amp;uihit=docaspx&amp;muv=1&amp;ats=PairwiseBroker&amp;cac=1&amp;sams=1&amp;mtf=1&amp;sfp=1&amp;sdp=1&amp;hch=1&amp;hwfh=1&amp;dchat=1&amp;sc=%7B%22pmo%22%3A%22https%3A%2F%2Fuowtsd-my.sharepoint.com%22%2C%22pmshare%22%3Atrue%7D&amp;ctp=LeastProtected&amp;rct=Normal&amp;wdorigin=ONEDRIVE.RECENT-ITEMSVIEW&amp;wdhostclicktime=1786788951286&amp;afdflight=34&amp;csiro=1&amp;instantedit=1&amp;wopicomplete=1&amp;wdredirectionreason=Unified_SingleFlush#_Toc237450442" TargetMode="External" Id="R2888e3c74a32427a" /><Relationship Type="http://schemas.openxmlformats.org/officeDocument/2006/relationships/image" Target="/media/image2.png" Id="rId2131030424" /><Relationship Type="http://schemas.openxmlformats.org/officeDocument/2006/relationships/image" Target="/media/image3.png" Id="rId1685317700" /><Relationship Type="http://schemas.openxmlformats.org/officeDocument/2006/relationships/image" Target="/media/image.jpg" Id="rId2122828191" /><Relationship Type="http://schemas.openxmlformats.org/officeDocument/2006/relationships/hyperlink" Target="https://papers.ssrn.com/sol3/papers.cfm?abstract_id=5378785" TargetMode="External" Id="R43c96624e9f4432d" /><Relationship Type="http://schemas.openxmlformats.org/officeDocument/2006/relationships/hyperlink" Target="https://doi.org/10.1016/j.heliyon.2020.e04829" TargetMode="External" Id="Rb11300a965f44693" /><Relationship Type="http://schemas.openxmlformats.org/officeDocument/2006/relationships/hyperlink" Target="https://www.researchgate.net/publication/352390912_Employee_Turnover_Causes_Importance_and_Retention_Strategies" TargetMode="External" Id="R28c1202989ff44d9" /><Relationship Type="http://schemas.openxmlformats.org/officeDocument/2006/relationships/hyperlink" Target="https://doi.org/10.1111/ijmr.12304" TargetMode="External" Id="Ra7a382aa0b7c4aba" /><Relationship Type="http://schemas.openxmlformats.org/officeDocument/2006/relationships/hyperlink" Target="https://doi.org/10.1177/00187267211059826" TargetMode="External" Id="R408782b6be144819" /><Relationship Type="http://schemas.openxmlformats.org/officeDocument/2006/relationships/hyperlink" Target="https://doi.org/10.1093/ageing/afz118" TargetMode="External" Id="Re4fd207dcfee4af1" /><Relationship Type="http://schemas.openxmlformats.org/officeDocument/2006/relationships/hyperlink" Target="https://www.sciencedirect.com/science/article/pii/S0020748925003141" TargetMode="External" Id="R399c263f32b247da" /><Relationship Type="http://schemas.openxmlformats.org/officeDocument/2006/relationships/hyperlink" Target="https://doi.org/10.1016/j.ijnurstu.2025.105304" TargetMode="External" Id="R2ccecc14b25a4494" /><Relationship Type="http://schemas.openxmlformats.org/officeDocument/2006/relationships/hyperlink" Target="https://doi.org/10.1016/j.ijnurstu.2025.105304" TargetMode="External" Id="R22b8bb3f3e86443d" /><Relationship Type="http://schemas.openxmlformats.org/officeDocument/2006/relationships/hyperlink" Target="https://zenodo.org/records/10553000" TargetMode="External" Id="R57ba57b44b624ec9" /><Relationship Type="http://schemas.openxmlformats.org/officeDocument/2006/relationships/hyperlink" Target="https://research.tue.nl/en/publications/job-demands-resources-and-conservation-of-resources-theories-how-/" TargetMode="External" Id="R6541b408a3974025" /><Relationship Type="http://schemas.openxmlformats.org/officeDocument/2006/relationships/hyperlink" Target="https://www.researchgate.net/publication/377901091_Reviewing_employee_well-being_and_mental_health_initiatives_in_contemporary_HR_Practices" TargetMode="External" Id="R1be917e13200445a" /><Relationship Type="http://schemas.openxmlformats.org/officeDocument/2006/relationships/hyperlink" Target="https://doi.org/10.1186/s12875-024-02336-1" TargetMode="External" Id="Re79194357e664f62" /><Relationship Type="http://schemas.openxmlformats.org/officeDocument/2006/relationships/hyperlink" Target="https://doi.org/10.56976/jsom.v4i4.361" TargetMode="External" Id="Rf742ce34859f4865" /><Relationship Type="http://schemas.openxmlformats.org/officeDocument/2006/relationships/hyperlink" Target="https://doi.org/10.36347/sjet.2025.v13i02.004" TargetMode="External" Id="R9c2c76409a694e10" /><Relationship Type="http://schemas.openxmlformats.org/officeDocument/2006/relationships/hyperlink" Target="https://www.gov.uk/government/statistics/adult-social-care-workforce-survey-april-2025" TargetMode="External" Id="Rc20fad7520c549c3" /><Relationship Type="http://schemas.openxmlformats.org/officeDocument/2006/relationships/hyperlink" Target="https://www.carehomeprofessional.com/nca-on-skills-for-care-report/" TargetMode="External" Id="Rdb0332288ac74e73" /><Relationship Type="http://schemas.openxmlformats.org/officeDocument/2006/relationships/hyperlink" Target="https://doi.org/10.24818/REJ/2023/85/04" TargetMode="External" Id="R644b14f8cc0b4239" /><Relationship Type="http://schemas.openxmlformats.org/officeDocument/2006/relationships/hyperlink" Target="https://www.frontiersin.org/journals/psychology/articles/10.3389/fpsyg.2022.831060/full" TargetMode="External" Id="R366ea61f9b254adc" /><Relationship Type="http://schemas.openxmlformats.org/officeDocument/2006/relationships/hyperlink" Target="https://eric.ed.gov/?id=ED619359" TargetMode="External" Id="Rb06cd66ac7a144c6" /><Relationship Type="http://schemas.openxmlformats.org/officeDocument/2006/relationships/hyperlink" Target="http://ijmer.s3.amazonaws.com/pdf/volume13/volume13-issue1(4)/9.pdf" TargetMode="External" Id="R41bd05c0ba58411e" /><Relationship Type="http://schemas.openxmlformats.org/officeDocument/2006/relationships/hyperlink" Target="https://doi.org/10.1108/JEET-09-2022-0014" TargetMode="External" Id="R22d2fbaddf0c4f6e" /><Relationship Type="http://schemas.openxmlformats.org/officeDocument/2006/relationships/hyperlink" Target="https://doi.org/10.1257/jep.37.3.189" TargetMode="External" Id="R8630b2995db74203" /><Relationship Type="http://schemas.openxmlformats.org/officeDocument/2006/relationships/hyperlink" Target="https://doi.org/10.1177/14413582241264622" TargetMode="External" Id="R5d9e82e8a64244bc" /><Relationship Type="http://schemas.openxmlformats.org/officeDocument/2006/relationships/hyperlink" Target="https://doi.org/10.1177/23970022251337643" TargetMode="External" Id="R1bfb607bdd3e400d" /><Relationship Type="http://schemas.openxmlformats.org/officeDocument/2006/relationships/hyperlink" Target="https://doi.org/10.1371/journal.pone.0269433" TargetMode="External" Id="R3c9446109ac141cd" /><Relationship Type="http://schemas.openxmlformats.org/officeDocument/2006/relationships/hyperlink" Target="https://www.ceeol.com/search/article-detail?id=1222625" TargetMode="External" Id="Re6c95da6aef84c28" /><Relationship Type="http://schemas.openxmlformats.org/officeDocument/2006/relationships/hyperlink" Target="https://doi.org/10.1080/2331186x.2025.2561422" TargetMode="External" Id="Ra7cb07759b144a03" /><Relationship Type="http://schemas.openxmlformats.org/officeDocument/2006/relationships/hyperlink" Target="https://doi.org/10.36346/sarjbm.2022.v04i05.003" TargetMode="External" Id="Rb1aeb6faf4114f47" /><Relationship Type="http://schemas.openxmlformats.org/officeDocument/2006/relationships/hyperlink" Target="https://doi.org/10.1111/ajag.70070" TargetMode="External" Id="Refeaf3bf0f084d43" /><Relationship Type="http://schemas.openxmlformats.org/officeDocument/2006/relationships/hyperlink" Target="https://doi.org/10.1177/01640275251383540" TargetMode="External" Id="R168ae8796a784331" /><Relationship Type="http://schemas.openxmlformats.org/officeDocument/2006/relationships/hyperlink" Target="https://doi.org/10.1111/inr.12837?urlappend=%3Futm_source%3Dresearchgate.net%26utm_medium%3Darticle" TargetMode="External" Id="R725e1d191db84ee1" /><Relationship Type="http://schemas.openxmlformats.org/officeDocument/2006/relationships/hyperlink" Target="https://www.sciencedirect.com/science/article/abs/pii/S1525861025002221" TargetMode="External" Id="Ra8c4df96672949ac" /><Relationship Type="http://schemas.openxmlformats.org/officeDocument/2006/relationships/hyperlink" Target="https://doi.org/10.1080/09585192.2026.2646379" TargetMode="External" Id="Rc0d2dbea510144be" /><Relationship Type="http://schemas.openxmlformats.org/officeDocument/2006/relationships/hyperlink" Target="https://doi.org/10.3390/systems12110457" TargetMode="External" Id="Rc78e4aab0a104fbc" /><Relationship Type="http://schemas.openxmlformats.org/officeDocument/2006/relationships/hyperlink" Target="https://doi.org/10.1080/23311975.2023.2248732" TargetMode="External" Id="R80d1709e980c4675" /><Relationship Type="http://schemas.openxmlformats.org/officeDocument/2006/relationships/hyperlink" Target="https://doi.org/10.3390/healthcare11212900" TargetMode="External" Id="R7c5afffc77b54adc" /><Relationship Type="http://schemas.openxmlformats.org/officeDocument/2006/relationships/hyperlink" Target="https://doi.org/10.3390/healthcare11212900" TargetMode="External" Id="R12231c71c30544ae" /><Relationship Type="http://schemas.openxmlformats.org/officeDocument/2006/relationships/hyperlink" Target="http://digitalrepository.cipmlk.org/handle/1/1298" TargetMode="External" Id="Rde0e77433f714599" /><Relationship Type="http://schemas.openxmlformats.org/officeDocument/2006/relationships/hyperlink" Target="https://hal.science/hal-03741840/document" TargetMode="External" Id="Rc34f289080004fe5" /><Relationship Type="http://schemas.openxmlformats.org/officeDocument/2006/relationships/hyperlink" Target="https://doi.org/10.3390/healthcare11233008?urlappend=%3Futm_source%3Dresearchgate.net%26utm_medium%3Darticle" TargetMode="External" Id="R2e47995aeab6464f" /><Relationship Type="http://schemas.openxmlformats.org/officeDocument/2006/relationships/hyperlink" Target="https://doi.org/10.3390/healthcare11233008?urlappend=%3Futm_source%3Dresearchgate.net%26utm_medium%3Darticle" TargetMode="External" Id="R858b2e413d534b82" /><Relationship Type="http://schemas.openxmlformats.org/officeDocument/2006/relationships/hyperlink" Target="https://doi.org/10.58970/IJSB.2209" TargetMode="External" Id="R2a04ac9a517045c5" /><Relationship Type="http://schemas.openxmlformats.org/officeDocument/2006/relationships/hyperlink" Target="https://doi.org/10.3390/healthcare11131887" TargetMode="External" Id="R99fa4281c50347b8" /><Relationship Type="http://schemas.openxmlformats.org/officeDocument/2006/relationships/hyperlink" Target="https://www.who.int/teams/health-workforce" TargetMode="External" Id="R44f1b1201d1c437e" /><Relationship Type="http://schemas.openxmlformats.org/officeDocument/2006/relationships/hyperlink" Target="https://doi.org/10.1177/07334648241272027" TargetMode="External" Id="R9547f9fdcc944c03"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Dorina Matei (2315746)</dc:creator>
  <keywords/>
  <dc:description/>
  <lastModifiedBy>Maria Dorina Matei (2315746)</lastModifiedBy>
  <revision>5</revision>
  <dcterms:created xsi:type="dcterms:W3CDTF">2026-07-18T13:22:00.0000000Z</dcterms:created>
  <dcterms:modified xsi:type="dcterms:W3CDTF">2026-08-20T07:58:41.4493792Z</dcterms:modified>
</coreProperties>
</file>