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Body"/>
        <w:spacing w:line="480" w:lineRule="auto"/>
        <w:rPr>
          <w:rFonts w:ascii="Times New Roman" w:cs="Times New Roman" w:hAnsi="Times New Roman" w:eastAsia="Times New Roman"/>
          <w:sz w:val="28"/>
          <w:szCs w:val="28"/>
        </w:rPr>
      </w:pPr>
      <w:r>
        <w:rPr>
          <w:rFonts w:ascii="Times New Roman" w:hAnsi="Times New Roman"/>
          <w:sz w:val="28"/>
          <w:szCs w:val="28"/>
          <w:rtl w:val="0"/>
          <w:lang w:val="en-US"/>
        </w:rPr>
        <w:t xml:space="preserve">Reference list </w:t>
      </w:r>
    </w:p>
    <w:p>
      <w:pPr>
        <w:pStyle w:val="Body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line="480" w:lineRule="auto"/>
        <w:ind w:left="0" w:right="0" w:firstLine="0"/>
        <w:jc w:val="both"/>
        <w:rPr>
          <w:rStyle w:val="None"/>
          <w:rFonts w:ascii="Times New Roman" w:cs="Times New Roman" w:hAnsi="Times New Roman" w:eastAsia="Times New Roman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14:textFill>
            <w14:solidFill>
              <w14:srgbClr w14:val="201F1E"/>
            </w14:solidFill>
          </w14:textFill>
        </w:rPr>
      </w:pPr>
      <w:r>
        <w:rPr>
          <w:rFonts w:ascii="Times New Roman" w:hAnsi="Times New Roman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Bak, T. and Mehmedbegocic, D. (2017) </w:t>
      </w:r>
      <w:r>
        <w:rPr>
          <w:rFonts w:ascii="Times New Roman" w:hAnsi="Times New Roman"/>
          <w:i w:val="1"/>
          <w:iCs w:val="1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Healthy Linguistic Diet: the value of linguistic diversity and language learning across the lifespan. </w:t>
      </w:r>
      <w:r>
        <w:rPr>
          <w:rFonts w:ascii="Times New Roman" w:hAnsi="Times New Roman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Available at: </w:t>
      </w:r>
      <w:r>
        <w:rPr>
          <w:rStyle w:val="Hyperlink.0"/>
          <w:rFonts w:ascii="Times New Roman" w:cs="Times New Roman" w:hAnsi="Times New Roman" w:eastAsia="Times New Roman"/>
          <w:i w:val="0"/>
          <w:iCs w:val="0"/>
          <w:outline w:val="0"/>
          <w:color w:val="0000ed"/>
          <w:sz w:val="24"/>
          <w:szCs w:val="24"/>
          <w:u w:val="single" w:color="0000ed"/>
          <w:shd w:val="clear" w:color="auto" w:fill="f9f8f8"/>
          <w:rtl w:val="0"/>
          <w14:textFill>
            <w14:solidFill>
              <w14:srgbClr w14:val="0000EE"/>
            </w14:solidFill>
          </w14:textFill>
        </w:rPr>
        <w:fldChar w:fldCharType="begin" w:fldLock="0"/>
      </w:r>
      <w:r>
        <w:rPr>
          <w:rStyle w:val="Hyperlink.0"/>
          <w:rFonts w:ascii="Times New Roman" w:cs="Times New Roman" w:hAnsi="Times New Roman" w:eastAsia="Times New Roman"/>
          <w:i w:val="0"/>
          <w:iCs w:val="0"/>
          <w:outline w:val="0"/>
          <w:color w:val="0000ed"/>
          <w:sz w:val="24"/>
          <w:szCs w:val="24"/>
          <w:u w:val="single" w:color="0000ed"/>
          <w:shd w:val="clear" w:color="auto" w:fill="f9f8f8"/>
          <w:rtl w:val="0"/>
          <w14:textFill>
            <w14:solidFill>
              <w14:srgbClr w14:val="0000EE"/>
            </w14:solidFill>
          </w14:textFill>
        </w:rPr>
        <w:instrText xml:space="preserve"> HYPERLINK "https://eur01.safelinks.protection.outlook.com/?url=http%3A%2F%2Fwww.meits.org%2Fpolicy-papers%2Fpaper%2Fhealthy-linguistic-diet&amp;data=02%7C01%7C%7C45802da1bae84a57c03008d7d6176782%7C4e0f11f9046e45059cb8db2152311e21%7C0%7C0%7C637213268314747957&amp;sdata=W%2BJ%2B2dceMCRZ3xTb9AjldQzOwGNZ4L2SYKgRlzcxEnE%3D&amp;reserved=0"</w:instrText>
      </w:r>
      <w:r>
        <w:rPr>
          <w:rStyle w:val="Hyperlink.0"/>
          <w:rFonts w:ascii="Times New Roman" w:cs="Times New Roman" w:hAnsi="Times New Roman" w:eastAsia="Times New Roman"/>
          <w:i w:val="0"/>
          <w:iCs w:val="0"/>
          <w:outline w:val="0"/>
          <w:color w:val="0000ed"/>
          <w:sz w:val="24"/>
          <w:szCs w:val="24"/>
          <w:u w:val="single" w:color="0000ed"/>
          <w:shd w:val="clear" w:color="auto" w:fill="f9f8f8"/>
          <w:rtl w:val="0"/>
          <w14:textFill>
            <w14:solidFill>
              <w14:srgbClr w14:val="0000EE"/>
            </w14:solidFill>
          </w14:textFill>
        </w:rPr>
        <w:fldChar w:fldCharType="separate" w:fldLock="0"/>
      </w:r>
      <w:r>
        <w:rPr>
          <w:rStyle w:val="Hyperlink.0"/>
          <w:rFonts w:ascii="Times New Roman" w:hAnsi="Times New Roman"/>
          <w:i w:val="0"/>
          <w:iCs w:val="0"/>
          <w:outline w:val="0"/>
          <w:color w:val="0000ed"/>
          <w:sz w:val="24"/>
          <w:szCs w:val="24"/>
          <w:u w:val="single" w:color="0000ed"/>
          <w:shd w:val="clear" w:color="auto" w:fill="f9f8f8"/>
          <w:rtl w:val="0"/>
          <w:lang w:val="en-US"/>
          <w14:textFill>
            <w14:solidFill>
              <w14:srgbClr w14:val="0000EE"/>
            </w14:solidFill>
          </w14:textFill>
        </w:rPr>
        <w:t>http://www.meits.org/policy-papers/paper/healthy-linguistic-diet</w:t>
      </w:r>
      <w:r>
        <w:rPr>
          <w:rFonts w:ascii="Times New Roman" w:cs="Times New Roman" w:hAnsi="Times New Roman" w:eastAsia="Times New Roman"/>
          <w:i w:val="1"/>
          <w:iCs w:val="1"/>
          <w:outline w:val="0"/>
          <w:color w:val="1f1f1e"/>
          <w:sz w:val="24"/>
          <w:szCs w:val="24"/>
          <w:shd w:val="clear" w:color="auto" w:fill="f9f8f8"/>
          <w:rtl w:val="0"/>
          <w14:textFill>
            <w14:solidFill>
              <w14:srgbClr w14:val="201F1E"/>
            </w14:solidFill>
          </w14:textFill>
        </w:rPr>
        <w:fldChar w:fldCharType="end" w:fldLock="0"/>
      </w:r>
      <w:r>
        <w:rPr>
          <w:rStyle w:val="None"/>
          <w:rFonts w:ascii="Times New Roman" w:hAnsi="Times New Roman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 [Accessed:</w:t>
      </w:r>
      <w:r>
        <w:rPr>
          <w:rStyle w:val="None"/>
          <w:rFonts w:ascii="Times New Roman" w:hAnsi="Times New Roman" w:hint="default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> </w:t>
      </w:r>
      <w:r>
        <w:rPr>
          <w:rStyle w:val="None"/>
          <w:rFonts w:ascii="Times New Roman" w:hAnsi="Times New Roman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>1st April 2020]</w:t>
      </w:r>
    </w:p>
    <w:p>
      <w:pPr>
        <w:pStyle w:val="Default"/>
        <w:bidi w:val="0"/>
        <w:spacing w:line="480" w:lineRule="auto"/>
        <w:ind w:left="0" w:right="0" w:firstLine="0"/>
        <w:jc w:val="both"/>
        <w:rPr>
          <w:rStyle w:val="None"/>
          <w:rFonts w:ascii="Times New Roman" w:cs="Times New Roman" w:hAnsi="Times New Roman" w:eastAsia="Times New Roman"/>
          <w:i w:val="0"/>
          <w:iCs w:val="0"/>
          <w:outline w:val="0"/>
          <w:color w:val="1f1f1e"/>
          <w:sz w:val="24"/>
          <w:szCs w:val="24"/>
          <w:shd w:val="clear" w:color="auto" w:fill="f9f8f8"/>
          <w:rtl w:val="0"/>
          <w14:textFill>
            <w14:solidFill>
              <w14:srgbClr w14:val="201F1E"/>
            </w14:solidFill>
          </w14:textFill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outline w:val="0"/>
          <w:color w:val="1f1f1e"/>
          <w:sz w:val="24"/>
          <w:szCs w:val="24"/>
          <w:shd w:val="clear" w:color="auto" w:fill="f9f8f8"/>
          <w:rtl w:val="0"/>
          <w14:textFill>
            <w14:solidFill>
              <w14:srgbClr w14:val="201F1E"/>
            </w14:solidFill>
          </w14:textFill>
        </w:rPr>
      </w:pPr>
      <w:r>
        <w:rPr>
          <w:rFonts w:ascii="Times New Roman" w:hAnsi="Times New Roman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Bialystok, E. Fergus, I. M. C. and Luk, G. (2012) </w:t>
      </w:r>
      <w:r>
        <w:rPr>
          <w:rFonts w:ascii="Times New Roman" w:hAnsi="Times New Roman" w:hint="default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>‘</w:t>
      </w:r>
      <w:r>
        <w:rPr>
          <w:rFonts w:ascii="Times New Roman" w:hAnsi="Times New Roman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>Bilingualism: Consequences for Mind and Brain</w:t>
      </w:r>
      <w:r>
        <w:rPr>
          <w:rFonts w:ascii="Times New Roman" w:hAnsi="Times New Roman" w:hint="default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>’</w:t>
      </w:r>
      <w:r>
        <w:rPr>
          <w:rFonts w:ascii="Times New Roman" w:hAnsi="Times New Roman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, </w:t>
      </w:r>
      <w:r>
        <w:rPr>
          <w:rStyle w:val="None"/>
          <w:rFonts w:ascii="Times New Roman" w:hAnsi="Times New Roman"/>
          <w:i w:val="1"/>
          <w:iCs w:val="1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>Trends in Cognitive Sciences</w:t>
      </w:r>
      <w:r>
        <w:rPr>
          <w:rFonts w:ascii="Times New Roman" w:hAnsi="Times New Roman"/>
          <w:outline w:val="0"/>
          <w:color w:val="1f1f1e"/>
          <w:sz w:val="24"/>
          <w:szCs w:val="24"/>
          <w:shd w:val="clear" w:color="auto" w:fill="f9f8f8"/>
          <w:rtl w:val="0"/>
          <w:lang w:val="en-US"/>
          <w14:textFill>
            <w14:solidFill>
              <w14:srgbClr w14:val="201F1E"/>
            </w14:solidFill>
          </w14:textFill>
        </w:rPr>
        <w:t xml:space="preserve"> 16 (4), PP. 240-250. DOI:10.1016/j.tics.2012.03.001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outline w:val="0"/>
          <w:color w:val="1f1f1e"/>
          <w:sz w:val="24"/>
          <w:szCs w:val="24"/>
          <w:shd w:val="clear" w:color="auto" w:fill="f9f8f8"/>
          <w:rtl w:val="0"/>
          <w14:textFill>
            <w14:solidFill>
              <w14:srgbClr w14:val="201F1E"/>
            </w14:solidFill>
          </w14:textFill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Cylch Meithrin . (No date).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Cymraeg for Kids.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https://www.meithrin.cymru/creo_files/upload/downloads/taflen_amlieithog_cyflawn_9.9.19.pdf. [Last accessed 1st April 2020.]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Fluent. (2018).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Welsh is not English: How the Welsh language fought back.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https://www.fluentlanguage.co.uk/blog/welsh-story-podcast. [Last accessed 2nd April 2020.]</w:t>
      </w:r>
    </w:p>
    <w:p>
      <w:pPr>
        <w:pStyle w:val="Body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Future Generations Commissioner for Wales. (2015).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Well-being of Future Generations (Wales) Act 2015.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https://futuregenerations.wales/about-us/future-generations-act/. Last [Accessed 28th March 2020.]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UNESCO. (2014).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Multilingual education: Why is it important? How to implement it?.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https://unesdoc.unesco.org/ark:/48223/pf0000226554. [Last accessed 2nd April 2020.]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Urdd. (2020).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About the Urdd Eisteddfod.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https://www.urdd.cymru/en/eisteddfod/. [Last accessed 1st April 2020.]</w:t>
      </w:r>
    </w:p>
    <w:p>
      <w:pPr>
        <w:pStyle w:val="Body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Body"/>
        <w:spacing w:line="480" w:lineRule="auto"/>
        <w:rPr>
          <w:rFonts w:ascii="Times New Roman" w:cs="Times New Roman" w:hAnsi="Times New Roman" w:eastAsia="Times New Roman"/>
          <w:sz w:val="24"/>
          <w:szCs w:val="24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Welsh Assembly Government . (2017).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Welsh in education Action plan 2017</w:t>
      </w:r>
      <w:r>
        <w:rPr>
          <w:rStyle w:val="None"/>
          <w:rFonts w:ascii="Times New Roman" w:hAnsi="Times New Roman" w:hint="default"/>
          <w:i w:val="1"/>
          <w:iCs w:val="1"/>
          <w:sz w:val="24"/>
          <w:szCs w:val="24"/>
          <w:rtl w:val="0"/>
          <w:lang w:val="en-US"/>
        </w:rPr>
        <w:t>–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21.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https://gov.wales/sites/default/files/publications/2018-02/welsh-in-education-action-plan-2017</w:t>
      </w:r>
      <w:r>
        <w:rPr>
          <w:rFonts w:ascii="Times New Roman" w:hAnsi="Times New Roman" w:hint="default"/>
          <w:sz w:val="24"/>
          <w:szCs w:val="24"/>
          <w:rtl w:val="0"/>
          <w:lang w:val="en-US"/>
        </w:rPr>
        <w:t>–</w:t>
      </w:r>
      <w:r>
        <w:rPr>
          <w:rFonts w:ascii="Times New Roman" w:hAnsi="Times New Roman"/>
          <w:sz w:val="24"/>
          <w:szCs w:val="24"/>
          <w:rtl w:val="0"/>
          <w:lang w:val="en-US"/>
        </w:rPr>
        <w:t>21.pdf. [Last accessed 28th March 2020.]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Welsh Assembly Government . (2017).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Cymraeg 2050 A million Welsh speakers.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https://gov.wales/sites/default/files/publications/2018-12/cymraeg-2050-welsh-language-strategy.pdf. [Last accessed 2nd April 2020.]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  <w:r>
        <w:rPr>
          <w:rFonts w:ascii="Times New Roman" w:hAnsi="Times New Roman"/>
          <w:sz w:val="24"/>
          <w:szCs w:val="24"/>
          <w:rtl w:val="0"/>
          <w:lang w:val="en-US"/>
        </w:rPr>
        <w:t xml:space="preserve">Welsh Assembly Government . (2015). </w:t>
      </w:r>
      <w:r>
        <w:rPr>
          <w:rStyle w:val="None"/>
          <w:rFonts w:ascii="Times New Roman" w:hAnsi="Times New Roman"/>
          <w:i w:val="1"/>
          <w:iCs w:val="1"/>
          <w:sz w:val="24"/>
          <w:szCs w:val="24"/>
          <w:rtl w:val="0"/>
          <w:lang w:val="en-US"/>
        </w:rPr>
        <w:t>Successful Futures.</w:t>
      </w:r>
      <w:r>
        <w:rPr>
          <w:rFonts w:ascii="Times New Roman" w:hAnsi="Times New Roman"/>
          <w:sz w:val="24"/>
          <w:szCs w:val="24"/>
          <w:rtl w:val="0"/>
          <w:lang w:val="en-US"/>
        </w:rPr>
        <w:t xml:space="preserve"> Available: https://gov.wales/sites/default/files/publications/2018-03/succesful-futures-a-summary-of-professor-graham-donaldsons-report.pdf. [Last accessed 2nd April 2020.]</w:t>
      </w: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Fonts w:ascii="Times New Roman" w:cs="Times New Roman" w:hAnsi="Times New Roman" w:eastAsia="Times New Roman"/>
          <w:sz w:val="24"/>
          <w:szCs w:val="24"/>
          <w:rtl w:val="0"/>
        </w:rPr>
      </w:pPr>
    </w:p>
    <w:p>
      <w:pPr>
        <w:pStyle w:val="Default"/>
        <w:bidi w:val="0"/>
        <w:spacing w:line="480" w:lineRule="auto"/>
        <w:ind w:left="0" w:right="0" w:firstLine="0"/>
        <w:jc w:val="left"/>
        <w:rPr>
          <w:rtl w:val="0"/>
        </w:rPr>
      </w:pPr>
      <w:r>
        <w:rPr>
          <w:rFonts w:ascii="Times New Roman" w:cs="Times New Roman" w:hAnsi="Times New Roman" w:eastAsia="Times New Roman"/>
          <w:sz w:val="24"/>
          <w:szCs w:val="24"/>
          <w:rtl w:val="0"/>
        </w:rPr>
      </w:r>
    </w:p>
    <w:sectPr>
      <w:headerReference w:type="default" r:id="rId4"/>
      <w:footerReference w:type="default" r:id="rId5"/>
      <w:pgSz w:w="11906" w:h="16838" w:orient="portrait"/>
      <w:pgMar w:top="1134" w:right="1134" w:bottom="1134" w:left="1134" w:header="709" w:footer="850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r/>
  </w:p>
</w:hdr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2"/>
      <w:szCs w:val="22"/>
      <w:u w:val="none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character" w:styleId="None">
    <w:name w:val="None"/>
  </w:style>
  <w:style w:type="character" w:styleId="Hyperlink.0">
    <w:name w:val="Hyperlink.0"/>
    <w:basedOn w:val="None"/>
    <w:next w:val="Hyperlink.0"/>
    <w:rPr>
      <w:i w:val="0"/>
      <w:iCs w:val="0"/>
      <w:outline w:val="0"/>
      <w:color w:val="0000ed"/>
      <w:u w:val="single" w:color="0000ed"/>
      <w14:textFill>
        <w14:solidFill>
          <w14:srgbClr w14:val="0000EE"/>
        </w14:solidFill>
      </w14:textFill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header" Target="header1.xml"/><Relationship Id="rId5" Type="http://schemas.openxmlformats.org/officeDocument/2006/relationships/footer" Target="footer1.xml"/><Relationship Id="rId6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Blank">
  <a:themeElements>
    <a:clrScheme name="Blank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00A2FF"/>
      </a:accent1>
      <a:accent2>
        <a:srgbClr val="16E7CF"/>
      </a:accent2>
      <a:accent3>
        <a:srgbClr val="61D836"/>
      </a:accent3>
      <a:accent4>
        <a:srgbClr val="FAE232"/>
      </a:accent4>
      <a:accent5>
        <a:srgbClr val="FF644E"/>
      </a:accent5>
      <a:accent6>
        <a:srgbClr val="EF5FA7"/>
      </a:accent6>
      <a:hlink>
        <a:srgbClr val="0000FF"/>
      </a:hlink>
      <a:folHlink>
        <a:srgbClr val="FF00FF"/>
      </a:folHlink>
    </a:clrScheme>
    <a:fontScheme name="Blank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Blank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chemeClr val="accent1"/>
        </a:solidFill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101600" tIns="101600" rIns="101600" bIns="101600" numCol="1" spcCol="38100" rtlCol="0" anchor="ctr" upright="0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200" u="none" kumimoji="0" normalizeH="0">
            <a:ln>
              <a:noFill/>
            </a:ln>
            <a:solidFill>
              <a:srgbClr val="FFFFFF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t" upright="0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1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