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C17B4" w14:textId="0E41924E" w:rsidR="00A6199C" w:rsidRDefault="0021613D" w:rsidP="008E0E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People in society will often speak </w:t>
      </w:r>
      <w:r w:rsidR="00670E97">
        <w:rPr>
          <w:rFonts w:ascii="Times New Roman" w:hAnsi="Times New Roman" w:cs="Times New Roman"/>
          <w:sz w:val="24"/>
          <w:szCs w:val="24"/>
        </w:rPr>
        <w:t>of</w:t>
      </w:r>
      <w:r>
        <w:rPr>
          <w:rFonts w:ascii="Times New Roman" w:hAnsi="Times New Roman" w:cs="Times New Roman"/>
          <w:sz w:val="24"/>
          <w:szCs w:val="24"/>
        </w:rPr>
        <w:t xml:space="preserve"> </w:t>
      </w:r>
      <w:r w:rsidR="00670E97">
        <w:rPr>
          <w:rFonts w:ascii="Times New Roman" w:hAnsi="Times New Roman" w:cs="Times New Roman"/>
          <w:sz w:val="24"/>
          <w:szCs w:val="24"/>
        </w:rPr>
        <w:t>the definition</w:t>
      </w:r>
      <w:r>
        <w:rPr>
          <w:rFonts w:ascii="Times New Roman" w:hAnsi="Times New Roman" w:cs="Times New Roman"/>
          <w:sz w:val="24"/>
          <w:szCs w:val="24"/>
        </w:rPr>
        <w:t xml:space="preserve"> </w:t>
      </w:r>
      <w:r w:rsidR="00670E97">
        <w:rPr>
          <w:rFonts w:ascii="Times New Roman" w:hAnsi="Times New Roman" w:cs="Times New Roman"/>
          <w:sz w:val="24"/>
          <w:szCs w:val="24"/>
        </w:rPr>
        <w:t>of poverty being</w:t>
      </w:r>
      <w:r>
        <w:rPr>
          <w:rFonts w:ascii="Times New Roman" w:hAnsi="Times New Roman" w:cs="Times New Roman"/>
          <w:sz w:val="24"/>
          <w:szCs w:val="24"/>
        </w:rPr>
        <w:t xml:space="preserve"> something which not everyone agrees. Many </w:t>
      </w:r>
      <w:r w:rsidR="00E017F1">
        <w:rPr>
          <w:rFonts w:ascii="Times New Roman" w:hAnsi="Times New Roman" w:cs="Times New Roman"/>
          <w:sz w:val="24"/>
          <w:szCs w:val="24"/>
        </w:rPr>
        <w:t>academics</w:t>
      </w:r>
      <w:r>
        <w:rPr>
          <w:rFonts w:ascii="Times New Roman" w:hAnsi="Times New Roman" w:cs="Times New Roman"/>
          <w:sz w:val="24"/>
          <w:szCs w:val="24"/>
        </w:rPr>
        <w:t xml:space="preserve"> will argue what poverty is, there is more than one definition of </w:t>
      </w:r>
      <w:r w:rsidR="00E017F1">
        <w:rPr>
          <w:rFonts w:ascii="Times New Roman" w:hAnsi="Times New Roman" w:cs="Times New Roman"/>
          <w:sz w:val="24"/>
          <w:szCs w:val="24"/>
        </w:rPr>
        <w:t>poverty</w:t>
      </w:r>
      <w:r>
        <w:rPr>
          <w:rFonts w:ascii="Times New Roman" w:hAnsi="Times New Roman" w:cs="Times New Roman"/>
          <w:sz w:val="24"/>
          <w:szCs w:val="24"/>
        </w:rPr>
        <w:t xml:space="preserve">. </w:t>
      </w:r>
    </w:p>
    <w:p w14:paraId="62E244A2" w14:textId="46FE3BB0" w:rsidR="0021613D" w:rsidRDefault="0021613D" w:rsidP="008E0E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Lister (2004) explores that </w:t>
      </w:r>
      <w:r w:rsidR="004C6E62">
        <w:rPr>
          <w:rFonts w:ascii="Times New Roman" w:hAnsi="Times New Roman" w:cs="Times New Roman"/>
          <w:sz w:val="24"/>
          <w:szCs w:val="24"/>
        </w:rPr>
        <w:t>poverty is defined in different ways by different people</w:t>
      </w:r>
      <w:r>
        <w:rPr>
          <w:rFonts w:ascii="Times New Roman" w:hAnsi="Times New Roman" w:cs="Times New Roman"/>
          <w:sz w:val="24"/>
          <w:szCs w:val="24"/>
        </w:rPr>
        <w:t xml:space="preserve">. An idea is ‘in essence… about the meanings of poverty-both to those who experience it and to different groups in society’ (Lister, 2004, p.4). </w:t>
      </w:r>
      <w:r w:rsidR="00E017F1">
        <w:rPr>
          <w:rFonts w:ascii="Times New Roman" w:hAnsi="Times New Roman" w:cs="Times New Roman"/>
          <w:sz w:val="24"/>
          <w:szCs w:val="24"/>
        </w:rPr>
        <w:t>T</w:t>
      </w:r>
      <w:r>
        <w:rPr>
          <w:rFonts w:ascii="Times New Roman" w:hAnsi="Times New Roman" w:cs="Times New Roman"/>
          <w:sz w:val="24"/>
          <w:szCs w:val="24"/>
        </w:rPr>
        <w:t>he question of wh</w:t>
      </w:r>
      <w:r w:rsidR="00E017F1">
        <w:rPr>
          <w:rFonts w:ascii="Times New Roman" w:hAnsi="Times New Roman" w:cs="Times New Roman"/>
          <w:sz w:val="24"/>
          <w:szCs w:val="24"/>
        </w:rPr>
        <w:t xml:space="preserve">at poverty consists of could be just an academic question. A definition is a way of explaining what something is in detail, in this case poverty, it is to ensure people understand what the difference is from being in poverty and not being in poverty and how big the difference between the two is. For example, the lack of resources an individual has, this could be money, property, luxuries etc. however, the lack of resources can be defended by an individual having more than another individual in other ways, e.g. money and cars. The measures of poverty give statistics for the definition, so we understand how bad poverty is. There are many different academic writings about what they think of poverty and how to measure it with numbers however, they could’ve done this better by having a clear understanding of what poverty is. </w:t>
      </w:r>
    </w:p>
    <w:p w14:paraId="4A79FC35" w14:textId="1B304887" w:rsidR="004C3712" w:rsidRDefault="00EC347B" w:rsidP="008E0EA4">
      <w:pPr>
        <w:spacing w:line="360" w:lineRule="auto"/>
        <w:jc w:val="both"/>
        <w:rPr>
          <w:rFonts w:ascii="Times New Roman" w:hAnsi="Times New Roman" w:cs="Times New Roman"/>
          <w:sz w:val="24"/>
          <w:szCs w:val="24"/>
        </w:rPr>
      </w:pPr>
      <w:r>
        <w:rPr>
          <w:rFonts w:ascii="Times New Roman" w:hAnsi="Times New Roman" w:cs="Times New Roman"/>
          <w:sz w:val="24"/>
          <w:szCs w:val="24"/>
        </w:rPr>
        <w:t>Charles Booth’s (1</w:t>
      </w:r>
      <w:r w:rsidR="009978AB">
        <w:rPr>
          <w:rFonts w:ascii="Times New Roman" w:hAnsi="Times New Roman" w:cs="Times New Roman"/>
          <w:sz w:val="24"/>
          <w:szCs w:val="24"/>
        </w:rPr>
        <w:t>8</w:t>
      </w:r>
      <w:r>
        <w:rPr>
          <w:rFonts w:ascii="Times New Roman" w:hAnsi="Times New Roman" w:cs="Times New Roman"/>
          <w:sz w:val="24"/>
          <w:szCs w:val="24"/>
        </w:rPr>
        <w:t>87) conducted the first survey on poverty and how bad it was in London which was made in the 1880s. Booth explains from this survey that there is a ‘line of poverty’ this is a line we cannot cross. He also saw poverty as low income which is set against what families wanted:</w:t>
      </w:r>
    </w:p>
    <w:p w14:paraId="1A109DA1" w14:textId="6DB4FA8C" w:rsidR="00EC347B" w:rsidRDefault="00EC347B" w:rsidP="008E0EA4">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Pr="00EC347B">
        <w:rPr>
          <w:rFonts w:ascii="Times New Roman" w:hAnsi="Times New Roman" w:cs="Times New Roman"/>
          <w:sz w:val="24"/>
          <w:szCs w:val="24"/>
        </w:rPr>
        <w:t>By the word poor I mean to describe those who have a fairly regular though bare income, such as 18 shillings to 2 shillings per week for a moderate family, and by ‘very poor’ those who fall below this standard, whether from chronic irregularity of work, sickness or a large number of young children</w:t>
      </w:r>
      <w:r>
        <w:rPr>
          <w:rFonts w:ascii="Times New Roman" w:hAnsi="Times New Roman" w:cs="Times New Roman"/>
          <w:sz w:val="24"/>
          <w:szCs w:val="24"/>
        </w:rPr>
        <w:t>’</w:t>
      </w:r>
      <w:r w:rsidRPr="00EC347B">
        <w:rPr>
          <w:rFonts w:ascii="Times New Roman" w:hAnsi="Times New Roman" w:cs="Times New Roman"/>
          <w:sz w:val="24"/>
          <w:szCs w:val="24"/>
        </w:rPr>
        <w:t xml:space="preserve"> (Booth </w:t>
      </w:r>
      <w:r w:rsidRPr="00EC347B">
        <w:rPr>
          <w:rFonts w:ascii="Times New Roman" w:hAnsi="Times New Roman" w:cs="Times New Roman"/>
          <w:i/>
          <w:iCs/>
          <w:sz w:val="24"/>
          <w:szCs w:val="24"/>
        </w:rPr>
        <w:t>cited in</w:t>
      </w:r>
      <w:r>
        <w:rPr>
          <w:rFonts w:ascii="Times New Roman" w:hAnsi="Times New Roman" w:cs="Times New Roman"/>
          <w:sz w:val="24"/>
          <w:szCs w:val="24"/>
        </w:rPr>
        <w:t xml:space="preserve"> </w:t>
      </w:r>
      <w:r w:rsidRPr="00EC347B">
        <w:rPr>
          <w:rFonts w:ascii="Times New Roman" w:hAnsi="Times New Roman" w:cs="Times New Roman"/>
          <w:sz w:val="24"/>
          <w:szCs w:val="24"/>
        </w:rPr>
        <w:t xml:space="preserve">the Royal Statistical Society in 1887; quoted by </w:t>
      </w:r>
      <w:proofErr w:type="spellStart"/>
      <w:r w:rsidRPr="00EC347B">
        <w:rPr>
          <w:rFonts w:ascii="Times New Roman" w:hAnsi="Times New Roman" w:cs="Times New Roman"/>
          <w:sz w:val="24"/>
          <w:szCs w:val="24"/>
        </w:rPr>
        <w:t>Glennerster</w:t>
      </w:r>
      <w:proofErr w:type="spellEnd"/>
      <w:r w:rsidRPr="00EC347B">
        <w:rPr>
          <w:rFonts w:ascii="Times New Roman" w:hAnsi="Times New Roman" w:cs="Times New Roman"/>
          <w:sz w:val="24"/>
          <w:szCs w:val="24"/>
        </w:rPr>
        <w:t xml:space="preserve"> 2004).</w:t>
      </w:r>
    </w:p>
    <w:p w14:paraId="52FCD142" w14:textId="12F11629" w:rsidR="00CE2B22" w:rsidRDefault="00CE2B22" w:rsidP="008E0E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1B1D1D">
        <w:rPr>
          <w:rFonts w:ascii="Times New Roman" w:hAnsi="Times New Roman" w:cs="Times New Roman"/>
          <w:sz w:val="24"/>
          <w:szCs w:val="24"/>
        </w:rPr>
        <w:t>Gillie, A. (1996) states,</w:t>
      </w:r>
      <w:r w:rsidR="00A436F5">
        <w:rPr>
          <w:rFonts w:ascii="Times New Roman" w:hAnsi="Times New Roman" w:cs="Times New Roman"/>
          <w:sz w:val="24"/>
          <w:szCs w:val="24"/>
        </w:rPr>
        <w:t xml:space="preserve"> what Booth defines poverty as is just so others can understand poverty.</w:t>
      </w:r>
      <w:r w:rsidR="001B1D1D">
        <w:rPr>
          <w:rFonts w:ascii="Times New Roman" w:hAnsi="Times New Roman" w:cs="Times New Roman"/>
          <w:sz w:val="24"/>
          <w:szCs w:val="24"/>
        </w:rPr>
        <w:t xml:space="preserve"> Booth (1887)</w:t>
      </w:r>
      <w:r w:rsidR="00A436F5">
        <w:rPr>
          <w:rFonts w:ascii="Times New Roman" w:hAnsi="Times New Roman" w:cs="Times New Roman"/>
          <w:sz w:val="24"/>
          <w:szCs w:val="24"/>
        </w:rPr>
        <w:t xml:space="preserve"> done his research so as others understood what he meant by poor</w:t>
      </w:r>
      <w:r w:rsidR="001B1D1D">
        <w:rPr>
          <w:rFonts w:ascii="Times New Roman" w:hAnsi="Times New Roman" w:cs="Times New Roman"/>
          <w:sz w:val="24"/>
          <w:szCs w:val="24"/>
        </w:rPr>
        <w:t>.</w:t>
      </w:r>
      <w:r w:rsidR="002D18CB">
        <w:rPr>
          <w:rFonts w:ascii="Times New Roman" w:hAnsi="Times New Roman" w:cs="Times New Roman"/>
          <w:sz w:val="24"/>
          <w:szCs w:val="24"/>
        </w:rPr>
        <w:t xml:space="preserve"> Individuals who took part in the survey and some of the school board went to each household</w:t>
      </w:r>
      <w:r w:rsidR="001B1D1D">
        <w:rPr>
          <w:rFonts w:ascii="Times New Roman" w:hAnsi="Times New Roman" w:cs="Times New Roman"/>
          <w:sz w:val="24"/>
          <w:szCs w:val="24"/>
        </w:rPr>
        <w:t xml:space="preserve">. Gillie (1996) </w:t>
      </w:r>
      <w:r w:rsidR="002D18CB">
        <w:rPr>
          <w:rFonts w:ascii="Times New Roman" w:hAnsi="Times New Roman" w:cs="Times New Roman"/>
          <w:sz w:val="24"/>
          <w:szCs w:val="24"/>
        </w:rPr>
        <w:t>realised one of the biggest issues were to many people under one roof, this included servants</w:t>
      </w:r>
      <w:r w:rsidR="001B1D1D">
        <w:rPr>
          <w:rFonts w:ascii="Times New Roman" w:hAnsi="Times New Roman" w:cs="Times New Roman"/>
          <w:sz w:val="24"/>
          <w:szCs w:val="24"/>
        </w:rPr>
        <w:t xml:space="preserve">. </w:t>
      </w:r>
      <w:r w:rsidR="007D0512">
        <w:rPr>
          <w:rFonts w:ascii="Times New Roman" w:hAnsi="Times New Roman" w:cs="Times New Roman"/>
          <w:sz w:val="24"/>
          <w:szCs w:val="24"/>
        </w:rPr>
        <w:t xml:space="preserve">This research only looked at income, Booth needed to </w:t>
      </w:r>
      <w:r w:rsidR="002D18CB">
        <w:rPr>
          <w:rFonts w:ascii="Times New Roman" w:hAnsi="Times New Roman" w:cs="Times New Roman"/>
          <w:sz w:val="24"/>
          <w:szCs w:val="24"/>
        </w:rPr>
        <w:t>investigate</w:t>
      </w:r>
      <w:r w:rsidR="007D0512">
        <w:rPr>
          <w:rFonts w:ascii="Times New Roman" w:hAnsi="Times New Roman" w:cs="Times New Roman"/>
          <w:sz w:val="24"/>
          <w:szCs w:val="24"/>
        </w:rPr>
        <w:t xml:space="preserve"> </w:t>
      </w:r>
      <w:r w:rsidR="002D18CB">
        <w:rPr>
          <w:rFonts w:ascii="Times New Roman" w:hAnsi="Times New Roman" w:cs="Times New Roman"/>
          <w:sz w:val="24"/>
          <w:szCs w:val="24"/>
        </w:rPr>
        <w:t xml:space="preserve">the living standards and the condition of the houses as well. </w:t>
      </w:r>
      <w:r w:rsidR="007D0512">
        <w:rPr>
          <w:rFonts w:ascii="Times New Roman" w:hAnsi="Times New Roman" w:cs="Times New Roman"/>
          <w:sz w:val="24"/>
          <w:szCs w:val="24"/>
        </w:rPr>
        <w:t>Booth needed to</w:t>
      </w:r>
      <w:r w:rsidR="002D18CB">
        <w:rPr>
          <w:rFonts w:ascii="Times New Roman" w:hAnsi="Times New Roman" w:cs="Times New Roman"/>
          <w:sz w:val="24"/>
          <w:szCs w:val="24"/>
        </w:rPr>
        <w:t xml:space="preserve"> stop looking at children’s health and </w:t>
      </w:r>
      <w:r w:rsidR="002D18CB" w:rsidRPr="006622EF">
        <w:rPr>
          <w:rFonts w:ascii="Times New Roman" w:hAnsi="Times New Roman" w:cs="Times New Roman"/>
          <w:sz w:val="24"/>
          <w:szCs w:val="24"/>
        </w:rPr>
        <w:t>schooling.</w:t>
      </w:r>
      <w:r w:rsidR="007D0512" w:rsidRPr="006622EF">
        <w:rPr>
          <w:rFonts w:ascii="Times New Roman" w:hAnsi="Times New Roman" w:cs="Times New Roman"/>
          <w:sz w:val="24"/>
          <w:szCs w:val="24"/>
        </w:rPr>
        <w:t xml:space="preserve"> </w:t>
      </w:r>
      <w:r w:rsidR="002D18CB" w:rsidRPr="006622EF">
        <w:rPr>
          <w:rFonts w:ascii="Times New Roman" w:hAnsi="Times New Roman" w:cs="Times New Roman"/>
          <w:sz w:val="24"/>
          <w:szCs w:val="24"/>
        </w:rPr>
        <w:t xml:space="preserve">Booth </w:t>
      </w:r>
      <w:r w:rsidR="008E0EA4" w:rsidRPr="006622EF">
        <w:rPr>
          <w:rFonts w:ascii="Times New Roman" w:hAnsi="Times New Roman" w:cs="Times New Roman"/>
          <w:sz w:val="24"/>
          <w:szCs w:val="24"/>
        </w:rPr>
        <w:t>believed</w:t>
      </w:r>
      <w:r w:rsidR="002D18CB" w:rsidRPr="006622EF">
        <w:rPr>
          <w:rFonts w:ascii="Times New Roman" w:hAnsi="Times New Roman" w:cs="Times New Roman"/>
          <w:sz w:val="24"/>
          <w:szCs w:val="24"/>
        </w:rPr>
        <w:t xml:space="preserve"> the main thing was low income and things</w:t>
      </w:r>
      <w:r w:rsidR="002D18CB">
        <w:rPr>
          <w:rFonts w:ascii="Times New Roman" w:hAnsi="Times New Roman" w:cs="Times New Roman"/>
          <w:sz w:val="24"/>
          <w:szCs w:val="24"/>
        </w:rPr>
        <w:t xml:space="preserve"> such as </w:t>
      </w:r>
      <w:r w:rsidR="002D18CB">
        <w:rPr>
          <w:rFonts w:ascii="Times New Roman" w:hAnsi="Times New Roman" w:cs="Times New Roman"/>
          <w:sz w:val="24"/>
          <w:szCs w:val="24"/>
        </w:rPr>
        <w:lastRenderedPageBreak/>
        <w:t>property and cars.</w:t>
      </w:r>
      <w:r w:rsidR="005D5876">
        <w:rPr>
          <w:rFonts w:ascii="Times New Roman" w:hAnsi="Times New Roman" w:cs="Times New Roman"/>
          <w:sz w:val="24"/>
          <w:szCs w:val="24"/>
        </w:rPr>
        <w:t xml:space="preserve"> He also blamed individuals who ‘drink and </w:t>
      </w:r>
      <w:r w:rsidR="00705C6C">
        <w:rPr>
          <w:rFonts w:ascii="Times New Roman" w:hAnsi="Times New Roman" w:cs="Times New Roman"/>
          <w:sz w:val="24"/>
          <w:szCs w:val="24"/>
        </w:rPr>
        <w:t>thrift lessness’</w:t>
      </w:r>
      <w:r w:rsidR="005D5876">
        <w:rPr>
          <w:rFonts w:ascii="Times New Roman" w:hAnsi="Times New Roman" w:cs="Times New Roman"/>
          <w:sz w:val="24"/>
          <w:szCs w:val="24"/>
        </w:rPr>
        <w:t xml:space="preserve"> as a problem which only very little people had (Booth 18</w:t>
      </w:r>
      <w:r w:rsidR="009978AB">
        <w:rPr>
          <w:rFonts w:ascii="Times New Roman" w:hAnsi="Times New Roman" w:cs="Times New Roman"/>
          <w:sz w:val="24"/>
          <w:szCs w:val="24"/>
        </w:rPr>
        <w:t>8</w:t>
      </w:r>
      <w:r w:rsidR="005D5876">
        <w:rPr>
          <w:rFonts w:ascii="Times New Roman" w:hAnsi="Times New Roman" w:cs="Times New Roman"/>
          <w:sz w:val="24"/>
          <w:szCs w:val="24"/>
        </w:rPr>
        <w:t>7, pp. 147-148).</w:t>
      </w:r>
    </w:p>
    <w:p w14:paraId="1FE59BFF" w14:textId="72A7F951" w:rsidR="005D5876" w:rsidRDefault="00F32A7F" w:rsidP="008E0EA4">
      <w:pPr>
        <w:spacing w:line="360" w:lineRule="auto"/>
        <w:jc w:val="both"/>
        <w:rPr>
          <w:rFonts w:ascii="Times New Roman" w:hAnsi="Times New Roman" w:cs="Times New Roman"/>
          <w:sz w:val="24"/>
          <w:szCs w:val="24"/>
        </w:rPr>
      </w:pPr>
      <w:r>
        <w:rPr>
          <w:rFonts w:ascii="Times New Roman" w:hAnsi="Times New Roman" w:cs="Times New Roman"/>
          <w:sz w:val="24"/>
          <w:szCs w:val="24"/>
        </w:rPr>
        <w:t>Seebohm Rowntree (1901) undertook a study on ‘visual identification’ in York to show up the poor in his 1899 study (Veit-Wilson, 1986, p.92). He told his researchers to collect data on whether families were ‘living in obvious want and squalor’ (Rowntree 1901 p. 114). Money was not the pain focus of the study as Veit-Wilson (1986) explained. Booth (18</w:t>
      </w:r>
      <w:r w:rsidR="009978AB">
        <w:rPr>
          <w:rFonts w:ascii="Times New Roman" w:hAnsi="Times New Roman" w:cs="Times New Roman"/>
          <w:sz w:val="24"/>
          <w:szCs w:val="24"/>
        </w:rPr>
        <w:t>9</w:t>
      </w:r>
      <w:r>
        <w:rPr>
          <w:rFonts w:ascii="Times New Roman" w:hAnsi="Times New Roman" w:cs="Times New Roman"/>
          <w:sz w:val="24"/>
          <w:szCs w:val="24"/>
        </w:rPr>
        <w:t xml:space="preserve">7) and Rowntree (1901) both found the </w:t>
      </w:r>
      <w:r w:rsidR="00705C6C">
        <w:rPr>
          <w:rFonts w:ascii="Times New Roman" w:hAnsi="Times New Roman" w:cs="Times New Roman"/>
          <w:sz w:val="24"/>
          <w:szCs w:val="24"/>
        </w:rPr>
        <w:t>money-based</w:t>
      </w:r>
      <w:r>
        <w:rPr>
          <w:rFonts w:ascii="Times New Roman" w:hAnsi="Times New Roman" w:cs="Times New Roman"/>
          <w:sz w:val="24"/>
          <w:szCs w:val="24"/>
        </w:rPr>
        <w:t xml:space="preserve"> poverty line which they developed after the survey. This was to see the difference between ‘primary’ and ‘secondary’. </w:t>
      </w:r>
      <w:r w:rsidR="004B1511">
        <w:rPr>
          <w:rFonts w:ascii="Times New Roman" w:hAnsi="Times New Roman" w:cs="Times New Roman"/>
          <w:sz w:val="24"/>
          <w:szCs w:val="24"/>
        </w:rPr>
        <w:t xml:space="preserve">The lack of money was what affected poverty, it went on whether people could or couldn’t afford the ‘necessities’ in life. Rowntree (1901) understanding on poverty was one of the first attempts of </w:t>
      </w:r>
      <w:r w:rsidR="00121788">
        <w:rPr>
          <w:rFonts w:ascii="Times New Roman" w:hAnsi="Times New Roman" w:cs="Times New Roman"/>
          <w:sz w:val="24"/>
          <w:szCs w:val="24"/>
        </w:rPr>
        <w:t>a definition. It looks at the ‘primary’ poor and the concept of families not being able to afford things due to money. It meant if they could not afford the basics to live on.</w:t>
      </w:r>
      <w:r w:rsidR="00705C6C">
        <w:rPr>
          <w:rFonts w:ascii="Times New Roman" w:hAnsi="Times New Roman" w:cs="Times New Roman"/>
          <w:sz w:val="24"/>
          <w:szCs w:val="24"/>
        </w:rPr>
        <w:t xml:space="preserve"> this approach is ‘subsistence standard’ became widely used, firstly by social scientists and then the government (Abel-Smith et al, 1965) Rowntree’s (1901) second survey which was conducted in 1936 developed a wider understanding on what necessities was, this including things such as radios, newspapers, presents for children etc. it made sure however, that the underlying concept of poverty remained the same. </w:t>
      </w:r>
    </w:p>
    <w:p w14:paraId="120828E9" w14:textId="01715FB0" w:rsidR="00705C6C" w:rsidRDefault="00D639AA" w:rsidP="008E0EA4">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2302E6">
        <w:rPr>
          <w:rFonts w:ascii="Times New Roman" w:hAnsi="Times New Roman" w:cs="Times New Roman"/>
          <w:sz w:val="24"/>
          <w:szCs w:val="24"/>
        </w:rPr>
        <w:t>f</w:t>
      </w:r>
      <w:r>
        <w:rPr>
          <w:rFonts w:ascii="Times New Roman" w:hAnsi="Times New Roman" w:cs="Times New Roman"/>
          <w:sz w:val="24"/>
          <w:szCs w:val="24"/>
        </w:rPr>
        <w:t xml:space="preserve">ter Booth (1897) and Rowntree (1901) the concept of poverty became so acceptable that writers would write so deeply about poverty without even saying that is how they understand it. Abel-Smith (1965) and Townsend (1965) work opts to use National Assistance Rates as the poverty line. They describe how the money in and money out data gives a more accurate measure of the standards of living. Hills (2004) and Alcock (2006) explain how there are different approaches to the </w:t>
      </w:r>
      <w:r w:rsidR="00614EFE">
        <w:rPr>
          <w:rFonts w:ascii="Times New Roman" w:hAnsi="Times New Roman" w:cs="Times New Roman"/>
          <w:sz w:val="24"/>
          <w:szCs w:val="24"/>
        </w:rPr>
        <w:t>definition</w:t>
      </w:r>
      <w:r>
        <w:rPr>
          <w:rFonts w:ascii="Times New Roman" w:hAnsi="Times New Roman" w:cs="Times New Roman"/>
          <w:sz w:val="24"/>
          <w:szCs w:val="24"/>
        </w:rPr>
        <w:t xml:space="preserve"> of poverty and measurement of the concept of interest be the lack of materials. Niemietz (2011)</w:t>
      </w:r>
      <w:r w:rsidR="00614EFE">
        <w:rPr>
          <w:rFonts w:ascii="Times New Roman" w:hAnsi="Times New Roman" w:cs="Times New Roman"/>
          <w:sz w:val="24"/>
          <w:szCs w:val="24"/>
        </w:rPr>
        <w:t xml:space="preserve"> builds an critiqued of the UK’s approach to the poverty measurement especially, the income measure however, this does not question the view of how poverty is about what you have. </w:t>
      </w:r>
    </w:p>
    <w:p w14:paraId="75709835" w14:textId="23CBB6AE" w:rsidR="00614EFE" w:rsidRDefault="00614EFE" w:rsidP="008E0E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Townsend (1979) contributed to taking a relative approach towards thinking of the needs for an individual and the ‘resources’ rather than ‘income’ which defined individuals and groups living in poverty. </w:t>
      </w:r>
    </w:p>
    <w:p w14:paraId="60E09600" w14:textId="43360A33" w:rsidR="00586CBA" w:rsidRDefault="00586CBA" w:rsidP="008E0EA4">
      <w:pPr>
        <w:spacing w:after="0" w:line="240" w:lineRule="auto"/>
        <w:ind w:left="567" w:right="567"/>
        <w:jc w:val="both"/>
        <w:rPr>
          <w:rFonts w:ascii="Times New Roman" w:eastAsia="Calibri" w:hAnsi="Times New Roman" w:cs="Times New Roman"/>
          <w:sz w:val="24"/>
          <w:szCs w:val="24"/>
        </w:rPr>
      </w:pPr>
      <w:r w:rsidRPr="00586CBA">
        <w:rPr>
          <w:rFonts w:ascii="Times New Roman" w:eastAsia="Calibri" w:hAnsi="Times New Roman" w:cs="Times New Roman"/>
          <w:sz w:val="24"/>
          <w:szCs w:val="24"/>
        </w:rPr>
        <w:lastRenderedPageBreak/>
        <w:t xml:space="preserve">‘when they lack the resources to obtain the types of diet, participate in the activities and have the living conditions and amenities which are customary… in the societies to which they belong’ (Townsend, 1979). </w:t>
      </w:r>
    </w:p>
    <w:p w14:paraId="0B32301B" w14:textId="77777777" w:rsidR="00586CBA" w:rsidRPr="00586CBA" w:rsidRDefault="00586CBA" w:rsidP="008E0EA4">
      <w:pPr>
        <w:spacing w:after="0" w:line="240" w:lineRule="auto"/>
        <w:ind w:left="567" w:right="567"/>
        <w:jc w:val="both"/>
        <w:rPr>
          <w:rFonts w:ascii="Times New Roman" w:eastAsia="Calibri" w:hAnsi="Times New Roman" w:cs="Times New Roman"/>
          <w:sz w:val="24"/>
          <w:szCs w:val="24"/>
        </w:rPr>
      </w:pPr>
    </w:p>
    <w:p w14:paraId="592BEB0E" w14:textId="58B07641" w:rsidR="00614EFE" w:rsidRDefault="00586CBA" w:rsidP="008E0EA4">
      <w:pPr>
        <w:spacing w:line="360" w:lineRule="auto"/>
        <w:jc w:val="both"/>
        <w:rPr>
          <w:rFonts w:ascii="Times New Roman" w:hAnsi="Times New Roman" w:cs="Times New Roman"/>
          <w:sz w:val="24"/>
          <w:szCs w:val="24"/>
        </w:rPr>
      </w:pPr>
      <w:r>
        <w:rPr>
          <w:rFonts w:ascii="Times New Roman" w:hAnsi="Times New Roman" w:cs="Times New Roman"/>
          <w:sz w:val="24"/>
          <w:szCs w:val="24"/>
        </w:rPr>
        <w:t>His work also includes that ‘</w:t>
      </w:r>
      <w:r w:rsidR="004F4C94">
        <w:rPr>
          <w:rFonts w:ascii="Times New Roman" w:hAnsi="Times New Roman" w:cs="Times New Roman"/>
          <w:sz w:val="24"/>
          <w:szCs w:val="24"/>
        </w:rPr>
        <w:t>resources</w:t>
      </w:r>
      <w:r>
        <w:rPr>
          <w:rFonts w:ascii="Times New Roman" w:hAnsi="Times New Roman" w:cs="Times New Roman"/>
          <w:sz w:val="24"/>
          <w:szCs w:val="24"/>
        </w:rPr>
        <w:t xml:space="preserve">’ which include income, assets and home production. Townsend (1979) also adds ‘the value of public and social services’ meaning health and </w:t>
      </w:r>
      <w:r w:rsidR="004F4C94">
        <w:rPr>
          <w:rFonts w:ascii="Times New Roman" w:hAnsi="Times New Roman" w:cs="Times New Roman"/>
          <w:sz w:val="24"/>
          <w:szCs w:val="24"/>
        </w:rPr>
        <w:t>education</w:t>
      </w:r>
      <w:r>
        <w:rPr>
          <w:rFonts w:ascii="Times New Roman" w:hAnsi="Times New Roman" w:cs="Times New Roman"/>
          <w:sz w:val="24"/>
          <w:szCs w:val="24"/>
        </w:rPr>
        <w:t xml:space="preserve"> which sways towards a more multidimensional approach. This is not developed in his 1979 book. He further developed in his later work that the concepts between poverty and wider deprivation also, social deprivation such as, isolation, discrimination, lack of opportunities for education or employment. He argued that poverty is one of the factors which could then lead to deprivation: “[Deprivation] turns on the level of conditions or activities experienced, [poverty] on the incomes and other resources directly available” (T</w:t>
      </w:r>
      <w:r w:rsidR="004F4C94">
        <w:rPr>
          <w:rFonts w:ascii="Times New Roman" w:hAnsi="Times New Roman" w:cs="Times New Roman"/>
          <w:sz w:val="24"/>
          <w:szCs w:val="24"/>
        </w:rPr>
        <w:t>ownsend 1987, p. 139-140)</w:t>
      </w:r>
    </w:p>
    <w:p w14:paraId="48B7839E" w14:textId="77777777" w:rsidR="001F29EF" w:rsidRPr="001F29EF" w:rsidRDefault="001F29EF" w:rsidP="008E0EA4">
      <w:pPr>
        <w:spacing w:after="0" w:line="360" w:lineRule="auto"/>
        <w:jc w:val="both"/>
        <w:rPr>
          <w:rFonts w:ascii="Times New Roman" w:eastAsia="Calibri" w:hAnsi="Times New Roman" w:cs="Times New Roman"/>
          <w:b/>
          <w:sz w:val="24"/>
          <w:szCs w:val="24"/>
        </w:rPr>
      </w:pPr>
      <w:r w:rsidRPr="001F29EF">
        <w:rPr>
          <w:rFonts w:ascii="Times New Roman" w:eastAsia="Calibri" w:hAnsi="Times New Roman" w:cs="Times New Roman"/>
          <w:b/>
          <w:sz w:val="24"/>
          <w:szCs w:val="24"/>
        </w:rPr>
        <w:t>Reference List:</w:t>
      </w:r>
    </w:p>
    <w:p w14:paraId="434115B2"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p>
    <w:p w14:paraId="32EA2A94"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r w:rsidRPr="001F29EF">
        <w:rPr>
          <w:rFonts w:ascii="Times New Roman" w:eastAsia="Calibri" w:hAnsi="Times New Roman" w:cs="Times New Roman"/>
          <w:sz w:val="24"/>
          <w:szCs w:val="24"/>
        </w:rPr>
        <w:t>Abel-Smith, B., &amp; Townsend, P. (1965). ‘</w:t>
      </w:r>
      <w:r w:rsidRPr="009978AB">
        <w:rPr>
          <w:rFonts w:ascii="Times New Roman" w:eastAsia="Calibri" w:hAnsi="Times New Roman" w:cs="Times New Roman"/>
          <w:i/>
          <w:iCs/>
          <w:sz w:val="24"/>
          <w:szCs w:val="24"/>
        </w:rPr>
        <w:t>The Poor and the Poorest’</w:t>
      </w:r>
      <w:r w:rsidRPr="001F29EF">
        <w:rPr>
          <w:rFonts w:ascii="Times New Roman" w:eastAsia="Calibri" w:hAnsi="Times New Roman" w:cs="Times New Roman"/>
          <w:i/>
          <w:sz w:val="24"/>
          <w:szCs w:val="24"/>
        </w:rPr>
        <w:t>.</w:t>
      </w:r>
      <w:r w:rsidRPr="001F29EF">
        <w:rPr>
          <w:rFonts w:ascii="Times New Roman" w:eastAsia="Calibri" w:hAnsi="Times New Roman" w:cs="Times New Roman"/>
          <w:sz w:val="24"/>
          <w:szCs w:val="24"/>
        </w:rPr>
        <w:t xml:space="preserve"> London: G Bell and Sons Ltd.</w:t>
      </w:r>
    </w:p>
    <w:p w14:paraId="5C702C3B"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r w:rsidRPr="001F29EF">
        <w:rPr>
          <w:rFonts w:ascii="Times New Roman" w:eastAsia="Calibri" w:hAnsi="Times New Roman" w:cs="Times New Roman"/>
          <w:sz w:val="24"/>
          <w:szCs w:val="24"/>
        </w:rPr>
        <w:t xml:space="preserve">Alcock, P. (2006). </w:t>
      </w:r>
      <w:r w:rsidRPr="001F29EF">
        <w:rPr>
          <w:rFonts w:ascii="Times New Roman" w:eastAsia="Calibri" w:hAnsi="Times New Roman" w:cs="Times New Roman"/>
          <w:i/>
          <w:sz w:val="24"/>
          <w:szCs w:val="24"/>
        </w:rPr>
        <w:t>Understanding Poverty</w:t>
      </w:r>
      <w:r w:rsidRPr="001F29EF">
        <w:rPr>
          <w:rFonts w:ascii="Times New Roman" w:eastAsia="Calibri" w:hAnsi="Times New Roman" w:cs="Times New Roman"/>
          <w:sz w:val="24"/>
          <w:szCs w:val="24"/>
        </w:rPr>
        <w:t>. Basingstoke: Palgrave Macmillan.</w:t>
      </w:r>
    </w:p>
    <w:p w14:paraId="565DC3AD"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r w:rsidRPr="001F29EF">
        <w:rPr>
          <w:rFonts w:ascii="Times New Roman" w:eastAsia="Calibri" w:hAnsi="Times New Roman" w:cs="Times New Roman"/>
          <w:sz w:val="24"/>
          <w:szCs w:val="24"/>
        </w:rPr>
        <w:t xml:space="preserve">Booth, C. (1897). </w:t>
      </w:r>
      <w:r w:rsidRPr="001F29EF">
        <w:rPr>
          <w:rFonts w:ascii="Times New Roman" w:eastAsia="Calibri" w:hAnsi="Times New Roman" w:cs="Times New Roman"/>
          <w:i/>
          <w:sz w:val="24"/>
          <w:szCs w:val="24"/>
        </w:rPr>
        <w:t>Life and Labour of the People in London, Ix: Comparisons, Survey and Conclusions</w:t>
      </w:r>
      <w:r w:rsidRPr="001F29EF">
        <w:rPr>
          <w:rFonts w:ascii="Times New Roman" w:eastAsia="Calibri" w:hAnsi="Times New Roman" w:cs="Times New Roman"/>
          <w:sz w:val="24"/>
          <w:szCs w:val="24"/>
        </w:rPr>
        <w:t>. Macmillan and Company. London.</w:t>
      </w:r>
    </w:p>
    <w:p w14:paraId="6628A16E"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r w:rsidRPr="001F29EF">
        <w:rPr>
          <w:rFonts w:ascii="Times New Roman" w:eastAsia="Calibri" w:hAnsi="Times New Roman" w:cs="Times New Roman"/>
          <w:sz w:val="24"/>
          <w:szCs w:val="24"/>
        </w:rPr>
        <w:t xml:space="preserve">Gillie, A. (1996). </w:t>
      </w:r>
      <w:r w:rsidRPr="009978AB">
        <w:rPr>
          <w:rFonts w:ascii="Times New Roman" w:eastAsia="Calibri" w:hAnsi="Times New Roman" w:cs="Times New Roman"/>
          <w:i/>
          <w:iCs/>
          <w:sz w:val="24"/>
          <w:szCs w:val="24"/>
        </w:rPr>
        <w:t>‘The Origin of the Poverty Line’, The Economic History Review</w:t>
      </w:r>
      <w:r w:rsidRPr="001F29EF">
        <w:rPr>
          <w:rFonts w:ascii="Times New Roman" w:eastAsia="Calibri" w:hAnsi="Times New Roman" w:cs="Times New Roman"/>
          <w:sz w:val="24"/>
          <w:szCs w:val="24"/>
        </w:rPr>
        <w:t>, 49(4), pp. 715–730.</w:t>
      </w:r>
    </w:p>
    <w:p w14:paraId="3FC5F425"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proofErr w:type="spellStart"/>
      <w:r w:rsidRPr="001F29EF">
        <w:rPr>
          <w:rFonts w:ascii="Times New Roman" w:eastAsia="Calibri" w:hAnsi="Times New Roman" w:cs="Times New Roman"/>
          <w:sz w:val="24"/>
          <w:szCs w:val="24"/>
        </w:rPr>
        <w:t>Glennerster</w:t>
      </w:r>
      <w:proofErr w:type="spellEnd"/>
      <w:r w:rsidRPr="001F29EF">
        <w:rPr>
          <w:rFonts w:ascii="Times New Roman" w:eastAsia="Calibri" w:hAnsi="Times New Roman" w:cs="Times New Roman"/>
          <w:sz w:val="24"/>
          <w:szCs w:val="24"/>
        </w:rPr>
        <w:t xml:space="preserve">, H. (2004). </w:t>
      </w:r>
      <w:r w:rsidRPr="009978AB">
        <w:rPr>
          <w:rFonts w:ascii="Times New Roman" w:eastAsia="Calibri" w:hAnsi="Times New Roman" w:cs="Times New Roman"/>
          <w:i/>
          <w:iCs/>
          <w:sz w:val="24"/>
          <w:szCs w:val="24"/>
        </w:rPr>
        <w:t>‘The Context for Rowntree’s Contribution’</w:t>
      </w:r>
      <w:r w:rsidRPr="001F29EF">
        <w:rPr>
          <w:rFonts w:ascii="Times New Roman" w:eastAsia="Calibri" w:hAnsi="Times New Roman" w:cs="Times New Roman"/>
          <w:sz w:val="24"/>
          <w:szCs w:val="24"/>
        </w:rPr>
        <w:t xml:space="preserve">. In H. </w:t>
      </w:r>
      <w:proofErr w:type="spellStart"/>
      <w:r w:rsidRPr="001F29EF">
        <w:rPr>
          <w:rFonts w:ascii="Times New Roman" w:eastAsia="Calibri" w:hAnsi="Times New Roman" w:cs="Times New Roman"/>
          <w:sz w:val="24"/>
          <w:szCs w:val="24"/>
        </w:rPr>
        <w:t>Glennerster</w:t>
      </w:r>
      <w:proofErr w:type="spellEnd"/>
      <w:r w:rsidRPr="001F29EF">
        <w:rPr>
          <w:rFonts w:ascii="Times New Roman" w:eastAsia="Calibri" w:hAnsi="Times New Roman" w:cs="Times New Roman"/>
          <w:sz w:val="24"/>
          <w:szCs w:val="24"/>
        </w:rPr>
        <w:t xml:space="preserve">, J. Hills, D. </w:t>
      </w:r>
      <w:proofErr w:type="spellStart"/>
      <w:r w:rsidRPr="001F29EF">
        <w:rPr>
          <w:rFonts w:ascii="Times New Roman" w:eastAsia="Calibri" w:hAnsi="Times New Roman" w:cs="Times New Roman"/>
          <w:sz w:val="24"/>
          <w:szCs w:val="24"/>
        </w:rPr>
        <w:t>Piachaud</w:t>
      </w:r>
      <w:proofErr w:type="spellEnd"/>
      <w:r w:rsidRPr="001F29EF">
        <w:rPr>
          <w:rFonts w:ascii="Times New Roman" w:eastAsia="Calibri" w:hAnsi="Times New Roman" w:cs="Times New Roman"/>
          <w:sz w:val="24"/>
          <w:szCs w:val="24"/>
        </w:rPr>
        <w:t xml:space="preserve">, &amp; J. Webb (Eds.), (2004) </w:t>
      </w:r>
      <w:r w:rsidRPr="001F29EF">
        <w:rPr>
          <w:rFonts w:ascii="Times New Roman" w:eastAsia="Calibri" w:hAnsi="Times New Roman" w:cs="Times New Roman"/>
          <w:i/>
          <w:sz w:val="24"/>
          <w:szCs w:val="24"/>
        </w:rPr>
        <w:t>One Hundred Years of Poverty and Policy</w:t>
      </w:r>
      <w:r w:rsidRPr="001F29EF">
        <w:rPr>
          <w:rFonts w:ascii="Times New Roman" w:eastAsia="Calibri" w:hAnsi="Times New Roman" w:cs="Times New Roman"/>
          <w:sz w:val="24"/>
          <w:szCs w:val="24"/>
        </w:rPr>
        <w:t>. York: Joseph Rowntree Foundation.</w:t>
      </w:r>
    </w:p>
    <w:p w14:paraId="2833FA99"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r w:rsidRPr="001F29EF">
        <w:rPr>
          <w:rFonts w:ascii="Times New Roman" w:eastAsia="Calibri" w:hAnsi="Times New Roman" w:cs="Times New Roman"/>
          <w:sz w:val="24"/>
          <w:szCs w:val="24"/>
        </w:rPr>
        <w:t xml:space="preserve">Hills, J. (2004). </w:t>
      </w:r>
      <w:r w:rsidRPr="001F29EF">
        <w:rPr>
          <w:rFonts w:ascii="Times New Roman" w:eastAsia="Calibri" w:hAnsi="Times New Roman" w:cs="Times New Roman"/>
          <w:i/>
          <w:sz w:val="24"/>
          <w:szCs w:val="24"/>
        </w:rPr>
        <w:t>Inequality and the State</w:t>
      </w:r>
      <w:r w:rsidRPr="001F29EF">
        <w:rPr>
          <w:rFonts w:ascii="Times New Roman" w:eastAsia="Calibri" w:hAnsi="Times New Roman" w:cs="Times New Roman"/>
          <w:sz w:val="24"/>
          <w:szCs w:val="24"/>
        </w:rPr>
        <w:t>; Oxford University Press. Oxford.</w:t>
      </w:r>
    </w:p>
    <w:p w14:paraId="6D217A2C"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r w:rsidRPr="001F29EF">
        <w:rPr>
          <w:rFonts w:ascii="Times New Roman" w:eastAsia="Calibri" w:hAnsi="Times New Roman" w:cs="Times New Roman"/>
          <w:sz w:val="24"/>
          <w:szCs w:val="24"/>
        </w:rPr>
        <w:t xml:space="preserve">Lister, R. (2004). </w:t>
      </w:r>
      <w:r w:rsidRPr="001F29EF">
        <w:rPr>
          <w:rFonts w:ascii="Times New Roman" w:eastAsia="Calibri" w:hAnsi="Times New Roman" w:cs="Times New Roman"/>
          <w:i/>
          <w:sz w:val="24"/>
          <w:szCs w:val="24"/>
        </w:rPr>
        <w:t>Poverty</w:t>
      </w:r>
      <w:r w:rsidRPr="001F29EF">
        <w:rPr>
          <w:rFonts w:ascii="Times New Roman" w:eastAsia="Calibri" w:hAnsi="Times New Roman" w:cs="Times New Roman"/>
          <w:sz w:val="24"/>
          <w:szCs w:val="24"/>
        </w:rPr>
        <w:t xml:space="preserve">. Cambridge: Polity Press. </w:t>
      </w:r>
    </w:p>
    <w:p w14:paraId="3858EBD6" w14:textId="7D2A95ED"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r w:rsidRPr="001F29EF">
        <w:rPr>
          <w:rFonts w:ascii="Times New Roman" w:eastAsia="Calibri" w:hAnsi="Times New Roman" w:cs="Times New Roman"/>
          <w:sz w:val="24"/>
          <w:szCs w:val="24"/>
        </w:rPr>
        <w:t>Niemietz, K. (2011</w:t>
      </w:r>
      <w:r w:rsidR="009978AB">
        <w:rPr>
          <w:rFonts w:ascii="Times New Roman" w:eastAsia="Calibri" w:hAnsi="Times New Roman" w:cs="Times New Roman"/>
          <w:sz w:val="24"/>
          <w:szCs w:val="24"/>
        </w:rPr>
        <w:t>)</w:t>
      </w:r>
      <w:r w:rsidRPr="009978AB">
        <w:rPr>
          <w:rFonts w:ascii="Times New Roman" w:eastAsia="Calibri" w:hAnsi="Times New Roman" w:cs="Times New Roman"/>
          <w:i/>
          <w:iCs/>
          <w:sz w:val="24"/>
          <w:szCs w:val="24"/>
        </w:rPr>
        <w:t>. ‘A New Understanding of Poverty’</w:t>
      </w:r>
      <w:r w:rsidRPr="001F29EF">
        <w:rPr>
          <w:rFonts w:ascii="Times New Roman" w:eastAsia="Calibri" w:hAnsi="Times New Roman" w:cs="Times New Roman"/>
          <w:sz w:val="24"/>
          <w:szCs w:val="24"/>
        </w:rPr>
        <w:t>; London: The Institute of Economic Affairs.</w:t>
      </w:r>
    </w:p>
    <w:p w14:paraId="465C4257"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r w:rsidRPr="001F29EF">
        <w:rPr>
          <w:rFonts w:ascii="Times New Roman" w:eastAsia="Calibri" w:hAnsi="Times New Roman" w:cs="Times New Roman"/>
          <w:sz w:val="24"/>
          <w:szCs w:val="24"/>
        </w:rPr>
        <w:t xml:space="preserve">Rowntree, B. S. (1901). </w:t>
      </w:r>
      <w:r w:rsidRPr="001F29EF">
        <w:rPr>
          <w:rFonts w:ascii="Times New Roman" w:eastAsia="Calibri" w:hAnsi="Times New Roman" w:cs="Times New Roman"/>
          <w:i/>
          <w:sz w:val="24"/>
          <w:szCs w:val="24"/>
        </w:rPr>
        <w:t>Poverty: A Study of Town Life</w:t>
      </w:r>
      <w:r w:rsidRPr="001F29EF">
        <w:rPr>
          <w:rFonts w:ascii="Times New Roman" w:eastAsia="Calibri" w:hAnsi="Times New Roman" w:cs="Times New Roman"/>
          <w:sz w:val="24"/>
          <w:szCs w:val="24"/>
        </w:rPr>
        <w:t>. London: Macmillan.</w:t>
      </w:r>
    </w:p>
    <w:p w14:paraId="5C69D606"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r w:rsidRPr="001F29EF">
        <w:rPr>
          <w:rFonts w:ascii="Times New Roman" w:eastAsia="Calibri" w:hAnsi="Times New Roman" w:cs="Times New Roman"/>
          <w:sz w:val="24"/>
          <w:szCs w:val="24"/>
        </w:rPr>
        <w:t xml:space="preserve">Townsend, P. (1979). </w:t>
      </w:r>
      <w:r w:rsidRPr="001F29EF">
        <w:rPr>
          <w:rFonts w:ascii="Times New Roman" w:eastAsia="Calibri" w:hAnsi="Times New Roman" w:cs="Times New Roman"/>
          <w:i/>
          <w:sz w:val="24"/>
          <w:szCs w:val="24"/>
        </w:rPr>
        <w:t>Poverty in the United Kingdom</w:t>
      </w:r>
      <w:r w:rsidRPr="001F29EF">
        <w:rPr>
          <w:rFonts w:ascii="Times New Roman" w:eastAsia="Calibri" w:hAnsi="Times New Roman" w:cs="Times New Roman"/>
          <w:sz w:val="24"/>
          <w:szCs w:val="24"/>
        </w:rPr>
        <w:t>. Berkeley: University of California Press.</w:t>
      </w:r>
    </w:p>
    <w:p w14:paraId="63449CE3" w14:textId="77777777" w:rsidR="001F29EF" w:rsidRPr="001F29EF" w:rsidRDefault="001F29EF" w:rsidP="008E0EA4">
      <w:pPr>
        <w:spacing w:after="0" w:line="360" w:lineRule="auto"/>
        <w:ind w:left="720" w:hanging="720"/>
        <w:jc w:val="both"/>
        <w:rPr>
          <w:rFonts w:ascii="Times New Roman" w:eastAsia="Calibri" w:hAnsi="Times New Roman" w:cs="Times New Roman"/>
          <w:sz w:val="24"/>
          <w:szCs w:val="24"/>
        </w:rPr>
      </w:pPr>
      <w:r w:rsidRPr="001F29EF">
        <w:rPr>
          <w:rFonts w:ascii="Times New Roman" w:eastAsia="Calibri" w:hAnsi="Times New Roman" w:cs="Times New Roman"/>
          <w:sz w:val="24"/>
          <w:szCs w:val="24"/>
        </w:rPr>
        <w:t xml:space="preserve">Townsend, P. (1987). </w:t>
      </w:r>
      <w:r w:rsidRPr="001F29EF">
        <w:rPr>
          <w:rFonts w:ascii="Times New Roman" w:eastAsia="Calibri" w:hAnsi="Times New Roman" w:cs="Times New Roman"/>
          <w:i/>
          <w:sz w:val="24"/>
          <w:szCs w:val="24"/>
        </w:rPr>
        <w:t>Deprivation</w:t>
      </w:r>
      <w:r w:rsidRPr="001F29EF">
        <w:rPr>
          <w:rFonts w:ascii="Times New Roman" w:eastAsia="Calibri" w:hAnsi="Times New Roman" w:cs="Times New Roman"/>
          <w:sz w:val="24"/>
          <w:szCs w:val="24"/>
        </w:rPr>
        <w:t>, Journal of Social Policy, 15(2), pp. 125–146.</w:t>
      </w:r>
    </w:p>
    <w:p w14:paraId="4C4F4A30" w14:textId="30AB1CDE" w:rsidR="004F4C94" w:rsidRPr="009978AB" w:rsidRDefault="001F29EF" w:rsidP="008E0EA4">
      <w:pPr>
        <w:spacing w:after="0" w:line="360" w:lineRule="auto"/>
        <w:ind w:left="720" w:hanging="720"/>
        <w:jc w:val="both"/>
        <w:rPr>
          <w:rFonts w:ascii="Times New Roman" w:eastAsia="Calibri" w:hAnsi="Times New Roman" w:cs="Times New Roman"/>
          <w:i/>
          <w:iCs/>
          <w:sz w:val="24"/>
          <w:szCs w:val="24"/>
        </w:rPr>
      </w:pPr>
      <w:r w:rsidRPr="001F29EF">
        <w:rPr>
          <w:rFonts w:ascii="Times New Roman" w:eastAsia="Calibri" w:hAnsi="Times New Roman" w:cs="Times New Roman"/>
          <w:sz w:val="24"/>
          <w:szCs w:val="24"/>
        </w:rPr>
        <w:lastRenderedPageBreak/>
        <w:t xml:space="preserve">Veit-Wilson, J. (1986). </w:t>
      </w:r>
      <w:r w:rsidRPr="009978AB">
        <w:rPr>
          <w:rFonts w:ascii="Times New Roman" w:eastAsia="Calibri" w:hAnsi="Times New Roman" w:cs="Times New Roman"/>
          <w:i/>
          <w:iCs/>
          <w:sz w:val="24"/>
          <w:szCs w:val="24"/>
        </w:rPr>
        <w:t>‘Paradigms of Poverty: A Rehabilitation of B S Rowntree’, Journal of Social Policy, 15(1), pp. 69–99.</w:t>
      </w:r>
    </w:p>
    <w:p w14:paraId="2F7F2FF7" w14:textId="3D5FDCDD" w:rsidR="004013F7" w:rsidRDefault="004013F7" w:rsidP="008E0EA4">
      <w:pPr>
        <w:spacing w:after="0" w:line="360" w:lineRule="auto"/>
        <w:ind w:left="720" w:hanging="720"/>
        <w:jc w:val="both"/>
        <w:rPr>
          <w:rFonts w:ascii="Times New Roman" w:eastAsia="Calibri" w:hAnsi="Times New Roman" w:cs="Times New Roman"/>
          <w:sz w:val="24"/>
          <w:szCs w:val="24"/>
        </w:rPr>
      </w:pPr>
    </w:p>
    <w:p w14:paraId="21A8E4BA" w14:textId="675B7043" w:rsidR="004013F7" w:rsidRDefault="004013F7" w:rsidP="008E0EA4">
      <w:pPr>
        <w:spacing w:after="0" w:line="360" w:lineRule="auto"/>
        <w:ind w:left="720" w:hanging="720"/>
        <w:jc w:val="both"/>
        <w:rPr>
          <w:rFonts w:ascii="Times New Roman" w:eastAsia="Calibri" w:hAnsi="Times New Roman" w:cs="Times New Roman"/>
          <w:sz w:val="24"/>
          <w:szCs w:val="24"/>
        </w:rPr>
      </w:pPr>
    </w:p>
    <w:p w14:paraId="39EE9920" w14:textId="6C931D77" w:rsidR="004013F7" w:rsidRDefault="009978AB" w:rsidP="008E0EA4">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UK decided to leave the EU in June 2016. Nearly three quarters of under 25s voted to remain </w:t>
      </w:r>
      <w:r w:rsidR="00AF26A3">
        <w:rPr>
          <w:rFonts w:ascii="Times New Roman" w:eastAsia="Calibri" w:hAnsi="Times New Roman" w:cs="Times New Roman"/>
          <w:sz w:val="24"/>
          <w:szCs w:val="24"/>
        </w:rPr>
        <w:t>whereas</w:t>
      </w:r>
      <w:r>
        <w:rPr>
          <w:rFonts w:ascii="Times New Roman" w:eastAsia="Calibri" w:hAnsi="Times New Roman" w:cs="Times New Roman"/>
          <w:sz w:val="24"/>
          <w:szCs w:val="24"/>
        </w:rPr>
        <w:t xml:space="preserve"> the majority of over 50s decided to leave (Moore, 2016). Many younger people blame their parents for ruining their future by choosing to leave the EU. Higgs and Gilleard (2010: 1439) discuss the argument that the wealth of post-war baby bloomers enjoy is only due to the cutbacks in things such as employment</w:t>
      </w:r>
      <w:r w:rsidR="005757EF">
        <w:rPr>
          <w:rFonts w:ascii="Times New Roman" w:eastAsia="Calibri" w:hAnsi="Times New Roman" w:cs="Times New Roman"/>
          <w:sz w:val="24"/>
          <w:szCs w:val="24"/>
        </w:rPr>
        <w:t xml:space="preserve">, education and social nights. </w:t>
      </w:r>
    </w:p>
    <w:p w14:paraId="43F895E3" w14:textId="7A93B0A2" w:rsidR="005757EF" w:rsidRDefault="00A93EB0" w:rsidP="008E0EA4">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Just by looking at the name of Willets (2010) book you can see his </w:t>
      </w:r>
      <w:r w:rsidR="00AF26A3">
        <w:rPr>
          <w:rFonts w:ascii="Times New Roman" w:eastAsia="Calibri" w:hAnsi="Times New Roman" w:cs="Times New Roman"/>
          <w:sz w:val="24"/>
          <w:szCs w:val="24"/>
        </w:rPr>
        <w:t>opinion</w:t>
      </w:r>
      <w:r>
        <w:rPr>
          <w:rFonts w:ascii="Times New Roman" w:eastAsia="Calibri" w:hAnsi="Times New Roman" w:cs="Times New Roman"/>
          <w:sz w:val="24"/>
          <w:szCs w:val="24"/>
        </w:rPr>
        <w:t xml:space="preserve"> on the matter: </w:t>
      </w:r>
      <w:r>
        <w:rPr>
          <w:rFonts w:ascii="Times New Roman" w:eastAsia="Calibri" w:hAnsi="Times New Roman" w:cs="Times New Roman"/>
          <w:i/>
          <w:iCs/>
          <w:sz w:val="24"/>
          <w:szCs w:val="24"/>
        </w:rPr>
        <w:t xml:space="preserve">The Pinch: How </w:t>
      </w:r>
      <w:r w:rsidR="00AF26A3">
        <w:rPr>
          <w:rFonts w:ascii="Times New Roman" w:eastAsia="Calibri" w:hAnsi="Times New Roman" w:cs="Times New Roman"/>
          <w:i/>
          <w:iCs/>
          <w:sz w:val="24"/>
          <w:szCs w:val="24"/>
        </w:rPr>
        <w:t>the</w:t>
      </w:r>
      <w:r>
        <w:rPr>
          <w:rFonts w:ascii="Times New Roman" w:eastAsia="Calibri" w:hAnsi="Times New Roman" w:cs="Times New Roman"/>
          <w:i/>
          <w:iCs/>
          <w:sz w:val="24"/>
          <w:szCs w:val="24"/>
        </w:rPr>
        <w:t xml:space="preserve"> </w:t>
      </w:r>
      <w:r w:rsidR="002172B9">
        <w:rPr>
          <w:rFonts w:ascii="Times New Roman" w:eastAsia="Calibri" w:hAnsi="Times New Roman" w:cs="Times New Roman"/>
          <w:i/>
          <w:iCs/>
          <w:sz w:val="24"/>
          <w:szCs w:val="24"/>
        </w:rPr>
        <w:t xml:space="preserve">Baby Bloomers Took Their Children’s Future – And Why They Should Give It Back. </w:t>
      </w:r>
      <w:r w:rsidR="00AF26A3">
        <w:rPr>
          <w:rFonts w:ascii="Times New Roman" w:eastAsia="Calibri" w:hAnsi="Times New Roman" w:cs="Times New Roman"/>
          <w:sz w:val="24"/>
          <w:szCs w:val="24"/>
        </w:rPr>
        <w:t>Whereas</w:t>
      </w:r>
      <w:r w:rsidR="002172B9">
        <w:rPr>
          <w:rFonts w:ascii="Times New Roman" w:eastAsia="Calibri" w:hAnsi="Times New Roman" w:cs="Times New Roman"/>
          <w:sz w:val="24"/>
          <w:szCs w:val="24"/>
        </w:rPr>
        <w:t xml:space="preserve"> </w:t>
      </w:r>
      <w:proofErr w:type="spellStart"/>
      <w:r w:rsidR="002172B9">
        <w:rPr>
          <w:rFonts w:ascii="Times New Roman" w:eastAsia="Calibri" w:hAnsi="Times New Roman" w:cs="Times New Roman"/>
          <w:sz w:val="24"/>
          <w:szCs w:val="24"/>
        </w:rPr>
        <w:t>H</w:t>
      </w:r>
      <w:r w:rsidR="00897049">
        <w:rPr>
          <w:rFonts w:ascii="Times New Roman" w:eastAsia="Calibri" w:hAnsi="Times New Roman" w:cs="Times New Roman"/>
          <w:sz w:val="24"/>
          <w:szCs w:val="24"/>
        </w:rPr>
        <w:t>o</w:t>
      </w:r>
      <w:r w:rsidR="002172B9">
        <w:rPr>
          <w:rFonts w:ascii="Times New Roman" w:eastAsia="Calibri" w:hAnsi="Times New Roman" w:cs="Times New Roman"/>
          <w:sz w:val="24"/>
          <w:szCs w:val="24"/>
        </w:rPr>
        <w:t>wker</w:t>
      </w:r>
      <w:proofErr w:type="spellEnd"/>
      <w:r w:rsidR="002172B9">
        <w:rPr>
          <w:rFonts w:ascii="Times New Roman" w:eastAsia="Calibri" w:hAnsi="Times New Roman" w:cs="Times New Roman"/>
          <w:sz w:val="24"/>
          <w:szCs w:val="24"/>
        </w:rPr>
        <w:t xml:space="preserve"> and Malik (2010) believe it is the difficulties of life which is to blame. </w:t>
      </w:r>
    </w:p>
    <w:p w14:paraId="6DA3E30D" w14:textId="42084DA3" w:rsidR="00B438CC" w:rsidRDefault="00B438CC" w:rsidP="008E0EA4">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Intra-generational inequalities is evidence which shows how some young people receive gifts and loans via family members. This is so as they </w:t>
      </w:r>
      <w:r w:rsidR="00AD0BA6">
        <w:rPr>
          <w:rFonts w:ascii="Times New Roman" w:eastAsia="Calibri" w:hAnsi="Times New Roman" w:cs="Times New Roman"/>
          <w:sz w:val="24"/>
          <w:szCs w:val="24"/>
        </w:rPr>
        <w:t>can</w:t>
      </w:r>
      <w:r>
        <w:rPr>
          <w:rFonts w:ascii="Times New Roman" w:eastAsia="Calibri" w:hAnsi="Times New Roman" w:cs="Times New Roman"/>
          <w:sz w:val="24"/>
          <w:szCs w:val="24"/>
        </w:rPr>
        <w:t xml:space="preserve"> get onto the property ladder. According to Mannheim (1952) there are three different contents of generation. First it could be location within history meaning, a generation sharing the same experiences </w:t>
      </w:r>
      <w:r w:rsidR="00AD0BA6">
        <w:rPr>
          <w:rFonts w:ascii="Times New Roman" w:eastAsia="Calibri" w:hAnsi="Times New Roman" w:cs="Times New Roman"/>
          <w:sz w:val="24"/>
          <w:szCs w:val="24"/>
        </w:rPr>
        <w:t>partially</w:t>
      </w:r>
      <w:r>
        <w:rPr>
          <w:rFonts w:ascii="Times New Roman" w:eastAsia="Calibri" w:hAnsi="Times New Roman" w:cs="Times New Roman"/>
          <w:sz w:val="24"/>
          <w:szCs w:val="24"/>
        </w:rPr>
        <w:t xml:space="preserve"> when they are young. Second, actuality meaning, sharing the same world view and social conditions. Lastly, </w:t>
      </w:r>
      <w:r w:rsidR="00652842">
        <w:rPr>
          <w:rFonts w:ascii="Times New Roman" w:eastAsia="Calibri" w:hAnsi="Times New Roman" w:cs="Times New Roman"/>
          <w:sz w:val="24"/>
          <w:szCs w:val="24"/>
        </w:rPr>
        <w:t xml:space="preserve">generation units meaning, something stratified by structures e.g. class, gender, ethnicity. </w:t>
      </w:r>
    </w:p>
    <w:p w14:paraId="539747D8" w14:textId="3211082E" w:rsidR="00AD0BA6" w:rsidRDefault="00AD0BA6" w:rsidP="008E0EA4">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It is said that Baby Bloomers are the post powerful generation in the past century due to their strong post-war state and their large population. </w:t>
      </w:r>
      <w:r w:rsidR="000D0CC4">
        <w:rPr>
          <w:rFonts w:ascii="Times New Roman" w:eastAsia="Calibri" w:hAnsi="Times New Roman" w:cs="Times New Roman"/>
          <w:sz w:val="24"/>
          <w:szCs w:val="24"/>
        </w:rPr>
        <w:t>The right-to-buy scheme has also helped people who cannot afford to buy housing more affordable.</w:t>
      </w:r>
    </w:p>
    <w:p w14:paraId="5273A174" w14:textId="22DA91B4" w:rsidR="000D0CC4" w:rsidRDefault="000D0CC4" w:rsidP="008E0EA4">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From research it is shown that there are 24 Baby Bloomers aged 45-65+ who own houses where as 0 Millennials own houses and only 15 have </w:t>
      </w:r>
      <w:r w:rsidR="00AA3BC5">
        <w:rPr>
          <w:rFonts w:ascii="Times New Roman" w:eastAsia="Calibri" w:hAnsi="Times New Roman" w:cs="Times New Roman"/>
          <w:sz w:val="24"/>
          <w:szCs w:val="24"/>
        </w:rPr>
        <w:t>mortgages</w:t>
      </w:r>
      <w:r>
        <w:rPr>
          <w:rFonts w:ascii="Times New Roman" w:eastAsia="Calibri" w:hAnsi="Times New Roman" w:cs="Times New Roman"/>
          <w:sz w:val="24"/>
          <w:szCs w:val="24"/>
        </w:rPr>
        <w:t xml:space="preserve">. It is said that it is harder to find jobs anymore without having a degree. Even Baby Bloomers say how they feel it is harder now for Millennials to find jobs as it was so easy before and anyone could pretty much have any job they wanted (Patrick 65 + Homeowner). </w:t>
      </w:r>
    </w:p>
    <w:p w14:paraId="36145F1D" w14:textId="12B251F8" w:rsidR="00AA3BC5" w:rsidRDefault="00AA3BC5" w:rsidP="008E0EA4">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‘Cleft habitus’ (Woodman and Wyn, 2015) young people were facing a contradiction between their attitudes and practices. This is due to the pervious generations and them passing down having well paid jobs and having a ‘loving family home’. The younger people believe that this is then what they have to do. This is all due to the rapid change in the social life of the younger people. </w:t>
      </w:r>
    </w:p>
    <w:p w14:paraId="58EA49F5" w14:textId="29F3DFE1" w:rsidR="000D0CC4" w:rsidRDefault="000D0CC4" w:rsidP="008E0EA4">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Overall, it is a lot harder for Millennials to find jobs now and to buy houses. Not all young people have the support </w:t>
      </w:r>
      <w:r w:rsidR="00AA3BC5">
        <w:rPr>
          <w:rFonts w:ascii="Times New Roman" w:eastAsia="Calibri" w:hAnsi="Times New Roman" w:cs="Times New Roman"/>
          <w:sz w:val="24"/>
          <w:szCs w:val="24"/>
        </w:rPr>
        <w:t>from</w:t>
      </w:r>
      <w:r>
        <w:rPr>
          <w:rFonts w:ascii="Times New Roman" w:eastAsia="Calibri" w:hAnsi="Times New Roman" w:cs="Times New Roman"/>
          <w:sz w:val="24"/>
          <w:szCs w:val="24"/>
        </w:rPr>
        <w:t xml:space="preserve"> their parents to buy houses. It isn’t just the Baby Bloomers to blame for this, it is also due to governments, policies and structural changes. Millennials are also said to be politically weak. </w:t>
      </w:r>
    </w:p>
    <w:p w14:paraId="0BE08080" w14:textId="77777777" w:rsidR="00897049" w:rsidRDefault="00897049" w:rsidP="008E0EA4">
      <w:pPr>
        <w:spacing w:after="0" w:line="360" w:lineRule="auto"/>
        <w:jc w:val="both"/>
        <w:rPr>
          <w:rFonts w:ascii="Times New Roman" w:eastAsia="Calibri" w:hAnsi="Times New Roman" w:cs="Times New Roman"/>
          <w:sz w:val="24"/>
          <w:szCs w:val="24"/>
        </w:rPr>
      </w:pPr>
    </w:p>
    <w:p w14:paraId="438F9E61" w14:textId="62275C7D" w:rsidR="00897049" w:rsidRDefault="00897049" w:rsidP="008E0EA4">
      <w:pPr>
        <w:spacing w:after="0" w:line="36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Reference list</w:t>
      </w:r>
    </w:p>
    <w:p w14:paraId="1B140260" w14:textId="4EBC34AA" w:rsidR="00951D5E" w:rsidRPr="0017798A" w:rsidRDefault="0017798A" w:rsidP="008E0EA4">
      <w:pPr>
        <w:spacing w:after="0" w:line="360" w:lineRule="auto"/>
        <w:jc w:val="both"/>
        <w:rPr>
          <w:rFonts w:ascii="Times New Roman" w:eastAsia="Calibri" w:hAnsi="Times New Roman" w:cs="Times New Roman"/>
          <w:sz w:val="24"/>
          <w:szCs w:val="24"/>
        </w:rPr>
      </w:pPr>
      <w:proofErr w:type="spellStart"/>
      <w:r w:rsidRPr="0017798A">
        <w:rPr>
          <w:rFonts w:ascii="Times New Roman" w:eastAsia="Calibri" w:hAnsi="Times New Roman" w:cs="Times New Roman"/>
          <w:sz w:val="24"/>
          <w:szCs w:val="24"/>
        </w:rPr>
        <w:t>Hoolachan</w:t>
      </w:r>
      <w:proofErr w:type="spellEnd"/>
      <w:r w:rsidRPr="0017798A">
        <w:rPr>
          <w:rFonts w:ascii="Times New Roman" w:eastAsia="Calibri" w:hAnsi="Times New Roman" w:cs="Times New Roman"/>
          <w:sz w:val="24"/>
          <w:szCs w:val="24"/>
        </w:rPr>
        <w:t>, J. and McKee, K. (2018). Inter-generational housing inequalities: ‘Baby Boomers’ versus the ‘Millennials’. Urban Studies, 56(1), pp.210-225.</w:t>
      </w:r>
      <w:bookmarkStart w:id="0" w:name="_GoBack"/>
      <w:bookmarkEnd w:id="0"/>
    </w:p>
    <w:p w14:paraId="1372DB64" w14:textId="77777777" w:rsidR="005E67C2" w:rsidRPr="005E67C2" w:rsidRDefault="005E67C2" w:rsidP="005E67C2">
      <w:pPr>
        <w:spacing w:after="0" w:line="360" w:lineRule="auto"/>
        <w:jc w:val="both"/>
        <w:rPr>
          <w:rFonts w:ascii="Times New Roman" w:eastAsia="Calibri" w:hAnsi="Times New Roman" w:cs="Times New Roman"/>
          <w:sz w:val="24"/>
          <w:szCs w:val="24"/>
        </w:rPr>
      </w:pPr>
      <w:r w:rsidRPr="005E67C2">
        <w:rPr>
          <w:rFonts w:ascii="Times New Roman" w:eastAsia="Calibri" w:hAnsi="Times New Roman" w:cs="Times New Roman"/>
          <w:sz w:val="24"/>
          <w:szCs w:val="24"/>
        </w:rPr>
        <w:t>Higgs P and Gilleard C (2010) Generational conflict, consumption and the ageing welfare state</w:t>
      </w:r>
    </w:p>
    <w:p w14:paraId="423EBC6E" w14:textId="097C04B7" w:rsidR="005E67C2" w:rsidRPr="005E67C2" w:rsidRDefault="005E67C2" w:rsidP="005E67C2">
      <w:pPr>
        <w:spacing w:after="0" w:line="360" w:lineRule="auto"/>
        <w:jc w:val="both"/>
        <w:rPr>
          <w:rFonts w:ascii="Times New Roman" w:eastAsia="Calibri" w:hAnsi="Times New Roman" w:cs="Times New Roman"/>
          <w:i/>
          <w:iCs/>
          <w:sz w:val="24"/>
          <w:szCs w:val="24"/>
        </w:rPr>
      </w:pPr>
      <w:r w:rsidRPr="005E67C2">
        <w:rPr>
          <w:rFonts w:ascii="Times New Roman" w:eastAsia="Calibri" w:hAnsi="Times New Roman" w:cs="Times New Roman"/>
          <w:sz w:val="24"/>
          <w:szCs w:val="24"/>
        </w:rPr>
        <w:t xml:space="preserve">in the United Kingdom. </w:t>
      </w:r>
      <w:r w:rsidRPr="005E67C2">
        <w:rPr>
          <w:rFonts w:ascii="Times New Roman" w:eastAsia="Calibri" w:hAnsi="Times New Roman" w:cs="Times New Roman"/>
          <w:i/>
          <w:iCs/>
          <w:sz w:val="24"/>
          <w:szCs w:val="24"/>
        </w:rPr>
        <w:t>Ageing and Society</w:t>
      </w:r>
      <w:r>
        <w:rPr>
          <w:rFonts w:ascii="Times New Roman" w:eastAsia="Calibri" w:hAnsi="Times New Roman" w:cs="Times New Roman"/>
          <w:i/>
          <w:iCs/>
          <w:sz w:val="24"/>
          <w:szCs w:val="24"/>
        </w:rPr>
        <w:t xml:space="preserve"> </w:t>
      </w:r>
      <w:r w:rsidRPr="005E67C2">
        <w:rPr>
          <w:rFonts w:ascii="Times New Roman" w:eastAsia="Calibri" w:hAnsi="Times New Roman" w:cs="Times New Roman"/>
          <w:sz w:val="24"/>
          <w:szCs w:val="24"/>
        </w:rPr>
        <w:t>30(8): 1439–1451.</w:t>
      </w:r>
    </w:p>
    <w:p w14:paraId="1B325F23" w14:textId="31659C7F" w:rsidR="005E67C2" w:rsidRDefault="005E67C2" w:rsidP="005E67C2">
      <w:pPr>
        <w:spacing w:after="0" w:line="360" w:lineRule="auto"/>
        <w:jc w:val="both"/>
        <w:rPr>
          <w:rFonts w:ascii="Times New Roman" w:eastAsia="Calibri" w:hAnsi="Times New Roman" w:cs="Times New Roman"/>
          <w:sz w:val="24"/>
          <w:szCs w:val="24"/>
        </w:rPr>
      </w:pPr>
      <w:proofErr w:type="spellStart"/>
      <w:r w:rsidRPr="005E67C2">
        <w:rPr>
          <w:rFonts w:ascii="Times New Roman" w:eastAsia="Calibri" w:hAnsi="Times New Roman" w:cs="Times New Roman"/>
          <w:sz w:val="24"/>
          <w:szCs w:val="24"/>
        </w:rPr>
        <w:t>Howker</w:t>
      </w:r>
      <w:proofErr w:type="spellEnd"/>
      <w:r w:rsidRPr="005E67C2">
        <w:rPr>
          <w:rFonts w:ascii="Times New Roman" w:eastAsia="Calibri" w:hAnsi="Times New Roman" w:cs="Times New Roman"/>
          <w:sz w:val="24"/>
          <w:szCs w:val="24"/>
        </w:rPr>
        <w:t xml:space="preserve"> E and Malik S (2010) </w:t>
      </w:r>
      <w:r w:rsidRPr="005E67C2">
        <w:rPr>
          <w:rFonts w:ascii="Times New Roman" w:eastAsia="Calibri" w:hAnsi="Times New Roman" w:cs="Times New Roman"/>
          <w:i/>
          <w:iCs/>
          <w:sz w:val="24"/>
          <w:szCs w:val="24"/>
        </w:rPr>
        <w:t>Jilted Generation: How Britain Bankrupted its Youth.</w:t>
      </w:r>
      <w:r w:rsidRPr="005E67C2">
        <w:rPr>
          <w:rFonts w:ascii="Times New Roman" w:eastAsia="Calibri" w:hAnsi="Times New Roman" w:cs="Times New Roman"/>
          <w:sz w:val="24"/>
          <w:szCs w:val="24"/>
        </w:rPr>
        <w:t xml:space="preserve"> London: Icon Books.</w:t>
      </w:r>
    </w:p>
    <w:p w14:paraId="35F34AF2" w14:textId="77777777" w:rsidR="005E67C2" w:rsidRDefault="005E67C2" w:rsidP="005E67C2">
      <w:pPr>
        <w:spacing w:after="0" w:line="360" w:lineRule="auto"/>
        <w:jc w:val="both"/>
        <w:rPr>
          <w:rFonts w:ascii="Times New Roman" w:hAnsi="Times New Roman" w:cs="Times New Roman"/>
          <w:sz w:val="24"/>
          <w:szCs w:val="24"/>
        </w:rPr>
      </w:pPr>
      <w:r w:rsidRPr="005E67C2">
        <w:rPr>
          <w:rFonts w:ascii="Times New Roman" w:hAnsi="Times New Roman" w:cs="Times New Roman"/>
          <w:sz w:val="24"/>
          <w:szCs w:val="24"/>
        </w:rPr>
        <w:t>Mannheim K (1952</w:t>
      </w:r>
      <w:r w:rsidRPr="005E67C2">
        <w:rPr>
          <w:rFonts w:ascii="Times New Roman" w:hAnsi="Times New Roman" w:cs="Times New Roman"/>
          <w:i/>
          <w:iCs/>
          <w:sz w:val="24"/>
          <w:szCs w:val="24"/>
        </w:rPr>
        <w:t>) Essays on the Sociology of Knowledge.</w:t>
      </w:r>
      <w:r w:rsidRPr="005E67C2">
        <w:rPr>
          <w:rFonts w:ascii="Times New Roman" w:hAnsi="Times New Roman" w:cs="Times New Roman"/>
          <w:sz w:val="24"/>
          <w:szCs w:val="24"/>
        </w:rPr>
        <w:t xml:space="preserve"> London: Routledge and Keegan Paul. </w:t>
      </w:r>
    </w:p>
    <w:p w14:paraId="22316F08" w14:textId="0B86D280" w:rsidR="005E67C2" w:rsidRDefault="005E67C2" w:rsidP="005E67C2">
      <w:pPr>
        <w:spacing w:after="0" w:line="360" w:lineRule="auto"/>
        <w:jc w:val="both"/>
        <w:rPr>
          <w:rFonts w:ascii="Times New Roman" w:hAnsi="Times New Roman" w:cs="Times New Roman"/>
          <w:sz w:val="24"/>
          <w:szCs w:val="24"/>
        </w:rPr>
      </w:pPr>
      <w:r w:rsidRPr="005E67C2">
        <w:rPr>
          <w:rFonts w:ascii="Times New Roman" w:hAnsi="Times New Roman" w:cs="Times New Roman"/>
          <w:sz w:val="24"/>
          <w:szCs w:val="24"/>
        </w:rPr>
        <w:t>Moore</w:t>
      </w:r>
      <w:r>
        <w:rPr>
          <w:rFonts w:ascii="Times New Roman" w:hAnsi="Times New Roman" w:cs="Times New Roman"/>
          <w:sz w:val="24"/>
          <w:szCs w:val="24"/>
        </w:rPr>
        <w:t xml:space="preserve"> </w:t>
      </w:r>
      <w:r w:rsidRPr="005E67C2">
        <w:rPr>
          <w:rFonts w:ascii="Times New Roman" w:hAnsi="Times New Roman" w:cs="Times New Roman"/>
          <w:sz w:val="24"/>
          <w:szCs w:val="24"/>
        </w:rPr>
        <w:t xml:space="preserve">P (2016) </w:t>
      </w:r>
      <w:r w:rsidRPr="005E67C2">
        <w:rPr>
          <w:rFonts w:ascii="Times New Roman" w:hAnsi="Times New Roman" w:cs="Times New Roman"/>
          <w:i/>
          <w:iCs/>
          <w:sz w:val="24"/>
          <w:szCs w:val="24"/>
        </w:rPr>
        <w:t>How Britain Voted.</w:t>
      </w:r>
      <w:r w:rsidRPr="005E67C2">
        <w:rPr>
          <w:rFonts w:ascii="Times New Roman" w:hAnsi="Times New Roman" w:cs="Times New Roman"/>
          <w:sz w:val="24"/>
          <w:szCs w:val="24"/>
        </w:rPr>
        <w:t xml:space="preserve"> Available at: https://yougov.co.uk/news/2016/06/27/howbritain-voted/ (accessed 30 June 2016).</w:t>
      </w:r>
    </w:p>
    <w:p w14:paraId="4E46381D" w14:textId="2E0051DC" w:rsidR="005E67C2" w:rsidRDefault="005E67C2" w:rsidP="005E67C2">
      <w:pPr>
        <w:spacing w:after="0" w:line="360" w:lineRule="auto"/>
        <w:jc w:val="both"/>
        <w:rPr>
          <w:rFonts w:ascii="Times New Roman" w:eastAsia="Calibri" w:hAnsi="Times New Roman" w:cs="Times New Roman"/>
          <w:sz w:val="24"/>
          <w:szCs w:val="24"/>
        </w:rPr>
      </w:pPr>
      <w:r w:rsidRPr="005E67C2">
        <w:rPr>
          <w:rFonts w:ascii="Times New Roman" w:eastAsia="Calibri" w:hAnsi="Times New Roman" w:cs="Times New Roman"/>
          <w:sz w:val="24"/>
          <w:szCs w:val="24"/>
        </w:rPr>
        <w:t xml:space="preserve">Willetts D (2010) </w:t>
      </w:r>
      <w:r w:rsidRPr="005E67C2">
        <w:rPr>
          <w:rFonts w:ascii="Times New Roman" w:eastAsia="Calibri" w:hAnsi="Times New Roman" w:cs="Times New Roman"/>
          <w:i/>
          <w:iCs/>
          <w:sz w:val="24"/>
          <w:szCs w:val="24"/>
        </w:rPr>
        <w:t>The Pinch: How the Baby Boomers Took Their Children’s Future – And Why</w:t>
      </w:r>
      <w:r w:rsidRPr="005E67C2">
        <w:rPr>
          <w:rFonts w:ascii="Times New Roman" w:eastAsia="Calibri" w:hAnsi="Times New Roman" w:cs="Times New Roman"/>
          <w:i/>
          <w:iCs/>
          <w:sz w:val="24"/>
          <w:szCs w:val="24"/>
        </w:rPr>
        <w:t xml:space="preserve"> </w:t>
      </w:r>
      <w:r w:rsidRPr="005E67C2">
        <w:rPr>
          <w:rFonts w:ascii="Times New Roman" w:eastAsia="Calibri" w:hAnsi="Times New Roman" w:cs="Times New Roman"/>
          <w:i/>
          <w:iCs/>
          <w:sz w:val="24"/>
          <w:szCs w:val="24"/>
        </w:rPr>
        <w:t>They Should Give it Back</w:t>
      </w:r>
      <w:r w:rsidRPr="005E67C2">
        <w:rPr>
          <w:rFonts w:ascii="Times New Roman" w:eastAsia="Calibri" w:hAnsi="Times New Roman" w:cs="Times New Roman"/>
          <w:sz w:val="24"/>
          <w:szCs w:val="24"/>
        </w:rPr>
        <w:t>. London: Atlantic</w:t>
      </w:r>
      <w:r>
        <w:rPr>
          <w:rFonts w:ascii="Times New Roman" w:eastAsia="Calibri" w:hAnsi="Times New Roman" w:cs="Times New Roman"/>
          <w:sz w:val="24"/>
          <w:szCs w:val="24"/>
        </w:rPr>
        <w:t xml:space="preserve"> </w:t>
      </w:r>
      <w:r w:rsidRPr="005E67C2">
        <w:rPr>
          <w:rFonts w:ascii="Times New Roman" w:eastAsia="Calibri" w:hAnsi="Times New Roman" w:cs="Times New Roman"/>
          <w:sz w:val="24"/>
          <w:szCs w:val="24"/>
        </w:rPr>
        <w:t>Books.</w:t>
      </w:r>
    </w:p>
    <w:p w14:paraId="5D512030" w14:textId="646CE329" w:rsidR="005E67C2" w:rsidRPr="005E67C2" w:rsidRDefault="005E67C2" w:rsidP="005E67C2">
      <w:pPr>
        <w:spacing w:after="0" w:line="360" w:lineRule="auto"/>
        <w:jc w:val="both"/>
        <w:rPr>
          <w:rFonts w:ascii="Times New Roman" w:eastAsia="Calibri" w:hAnsi="Times New Roman" w:cs="Times New Roman"/>
          <w:sz w:val="24"/>
          <w:szCs w:val="24"/>
        </w:rPr>
      </w:pPr>
      <w:r w:rsidRPr="005E67C2">
        <w:rPr>
          <w:rFonts w:ascii="Times New Roman" w:eastAsia="Calibri" w:hAnsi="Times New Roman" w:cs="Times New Roman"/>
          <w:sz w:val="24"/>
          <w:szCs w:val="24"/>
        </w:rPr>
        <w:t xml:space="preserve">Woodman D and Wyn J (2015) </w:t>
      </w:r>
      <w:r w:rsidRPr="005E67C2">
        <w:rPr>
          <w:rFonts w:ascii="Times New Roman" w:eastAsia="Calibri" w:hAnsi="Times New Roman" w:cs="Times New Roman"/>
          <w:i/>
          <w:iCs/>
          <w:sz w:val="24"/>
          <w:szCs w:val="24"/>
        </w:rPr>
        <w:t>Youth and Generation: Rethinking Change and Inequality in the</w:t>
      </w:r>
      <w:r w:rsidRPr="005E67C2">
        <w:rPr>
          <w:rFonts w:ascii="Times New Roman" w:eastAsia="Calibri" w:hAnsi="Times New Roman" w:cs="Times New Roman"/>
          <w:i/>
          <w:iCs/>
          <w:sz w:val="24"/>
          <w:szCs w:val="24"/>
        </w:rPr>
        <w:t xml:space="preserve"> </w:t>
      </w:r>
      <w:r w:rsidRPr="005E67C2">
        <w:rPr>
          <w:rFonts w:ascii="Times New Roman" w:eastAsia="Calibri" w:hAnsi="Times New Roman" w:cs="Times New Roman"/>
          <w:i/>
          <w:iCs/>
          <w:sz w:val="24"/>
          <w:szCs w:val="24"/>
        </w:rPr>
        <w:t>Lives of Young People</w:t>
      </w:r>
      <w:r w:rsidRPr="005E67C2">
        <w:rPr>
          <w:rFonts w:ascii="Times New Roman" w:eastAsia="Calibri" w:hAnsi="Times New Roman" w:cs="Times New Roman"/>
          <w:sz w:val="24"/>
          <w:szCs w:val="24"/>
        </w:rPr>
        <w:t>. London: SAGE Publications Ltd.</w:t>
      </w:r>
    </w:p>
    <w:sectPr w:rsidR="005E67C2" w:rsidRPr="005E67C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DA05C" w14:textId="77777777" w:rsidR="001A7399" w:rsidRDefault="001A7399" w:rsidP="0021613D">
      <w:pPr>
        <w:spacing w:after="0" w:line="240" w:lineRule="auto"/>
      </w:pPr>
      <w:r>
        <w:separator/>
      </w:r>
    </w:p>
  </w:endnote>
  <w:endnote w:type="continuationSeparator" w:id="0">
    <w:p w14:paraId="46A98669" w14:textId="77777777" w:rsidR="001A7399" w:rsidRDefault="001A7399" w:rsidP="00216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BD466" w14:textId="77777777" w:rsidR="001A7399" w:rsidRDefault="001A7399" w:rsidP="0021613D">
      <w:pPr>
        <w:spacing w:after="0" w:line="240" w:lineRule="auto"/>
      </w:pPr>
      <w:r>
        <w:separator/>
      </w:r>
    </w:p>
  </w:footnote>
  <w:footnote w:type="continuationSeparator" w:id="0">
    <w:p w14:paraId="1D0A48EC" w14:textId="77777777" w:rsidR="001A7399" w:rsidRDefault="001A7399" w:rsidP="00216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62256" w14:textId="48575525" w:rsidR="0021613D" w:rsidRDefault="0021613D" w:rsidP="0021613D">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Module code – ECGE4001Q</w:t>
    </w:r>
  </w:p>
  <w:p w14:paraId="596A3B1D" w14:textId="17CBF8E7" w:rsidR="0021613D" w:rsidRDefault="0021613D" w:rsidP="0021613D">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Assessment number – 1</w:t>
    </w:r>
  </w:p>
  <w:p w14:paraId="65697020" w14:textId="081A0379" w:rsidR="0021613D" w:rsidRPr="0021613D" w:rsidRDefault="0021613D" w:rsidP="0021613D">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Student number - 1701792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13D"/>
    <w:rsid w:val="000D0CC4"/>
    <w:rsid w:val="00121788"/>
    <w:rsid w:val="0017798A"/>
    <w:rsid w:val="001A7399"/>
    <w:rsid w:val="001B1D1D"/>
    <w:rsid w:val="001D6192"/>
    <w:rsid w:val="001F29EF"/>
    <w:rsid w:val="0021613D"/>
    <w:rsid w:val="002172B9"/>
    <w:rsid w:val="002302E6"/>
    <w:rsid w:val="002650B7"/>
    <w:rsid w:val="002D18CB"/>
    <w:rsid w:val="0035599A"/>
    <w:rsid w:val="004013F7"/>
    <w:rsid w:val="0048741C"/>
    <w:rsid w:val="004B1511"/>
    <w:rsid w:val="004C3712"/>
    <w:rsid w:val="004C6E62"/>
    <w:rsid w:val="004F4C94"/>
    <w:rsid w:val="005757EF"/>
    <w:rsid w:val="00586CBA"/>
    <w:rsid w:val="005D5876"/>
    <w:rsid w:val="005E67C2"/>
    <w:rsid w:val="00606494"/>
    <w:rsid w:val="00614EFE"/>
    <w:rsid w:val="00652842"/>
    <w:rsid w:val="00655C17"/>
    <w:rsid w:val="006622EF"/>
    <w:rsid w:val="00670E97"/>
    <w:rsid w:val="00705C6C"/>
    <w:rsid w:val="007D0512"/>
    <w:rsid w:val="00820565"/>
    <w:rsid w:val="00897049"/>
    <w:rsid w:val="008E0EA4"/>
    <w:rsid w:val="00951D5E"/>
    <w:rsid w:val="009978AB"/>
    <w:rsid w:val="00A436F5"/>
    <w:rsid w:val="00A6199C"/>
    <w:rsid w:val="00A93EB0"/>
    <w:rsid w:val="00AA3BC5"/>
    <w:rsid w:val="00AD0BA6"/>
    <w:rsid w:val="00AF26A3"/>
    <w:rsid w:val="00B438CC"/>
    <w:rsid w:val="00CE2B22"/>
    <w:rsid w:val="00D639AA"/>
    <w:rsid w:val="00E017F1"/>
    <w:rsid w:val="00E96917"/>
    <w:rsid w:val="00EC347B"/>
    <w:rsid w:val="00F32A7F"/>
    <w:rsid w:val="00FE7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08257"/>
  <w15:chartTrackingRefBased/>
  <w15:docId w15:val="{CD0AA640-1DC0-4308-A2E4-2ADE38F97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6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13D"/>
  </w:style>
  <w:style w:type="paragraph" w:styleId="Footer">
    <w:name w:val="footer"/>
    <w:basedOn w:val="Normal"/>
    <w:link w:val="FooterChar"/>
    <w:uiPriority w:val="99"/>
    <w:unhideWhenUsed/>
    <w:rsid w:val="00216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82625">
      <w:bodyDiv w:val="1"/>
      <w:marLeft w:val="0"/>
      <w:marRight w:val="0"/>
      <w:marTop w:val="0"/>
      <w:marBottom w:val="0"/>
      <w:divBdr>
        <w:top w:val="none" w:sz="0" w:space="0" w:color="auto"/>
        <w:left w:val="none" w:sz="0" w:space="0" w:color="auto"/>
        <w:bottom w:val="none" w:sz="0" w:space="0" w:color="auto"/>
        <w:right w:val="none" w:sz="0" w:space="0" w:color="auto"/>
      </w:divBdr>
    </w:div>
    <w:div w:id="108117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1983</TotalTime>
  <Pages>5</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bouncer</dc:creator>
  <cp:keywords/>
  <dc:description/>
  <cp:lastModifiedBy>chloe bouncer</cp:lastModifiedBy>
  <cp:revision>25</cp:revision>
  <dcterms:created xsi:type="dcterms:W3CDTF">2019-11-28T10:09:00Z</dcterms:created>
  <dcterms:modified xsi:type="dcterms:W3CDTF">2019-12-13T15:13:00Z</dcterms:modified>
</cp:coreProperties>
</file>