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E0DBC" w14:textId="58B7E27A" w:rsidR="78FD38EB" w:rsidRPr="007B6BF5" w:rsidRDefault="78FD38EB" w:rsidP="78FD38EB">
      <w:pPr>
        <w:jc w:val="center"/>
        <w:rPr>
          <w:b/>
          <w:bCs/>
          <w:sz w:val="36"/>
          <w:szCs w:val="36"/>
          <w:lang w:val="en-GB"/>
        </w:rPr>
      </w:pPr>
    </w:p>
    <w:p w14:paraId="78AF46AC" w14:textId="043A8A0D" w:rsidR="78FD38EB" w:rsidRDefault="78FD38EB" w:rsidP="78FD38EB">
      <w:pPr>
        <w:jc w:val="center"/>
        <w:rPr>
          <w:b/>
          <w:bCs/>
          <w:sz w:val="36"/>
          <w:szCs w:val="36"/>
        </w:rPr>
      </w:pPr>
    </w:p>
    <w:p w14:paraId="622776E5" w14:textId="191CB508" w:rsidR="78FD38EB" w:rsidRDefault="78FD38EB" w:rsidP="78FD38EB">
      <w:pPr>
        <w:jc w:val="center"/>
        <w:rPr>
          <w:b/>
          <w:bCs/>
          <w:sz w:val="36"/>
          <w:szCs w:val="36"/>
        </w:rPr>
      </w:pPr>
    </w:p>
    <w:p w14:paraId="73A62BDD" w14:textId="7A50C52B" w:rsidR="78FD38EB" w:rsidRDefault="3B020862" w:rsidP="78FD38EB">
      <w:pPr>
        <w:jc w:val="center"/>
        <w:rPr>
          <w:b/>
          <w:bCs/>
          <w:sz w:val="36"/>
          <w:szCs w:val="36"/>
        </w:rPr>
      </w:pPr>
      <w:r w:rsidRPr="03142E30">
        <w:rPr>
          <w:b/>
          <w:bCs/>
          <w:sz w:val="36"/>
          <w:szCs w:val="36"/>
        </w:rPr>
        <w:t>Toyota.</w:t>
      </w:r>
    </w:p>
    <w:p w14:paraId="2C078E63" w14:textId="202B824B" w:rsidR="00532FB9" w:rsidRDefault="175B8306" w:rsidP="78FD38EB">
      <w:pPr>
        <w:jc w:val="center"/>
        <w:rPr>
          <w:b/>
          <w:bCs/>
          <w:sz w:val="36"/>
          <w:szCs w:val="36"/>
        </w:rPr>
      </w:pPr>
      <w:r w:rsidRPr="78FD38EB">
        <w:rPr>
          <w:b/>
          <w:bCs/>
          <w:sz w:val="36"/>
          <w:szCs w:val="36"/>
        </w:rPr>
        <w:t>Organisation culture.</w:t>
      </w:r>
    </w:p>
    <w:p w14:paraId="218E1E12" w14:textId="0584C9C6" w:rsidR="175B8306" w:rsidRDefault="175B8306" w:rsidP="78FD38EB">
      <w:pPr>
        <w:jc w:val="center"/>
        <w:rPr>
          <w:b/>
          <w:bCs/>
          <w:sz w:val="36"/>
          <w:szCs w:val="36"/>
        </w:rPr>
      </w:pPr>
      <w:r w:rsidRPr="03142E30">
        <w:rPr>
          <w:b/>
          <w:bCs/>
          <w:sz w:val="36"/>
          <w:szCs w:val="36"/>
        </w:rPr>
        <w:t>Lclm5005.</w:t>
      </w:r>
    </w:p>
    <w:p w14:paraId="282C1311" w14:textId="4E758DA4" w:rsidR="175B8306" w:rsidRDefault="175B8306" w:rsidP="78FD38EB">
      <w:pPr>
        <w:jc w:val="center"/>
        <w:rPr>
          <w:b/>
          <w:bCs/>
          <w:sz w:val="36"/>
          <w:szCs w:val="36"/>
        </w:rPr>
      </w:pPr>
      <w:r w:rsidRPr="78FD38EB">
        <w:rPr>
          <w:b/>
          <w:bCs/>
          <w:sz w:val="36"/>
          <w:szCs w:val="36"/>
        </w:rPr>
        <w:t>David oyebisi.</w:t>
      </w:r>
    </w:p>
    <w:p w14:paraId="61FD77BE" w14:textId="1471CA9F" w:rsidR="175B8306" w:rsidRDefault="175B8306" w:rsidP="78FD38EB">
      <w:pPr>
        <w:jc w:val="center"/>
        <w:rPr>
          <w:b/>
          <w:bCs/>
          <w:sz w:val="36"/>
          <w:szCs w:val="36"/>
        </w:rPr>
      </w:pPr>
      <w:r w:rsidRPr="78FD38EB">
        <w:rPr>
          <w:b/>
          <w:bCs/>
          <w:sz w:val="36"/>
          <w:szCs w:val="36"/>
        </w:rPr>
        <w:t>By ionatan sanda.</w:t>
      </w:r>
    </w:p>
    <w:p w14:paraId="26443E4D" w14:textId="2293D1AA" w:rsidR="175B8306" w:rsidRDefault="175B8306" w:rsidP="78FD38EB">
      <w:pPr>
        <w:jc w:val="center"/>
        <w:rPr>
          <w:b/>
          <w:bCs/>
          <w:sz w:val="36"/>
          <w:szCs w:val="36"/>
        </w:rPr>
      </w:pPr>
      <w:r w:rsidRPr="78FD38EB">
        <w:rPr>
          <w:b/>
          <w:bCs/>
          <w:sz w:val="36"/>
          <w:szCs w:val="36"/>
        </w:rPr>
        <w:t>2322691.</w:t>
      </w:r>
    </w:p>
    <w:p w14:paraId="1547AEFF" w14:textId="19341A8B" w:rsidR="78FD38EB" w:rsidRDefault="78FD38EB"/>
    <w:p w14:paraId="6520AA51" w14:textId="2E45EF23" w:rsidR="78FD38EB" w:rsidRDefault="78FD38EB"/>
    <w:p w14:paraId="47036F14" w14:textId="2C0A248A" w:rsidR="78FD38EB" w:rsidRDefault="78FD38EB"/>
    <w:p w14:paraId="3882078C" w14:textId="1FEFD90C" w:rsidR="78FD38EB" w:rsidRDefault="78FD38EB"/>
    <w:p w14:paraId="6EAA2AD5" w14:textId="483E3415" w:rsidR="78FD38EB" w:rsidRDefault="78FD38EB"/>
    <w:p w14:paraId="685AFD6B" w14:textId="23919A0C" w:rsidR="78FD38EB" w:rsidRDefault="78FD38EB"/>
    <w:p w14:paraId="218FCA55" w14:textId="7F376F6E" w:rsidR="78FD38EB" w:rsidRDefault="78FD38EB"/>
    <w:p w14:paraId="2CA7F00E" w14:textId="7885928C" w:rsidR="78FD38EB" w:rsidRDefault="78FD38EB"/>
    <w:p w14:paraId="0FE7E2E8" w14:textId="04EEC052" w:rsidR="78FD38EB" w:rsidRDefault="78FD38EB"/>
    <w:p w14:paraId="64FD7881" w14:textId="5FD3DDEF" w:rsidR="78FD38EB" w:rsidRDefault="78FD38EB"/>
    <w:p w14:paraId="3EADD5BE" w14:textId="27EFC72A" w:rsidR="78FD38EB" w:rsidRDefault="78FD38EB"/>
    <w:p w14:paraId="7E4535A1" w14:textId="02E1A0CE" w:rsidR="78FD38EB" w:rsidRDefault="78FD38EB"/>
    <w:p w14:paraId="7204C673" w14:textId="42F9CFAE" w:rsidR="78FD38EB" w:rsidRDefault="78FD38EB"/>
    <w:p w14:paraId="7AA5D624" w14:textId="326896E9" w:rsidR="03142E30" w:rsidRDefault="03142E30"/>
    <w:p w14:paraId="392A0C3F" w14:textId="48148C3F" w:rsidR="78FD38EB" w:rsidRDefault="78FD38EB"/>
    <w:sdt>
      <w:sdtPr>
        <w:id w:val="1595967267"/>
        <w:docPartObj>
          <w:docPartGallery w:val="Table of Contents"/>
          <w:docPartUnique/>
        </w:docPartObj>
      </w:sdtPr>
      <w:sdtContent>
        <w:p w14:paraId="05E4E8EC" w14:textId="0F89E416" w:rsidR="6EA19EDD" w:rsidRDefault="6EA19EDD" w:rsidP="6EA19EDD">
          <w:pPr>
            <w:pStyle w:val="TOC3"/>
            <w:tabs>
              <w:tab w:val="right" w:leader="dot" w:pos="9360"/>
            </w:tabs>
            <w:rPr>
              <w:rStyle w:val="Hyperlink"/>
            </w:rPr>
          </w:pPr>
          <w:r>
            <w:fldChar w:fldCharType="begin"/>
          </w:r>
          <w:r>
            <w:instrText>TOC \o "1-9" \z \u \h</w:instrText>
          </w:r>
          <w:r>
            <w:fldChar w:fldCharType="separate"/>
          </w:r>
          <w:hyperlink w:anchor="_Toc1251689789">
            <w:r w:rsidRPr="6EA19EDD">
              <w:rPr>
                <w:rStyle w:val="Hyperlink"/>
              </w:rPr>
              <w:t>1. Introduction</w:t>
            </w:r>
            <w:r>
              <w:tab/>
            </w:r>
            <w:r>
              <w:fldChar w:fldCharType="begin"/>
            </w:r>
            <w:r>
              <w:instrText>PAGEREF _Toc1251689789 \h</w:instrText>
            </w:r>
            <w:r>
              <w:fldChar w:fldCharType="separate"/>
            </w:r>
            <w:r w:rsidRPr="6EA19EDD">
              <w:rPr>
                <w:rStyle w:val="Hyperlink"/>
              </w:rPr>
              <w:t>3</w:t>
            </w:r>
            <w:r>
              <w:fldChar w:fldCharType="end"/>
            </w:r>
          </w:hyperlink>
        </w:p>
        <w:p w14:paraId="6AC38B88" w14:textId="1D37D74F" w:rsidR="6EA19EDD" w:rsidRDefault="6EA19EDD" w:rsidP="6EA19EDD">
          <w:pPr>
            <w:pStyle w:val="TOC3"/>
            <w:tabs>
              <w:tab w:val="right" w:leader="dot" w:pos="9360"/>
            </w:tabs>
            <w:rPr>
              <w:rStyle w:val="Hyperlink"/>
            </w:rPr>
          </w:pPr>
          <w:hyperlink w:anchor="_Toc426676708">
            <w:r w:rsidRPr="6EA19EDD">
              <w:rPr>
                <w:rStyle w:val="Hyperlink"/>
              </w:rPr>
              <w:t>2. Organisational Culture and Its Role in Shaping Structure and Decision-Making</w:t>
            </w:r>
            <w:r>
              <w:tab/>
            </w:r>
            <w:r>
              <w:fldChar w:fldCharType="begin"/>
            </w:r>
            <w:r>
              <w:instrText>PAGEREF _Toc426676708 \h</w:instrText>
            </w:r>
            <w:r>
              <w:fldChar w:fldCharType="separate"/>
            </w:r>
            <w:r w:rsidRPr="6EA19EDD">
              <w:rPr>
                <w:rStyle w:val="Hyperlink"/>
              </w:rPr>
              <w:t>4</w:t>
            </w:r>
            <w:r>
              <w:fldChar w:fldCharType="end"/>
            </w:r>
          </w:hyperlink>
        </w:p>
        <w:p w14:paraId="0B13101C" w14:textId="1E8D7D3E" w:rsidR="6EA19EDD" w:rsidRDefault="6EA19EDD" w:rsidP="6EA19EDD">
          <w:pPr>
            <w:pStyle w:val="TOC3"/>
            <w:tabs>
              <w:tab w:val="right" w:leader="dot" w:pos="9360"/>
            </w:tabs>
            <w:rPr>
              <w:rStyle w:val="Hyperlink"/>
            </w:rPr>
          </w:pPr>
          <w:hyperlink w:anchor="_Toc1635349416">
            <w:r w:rsidRPr="6EA19EDD">
              <w:rPr>
                <w:rStyle w:val="Hyperlink"/>
              </w:rPr>
              <w:t>3. Frameworks for Understanding Organisational Culture</w:t>
            </w:r>
            <w:r>
              <w:tab/>
            </w:r>
            <w:r>
              <w:fldChar w:fldCharType="begin"/>
            </w:r>
            <w:r>
              <w:instrText>PAGEREF _Toc1635349416 \h</w:instrText>
            </w:r>
            <w:r>
              <w:fldChar w:fldCharType="separate"/>
            </w:r>
            <w:r w:rsidRPr="6EA19EDD">
              <w:rPr>
                <w:rStyle w:val="Hyperlink"/>
              </w:rPr>
              <w:t>5</w:t>
            </w:r>
            <w:r>
              <w:fldChar w:fldCharType="end"/>
            </w:r>
          </w:hyperlink>
        </w:p>
        <w:p w14:paraId="1331995E" w14:textId="1FE6C26F" w:rsidR="6EA19EDD" w:rsidRDefault="6EA19EDD" w:rsidP="6EA19EDD">
          <w:pPr>
            <w:pStyle w:val="TOC4"/>
            <w:tabs>
              <w:tab w:val="right" w:leader="dot" w:pos="9360"/>
            </w:tabs>
            <w:rPr>
              <w:rStyle w:val="Hyperlink"/>
            </w:rPr>
          </w:pPr>
          <w:hyperlink w:anchor="_Toc1373406035">
            <w:r w:rsidRPr="6EA19EDD">
              <w:rPr>
                <w:rStyle w:val="Hyperlink"/>
              </w:rPr>
              <w:t>3.1 Schein’s Model of Organisational Culture</w:t>
            </w:r>
            <w:r>
              <w:tab/>
            </w:r>
            <w:r>
              <w:fldChar w:fldCharType="begin"/>
            </w:r>
            <w:r>
              <w:instrText>PAGEREF _Toc1373406035 \h</w:instrText>
            </w:r>
            <w:r>
              <w:fldChar w:fldCharType="separate"/>
            </w:r>
            <w:r w:rsidRPr="6EA19EDD">
              <w:rPr>
                <w:rStyle w:val="Hyperlink"/>
              </w:rPr>
              <w:t>5</w:t>
            </w:r>
            <w:r>
              <w:fldChar w:fldCharType="end"/>
            </w:r>
          </w:hyperlink>
        </w:p>
        <w:p w14:paraId="6743BEE7" w14:textId="3003E742" w:rsidR="6EA19EDD" w:rsidRDefault="6EA19EDD" w:rsidP="6EA19EDD">
          <w:pPr>
            <w:pStyle w:val="TOC4"/>
            <w:tabs>
              <w:tab w:val="right" w:leader="dot" w:pos="9360"/>
            </w:tabs>
            <w:rPr>
              <w:rStyle w:val="Hyperlink"/>
            </w:rPr>
          </w:pPr>
          <w:hyperlink w:anchor="_Toc275732084">
            <w:r w:rsidRPr="6EA19EDD">
              <w:rPr>
                <w:rStyle w:val="Hyperlink"/>
              </w:rPr>
              <w:t>3.2 Hofstede’s Cultural Dimensions</w:t>
            </w:r>
            <w:r>
              <w:tab/>
            </w:r>
            <w:r>
              <w:fldChar w:fldCharType="begin"/>
            </w:r>
            <w:r>
              <w:instrText>PAGEREF _Toc275732084 \h</w:instrText>
            </w:r>
            <w:r>
              <w:fldChar w:fldCharType="separate"/>
            </w:r>
            <w:r w:rsidRPr="6EA19EDD">
              <w:rPr>
                <w:rStyle w:val="Hyperlink"/>
              </w:rPr>
              <w:t>5</w:t>
            </w:r>
            <w:r>
              <w:fldChar w:fldCharType="end"/>
            </w:r>
          </w:hyperlink>
        </w:p>
        <w:p w14:paraId="11A2E3C2" w14:textId="55ED5985" w:rsidR="6EA19EDD" w:rsidRDefault="6EA19EDD" w:rsidP="6EA19EDD">
          <w:pPr>
            <w:pStyle w:val="TOC4"/>
            <w:tabs>
              <w:tab w:val="right" w:leader="dot" w:pos="9360"/>
            </w:tabs>
            <w:rPr>
              <w:rStyle w:val="Hyperlink"/>
            </w:rPr>
          </w:pPr>
          <w:hyperlink w:anchor="_Toc597204332">
            <w:r w:rsidRPr="6EA19EDD">
              <w:rPr>
                <w:rStyle w:val="Hyperlink"/>
              </w:rPr>
              <w:t>3.3 Handy’s Cultural Typologies</w:t>
            </w:r>
            <w:r>
              <w:tab/>
            </w:r>
            <w:r>
              <w:fldChar w:fldCharType="begin"/>
            </w:r>
            <w:r>
              <w:instrText>PAGEREF _Toc597204332 \h</w:instrText>
            </w:r>
            <w:r>
              <w:fldChar w:fldCharType="separate"/>
            </w:r>
            <w:r w:rsidRPr="6EA19EDD">
              <w:rPr>
                <w:rStyle w:val="Hyperlink"/>
              </w:rPr>
              <w:t>6</w:t>
            </w:r>
            <w:r>
              <w:fldChar w:fldCharType="end"/>
            </w:r>
          </w:hyperlink>
        </w:p>
        <w:p w14:paraId="3054F169" w14:textId="6C0F785E" w:rsidR="6EA19EDD" w:rsidRDefault="6EA19EDD" w:rsidP="6EA19EDD">
          <w:pPr>
            <w:pStyle w:val="TOC3"/>
            <w:tabs>
              <w:tab w:val="right" w:leader="dot" w:pos="9360"/>
            </w:tabs>
            <w:rPr>
              <w:rStyle w:val="Hyperlink"/>
            </w:rPr>
          </w:pPr>
          <w:hyperlink w:anchor="_Toc1109940479">
            <w:r w:rsidRPr="6EA19EDD">
              <w:rPr>
                <w:rStyle w:val="Hyperlink"/>
              </w:rPr>
              <w:t>4. Toyota’s Organisational Culture: Characteristics and Evolution</w:t>
            </w:r>
            <w:r>
              <w:tab/>
            </w:r>
            <w:r>
              <w:fldChar w:fldCharType="begin"/>
            </w:r>
            <w:r>
              <w:instrText>PAGEREF _Toc1109940479 \h</w:instrText>
            </w:r>
            <w:r>
              <w:fldChar w:fldCharType="separate"/>
            </w:r>
            <w:r w:rsidRPr="6EA19EDD">
              <w:rPr>
                <w:rStyle w:val="Hyperlink"/>
              </w:rPr>
              <w:t>6</w:t>
            </w:r>
            <w:r>
              <w:fldChar w:fldCharType="end"/>
            </w:r>
          </w:hyperlink>
        </w:p>
        <w:p w14:paraId="73D066E2" w14:textId="1979F687" w:rsidR="6EA19EDD" w:rsidRDefault="6EA19EDD" w:rsidP="6EA19EDD">
          <w:pPr>
            <w:pStyle w:val="TOC3"/>
            <w:tabs>
              <w:tab w:val="right" w:leader="dot" w:pos="9360"/>
            </w:tabs>
            <w:rPr>
              <w:rStyle w:val="Hyperlink"/>
            </w:rPr>
          </w:pPr>
          <w:hyperlink w:anchor="_Toc1604816320">
            <w:r w:rsidRPr="6EA19EDD">
              <w:rPr>
                <w:rStyle w:val="Hyperlink"/>
              </w:rPr>
              <w:t>5. Cultural Adaptation to External Environments</w:t>
            </w:r>
            <w:r>
              <w:tab/>
            </w:r>
            <w:r>
              <w:fldChar w:fldCharType="begin"/>
            </w:r>
            <w:r>
              <w:instrText>PAGEREF _Toc1604816320 \h</w:instrText>
            </w:r>
            <w:r>
              <w:fldChar w:fldCharType="separate"/>
            </w:r>
            <w:r w:rsidRPr="6EA19EDD">
              <w:rPr>
                <w:rStyle w:val="Hyperlink"/>
              </w:rPr>
              <w:t>7</w:t>
            </w:r>
            <w:r>
              <w:fldChar w:fldCharType="end"/>
            </w:r>
          </w:hyperlink>
        </w:p>
        <w:p w14:paraId="31C664B9" w14:textId="678950E0" w:rsidR="6EA19EDD" w:rsidRDefault="6EA19EDD" w:rsidP="6EA19EDD">
          <w:pPr>
            <w:pStyle w:val="TOC3"/>
            <w:tabs>
              <w:tab w:val="right" w:leader="dot" w:pos="9360"/>
            </w:tabs>
            <w:rPr>
              <w:rStyle w:val="Hyperlink"/>
            </w:rPr>
          </w:pPr>
          <w:hyperlink w:anchor="_Toc1762648465">
            <w:r w:rsidRPr="6EA19EDD">
              <w:rPr>
                <w:rStyle w:val="Hyperlink"/>
              </w:rPr>
              <w:t>6. Is Organisational Culture a Barrier or Enabler of Effectiveness?</w:t>
            </w:r>
            <w:r>
              <w:tab/>
            </w:r>
            <w:r>
              <w:fldChar w:fldCharType="begin"/>
            </w:r>
            <w:r>
              <w:instrText>PAGEREF _Toc1762648465 \h</w:instrText>
            </w:r>
            <w:r>
              <w:fldChar w:fldCharType="separate"/>
            </w:r>
            <w:r w:rsidRPr="6EA19EDD">
              <w:rPr>
                <w:rStyle w:val="Hyperlink"/>
              </w:rPr>
              <w:t>7</w:t>
            </w:r>
            <w:r>
              <w:fldChar w:fldCharType="end"/>
            </w:r>
          </w:hyperlink>
        </w:p>
        <w:p w14:paraId="4336AD2C" w14:textId="7F5D531B" w:rsidR="6EA19EDD" w:rsidRDefault="6EA19EDD" w:rsidP="6EA19EDD">
          <w:pPr>
            <w:pStyle w:val="TOC3"/>
            <w:tabs>
              <w:tab w:val="right" w:leader="dot" w:pos="9360"/>
            </w:tabs>
            <w:rPr>
              <w:rStyle w:val="Hyperlink"/>
            </w:rPr>
          </w:pPr>
          <w:hyperlink w:anchor="_Toc1277769587">
            <w:r w:rsidRPr="6EA19EDD">
              <w:rPr>
                <w:rStyle w:val="Hyperlink"/>
              </w:rPr>
              <w:t>7. Impact of Organisational Culture on Toyota’s Performance</w:t>
            </w:r>
            <w:r>
              <w:tab/>
            </w:r>
            <w:r>
              <w:fldChar w:fldCharType="begin"/>
            </w:r>
            <w:r>
              <w:instrText>PAGEREF _Toc1277769587 \h</w:instrText>
            </w:r>
            <w:r>
              <w:fldChar w:fldCharType="separate"/>
            </w:r>
            <w:r w:rsidRPr="6EA19EDD">
              <w:rPr>
                <w:rStyle w:val="Hyperlink"/>
              </w:rPr>
              <w:t>8</w:t>
            </w:r>
            <w:r>
              <w:fldChar w:fldCharType="end"/>
            </w:r>
          </w:hyperlink>
        </w:p>
        <w:p w14:paraId="32DE0C8E" w14:textId="64CBF3A4" w:rsidR="6EA19EDD" w:rsidRDefault="6EA19EDD" w:rsidP="6EA19EDD">
          <w:pPr>
            <w:pStyle w:val="TOC3"/>
            <w:tabs>
              <w:tab w:val="right" w:leader="dot" w:pos="9360"/>
            </w:tabs>
            <w:rPr>
              <w:rStyle w:val="Hyperlink"/>
            </w:rPr>
          </w:pPr>
          <w:hyperlink w:anchor="_Toc1936019363">
            <w:r w:rsidRPr="6EA19EDD">
              <w:rPr>
                <w:rStyle w:val="Hyperlink"/>
              </w:rPr>
              <w:t>8. Recommendations for Improvement</w:t>
            </w:r>
            <w:r>
              <w:tab/>
            </w:r>
            <w:r>
              <w:fldChar w:fldCharType="begin"/>
            </w:r>
            <w:r>
              <w:instrText>PAGEREF _Toc1936019363 \h</w:instrText>
            </w:r>
            <w:r>
              <w:fldChar w:fldCharType="separate"/>
            </w:r>
            <w:r w:rsidRPr="6EA19EDD">
              <w:rPr>
                <w:rStyle w:val="Hyperlink"/>
              </w:rPr>
              <w:t>9</w:t>
            </w:r>
            <w:r>
              <w:fldChar w:fldCharType="end"/>
            </w:r>
          </w:hyperlink>
        </w:p>
        <w:p w14:paraId="302897E2" w14:textId="47E0C5F8" w:rsidR="6EA19EDD" w:rsidRDefault="6EA19EDD" w:rsidP="6EA19EDD">
          <w:pPr>
            <w:pStyle w:val="TOC3"/>
            <w:tabs>
              <w:tab w:val="right" w:leader="dot" w:pos="9360"/>
            </w:tabs>
            <w:rPr>
              <w:rStyle w:val="Hyperlink"/>
            </w:rPr>
          </w:pPr>
          <w:hyperlink w:anchor="_Toc1510359412">
            <w:r w:rsidRPr="6EA19EDD">
              <w:rPr>
                <w:rStyle w:val="Hyperlink"/>
              </w:rPr>
              <w:t>9. Conclusion</w:t>
            </w:r>
            <w:r>
              <w:tab/>
            </w:r>
            <w:r>
              <w:fldChar w:fldCharType="begin"/>
            </w:r>
            <w:r>
              <w:instrText>PAGEREF _Toc1510359412 \h</w:instrText>
            </w:r>
            <w:r>
              <w:fldChar w:fldCharType="separate"/>
            </w:r>
            <w:r w:rsidRPr="6EA19EDD">
              <w:rPr>
                <w:rStyle w:val="Hyperlink"/>
              </w:rPr>
              <w:t>9</w:t>
            </w:r>
            <w:r>
              <w:fldChar w:fldCharType="end"/>
            </w:r>
          </w:hyperlink>
          <w:r>
            <w:fldChar w:fldCharType="end"/>
          </w:r>
        </w:p>
      </w:sdtContent>
    </w:sdt>
    <w:p w14:paraId="562891B2" w14:textId="7DACCCFA" w:rsidR="78FD38EB" w:rsidRDefault="78FD38EB"/>
    <w:p w14:paraId="29218985" w14:textId="7D64FC18" w:rsidR="78FD38EB" w:rsidRDefault="78FD38EB"/>
    <w:p w14:paraId="48EC0C15" w14:textId="459367C2" w:rsidR="78FD38EB" w:rsidRDefault="78FD38EB"/>
    <w:p w14:paraId="034C466E" w14:textId="1C84750C" w:rsidR="78FD38EB" w:rsidRDefault="78FD38EB"/>
    <w:p w14:paraId="68EFC474" w14:textId="5AC39B8C" w:rsidR="78FD38EB" w:rsidRDefault="78FD38EB"/>
    <w:p w14:paraId="4A894CFF" w14:textId="67F31F37" w:rsidR="78FD38EB" w:rsidRDefault="78FD38EB"/>
    <w:p w14:paraId="02B8E785" w14:textId="2B99343C" w:rsidR="78FD38EB" w:rsidRDefault="78FD38EB"/>
    <w:p w14:paraId="40A65E28" w14:textId="52E26CA3" w:rsidR="78FD38EB" w:rsidRDefault="78FD38EB"/>
    <w:p w14:paraId="3C0E237E" w14:textId="2B668938" w:rsidR="78FD38EB" w:rsidRDefault="78FD38EB"/>
    <w:p w14:paraId="3456D813" w14:textId="7E8FBD3E" w:rsidR="78FD38EB" w:rsidRDefault="78FD38EB"/>
    <w:p w14:paraId="4B898226" w14:textId="1A9AD1D1" w:rsidR="78FD38EB" w:rsidRDefault="78FD38EB"/>
    <w:p w14:paraId="45933BCE" w14:textId="3B3D5013" w:rsidR="78FD38EB" w:rsidRDefault="78FD38EB"/>
    <w:p w14:paraId="7515CCDE" w14:textId="2D6B1264" w:rsidR="78FD38EB" w:rsidRDefault="78FD38EB"/>
    <w:p w14:paraId="56ABA7D2" w14:textId="6219CF78" w:rsidR="78FD38EB" w:rsidRDefault="78FD38EB"/>
    <w:p w14:paraId="36A8A654" w14:textId="6CDE154E" w:rsidR="78FD38EB" w:rsidRDefault="78FD38EB"/>
    <w:p w14:paraId="1DCF0D67" w14:textId="54DE40CB" w:rsidR="78FD38EB" w:rsidRDefault="78FD38EB" w:rsidP="78FD38EB"/>
    <w:p w14:paraId="247A2663" w14:textId="6D3A2647" w:rsidR="13D14502" w:rsidRDefault="13D14502" w:rsidP="13D14502"/>
    <w:p w14:paraId="7C8BD90E" w14:textId="77777777" w:rsidR="00FB604D" w:rsidRPr="00FB604D" w:rsidRDefault="00FB604D" w:rsidP="03142E30">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bookmarkStart w:id="0" w:name="_Toc1251689789"/>
      <w:r w:rsidRPr="03142E30">
        <w:rPr>
          <w:rFonts w:ascii="Times New Roman" w:eastAsia="Times New Roman" w:hAnsi="Times New Roman" w:cs="Times New Roman"/>
          <w:b/>
          <w:bCs/>
          <w:sz w:val="27"/>
          <w:szCs w:val="27"/>
          <w:lang w:val="en-GB" w:eastAsia="en-GB"/>
        </w:rPr>
        <w:t>1. Introduction</w:t>
      </w:r>
      <w:bookmarkEnd w:id="0"/>
    </w:p>
    <w:p w14:paraId="2B45FA63" w14:textId="20F96020" w:rsidR="03142E30" w:rsidRDefault="03142E30" w:rsidP="03142E30">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1C12F077"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1D9FBACE"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Organisational culture plays a crucial role in shaping the values, beliefs, and behaviours that influence how work is conducted within an organisation. As defined by </w:t>
      </w:r>
      <w:proofErr w:type="spellStart"/>
      <w:r w:rsidRPr="00FB604D">
        <w:rPr>
          <w:rFonts w:ascii="Times New Roman" w:hAnsi="Times New Roman" w:cs="Times New Roman"/>
          <w:lang w:val="en-GB" w:eastAsia="en-GB"/>
        </w:rPr>
        <w:t>Schein</w:t>
      </w:r>
      <w:proofErr w:type="spellEnd"/>
      <w:r w:rsidRPr="00FB604D">
        <w:rPr>
          <w:rFonts w:ascii="Times New Roman" w:hAnsi="Times New Roman" w:cs="Times New Roman"/>
          <w:lang w:val="en-GB" w:eastAsia="en-GB"/>
        </w:rPr>
        <w:t xml:space="preserve"> (2017), culture represents the shared assumptions that guide how employees perceive, think, and react to their environment. The culture of an organisation directly affects decision-making, management control, and overall performance. In the global automotive industry, Toyota Motor Corporation stands out as a case study for the power of a strong organisational culture to drive innovation, efficiency, and adaptability.</w:t>
      </w:r>
    </w:p>
    <w:p w14:paraId="13CE45CF"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6B58C8EC"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Toyota’s culture—often referred to as the Toyota Way—is characterised by continuous improvement (kaizen) and respect for people (Liker, 2004). These principles have shaped its production systems, leadership style, and employee engagement strategies. However, globalisation and market pressures have forced Toyota to adapt its cultural practices to remain competitive and responsive to changing environmental conditions (</w:t>
      </w:r>
      <w:proofErr w:type="spellStart"/>
      <w:r w:rsidRPr="00FB604D">
        <w:rPr>
          <w:rFonts w:ascii="Times New Roman" w:hAnsi="Times New Roman" w:cs="Times New Roman"/>
          <w:lang w:val="en-GB" w:eastAsia="en-GB"/>
        </w:rPr>
        <w:t>Bodek</w:t>
      </w:r>
      <w:proofErr w:type="spellEnd"/>
      <w:r w:rsidRPr="00FB604D">
        <w:rPr>
          <w:rFonts w:ascii="Times New Roman" w:hAnsi="Times New Roman" w:cs="Times New Roman"/>
          <w:lang w:val="en-GB" w:eastAsia="en-GB"/>
        </w:rPr>
        <w:t>, 2020).</w:t>
      </w:r>
    </w:p>
    <w:p w14:paraId="482104D0"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73ABB305" w14:textId="0C3D0143" w:rsidR="005E3F03" w:rsidRDefault="00FB604D">
      <w:pPr>
        <w:pStyle w:val="p1"/>
      </w:pPr>
      <w:r w:rsidRPr="00FB604D">
        <w:t>This report critically examines how organisational culture influences Toyota’s structure, decision-making, and performance. It applies relevant theoretical frameworks—</w:t>
      </w:r>
      <w:proofErr w:type="spellStart"/>
      <w:r w:rsidRPr="00FB604D">
        <w:t>Schein’s</w:t>
      </w:r>
      <w:proofErr w:type="spellEnd"/>
      <w:r w:rsidRPr="00FB604D">
        <w:t xml:space="preserve"> model of organisational culture, </w:t>
      </w:r>
      <w:proofErr w:type="spellStart"/>
      <w:r w:rsidRPr="00FB604D">
        <w:t>Hofstede’s</w:t>
      </w:r>
      <w:proofErr w:type="spellEnd"/>
      <w:r w:rsidRPr="00FB604D">
        <w:t xml:space="preserve"> cultural dimensions, and Handy’s typologies—to analyse Toyota’s internal environment. It also evaluates the extent to which culture serves as either an enabler or barrier to effective functioning and provides recommendations for sustaining cultural alignment in a dynamic global market.</w:t>
      </w:r>
    </w:p>
    <w:p w14:paraId="5072DEAF" w14:textId="1AE485C5" w:rsidR="3E4FD114" w:rsidRDefault="3E4FD114" w:rsidP="3E4FD114">
      <w:pPr>
        <w:pStyle w:val="p1"/>
      </w:pPr>
    </w:p>
    <w:p w14:paraId="422742CC" w14:textId="5F978094" w:rsidR="00807623" w:rsidRDefault="00807623">
      <w:pPr>
        <w:pStyle w:val="p1"/>
        <w:rPr>
          <w:rStyle w:val="s1"/>
        </w:rPr>
      </w:pPr>
      <w:r>
        <w:rPr>
          <w:rStyle w:val="s1"/>
        </w:rPr>
        <w:t>In continuing</w:t>
      </w:r>
      <w:r w:rsidR="7E00C9CF" w:rsidRPr="5B95A3BC">
        <w:rPr>
          <w:rStyle w:val="s1"/>
        </w:rPr>
        <w:t>,</w:t>
      </w:r>
      <w:r>
        <w:rPr>
          <w:rStyle w:val="s1"/>
        </w:rPr>
        <w:t xml:space="preserve"> this exploration, it is also essential to recognise that Toyota’s cultural strength lies not only in its operational excellence but in its ability to embed learning and reflection into everyday processes. The organisation’s commitment to </w:t>
      </w:r>
      <w:r>
        <w:rPr>
          <w:rStyle w:val="s2"/>
        </w:rPr>
        <w:t>kaizen</w:t>
      </w:r>
      <w:r>
        <w:rPr>
          <w:rStyle w:val="s1"/>
        </w:rPr>
        <w:t xml:space="preserve"> has become more than a management philosophy—it represents a deep-seated cultural mechanism that enables continuous organisational renewal (</w:t>
      </w:r>
      <w:proofErr w:type="spellStart"/>
      <w:r>
        <w:rPr>
          <w:rStyle w:val="s1"/>
        </w:rPr>
        <w:t>Emiliani</w:t>
      </w:r>
      <w:proofErr w:type="spellEnd"/>
      <w:r>
        <w:rPr>
          <w:rStyle w:val="s1"/>
        </w:rPr>
        <w:t xml:space="preserve">, 2008). Employees at every level are encouraged to identify inefficiencies and propose small, incremental changes that collectively drive innovation. This bottom-up approach empowers staff to act as custodians of Toyota’s values, creating a dynamic feedback loop between culture and performance (Liker &amp; </w:t>
      </w:r>
      <w:proofErr w:type="spellStart"/>
      <w:r>
        <w:rPr>
          <w:rStyle w:val="s1"/>
        </w:rPr>
        <w:t>Convis</w:t>
      </w:r>
      <w:proofErr w:type="spellEnd"/>
      <w:r>
        <w:rPr>
          <w:rStyle w:val="s1"/>
        </w:rPr>
        <w:t>, 2012).</w:t>
      </w:r>
    </w:p>
    <w:p w14:paraId="773A66EB" w14:textId="77777777" w:rsidR="00807623" w:rsidRDefault="00807623">
      <w:pPr>
        <w:pStyle w:val="p2"/>
      </w:pPr>
    </w:p>
    <w:p w14:paraId="168B4B45" w14:textId="77777777" w:rsidR="00807623" w:rsidRDefault="00807623">
      <w:pPr>
        <w:pStyle w:val="p1"/>
      </w:pPr>
      <w:r>
        <w:rPr>
          <w:rStyle w:val="s1"/>
        </w:rPr>
        <w:t xml:space="preserve">Furthermore, Toyota’s cultural resilience can be understood </w:t>
      </w:r>
      <w:bookmarkStart w:id="1" w:name="_Int_EHYRNDNm"/>
      <w:r>
        <w:rPr>
          <w:rStyle w:val="s1"/>
        </w:rPr>
        <w:t>in light of</w:t>
      </w:r>
      <w:bookmarkEnd w:id="1"/>
      <w:r>
        <w:rPr>
          <w:rStyle w:val="s1"/>
        </w:rPr>
        <w:t xml:space="preserve"> </w:t>
      </w:r>
      <w:r>
        <w:rPr>
          <w:rStyle w:val="s3"/>
        </w:rPr>
        <w:t>systems thinking</w:t>
      </w:r>
      <w:r>
        <w:rPr>
          <w:rStyle w:val="s1"/>
        </w:rPr>
        <w:t>, where each component of the organisation functions as part of a larger, interdependent whole (</w:t>
      </w:r>
      <w:proofErr w:type="spellStart"/>
      <w:r>
        <w:rPr>
          <w:rStyle w:val="s1"/>
        </w:rPr>
        <w:t>Senge</w:t>
      </w:r>
      <w:proofErr w:type="spellEnd"/>
      <w:r>
        <w:rPr>
          <w:rStyle w:val="s1"/>
        </w:rPr>
        <w:t>, 2006). This holistic mindset reinforces Toyota’s strategic consistency, ensuring that its structural and decision-making processes remain coherent across regions and product lines. Even as external conditions evolve—through digital disruption, environmental regulations, or global crises—Toyota’s culture provides a stable framework for adaptation. In this sense, culture serves not merely as a background element but as a living system of shared meaning that both shapes and is shaped by the organisation’s ongoing pursuit of excellence (</w:t>
      </w:r>
      <w:proofErr w:type="spellStart"/>
      <w:r>
        <w:rPr>
          <w:rStyle w:val="s1"/>
        </w:rPr>
        <w:t>Hino</w:t>
      </w:r>
      <w:proofErr w:type="spellEnd"/>
      <w:r>
        <w:rPr>
          <w:rStyle w:val="s1"/>
        </w:rPr>
        <w:t>, 2006).</w:t>
      </w:r>
    </w:p>
    <w:p w14:paraId="35C27BCD" w14:textId="78D36051"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53E08491" w14:textId="754E176C" w:rsidR="03142E30" w:rsidRDefault="03142E30" w:rsidP="03142E30">
      <w:pPr>
        <w:spacing w:after="0" w:line="240" w:lineRule="auto"/>
      </w:pPr>
    </w:p>
    <w:p w14:paraId="011431F5" w14:textId="77777777" w:rsidR="00FB604D" w:rsidRPr="00FB604D" w:rsidRDefault="00FB604D" w:rsidP="00FB604D">
      <w:pPr>
        <w:spacing w:after="0" w:line="240" w:lineRule="auto"/>
        <w:rPr>
          <w:rFonts w:ascii="Times New Roman" w:eastAsia="Times New Roman" w:hAnsi="Times New Roman" w:cs="Times New Roman"/>
          <w:lang w:val="en-GB" w:eastAsia="en-GB"/>
        </w:rPr>
      </w:pPr>
      <w:r>
        <w:rPr>
          <w:noProof/>
        </w:rPr>
        <mc:AlternateContent>
          <mc:Choice Requires="wps">
            <w:drawing>
              <wp:inline distT="0" distB="0" distL="0" distR="0" wp14:anchorId="72571C9B" wp14:editId="63C2362F">
                <wp:extent cx="5943600" cy="1270"/>
                <wp:effectExtent l="0" t="31750" r="0" b="36830"/>
                <wp:docPr id="1587662012" name="Rectangle 10">
                  <a:extLst xmlns:a="http://schemas.openxmlformats.org/drawingml/2006/main">
                    <a:ext uri="{FF2B5EF4-FFF2-40B4-BE49-F238E27FC236}">
                      <a16:creationId xmlns:a16="http://schemas.microsoft.com/office/drawing/2014/main" id="{3F773EDD-C064-4BDB-836C-BE6E296D6AC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mc:AlternateContent>
      </w:r>
    </w:p>
    <w:p w14:paraId="7DDED471" w14:textId="798FA103" w:rsidR="03142E30" w:rsidRDefault="03142E30" w:rsidP="03142E30">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46B5908D" w14:textId="4CB2B124" w:rsidR="03142E30" w:rsidRDefault="03142E30" w:rsidP="03142E30">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1F41191B" w14:textId="3341EC34" w:rsidR="00FB604D" w:rsidRPr="00FB604D" w:rsidRDefault="00FB604D" w:rsidP="13D14502">
      <w:pPr>
        <w:spacing w:before="100" w:beforeAutospacing="1" w:after="100" w:afterAutospacing="1" w:line="240" w:lineRule="auto"/>
        <w:outlineLvl w:val="2"/>
        <w:rPr>
          <w:rFonts w:ascii="Times New Roman" w:hAnsi="Times New Roman" w:cs="Times New Roman"/>
          <w:b/>
          <w:sz w:val="27"/>
          <w:szCs w:val="27"/>
          <w:lang w:val="en-GB" w:eastAsia="en-GB"/>
        </w:rPr>
      </w:pPr>
      <w:bookmarkStart w:id="2" w:name="_Toc426676708"/>
      <w:r w:rsidRPr="00FB604D">
        <w:rPr>
          <w:rFonts w:ascii="Times New Roman" w:eastAsia="Times New Roman" w:hAnsi="Times New Roman" w:cs="Times New Roman"/>
          <w:b/>
          <w:bCs/>
          <w:sz w:val="27"/>
          <w:szCs w:val="27"/>
          <w:lang w:val="en-GB" w:eastAsia="en-GB"/>
        </w:rPr>
        <w:t>2. Organisational Culture and Its Role in Shaping Structure and Decision-Making</w:t>
      </w:r>
      <w:bookmarkEnd w:id="2"/>
    </w:p>
    <w:p w14:paraId="12907CAA" w14:textId="170065DA" w:rsidR="13D14502" w:rsidRDefault="13D14502" w:rsidP="13D14502">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1F6CD423"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Organisational culture is a determinant of both structural design and decision-making processes. It defines the underlying values and norms that shape relationships, communication, and leadership (Mullins &amp; Christy, 2016). At Toyota, culture drives a lean organisational structure—flat, decentralised, and designed to empower employees at all levels to make decisions that improve quality and efficiency (</w:t>
      </w:r>
      <w:proofErr w:type="spellStart"/>
      <w:r w:rsidRPr="00FB604D">
        <w:rPr>
          <w:rFonts w:ascii="Times New Roman" w:hAnsi="Times New Roman" w:cs="Times New Roman"/>
          <w:lang w:val="en-GB" w:eastAsia="en-GB"/>
        </w:rPr>
        <w:t>Ohno</w:t>
      </w:r>
      <w:proofErr w:type="spellEnd"/>
      <w:r w:rsidRPr="00FB604D">
        <w:rPr>
          <w:rFonts w:ascii="Times New Roman" w:hAnsi="Times New Roman" w:cs="Times New Roman"/>
          <w:lang w:val="en-GB" w:eastAsia="en-GB"/>
        </w:rPr>
        <w:t>, 1988).</w:t>
      </w:r>
    </w:p>
    <w:p w14:paraId="2D130674"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4DEB4B69"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The Toyota Production System (TPS) exemplifies how culture and structure are interdependent. The TPS encourages decision-making at the operational level through the principle of </w:t>
      </w:r>
      <w:proofErr w:type="spellStart"/>
      <w:r w:rsidRPr="00FB604D">
        <w:rPr>
          <w:rFonts w:ascii="Times New Roman" w:hAnsi="Times New Roman" w:cs="Times New Roman"/>
          <w:lang w:val="en-GB" w:eastAsia="en-GB"/>
        </w:rPr>
        <w:t>jidoka</w:t>
      </w:r>
      <w:proofErr w:type="spellEnd"/>
      <w:r w:rsidRPr="00FB604D">
        <w:rPr>
          <w:rFonts w:ascii="Times New Roman" w:hAnsi="Times New Roman" w:cs="Times New Roman"/>
          <w:lang w:val="en-GB" w:eastAsia="en-GB"/>
        </w:rPr>
        <w:t xml:space="preserve"> (</w:t>
      </w:r>
      <w:proofErr w:type="spellStart"/>
      <w:r w:rsidRPr="00FB604D">
        <w:rPr>
          <w:rFonts w:ascii="Times New Roman" w:hAnsi="Times New Roman" w:cs="Times New Roman"/>
          <w:lang w:val="en-GB" w:eastAsia="en-GB"/>
        </w:rPr>
        <w:t>autonomation</w:t>
      </w:r>
      <w:proofErr w:type="spellEnd"/>
      <w:r w:rsidRPr="00FB604D">
        <w:rPr>
          <w:rFonts w:ascii="Times New Roman" w:hAnsi="Times New Roman" w:cs="Times New Roman"/>
          <w:lang w:val="en-GB" w:eastAsia="en-GB"/>
        </w:rPr>
        <w:t>), which allows employees to stop production when problems occur. This approach demonstrates Toyota’s trust-based culture and commitment to continuous improvement (</w:t>
      </w:r>
      <w:proofErr w:type="spellStart"/>
      <w:r w:rsidRPr="00FB604D">
        <w:rPr>
          <w:rFonts w:ascii="Times New Roman" w:hAnsi="Times New Roman" w:cs="Times New Roman"/>
          <w:lang w:val="en-GB" w:eastAsia="en-GB"/>
        </w:rPr>
        <w:t>Holweg</w:t>
      </w:r>
      <w:proofErr w:type="spellEnd"/>
      <w:r w:rsidRPr="00FB604D">
        <w:rPr>
          <w:rFonts w:ascii="Times New Roman" w:hAnsi="Times New Roman" w:cs="Times New Roman"/>
          <w:lang w:val="en-GB" w:eastAsia="en-GB"/>
        </w:rPr>
        <w:t>, 2007).</w:t>
      </w:r>
    </w:p>
    <w:p w14:paraId="56B8C89F"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09F54E90"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Cultural values at Toyota also inform leadership behaviour. Managers are expected to act as facilitators and mentors rather than controllers (Liker &amp; </w:t>
      </w:r>
      <w:proofErr w:type="spellStart"/>
      <w:r w:rsidRPr="00FB604D">
        <w:rPr>
          <w:rFonts w:ascii="Times New Roman" w:hAnsi="Times New Roman" w:cs="Times New Roman"/>
          <w:lang w:val="en-GB" w:eastAsia="en-GB"/>
        </w:rPr>
        <w:t>Convis</w:t>
      </w:r>
      <w:proofErr w:type="spellEnd"/>
      <w:r w:rsidRPr="00FB604D">
        <w:rPr>
          <w:rFonts w:ascii="Times New Roman" w:hAnsi="Times New Roman" w:cs="Times New Roman"/>
          <w:lang w:val="en-GB" w:eastAsia="en-GB"/>
        </w:rPr>
        <w:t xml:space="preserve">, 2012). Decision-making is collective, often based on </w:t>
      </w:r>
      <w:proofErr w:type="spellStart"/>
      <w:r w:rsidRPr="00FB604D">
        <w:rPr>
          <w:rFonts w:ascii="Times New Roman" w:hAnsi="Times New Roman" w:cs="Times New Roman"/>
          <w:lang w:val="en-GB" w:eastAsia="en-GB"/>
        </w:rPr>
        <w:t>nemawashi</w:t>
      </w:r>
      <w:proofErr w:type="spellEnd"/>
      <w:r w:rsidRPr="00FB604D">
        <w:rPr>
          <w:rFonts w:ascii="Times New Roman" w:hAnsi="Times New Roman" w:cs="Times New Roman"/>
          <w:lang w:val="en-GB" w:eastAsia="en-GB"/>
        </w:rPr>
        <w:t xml:space="preserve">—a process of building consensus before implementing major changes. This reflects a high-context, collectivist culture, aligning with </w:t>
      </w:r>
      <w:proofErr w:type="spellStart"/>
      <w:r w:rsidRPr="00FB604D">
        <w:rPr>
          <w:rFonts w:ascii="Times New Roman" w:hAnsi="Times New Roman" w:cs="Times New Roman"/>
          <w:lang w:val="en-GB" w:eastAsia="en-GB"/>
        </w:rPr>
        <w:t>Hofstede’s</w:t>
      </w:r>
      <w:proofErr w:type="spellEnd"/>
      <w:r w:rsidRPr="00FB604D">
        <w:rPr>
          <w:rFonts w:ascii="Times New Roman" w:hAnsi="Times New Roman" w:cs="Times New Roman"/>
          <w:lang w:val="en-GB" w:eastAsia="en-GB"/>
        </w:rPr>
        <w:t xml:space="preserve"> (2011) finding that Japanese culture scores high on collectivism and uncertainty avoidance.</w:t>
      </w:r>
    </w:p>
    <w:p w14:paraId="22D392C7"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29B29311" w14:textId="32433168" w:rsid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Toyota’s culture also emphasises learning from failure. Unlike many Western organisations that penalise mistakes, Toyota’s leaders view problems as opportunities for learning and innovation (</w:t>
      </w:r>
      <w:proofErr w:type="spellStart"/>
      <w:r w:rsidRPr="00FB604D">
        <w:rPr>
          <w:rFonts w:ascii="Times New Roman" w:hAnsi="Times New Roman" w:cs="Times New Roman"/>
          <w:lang w:val="en-GB" w:eastAsia="en-GB"/>
        </w:rPr>
        <w:t>Emiliani</w:t>
      </w:r>
      <w:proofErr w:type="spellEnd"/>
      <w:r w:rsidRPr="00FB604D">
        <w:rPr>
          <w:rFonts w:ascii="Times New Roman" w:hAnsi="Times New Roman" w:cs="Times New Roman"/>
          <w:lang w:val="en-GB" w:eastAsia="en-GB"/>
        </w:rPr>
        <w:t>, 2008). This perspective supports a continuous learning structure, where decision-making integrates reflection, experimentation, and collaborative problem-solving.</w:t>
      </w:r>
      <w:r w:rsidR="002B008C">
        <w:rPr>
          <w:rFonts w:ascii="Times New Roman" w:hAnsi="Times New Roman" w:cs="Times New Roman"/>
          <w:lang w:val="en-GB" w:eastAsia="en-GB"/>
        </w:rPr>
        <w:t xml:space="preserve"> </w:t>
      </w:r>
    </w:p>
    <w:p w14:paraId="176CF0B8" w14:textId="33EEEE82" w:rsidR="002B008C" w:rsidRDefault="002B008C">
      <w:pPr>
        <w:pStyle w:val="p1"/>
      </w:pPr>
      <w:r>
        <w:rPr>
          <w:rStyle w:val="s1"/>
        </w:rPr>
        <w:t xml:space="preserve">Moreover, Toyota’s decision-making culture also reflects the principles of </w:t>
      </w:r>
      <w:r>
        <w:rPr>
          <w:rStyle w:val="s2"/>
        </w:rPr>
        <w:t>distributed leadership</w:t>
      </w:r>
      <w:r>
        <w:rPr>
          <w:rStyle w:val="s1"/>
        </w:rPr>
        <w:t xml:space="preserve">, where authority and responsibility are shared rather than centralised. </w:t>
      </w:r>
    </w:p>
    <w:p w14:paraId="03FFA84D" w14:textId="56B82A38" w:rsidR="002B008C" w:rsidRDefault="002B008C" w:rsidP="6EA19EDD">
      <w:pPr>
        <w:pStyle w:val="p1"/>
        <w:rPr>
          <w:rStyle w:val="s1"/>
        </w:rPr>
      </w:pPr>
    </w:p>
    <w:p w14:paraId="5078E1A4" w14:textId="65AE6F64" w:rsidR="002B008C" w:rsidRDefault="002B008C">
      <w:pPr>
        <w:pStyle w:val="p1"/>
      </w:pPr>
      <w:r>
        <w:rPr>
          <w:rStyle w:val="s1"/>
        </w:rPr>
        <w:t xml:space="preserve">This approach aligns with the concept of </w:t>
      </w:r>
      <w:r>
        <w:rPr>
          <w:rStyle w:val="s3"/>
        </w:rPr>
        <w:t>empowerment theory</w:t>
      </w:r>
      <w:r>
        <w:rPr>
          <w:rStyle w:val="s1"/>
        </w:rPr>
        <w:t xml:space="preserve">, which argues that organisations perform best when individuals have autonomy and ownership over their tasks (Conger &amp; </w:t>
      </w:r>
      <w:proofErr w:type="spellStart"/>
      <w:r>
        <w:rPr>
          <w:rStyle w:val="s1"/>
        </w:rPr>
        <w:t>Kanungo</w:t>
      </w:r>
      <w:proofErr w:type="spellEnd"/>
      <w:r>
        <w:rPr>
          <w:rStyle w:val="s1"/>
        </w:rPr>
        <w:t>, 1988). In Toyota’s context, this is achieved through the delegation of decision-making power to team leaders and operators who possess the technical expertise to resolve issues at the source. Such decentralisation enhances responsiveness, reduces bureaucratic delay, and builds a sense of trust between management and the workforce (</w:t>
      </w:r>
      <w:proofErr w:type="spellStart"/>
      <w:r>
        <w:rPr>
          <w:rStyle w:val="s1"/>
        </w:rPr>
        <w:t>Hino</w:t>
      </w:r>
      <w:proofErr w:type="spellEnd"/>
      <w:r>
        <w:rPr>
          <w:rStyle w:val="s1"/>
        </w:rPr>
        <w:t>, 2006).</w:t>
      </w:r>
    </w:p>
    <w:p w14:paraId="48753C54" w14:textId="77777777" w:rsidR="002B008C" w:rsidRDefault="002B008C">
      <w:pPr>
        <w:pStyle w:val="p2"/>
      </w:pPr>
    </w:p>
    <w:p w14:paraId="549834A3" w14:textId="77777777" w:rsidR="002B008C" w:rsidRDefault="002B008C">
      <w:pPr>
        <w:pStyle w:val="p1"/>
      </w:pPr>
      <w:r>
        <w:rPr>
          <w:rStyle w:val="s1"/>
        </w:rPr>
        <w:t xml:space="preserve">In addition, Toyota’s participatory approach to decision-making is supported by a robust communication framework, where continuous feedback is encouraged both vertically and horizontally. This reflects the Japanese principle of </w:t>
      </w:r>
      <w:proofErr w:type="spellStart"/>
      <w:r>
        <w:rPr>
          <w:rStyle w:val="s3"/>
        </w:rPr>
        <w:t>ringi</w:t>
      </w:r>
      <w:proofErr w:type="spellEnd"/>
      <w:r>
        <w:rPr>
          <w:rStyle w:val="s1"/>
        </w:rPr>
        <w:t xml:space="preserve">, where proposals are circulated through all levels before final approval, fostering consensus and shared understanding (Liker &amp; </w:t>
      </w:r>
      <w:proofErr w:type="spellStart"/>
      <w:r>
        <w:rPr>
          <w:rStyle w:val="s1"/>
        </w:rPr>
        <w:t>Hoseus</w:t>
      </w:r>
      <w:proofErr w:type="spellEnd"/>
      <w:r>
        <w:rPr>
          <w:rStyle w:val="s1"/>
        </w:rPr>
        <w:t>, 2008). Although this process can be time-consuming, it ensures alignment between operational decisions and corporate values. As a result, Toyota’s structure embodies a balance between efficiency and inclusivity, demonstrating how culture can transform decision-making into a collective learning process that strengthens organisational unity and resilience (</w:t>
      </w:r>
      <w:proofErr w:type="spellStart"/>
      <w:r>
        <w:rPr>
          <w:rStyle w:val="s1"/>
        </w:rPr>
        <w:t>Schein</w:t>
      </w:r>
      <w:proofErr w:type="spellEnd"/>
      <w:r>
        <w:rPr>
          <w:rStyle w:val="s1"/>
        </w:rPr>
        <w:t>, 2017).</w:t>
      </w:r>
    </w:p>
    <w:p w14:paraId="4E9C5487" w14:textId="77777777" w:rsidR="002B008C" w:rsidRPr="00FB604D" w:rsidRDefault="002B008C" w:rsidP="00FB604D">
      <w:pPr>
        <w:spacing w:before="100" w:beforeAutospacing="1" w:after="100" w:afterAutospacing="1" w:line="240" w:lineRule="auto"/>
        <w:rPr>
          <w:rFonts w:ascii="Times New Roman" w:hAnsi="Times New Roman" w:cs="Times New Roman"/>
          <w:lang w:val="en-GB" w:eastAsia="en-GB"/>
        </w:rPr>
      </w:pPr>
    </w:p>
    <w:p w14:paraId="798EE5AD" w14:textId="7260FDB4" w:rsidR="03142E30" w:rsidRDefault="03142E30" w:rsidP="03142E30">
      <w:pPr>
        <w:spacing w:after="0" w:line="240" w:lineRule="auto"/>
      </w:pPr>
    </w:p>
    <w:p w14:paraId="42C0C48C" w14:textId="77777777" w:rsidR="00FB604D" w:rsidRPr="00FB604D" w:rsidRDefault="00FB604D" w:rsidP="00FB604D">
      <w:pPr>
        <w:spacing w:after="0" w:line="240" w:lineRule="auto"/>
        <w:rPr>
          <w:rFonts w:ascii="Times New Roman" w:eastAsia="Times New Roman" w:hAnsi="Times New Roman" w:cs="Times New Roman"/>
          <w:lang w:val="en-GB" w:eastAsia="en-GB"/>
        </w:rPr>
      </w:pPr>
      <w:r w:rsidRPr="00FB604D">
        <w:rPr>
          <w:rFonts w:ascii="Times New Roman" w:eastAsia="Times New Roman" w:hAnsi="Times New Roman" w:cs="Times New Roman"/>
          <w:noProof/>
          <w:lang w:val="en-GB" w:eastAsia="en-GB"/>
        </w:rPr>
        <mc:AlternateContent>
          <mc:Choice Requires="wps">
            <w:drawing>
              <wp:inline distT="0" distB="0" distL="0" distR="0" wp14:anchorId="51894640" wp14:editId="1A58E8C2">
                <wp:extent cx="5943600" cy="1270"/>
                <wp:effectExtent l="0" t="31750" r="0" b="36830"/>
                <wp:docPr id="1740576019" name="Rectangle 9">
                  <a:extLst xmlns:a="http://schemas.openxmlformats.org/drawingml/2006/main">
                    <a:ext uri="{FF2B5EF4-FFF2-40B4-BE49-F238E27FC236}">
                      <a16:creationId xmlns:a16="http://schemas.microsoft.com/office/drawing/2014/main" id="{676A8526-3FDB-42BF-9DCB-7C5188C6C1C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a="http://schemas.openxmlformats.org/drawingml/2006/main" xmlns:a16="http://schemas.microsoft.com/office/drawing/2014/main" xmlns:arto="http://schemas.microsoft.com/office/word/2006/arto">
            <w:pict>
              <v:rect id="Rectangle 9"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F191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784112BC" w14:textId="77777777" w:rsidR="00FB604D" w:rsidRPr="00FB604D" w:rsidRDefault="00FB604D" w:rsidP="00FB604D">
      <w:pPr>
        <w:spacing w:before="100" w:beforeAutospacing="1" w:after="100" w:afterAutospacing="1" w:line="240" w:lineRule="auto"/>
        <w:outlineLvl w:val="2"/>
        <w:rPr>
          <w:rFonts w:ascii="Times New Roman" w:hAnsi="Times New Roman" w:cs="Times New Roman"/>
          <w:b/>
          <w:bCs/>
          <w:sz w:val="27"/>
          <w:szCs w:val="27"/>
          <w:lang w:val="en-GB" w:eastAsia="en-GB"/>
        </w:rPr>
      </w:pPr>
      <w:bookmarkStart w:id="3" w:name="_Toc1635349416"/>
      <w:r w:rsidRPr="00FB604D">
        <w:rPr>
          <w:rFonts w:ascii="Times New Roman" w:eastAsia="Times New Roman" w:hAnsi="Times New Roman" w:cs="Times New Roman"/>
          <w:b/>
          <w:bCs/>
          <w:sz w:val="27"/>
          <w:szCs w:val="27"/>
          <w:lang w:val="en-GB" w:eastAsia="en-GB"/>
        </w:rPr>
        <w:t>3. Frameworks for Understanding Organisational Culture</w:t>
      </w:r>
      <w:bookmarkEnd w:id="3"/>
    </w:p>
    <w:p w14:paraId="7378BB5E"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79B8F5C3" w14:textId="77777777" w:rsidR="00FB604D" w:rsidRPr="00FB604D" w:rsidRDefault="00FB604D" w:rsidP="03142E30">
      <w:pPr>
        <w:spacing w:before="100" w:beforeAutospacing="1" w:after="100" w:afterAutospacing="1" w:line="240" w:lineRule="auto"/>
        <w:outlineLvl w:val="3"/>
        <w:rPr>
          <w:rFonts w:ascii="Times New Roman" w:eastAsia="Times New Roman" w:hAnsi="Times New Roman" w:cs="Times New Roman"/>
          <w:b/>
          <w:bCs/>
          <w:lang w:val="en-GB" w:eastAsia="en-GB"/>
        </w:rPr>
      </w:pPr>
      <w:bookmarkStart w:id="4" w:name="_Toc1373406035"/>
      <w:r w:rsidRPr="03142E30">
        <w:rPr>
          <w:rFonts w:ascii="Times New Roman" w:eastAsia="Times New Roman" w:hAnsi="Times New Roman" w:cs="Times New Roman"/>
          <w:b/>
          <w:bCs/>
          <w:lang w:val="en-GB" w:eastAsia="en-GB"/>
        </w:rPr>
        <w:t>3.1 Schein’s Model of Organisational Culture</w:t>
      </w:r>
      <w:bookmarkEnd w:id="4"/>
    </w:p>
    <w:p w14:paraId="501F3FD5" w14:textId="17AFC389" w:rsidR="03142E30" w:rsidRDefault="03142E30" w:rsidP="03142E30">
      <w:pPr>
        <w:spacing w:beforeAutospacing="1" w:afterAutospacing="1" w:line="240" w:lineRule="auto"/>
        <w:outlineLvl w:val="3"/>
        <w:rPr>
          <w:rFonts w:ascii="Times New Roman" w:eastAsia="Times New Roman" w:hAnsi="Times New Roman" w:cs="Times New Roman"/>
          <w:b/>
          <w:bCs/>
          <w:lang w:val="en-GB" w:eastAsia="en-GB"/>
        </w:rPr>
      </w:pPr>
    </w:p>
    <w:p w14:paraId="47B93A57"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roofErr w:type="spellStart"/>
      <w:r w:rsidRPr="00FB604D">
        <w:rPr>
          <w:rFonts w:ascii="Times New Roman" w:hAnsi="Times New Roman" w:cs="Times New Roman"/>
          <w:lang w:val="en-GB" w:eastAsia="en-GB"/>
        </w:rPr>
        <w:t>Schein</w:t>
      </w:r>
      <w:proofErr w:type="spellEnd"/>
      <w:r w:rsidRPr="00FB604D">
        <w:rPr>
          <w:rFonts w:ascii="Times New Roman" w:hAnsi="Times New Roman" w:cs="Times New Roman"/>
          <w:lang w:val="en-GB" w:eastAsia="en-GB"/>
        </w:rPr>
        <w:t xml:space="preserve"> (2017) identified three levels of culture: artefacts, espoused values, and underlying assumptions.</w:t>
      </w:r>
    </w:p>
    <w:p w14:paraId="2800093A" w14:textId="77777777" w:rsidR="00FB604D" w:rsidRPr="00FB604D" w:rsidRDefault="00FB604D" w:rsidP="00FB604D">
      <w:pPr>
        <w:numPr>
          <w:ilvl w:val="0"/>
          <w:numId w:val="2"/>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Artefacts: Toyota’s artefacts are visible through its production systems, standardised work practices, and open communication structures. Employees engage in regular kaizen meetings and use visual management tools such as </w:t>
      </w:r>
      <w:proofErr w:type="spellStart"/>
      <w:r w:rsidRPr="00FB604D">
        <w:rPr>
          <w:rFonts w:ascii="Times New Roman" w:hAnsi="Times New Roman" w:cs="Times New Roman"/>
          <w:lang w:val="en-GB" w:eastAsia="en-GB"/>
        </w:rPr>
        <w:t>Kanban</w:t>
      </w:r>
      <w:proofErr w:type="spellEnd"/>
      <w:r w:rsidRPr="00FB604D">
        <w:rPr>
          <w:rFonts w:ascii="Times New Roman" w:hAnsi="Times New Roman" w:cs="Times New Roman"/>
          <w:lang w:val="en-GB" w:eastAsia="en-GB"/>
        </w:rPr>
        <w:t xml:space="preserve"> boards to track progress.</w:t>
      </w:r>
    </w:p>
    <w:p w14:paraId="246EC5F2" w14:textId="77777777" w:rsidR="00FB604D" w:rsidRPr="00FB604D" w:rsidRDefault="00FB604D" w:rsidP="00FB604D">
      <w:pPr>
        <w:numPr>
          <w:ilvl w:val="0"/>
          <w:numId w:val="2"/>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Espoused Values: These include continuous improvement, respect for people, teamwork, and humility. Toyota formalises these values in The Toyota Way 2001 framework, which guides managerial and operational decisions globally (Toyota, 2023).</w:t>
      </w:r>
    </w:p>
    <w:p w14:paraId="48ACA084" w14:textId="77777777" w:rsidR="00FB604D" w:rsidRPr="00FB604D" w:rsidRDefault="00FB604D" w:rsidP="00FB604D">
      <w:pPr>
        <w:numPr>
          <w:ilvl w:val="0"/>
          <w:numId w:val="2"/>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Underlying Assumptions: At the deepest level, Toyota assumes that every employee has the potential to contribute to organisational success. This assumption drives its human-centred approach and long-term employment philosophy (</w:t>
      </w:r>
      <w:proofErr w:type="spellStart"/>
      <w:r w:rsidRPr="00FB604D">
        <w:rPr>
          <w:rFonts w:ascii="Times New Roman" w:hAnsi="Times New Roman" w:cs="Times New Roman"/>
          <w:lang w:val="en-GB" w:eastAsia="en-GB"/>
        </w:rPr>
        <w:t>Bodek</w:t>
      </w:r>
      <w:proofErr w:type="spellEnd"/>
      <w:r w:rsidRPr="00FB604D">
        <w:rPr>
          <w:rFonts w:ascii="Times New Roman" w:hAnsi="Times New Roman" w:cs="Times New Roman"/>
          <w:lang w:val="en-GB" w:eastAsia="en-GB"/>
        </w:rPr>
        <w:t>, 2020).</w:t>
      </w:r>
    </w:p>
    <w:p w14:paraId="2196CC5C"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312AA82F" w14:textId="77777777" w:rsidR="00FB604D" w:rsidRDefault="00FB604D" w:rsidP="00FB604D">
      <w:pPr>
        <w:spacing w:before="100" w:beforeAutospacing="1" w:after="100" w:afterAutospacing="1" w:line="240" w:lineRule="auto"/>
        <w:rPr>
          <w:rFonts w:ascii="Times New Roman" w:hAnsi="Times New Roman" w:cs="Times New Roman"/>
          <w:lang w:val="en-GB" w:eastAsia="en-GB"/>
        </w:rPr>
      </w:pPr>
      <w:proofErr w:type="spellStart"/>
      <w:r w:rsidRPr="00FB604D">
        <w:rPr>
          <w:rFonts w:ascii="Times New Roman" w:hAnsi="Times New Roman" w:cs="Times New Roman"/>
          <w:lang w:val="en-GB" w:eastAsia="en-GB"/>
        </w:rPr>
        <w:t>Schein’s</w:t>
      </w:r>
      <w:proofErr w:type="spellEnd"/>
      <w:r w:rsidRPr="00FB604D">
        <w:rPr>
          <w:rFonts w:ascii="Times New Roman" w:hAnsi="Times New Roman" w:cs="Times New Roman"/>
          <w:lang w:val="en-GB" w:eastAsia="en-GB"/>
        </w:rPr>
        <w:t xml:space="preserve"> model reveals that Toyota’s culture is deeply embedded and self-reinforcing. Employees internalise its values through training, mentorship, and problem-solving activities. However, the rigidity of these assumptions can also slow decision-making in fast-changing markets (</w:t>
      </w:r>
      <w:proofErr w:type="spellStart"/>
      <w:r w:rsidRPr="00FB604D">
        <w:rPr>
          <w:rFonts w:ascii="Times New Roman" w:hAnsi="Times New Roman" w:cs="Times New Roman"/>
          <w:lang w:val="en-GB" w:eastAsia="en-GB"/>
        </w:rPr>
        <w:t>Marksberry</w:t>
      </w:r>
      <w:proofErr w:type="spellEnd"/>
      <w:r w:rsidRPr="00FB604D">
        <w:rPr>
          <w:rFonts w:ascii="Times New Roman" w:hAnsi="Times New Roman" w:cs="Times New Roman"/>
          <w:lang w:val="en-GB" w:eastAsia="en-GB"/>
        </w:rPr>
        <w:t>, 2012).</w:t>
      </w:r>
    </w:p>
    <w:p w14:paraId="70CC8955" w14:textId="39901810" w:rsidR="0B1D04B7" w:rsidRDefault="0B1D04B7" w:rsidP="0B1D04B7">
      <w:pPr>
        <w:spacing w:beforeAutospacing="1" w:afterAutospacing="1" w:line="240" w:lineRule="auto"/>
        <w:rPr>
          <w:rFonts w:ascii="Times New Roman" w:hAnsi="Times New Roman" w:cs="Times New Roman"/>
          <w:lang w:val="en-GB" w:eastAsia="en-GB"/>
        </w:rPr>
      </w:pPr>
    </w:p>
    <w:p w14:paraId="5311DF56" w14:textId="77777777" w:rsidR="00A02BA0" w:rsidRDefault="00A02BA0">
      <w:pPr>
        <w:pStyle w:val="p1"/>
      </w:pPr>
      <w:r>
        <w:rPr>
          <w:rStyle w:val="s1"/>
        </w:rPr>
        <w:t xml:space="preserve">While </w:t>
      </w:r>
      <w:proofErr w:type="spellStart"/>
      <w:r>
        <w:rPr>
          <w:rStyle w:val="s1"/>
        </w:rPr>
        <w:t>Schein’s</w:t>
      </w:r>
      <w:proofErr w:type="spellEnd"/>
      <w:r>
        <w:rPr>
          <w:rStyle w:val="s1"/>
        </w:rPr>
        <w:t xml:space="preserve"> model effectively captures the layered depth of Toyota’s organisational culture, it also highlights a limitation. The model assumes cultural uniformity, yet Toyota’s global operations demonstrate subtle variations in how values are interpreted across regions. Therefore, although </w:t>
      </w:r>
      <w:proofErr w:type="spellStart"/>
      <w:r>
        <w:rPr>
          <w:rStyle w:val="s1"/>
        </w:rPr>
        <w:t>Schein’s</w:t>
      </w:r>
      <w:proofErr w:type="spellEnd"/>
      <w:r>
        <w:rPr>
          <w:rStyle w:val="s1"/>
        </w:rPr>
        <w:t xml:space="preserve"> framework explains Toyota’s cultural consistency, it must be complemented by cross-cultural perspectives to fully account for local adaptations and global integration (</w:t>
      </w:r>
      <w:proofErr w:type="spellStart"/>
      <w:r>
        <w:rPr>
          <w:rStyle w:val="s1"/>
        </w:rPr>
        <w:t>Schein</w:t>
      </w:r>
      <w:proofErr w:type="spellEnd"/>
      <w:r>
        <w:rPr>
          <w:rStyle w:val="s1"/>
        </w:rPr>
        <w:t xml:space="preserve">, 2017; Liker &amp; </w:t>
      </w:r>
      <w:proofErr w:type="spellStart"/>
      <w:r>
        <w:rPr>
          <w:rStyle w:val="s1"/>
        </w:rPr>
        <w:t>Hoseus</w:t>
      </w:r>
      <w:proofErr w:type="spellEnd"/>
      <w:r>
        <w:rPr>
          <w:rStyle w:val="s1"/>
        </w:rPr>
        <w:t>, 2008).</w:t>
      </w:r>
    </w:p>
    <w:p w14:paraId="3D44EBA9" w14:textId="77777777" w:rsidR="00A02BA0" w:rsidRPr="00FB604D" w:rsidRDefault="00A02BA0" w:rsidP="00FB604D">
      <w:pPr>
        <w:spacing w:before="100" w:beforeAutospacing="1" w:after="100" w:afterAutospacing="1" w:line="240" w:lineRule="auto"/>
        <w:rPr>
          <w:rFonts w:ascii="Times New Roman" w:hAnsi="Times New Roman" w:cs="Times New Roman"/>
          <w:lang w:val="en-GB" w:eastAsia="en-GB"/>
        </w:rPr>
      </w:pPr>
    </w:p>
    <w:p w14:paraId="54DEC927" w14:textId="1BBF1AFF" w:rsidR="00FB604D" w:rsidRPr="00FB604D" w:rsidRDefault="00FB604D" w:rsidP="03142E30">
      <w:pPr>
        <w:spacing w:before="100" w:beforeAutospacing="1" w:after="0" w:afterAutospacing="1" w:line="240" w:lineRule="auto"/>
        <w:rPr>
          <w:rFonts w:ascii="Times New Roman" w:hAnsi="Times New Roman" w:cs="Times New Roman"/>
          <w:b/>
          <w:bCs/>
          <w:lang w:val="en-GB" w:eastAsia="en-GB"/>
        </w:rPr>
      </w:pPr>
      <w:bookmarkStart w:id="5" w:name="_Toc275732084"/>
      <w:r w:rsidRPr="03142E30">
        <w:rPr>
          <w:rFonts w:ascii="Times New Roman" w:eastAsia="Times New Roman" w:hAnsi="Times New Roman" w:cs="Times New Roman"/>
          <w:b/>
          <w:bCs/>
          <w:lang w:val="en-GB" w:eastAsia="en-GB"/>
        </w:rPr>
        <w:t>3.2 Hofstede’s Cultural Dimensions</w:t>
      </w:r>
      <w:bookmarkEnd w:id="5"/>
    </w:p>
    <w:p w14:paraId="253623BC" w14:textId="49EF7407" w:rsidR="03142E30" w:rsidRDefault="03142E30" w:rsidP="03142E30">
      <w:pPr>
        <w:spacing w:beforeAutospacing="1" w:afterAutospacing="1" w:line="240" w:lineRule="auto"/>
        <w:rPr>
          <w:rFonts w:ascii="Times New Roman" w:eastAsia="Times New Roman" w:hAnsi="Times New Roman" w:cs="Times New Roman"/>
          <w:b/>
          <w:bCs/>
          <w:lang w:val="en-GB" w:eastAsia="en-GB"/>
        </w:rPr>
      </w:pPr>
    </w:p>
    <w:p w14:paraId="1658DB78" w14:textId="58EFC1B0" w:rsidR="00FB604D" w:rsidRDefault="00FB604D" w:rsidP="03142E30">
      <w:pPr>
        <w:spacing w:beforeAutospacing="1"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Hofstede’s (2011) dimensions offer insights into how national culture influences organisational behaviour. Toyota’s culture reflects the broader Japanese cultural traits of collectivism, high power distance, and long-term orientation.</w:t>
      </w:r>
    </w:p>
    <w:p w14:paraId="4F8B4BBF" w14:textId="77777777" w:rsidR="00FB604D" w:rsidRPr="00FB604D" w:rsidRDefault="00FB604D" w:rsidP="00FB604D">
      <w:pPr>
        <w:numPr>
          <w:ilvl w:val="0"/>
          <w:numId w:val="3"/>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Collectivism fosters teamwork and loyalty. Decisions are made collectively, and success is measured by group outcomes rather than individual achievement.</w:t>
      </w:r>
    </w:p>
    <w:p w14:paraId="2DE5BADA" w14:textId="77777777" w:rsidR="00FB604D" w:rsidRPr="00FB604D" w:rsidRDefault="00FB604D" w:rsidP="00FB604D">
      <w:pPr>
        <w:numPr>
          <w:ilvl w:val="0"/>
          <w:numId w:val="3"/>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High Uncertainty Avoidance explains Toyota’s meticulous attention to process control and risk minimisation through standardisation.</w:t>
      </w:r>
    </w:p>
    <w:p w14:paraId="613E0D38" w14:textId="77777777" w:rsidR="00FB604D" w:rsidRPr="00FB604D" w:rsidRDefault="00FB604D" w:rsidP="00FB604D">
      <w:pPr>
        <w:numPr>
          <w:ilvl w:val="0"/>
          <w:numId w:val="3"/>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Long-Term Orientation aligns with Toyota’s sustainable business philosophy, focusing on future generations and continuous innovation (</w:t>
      </w:r>
      <w:proofErr w:type="spellStart"/>
      <w:r w:rsidRPr="00FB604D">
        <w:rPr>
          <w:rFonts w:ascii="Times New Roman" w:hAnsi="Times New Roman" w:cs="Times New Roman"/>
          <w:lang w:val="en-GB" w:eastAsia="en-GB"/>
        </w:rPr>
        <w:t>Hofstede</w:t>
      </w:r>
      <w:proofErr w:type="spellEnd"/>
      <w:r w:rsidRPr="00FB604D">
        <w:rPr>
          <w:rFonts w:ascii="Times New Roman" w:hAnsi="Times New Roman" w:cs="Times New Roman"/>
          <w:lang w:val="en-GB" w:eastAsia="en-GB"/>
        </w:rPr>
        <w:t xml:space="preserve"> Insights, 2024).</w:t>
      </w:r>
    </w:p>
    <w:p w14:paraId="248DF6E3"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75451843" w14:textId="77777777" w:rsid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However, Toyota’s global operations have adapted these cultural dimensions to local contexts. In Western plants, for example, managers balance collectivist values with more individualised incentives to maintain engagement (Liker &amp; </w:t>
      </w:r>
      <w:proofErr w:type="spellStart"/>
      <w:r w:rsidRPr="00FB604D">
        <w:rPr>
          <w:rFonts w:ascii="Times New Roman" w:hAnsi="Times New Roman" w:cs="Times New Roman"/>
          <w:lang w:val="en-GB" w:eastAsia="en-GB"/>
        </w:rPr>
        <w:t>Hoseus</w:t>
      </w:r>
      <w:proofErr w:type="spellEnd"/>
      <w:r w:rsidRPr="00FB604D">
        <w:rPr>
          <w:rFonts w:ascii="Times New Roman" w:hAnsi="Times New Roman" w:cs="Times New Roman"/>
          <w:lang w:val="en-GB" w:eastAsia="en-GB"/>
        </w:rPr>
        <w:t>, 2008).</w:t>
      </w:r>
    </w:p>
    <w:p w14:paraId="057EDB8D" w14:textId="617568BB" w:rsidR="75B5EB42" w:rsidRDefault="75B5EB42" w:rsidP="75B5EB42">
      <w:pPr>
        <w:spacing w:beforeAutospacing="1" w:afterAutospacing="1" w:line="240" w:lineRule="auto"/>
        <w:rPr>
          <w:rFonts w:ascii="Times New Roman" w:hAnsi="Times New Roman" w:cs="Times New Roman"/>
          <w:lang w:val="en-GB" w:eastAsia="en-GB"/>
        </w:rPr>
      </w:pPr>
    </w:p>
    <w:p w14:paraId="0A4E4FAB" w14:textId="77777777" w:rsidR="00613320" w:rsidRDefault="00613320">
      <w:pPr>
        <w:pStyle w:val="p1"/>
      </w:pPr>
      <w:r>
        <w:rPr>
          <w:rStyle w:val="s1"/>
        </w:rPr>
        <w:t xml:space="preserve">This multidimensional view of culture also reveals Toyota’s strength in balancing consistency with flexibility. By embedding Japanese collectivist values within a globally adaptive framework, Toyota sustains cohesion across international operations. However, </w:t>
      </w:r>
      <w:proofErr w:type="spellStart"/>
      <w:r>
        <w:rPr>
          <w:rStyle w:val="s1"/>
        </w:rPr>
        <w:t>Hofstede’s</w:t>
      </w:r>
      <w:proofErr w:type="spellEnd"/>
      <w:r>
        <w:rPr>
          <w:rStyle w:val="s1"/>
        </w:rPr>
        <w:t xml:space="preserve"> model also exposes a potential weakness—</w:t>
      </w:r>
      <w:proofErr w:type="spellStart"/>
      <w:r>
        <w:rPr>
          <w:rStyle w:val="s1"/>
        </w:rPr>
        <w:t>overreliance</w:t>
      </w:r>
      <w:proofErr w:type="spellEnd"/>
      <w:r>
        <w:rPr>
          <w:rStyle w:val="s1"/>
        </w:rPr>
        <w:t xml:space="preserve"> on hierarchy and consensus can slow decision-making in high-velocity environments, necessitating a more agile cultural adaptation (</w:t>
      </w:r>
      <w:proofErr w:type="spellStart"/>
      <w:r>
        <w:rPr>
          <w:rStyle w:val="s1"/>
        </w:rPr>
        <w:t>Minkov</w:t>
      </w:r>
      <w:proofErr w:type="spellEnd"/>
      <w:r>
        <w:rPr>
          <w:rStyle w:val="s1"/>
        </w:rPr>
        <w:t xml:space="preserve"> &amp; </w:t>
      </w:r>
      <w:proofErr w:type="spellStart"/>
      <w:r>
        <w:rPr>
          <w:rStyle w:val="s1"/>
        </w:rPr>
        <w:t>Hofstede</w:t>
      </w:r>
      <w:proofErr w:type="spellEnd"/>
      <w:r>
        <w:rPr>
          <w:rStyle w:val="s1"/>
        </w:rPr>
        <w:t>, 2012).</w:t>
      </w:r>
    </w:p>
    <w:p w14:paraId="03B205C7" w14:textId="60DE65E0" w:rsidR="00155267" w:rsidRPr="00FB604D" w:rsidRDefault="00155267" w:rsidP="00FB604D">
      <w:pPr>
        <w:spacing w:before="100" w:beforeAutospacing="1" w:after="100" w:afterAutospacing="1" w:line="240" w:lineRule="auto"/>
        <w:rPr>
          <w:rFonts w:ascii="Times New Roman" w:hAnsi="Times New Roman" w:cs="Times New Roman"/>
          <w:lang w:val="en-GB" w:eastAsia="en-GB"/>
        </w:rPr>
      </w:pPr>
    </w:p>
    <w:p w14:paraId="589B86C8" w14:textId="7962F6DD" w:rsidR="00FB604D" w:rsidRPr="00FB604D" w:rsidRDefault="00FB604D" w:rsidP="03142E30">
      <w:pPr>
        <w:spacing w:before="100" w:beforeAutospacing="1" w:after="0" w:afterAutospacing="1" w:line="240" w:lineRule="auto"/>
        <w:rPr>
          <w:rFonts w:ascii="Times New Roman" w:hAnsi="Times New Roman" w:cs="Times New Roman"/>
          <w:b/>
          <w:bCs/>
          <w:lang w:val="en-GB" w:eastAsia="en-GB"/>
        </w:rPr>
      </w:pPr>
      <w:bookmarkStart w:id="6" w:name="_Toc597204332"/>
      <w:r w:rsidRPr="03142E30">
        <w:rPr>
          <w:rFonts w:ascii="Times New Roman" w:eastAsia="Times New Roman" w:hAnsi="Times New Roman" w:cs="Times New Roman"/>
          <w:b/>
          <w:bCs/>
          <w:lang w:val="en-GB" w:eastAsia="en-GB"/>
        </w:rPr>
        <w:t>3.3 Handy’s Cultural Typologies</w:t>
      </w:r>
      <w:bookmarkEnd w:id="6"/>
    </w:p>
    <w:p w14:paraId="6799218D" w14:textId="71607A5E" w:rsidR="03142E30" w:rsidRDefault="03142E30" w:rsidP="03142E30">
      <w:pPr>
        <w:spacing w:beforeAutospacing="1" w:afterAutospacing="1" w:line="240" w:lineRule="auto"/>
        <w:rPr>
          <w:rFonts w:ascii="Times New Roman" w:eastAsia="Times New Roman" w:hAnsi="Times New Roman" w:cs="Times New Roman"/>
          <w:b/>
          <w:bCs/>
          <w:lang w:val="en-GB" w:eastAsia="en-GB"/>
        </w:rPr>
      </w:pPr>
    </w:p>
    <w:p w14:paraId="33F28DA7" w14:textId="72810566"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Handy (1993) identified four types of organisational culture: power, role, task, and person cultures. Toyota primarily reflects a task culture, where teamwork, problem-solving, and competence are prioritised. However, elements of role culture also exist, particularly in its structured production systems that emphasise procedures and discipline.</w:t>
      </w:r>
    </w:p>
    <w:p w14:paraId="7B31154F" w14:textId="2E776990" w:rsid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The interplay between these two types supports both stability and innovation. Teams are empowered to propose improvements, but all initiatives must align with established procedures</w:t>
      </w:r>
      <w:r w:rsidR="3F385329" w:rsidRPr="0D116E1E">
        <w:rPr>
          <w:rFonts w:ascii="Times New Roman" w:hAnsi="Times New Roman" w:cs="Times New Roman"/>
          <w:lang w:val="en-GB" w:eastAsia="en-GB"/>
        </w:rPr>
        <w:t xml:space="preserve"> </w:t>
      </w:r>
      <w:r w:rsidRPr="00FB604D">
        <w:rPr>
          <w:rFonts w:ascii="Times New Roman" w:hAnsi="Times New Roman" w:cs="Times New Roman"/>
          <w:lang w:val="en-GB" w:eastAsia="en-GB"/>
        </w:rPr>
        <w:t>illustrating Toyota’s balance between flexibility and control (</w:t>
      </w:r>
      <w:proofErr w:type="spellStart"/>
      <w:r w:rsidRPr="00FB604D">
        <w:rPr>
          <w:rFonts w:ascii="Times New Roman" w:hAnsi="Times New Roman" w:cs="Times New Roman"/>
          <w:lang w:val="en-GB" w:eastAsia="en-GB"/>
        </w:rPr>
        <w:t>Hino</w:t>
      </w:r>
      <w:proofErr w:type="spellEnd"/>
      <w:r w:rsidRPr="00FB604D">
        <w:rPr>
          <w:rFonts w:ascii="Times New Roman" w:hAnsi="Times New Roman" w:cs="Times New Roman"/>
          <w:lang w:val="en-GB" w:eastAsia="en-GB"/>
        </w:rPr>
        <w:t>, 2006).</w:t>
      </w:r>
    </w:p>
    <w:p w14:paraId="3954AD4F" w14:textId="2DCAEE22" w:rsidR="0D116E1E" w:rsidRDefault="0D116E1E" w:rsidP="0D116E1E">
      <w:pPr>
        <w:spacing w:beforeAutospacing="1" w:afterAutospacing="1" w:line="240" w:lineRule="auto"/>
        <w:rPr>
          <w:rFonts w:ascii="Times New Roman" w:hAnsi="Times New Roman" w:cs="Times New Roman"/>
          <w:lang w:val="en-GB" w:eastAsia="en-GB"/>
        </w:rPr>
      </w:pPr>
    </w:p>
    <w:p w14:paraId="0BE20F5B" w14:textId="154872BD" w:rsidR="007B6BF5" w:rsidRDefault="007B6BF5">
      <w:pPr>
        <w:pStyle w:val="p1"/>
        <w:rPr>
          <w:rStyle w:val="s1"/>
        </w:rPr>
      </w:pPr>
      <w:r>
        <w:rPr>
          <w:rStyle w:val="s1"/>
        </w:rPr>
        <w:t xml:space="preserve">At the same time, elements of </w:t>
      </w:r>
      <w:r>
        <w:rPr>
          <w:rStyle w:val="s2"/>
        </w:rPr>
        <w:t>role culture</w:t>
      </w:r>
      <w:r>
        <w:rPr>
          <w:rStyle w:val="s1"/>
        </w:rPr>
        <w:t xml:space="preserve"> coexist within Toyota’s framework, particularly in its structured production systems and standardised procedures. The company’s reliance on detailed processes ensures consistency and quality control, key to its reputation for reliability (Liker, 2004). This blend of task and role cultures creates an equilibrium between flexibility and order</w:t>
      </w:r>
      <w:r w:rsidR="45F165F1" w:rsidRPr="0D116E1E">
        <w:rPr>
          <w:rStyle w:val="s1"/>
        </w:rPr>
        <w:t xml:space="preserve"> </w:t>
      </w:r>
      <w:r>
        <w:rPr>
          <w:rStyle w:val="s1"/>
        </w:rPr>
        <w:t xml:space="preserve">encouraging innovation while maintaining discipline. It also reflects Toyota’s strategic ability to combine Japanese collectivist traditions with Western management methods, forming a hybrid culture suited to both stability and adaptability (Liker &amp; </w:t>
      </w:r>
      <w:proofErr w:type="spellStart"/>
      <w:r>
        <w:rPr>
          <w:rStyle w:val="s1"/>
        </w:rPr>
        <w:t>Hoseus</w:t>
      </w:r>
      <w:proofErr w:type="spellEnd"/>
      <w:r>
        <w:rPr>
          <w:rStyle w:val="s1"/>
        </w:rPr>
        <w:t>, 2008).</w:t>
      </w:r>
    </w:p>
    <w:p w14:paraId="7A73BA78" w14:textId="77777777" w:rsidR="007B6BF5" w:rsidRDefault="007B6BF5">
      <w:pPr>
        <w:pStyle w:val="p2"/>
      </w:pPr>
    </w:p>
    <w:p w14:paraId="44C59870" w14:textId="77777777" w:rsidR="007B6BF5" w:rsidRDefault="007B6BF5">
      <w:pPr>
        <w:pStyle w:val="p1"/>
      </w:pPr>
      <w:r>
        <w:rPr>
          <w:rStyle w:val="s1"/>
        </w:rPr>
        <w:t>However, Handy’s typology also helps explain some of Toyota’s challenges. During the 2010 recall crisis, the strong adherence to hierarchy and procedural roles delayed the escalation of critical information to senior leaders, revealing a limitation of its cultural configuration (</w:t>
      </w:r>
      <w:proofErr w:type="spellStart"/>
      <w:r>
        <w:rPr>
          <w:rStyle w:val="s1"/>
        </w:rPr>
        <w:t>Greto</w:t>
      </w:r>
      <w:proofErr w:type="spellEnd"/>
      <w:r>
        <w:rPr>
          <w:rStyle w:val="s1"/>
        </w:rPr>
        <w:t xml:space="preserve">, </w:t>
      </w:r>
      <w:proofErr w:type="spellStart"/>
      <w:r>
        <w:rPr>
          <w:rStyle w:val="s1"/>
        </w:rPr>
        <w:t>Schotter</w:t>
      </w:r>
      <w:proofErr w:type="spellEnd"/>
      <w:r>
        <w:rPr>
          <w:rStyle w:val="s1"/>
        </w:rPr>
        <w:t xml:space="preserve"> &amp; Teagarden, 2010). While the task culture promotes collaboration, the embedded role culture can inadvertently reinforce caution and conservatism. To mitigate this, Toyota has since implemented leadership reforms aimed at improving transparency and encouraging faster, more open communication (Abdullah, 2022).</w:t>
      </w:r>
    </w:p>
    <w:p w14:paraId="6B75CA7D" w14:textId="77777777" w:rsidR="007B6BF5" w:rsidRDefault="007B6BF5">
      <w:pPr>
        <w:pStyle w:val="p2"/>
      </w:pPr>
    </w:p>
    <w:p w14:paraId="65306DA8" w14:textId="591A66DA" w:rsidR="00FB604D" w:rsidRPr="00FB604D" w:rsidRDefault="007B6BF5" w:rsidP="03142E30">
      <w:pPr>
        <w:pStyle w:val="p1"/>
        <w:rPr>
          <w:b/>
          <w:bCs/>
          <w:sz w:val="27"/>
          <w:szCs w:val="27"/>
        </w:rPr>
      </w:pPr>
      <w:r w:rsidRPr="03142E30">
        <w:rPr>
          <w:rStyle w:val="s1"/>
        </w:rPr>
        <w:t xml:space="preserve">When viewed collectively, the frameworks of </w:t>
      </w:r>
      <w:r w:rsidRPr="03142E30">
        <w:rPr>
          <w:rStyle w:val="s2"/>
        </w:rPr>
        <w:t>Schein, Hofstede, and Handy</w:t>
      </w:r>
      <w:r w:rsidRPr="03142E30">
        <w:rPr>
          <w:rStyle w:val="s1"/>
        </w:rPr>
        <w:t xml:space="preserve"> provide complementary perspectives on Toyota’s organisational culture. Schein’s model illuminates the depth of Toyota’s shared assumptions, Hofstede’s theory contextualises its cultural roots in Japanese society, and Handy’s typology clarifies the balance between structure and teamwork within its management systems. Together, these frameworks underscore how Toyota’s success stems from a culture that harmonises technical excellence with humanistic values. Nonetheless, they also highlight the importance of maintaining cultural agility—ensuring that deeply embedded norms evolve in step with global complexity and technological change (Schein, 2017; Hofstede, 2011; Handy, 1993)</w:t>
      </w:r>
    </w:p>
    <w:p w14:paraId="41CD6411" w14:textId="5127D4B0" w:rsidR="00FB604D" w:rsidRPr="00FB604D" w:rsidRDefault="00FB604D" w:rsidP="03142E30">
      <w:pPr>
        <w:pStyle w:val="p1"/>
        <w:rPr>
          <w:b/>
          <w:bCs/>
          <w:sz w:val="27"/>
          <w:szCs w:val="27"/>
        </w:rPr>
      </w:pPr>
      <w:r>
        <w:rPr>
          <w:noProof/>
        </w:rPr>
        <mc:AlternateContent>
          <mc:Choice Requires="wps">
            <w:drawing>
              <wp:inline distT="0" distB="0" distL="0" distR="0" wp14:anchorId="79A1183A" wp14:editId="5FD8579C">
                <wp:extent cx="5943600" cy="1270"/>
                <wp:effectExtent l="0" t="31750" r="0" b="36830"/>
                <wp:docPr id="1512783485" name="Rectangle 6">
                  <a:extLst xmlns:a="http://schemas.openxmlformats.org/drawingml/2006/main">
                    <a:ext uri="{FF2B5EF4-FFF2-40B4-BE49-F238E27FC236}">
                      <a16:creationId xmlns:a16="http://schemas.microsoft.com/office/drawing/2014/main" id="{B5260A3D-AD45-42D9-96DA-8AC95A3D248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mc:AlternateContent>
      </w:r>
      <w:bookmarkStart w:id="7" w:name="_Toc1109940479"/>
      <w:r w:rsidRPr="03142E30">
        <w:rPr>
          <w:rFonts w:eastAsia="Times New Roman"/>
          <w:b/>
          <w:bCs/>
          <w:sz w:val="27"/>
          <w:szCs w:val="27"/>
        </w:rPr>
        <w:t>4. Toyota’s Organisational Culture: Characteristics and Evolution</w:t>
      </w:r>
      <w:bookmarkEnd w:id="7"/>
    </w:p>
    <w:p w14:paraId="7F84BFC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22BE532B"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Toyota’s culture evolved through decades of experimentation and refinement. Rooted in Japanese traditions of </w:t>
      </w:r>
      <w:bookmarkStart w:id="8" w:name="_Int_D9rE1zeJ"/>
      <w:r w:rsidRPr="00FB604D">
        <w:rPr>
          <w:rFonts w:ascii="Times New Roman" w:hAnsi="Times New Roman" w:cs="Times New Roman"/>
          <w:lang w:val="en-GB" w:eastAsia="en-GB"/>
        </w:rPr>
        <w:t>craftsmanship</w:t>
      </w:r>
      <w:bookmarkEnd w:id="8"/>
      <w:r w:rsidRPr="00FB604D">
        <w:rPr>
          <w:rFonts w:ascii="Times New Roman" w:hAnsi="Times New Roman" w:cs="Times New Roman"/>
          <w:lang w:val="en-GB" w:eastAsia="en-GB"/>
        </w:rPr>
        <w:t xml:space="preserve"> (</w:t>
      </w:r>
      <w:proofErr w:type="spellStart"/>
      <w:r w:rsidRPr="00FB604D">
        <w:rPr>
          <w:rFonts w:ascii="Times New Roman" w:hAnsi="Times New Roman" w:cs="Times New Roman"/>
          <w:lang w:val="en-GB" w:eastAsia="en-GB"/>
        </w:rPr>
        <w:t>monozukuri</w:t>
      </w:r>
      <w:proofErr w:type="spellEnd"/>
      <w:r w:rsidRPr="00FB604D">
        <w:rPr>
          <w:rFonts w:ascii="Times New Roman" w:hAnsi="Times New Roman" w:cs="Times New Roman"/>
          <w:lang w:val="en-GB" w:eastAsia="en-GB"/>
        </w:rPr>
        <w:t>) and respect, it promotes a strong sense of shared purpose (Liker, 2004). The company defines its cultural philosophy through two main pillars:</w:t>
      </w:r>
    </w:p>
    <w:p w14:paraId="7A8967AB" w14:textId="77777777" w:rsidR="00FB604D" w:rsidRPr="00FB604D" w:rsidRDefault="00FB604D" w:rsidP="00FB604D">
      <w:pPr>
        <w:numPr>
          <w:ilvl w:val="0"/>
          <w:numId w:val="4"/>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Continuous Improvement (Kaizen) – the belief that every process can be improved incrementally.</w:t>
      </w:r>
    </w:p>
    <w:p w14:paraId="045AFD2A" w14:textId="77777777" w:rsidR="00FB604D" w:rsidRPr="00FB604D" w:rsidRDefault="00FB604D" w:rsidP="00FB604D">
      <w:pPr>
        <w:numPr>
          <w:ilvl w:val="0"/>
          <w:numId w:val="4"/>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Respect for People – the recognition that employees are central to organisational success.</w:t>
      </w:r>
    </w:p>
    <w:p w14:paraId="31AEF945"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209D8AB5"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These values shape Toyota’s leadership model, where managers are expected to develop people as well as achieve results (Liker &amp; </w:t>
      </w:r>
      <w:proofErr w:type="spellStart"/>
      <w:r w:rsidRPr="00FB604D">
        <w:rPr>
          <w:rFonts w:ascii="Times New Roman" w:hAnsi="Times New Roman" w:cs="Times New Roman"/>
          <w:lang w:val="en-GB" w:eastAsia="en-GB"/>
        </w:rPr>
        <w:t>Convis</w:t>
      </w:r>
      <w:proofErr w:type="spellEnd"/>
      <w:r w:rsidRPr="00FB604D">
        <w:rPr>
          <w:rFonts w:ascii="Times New Roman" w:hAnsi="Times New Roman" w:cs="Times New Roman"/>
          <w:lang w:val="en-GB" w:eastAsia="en-GB"/>
        </w:rPr>
        <w:t xml:space="preserve">, 2012). Employee empowerment is visible in Toyota’s </w:t>
      </w:r>
      <w:proofErr w:type="spellStart"/>
      <w:r w:rsidRPr="00FB604D">
        <w:rPr>
          <w:rFonts w:ascii="Times New Roman" w:hAnsi="Times New Roman" w:cs="Times New Roman"/>
          <w:lang w:val="en-GB" w:eastAsia="en-GB"/>
        </w:rPr>
        <w:t>andon</w:t>
      </w:r>
      <w:proofErr w:type="spellEnd"/>
      <w:r w:rsidRPr="00FB604D">
        <w:rPr>
          <w:rFonts w:ascii="Times New Roman" w:hAnsi="Times New Roman" w:cs="Times New Roman"/>
          <w:lang w:val="en-GB" w:eastAsia="en-GB"/>
        </w:rPr>
        <w:t xml:space="preserve"> system, where any worker can stop the production line to address quality issues immediately.</w:t>
      </w:r>
    </w:p>
    <w:p w14:paraId="56DF15E6"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4757F1B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Toyota’s culture has evolved to integrate global perspectives while preserving its Japanese identity. Following crises such as the 2010 recall scandal, Toyota emphasised greater openness and responsiveness in communication, blending traditional consensus-building with Western transparency standards (</w:t>
      </w:r>
      <w:proofErr w:type="spellStart"/>
      <w:r w:rsidRPr="00FB604D">
        <w:rPr>
          <w:rFonts w:ascii="Times New Roman" w:hAnsi="Times New Roman" w:cs="Times New Roman"/>
          <w:lang w:val="en-GB" w:eastAsia="en-GB"/>
        </w:rPr>
        <w:t>Greto</w:t>
      </w:r>
      <w:proofErr w:type="spellEnd"/>
      <w:r w:rsidRPr="00FB604D">
        <w:rPr>
          <w:rFonts w:ascii="Times New Roman" w:hAnsi="Times New Roman" w:cs="Times New Roman"/>
          <w:lang w:val="en-GB" w:eastAsia="en-GB"/>
        </w:rPr>
        <w:t xml:space="preserve">, </w:t>
      </w:r>
      <w:proofErr w:type="spellStart"/>
      <w:r w:rsidRPr="00FB604D">
        <w:rPr>
          <w:rFonts w:ascii="Times New Roman" w:hAnsi="Times New Roman" w:cs="Times New Roman"/>
          <w:lang w:val="en-GB" w:eastAsia="en-GB"/>
        </w:rPr>
        <w:t>Schotter</w:t>
      </w:r>
      <w:proofErr w:type="spellEnd"/>
      <w:r w:rsidRPr="00FB604D">
        <w:rPr>
          <w:rFonts w:ascii="Times New Roman" w:hAnsi="Times New Roman" w:cs="Times New Roman"/>
          <w:lang w:val="en-GB" w:eastAsia="en-GB"/>
        </w:rPr>
        <w:t xml:space="preserve"> &amp; Teagarden, 2010).</w:t>
      </w:r>
    </w:p>
    <w:p w14:paraId="13E0FF8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39B7B629"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This hybrid culture—combining global adaptability with local roots—has enabled Toyota to maintain resilience and competitiveness amid economic and technological disruptions.</w:t>
      </w:r>
    </w:p>
    <w:p w14:paraId="6C4987D7" w14:textId="77777777" w:rsidR="0012416B" w:rsidRDefault="0012416B">
      <w:pPr>
        <w:pStyle w:val="p1"/>
      </w:pPr>
      <w:r>
        <w:rPr>
          <w:rStyle w:val="s1"/>
        </w:rPr>
        <w:t xml:space="preserve">Toyota’s evolving culture demonstrates that long-term organisational success depends on balancing tradition with innovation. While its deeply embedded values provide stability and direction, excessive reliance on established routines can hinder creativity and speed in responding to disruption. Therefore, sustaining the </w:t>
      </w:r>
      <w:r>
        <w:rPr>
          <w:rStyle w:val="s2"/>
        </w:rPr>
        <w:t>Toyota Way</w:t>
      </w:r>
      <w:r>
        <w:rPr>
          <w:rStyle w:val="s1"/>
        </w:rPr>
        <w:t xml:space="preserve"> in the digital era requires fostering a culture of dynamic learning that integrates technology, sustainability, and inclusivity without diluting core values (</w:t>
      </w:r>
      <w:proofErr w:type="spellStart"/>
      <w:r>
        <w:rPr>
          <w:rStyle w:val="s1"/>
        </w:rPr>
        <w:t>Bodek</w:t>
      </w:r>
      <w:proofErr w:type="spellEnd"/>
      <w:r>
        <w:rPr>
          <w:rStyle w:val="s1"/>
        </w:rPr>
        <w:t xml:space="preserve">, 2020; Liker &amp; </w:t>
      </w:r>
      <w:proofErr w:type="spellStart"/>
      <w:r>
        <w:rPr>
          <w:rStyle w:val="s1"/>
        </w:rPr>
        <w:t>Convis</w:t>
      </w:r>
      <w:proofErr w:type="spellEnd"/>
      <w:r>
        <w:rPr>
          <w:rStyle w:val="s1"/>
        </w:rPr>
        <w:t>, 2012; Abdullah, 2022).</w:t>
      </w:r>
    </w:p>
    <w:p w14:paraId="3B5DF089" w14:textId="0A4BAE4D" w:rsidR="1E157C11" w:rsidRDefault="1E157C11" w:rsidP="1E157C11">
      <w:pPr>
        <w:spacing w:beforeAutospacing="1" w:afterAutospacing="1" w:line="240" w:lineRule="auto"/>
        <w:rPr>
          <w:rFonts w:ascii="Times New Roman" w:hAnsi="Times New Roman" w:cs="Times New Roman"/>
          <w:lang w:val="en-GB" w:eastAsia="en-GB"/>
        </w:rPr>
      </w:pPr>
    </w:p>
    <w:p w14:paraId="57D40DBF" w14:textId="49C59877" w:rsidR="00FB604D" w:rsidRPr="00FB604D" w:rsidRDefault="00FB604D" w:rsidP="00FB604D">
      <w:pPr>
        <w:spacing w:after="0" w:line="240" w:lineRule="auto"/>
      </w:pPr>
    </w:p>
    <w:p w14:paraId="7D2043D5" w14:textId="77777777" w:rsidR="00FB604D" w:rsidRPr="00FB604D" w:rsidRDefault="00FB604D" w:rsidP="00FB604D">
      <w:pPr>
        <w:spacing w:before="100" w:beforeAutospacing="1" w:after="100" w:afterAutospacing="1" w:line="240" w:lineRule="auto"/>
        <w:outlineLvl w:val="2"/>
        <w:rPr>
          <w:rFonts w:ascii="Times New Roman" w:hAnsi="Times New Roman" w:cs="Times New Roman"/>
          <w:b/>
          <w:bCs/>
          <w:sz w:val="27"/>
          <w:szCs w:val="27"/>
          <w:lang w:val="en-GB" w:eastAsia="en-GB"/>
        </w:rPr>
      </w:pPr>
      <w:bookmarkStart w:id="9" w:name="_Toc1604816320"/>
      <w:r w:rsidRPr="00FB604D">
        <w:rPr>
          <w:rFonts w:ascii="Times New Roman" w:eastAsia="Times New Roman" w:hAnsi="Times New Roman" w:cs="Times New Roman"/>
          <w:b/>
          <w:bCs/>
          <w:sz w:val="27"/>
          <w:szCs w:val="27"/>
          <w:lang w:val="en-GB" w:eastAsia="en-GB"/>
        </w:rPr>
        <w:t>5. Cultural Adaptation to External Environments</w:t>
      </w:r>
      <w:bookmarkEnd w:id="9"/>
    </w:p>
    <w:p w14:paraId="59D72E59"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2F1A02CC"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Toyota’s culture demonstrates a strong adaptive capacity. According to Burns and Stalker’s (1961) model, adaptive organisations develop flexible structures to cope with environmental change. Toyota exhibits this through its lean management philosophy, which is continuously refined to meet new market demands.</w:t>
      </w:r>
    </w:p>
    <w:p w14:paraId="13EA0642"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13FEC3A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Globalisation, digital transformation, and sustainability have pushed Toyota to broaden its cultural practices. For example, the company’s Toyota Environmental Challenge 2050 integrates sustainability values into its core culture, promoting innovation in electric and hydrogen-powered vehicles (Toyota, 2023).</w:t>
      </w:r>
    </w:p>
    <w:p w14:paraId="2FA4C7EB"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5F964B93"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Additionally, the firm’s expansion into diverse cultural contexts required balancing global consistency with local responsiveness. This is achieved through the concept of </w:t>
      </w:r>
      <w:proofErr w:type="spellStart"/>
      <w:r w:rsidRPr="00FB604D">
        <w:rPr>
          <w:rFonts w:ascii="Times New Roman" w:hAnsi="Times New Roman" w:cs="Times New Roman"/>
          <w:lang w:val="en-GB" w:eastAsia="en-GB"/>
        </w:rPr>
        <w:t>glocalisation</w:t>
      </w:r>
      <w:proofErr w:type="spellEnd"/>
      <w:r w:rsidRPr="00FB604D">
        <w:rPr>
          <w:rFonts w:ascii="Times New Roman" w:hAnsi="Times New Roman" w:cs="Times New Roman"/>
          <w:lang w:val="en-GB" w:eastAsia="en-GB"/>
        </w:rPr>
        <w:t>, where Toyota maintains core values but adapts practices to regional cultural expectations (Abdullah, 2022).</w:t>
      </w:r>
    </w:p>
    <w:p w14:paraId="23DE3200"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1E30FD8C" w14:textId="77777777" w:rsid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The company’s ability to adjust cultural elements—without losing its foundational identity—demonstrates strategic agility, an essential trait for survival in the volatile global automotive market.</w:t>
      </w:r>
    </w:p>
    <w:p w14:paraId="3DF0B35B" w14:textId="08EA5787" w:rsidR="298AA178" w:rsidRDefault="298AA178" w:rsidP="298AA178">
      <w:pPr>
        <w:spacing w:beforeAutospacing="1" w:afterAutospacing="1" w:line="240" w:lineRule="auto"/>
        <w:rPr>
          <w:rFonts w:ascii="Times New Roman" w:hAnsi="Times New Roman" w:cs="Times New Roman"/>
          <w:lang w:val="en-GB" w:eastAsia="en-GB"/>
        </w:rPr>
      </w:pPr>
    </w:p>
    <w:p w14:paraId="73509E46" w14:textId="77777777" w:rsidR="00334A2D" w:rsidRDefault="00334A2D">
      <w:pPr>
        <w:pStyle w:val="p1"/>
      </w:pPr>
      <w:r>
        <w:rPr>
          <w:rStyle w:val="s1"/>
        </w:rPr>
        <w:t xml:space="preserve">Overall, Toyota’s ability to adapt culturally demonstrates a sophisticated balance between global consistency and local responsiveness. Yet, as the organisation expands into increasingly diverse markets, maintaining this equilibrium presents ongoing challenges. Overemphasis on preserving traditional practices may limit agility in rapidly changing technological and environmental contexts. Thus, Toyota must continue evolving its cultural systems to remain innovative and inclusive while safeguarding its foundational </w:t>
      </w:r>
      <w:r>
        <w:rPr>
          <w:rStyle w:val="s2"/>
        </w:rPr>
        <w:t>kaizen</w:t>
      </w:r>
      <w:r>
        <w:rPr>
          <w:rStyle w:val="s1"/>
        </w:rPr>
        <w:t xml:space="preserve"> principles (Burns &amp; Stalker, 1961; Abdullah, 2022; Toyota, 2023).</w:t>
      </w:r>
    </w:p>
    <w:p w14:paraId="6A273A00" w14:textId="77777777" w:rsidR="00B907CF" w:rsidRPr="00FB604D" w:rsidRDefault="00B907CF" w:rsidP="00FB604D">
      <w:pPr>
        <w:spacing w:before="100" w:beforeAutospacing="1" w:after="100" w:afterAutospacing="1" w:line="240" w:lineRule="auto"/>
        <w:rPr>
          <w:rFonts w:ascii="Times New Roman" w:hAnsi="Times New Roman" w:cs="Times New Roman"/>
          <w:lang w:val="en-GB" w:eastAsia="en-GB"/>
        </w:rPr>
      </w:pPr>
    </w:p>
    <w:p w14:paraId="1B748CDF" w14:textId="2C94D028" w:rsidR="00FB604D" w:rsidRPr="00FB604D" w:rsidRDefault="00FB604D" w:rsidP="353FF1BC">
      <w:pPr>
        <w:spacing w:before="100" w:beforeAutospacing="1" w:after="0" w:afterAutospacing="1" w:line="240" w:lineRule="auto"/>
        <w:rPr>
          <w:rFonts w:ascii="Times New Roman" w:hAnsi="Times New Roman" w:cs="Times New Roman"/>
          <w:b/>
          <w:bCs/>
          <w:sz w:val="27"/>
          <w:szCs w:val="27"/>
          <w:lang w:val="en-GB" w:eastAsia="en-GB"/>
        </w:rPr>
      </w:pPr>
      <w:bookmarkStart w:id="10" w:name="_Toc1762648465"/>
      <w:r w:rsidRPr="00FB604D">
        <w:rPr>
          <w:rFonts w:ascii="Times New Roman" w:eastAsia="Times New Roman" w:hAnsi="Times New Roman" w:cs="Times New Roman"/>
          <w:b/>
          <w:bCs/>
          <w:sz w:val="27"/>
          <w:szCs w:val="27"/>
          <w:lang w:val="en-GB" w:eastAsia="en-GB"/>
        </w:rPr>
        <w:t>6. Is Organisational Culture a Barrier or Enabler of Effectiveness?</w:t>
      </w:r>
      <w:bookmarkEnd w:id="10"/>
    </w:p>
    <w:p w14:paraId="614CF5C4"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607D473A"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While Toyota’s culture has been a major enabler of its global success, it can also act as a barrier under certain conditions.</w:t>
      </w:r>
    </w:p>
    <w:p w14:paraId="412272E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619F0B44"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As an enabler, the Toyota Way fosters discipline, innovation, and collective accountability. Employees are intrinsically motivated to improve operations, leading to high quality, reliability, and customer trust (Liker, 2004). The consistency of Toyota’s culture also supports long-term strategic alignment across its global network.</w:t>
      </w:r>
    </w:p>
    <w:p w14:paraId="2D801981"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265F2FA0"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As a barrier, cultural rigidity can inhibit rapid change. The 2010 recall crisis revealed that Toyota’s emphasis on consensus delayed critical decisions (</w:t>
      </w:r>
      <w:proofErr w:type="spellStart"/>
      <w:r w:rsidRPr="00FB604D">
        <w:rPr>
          <w:rFonts w:ascii="Times New Roman" w:hAnsi="Times New Roman" w:cs="Times New Roman"/>
          <w:lang w:val="en-GB" w:eastAsia="en-GB"/>
        </w:rPr>
        <w:t>Greto</w:t>
      </w:r>
      <w:proofErr w:type="spellEnd"/>
      <w:r w:rsidRPr="00FB604D">
        <w:rPr>
          <w:rFonts w:ascii="Times New Roman" w:hAnsi="Times New Roman" w:cs="Times New Roman"/>
          <w:lang w:val="en-GB" w:eastAsia="en-GB"/>
        </w:rPr>
        <w:t xml:space="preserve"> et al., 2010). Additionally, hierarchical communication norms in Japanese management sometimes discourage open dissent, limiting the flow of vital feedback (</w:t>
      </w:r>
      <w:proofErr w:type="spellStart"/>
      <w:r w:rsidRPr="00FB604D">
        <w:rPr>
          <w:rFonts w:ascii="Times New Roman" w:hAnsi="Times New Roman" w:cs="Times New Roman"/>
          <w:lang w:val="en-GB" w:eastAsia="en-GB"/>
        </w:rPr>
        <w:t>Marksberry</w:t>
      </w:r>
      <w:proofErr w:type="spellEnd"/>
      <w:r w:rsidRPr="00FB604D">
        <w:rPr>
          <w:rFonts w:ascii="Times New Roman" w:hAnsi="Times New Roman" w:cs="Times New Roman"/>
          <w:lang w:val="en-GB" w:eastAsia="en-GB"/>
        </w:rPr>
        <w:t>, 2012).</w:t>
      </w:r>
    </w:p>
    <w:p w14:paraId="2CB2C4B9"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6131BE81"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However, Toyota has recognised these challenges and implemented cultural adjustments, such as encouraging </w:t>
      </w:r>
      <w:proofErr w:type="spellStart"/>
      <w:r w:rsidRPr="00FB604D">
        <w:rPr>
          <w:rFonts w:ascii="Times New Roman" w:hAnsi="Times New Roman" w:cs="Times New Roman"/>
          <w:lang w:val="en-GB" w:eastAsia="en-GB"/>
        </w:rPr>
        <w:t>genchi</w:t>
      </w:r>
      <w:proofErr w:type="spellEnd"/>
      <w:r w:rsidRPr="00FB604D">
        <w:rPr>
          <w:rFonts w:ascii="Times New Roman" w:hAnsi="Times New Roman" w:cs="Times New Roman"/>
          <w:lang w:val="en-GB" w:eastAsia="en-GB"/>
        </w:rPr>
        <w:t xml:space="preserve"> </w:t>
      </w:r>
      <w:proofErr w:type="spellStart"/>
      <w:r w:rsidRPr="00FB604D">
        <w:rPr>
          <w:rFonts w:ascii="Times New Roman" w:hAnsi="Times New Roman" w:cs="Times New Roman"/>
          <w:lang w:val="en-GB" w:eastAsia="en-GB"/>
        </w:rPr>
        <w:t>genbutsu</w:t>
      </w:r>
      <w:proofErr w:type="spellEnd"/>
      <w:r w:rsidRPr="00FB604D">
        <w:rPr>
          <w:rFonts w:ascii="Times New Roman" w:hAnsi="Times New Roman" w:cs="Times New Roman"/>
          <w:lang w:val="en-GB" w:eastAsia="en-GB"/>
        </w:rPr>
        <w:t xml:space="preserve"> (</w:t>
      </w:r>
      <w:bookmarkStart w:id="11" w:name="_Int_1tX7TwWE"/>
      <w:r w:rsidRPr="00FB604D">
        <w:rPr>
          <w:rFonts w:ascii="Times New Roman" w:hAnsi="Times New Roman" w:cs="Times New Roman"/>
          <w:lang w:val="en-GB" w:eastAsia="en-GB"/>
        </w:rPr>
        <w:t>go and see</w:t>
      </w:r>
      <w:bookmarkEnd w:id="11"/>
      <w:r w:rsidRPr="00FB604D">
        <w:rPr>
          <w:rFonts w:ascii="Times New Roman" w:hAnsi="Times New Roman" w:cs="Times New Roman"/>
          <w:lang w:val="en-GB" w:eastAsia="en-GB"/>
        </w:rPr>
        <w:t>) leadership and increasing transparency in reporting issues. This evolution demonstrates Toyota’s willingness to transform cultural barriers into learning opportunities.</w:t>
      </w:r>
    </w:p>
    <w:p w14:paraId="4C6637C6" w14:textId="77777777" w:rsidR="00FB604D" w:rsidRPr="00FB604D" w:rsidRDefault="00FB604D" w:rsidP="00FB604D">
      <w:pPr>
        <w:spacing w:after="0" w:line="240" w:lineRule="auto"/>
        <w:rPr>
          <w:rFonts w:ascii="Times New Roman" w:eastAsia="Times New Roman" w:hAnsi="Times New Roman" w:cs="Times New Roman"/>
          <w:lang w:val="en-GB" w:eastAsia="en-GB"/>
        </w:rPr>
      </w:pPr>
      <w:r w:rsidRPr="00FB604D">
        <w:rPr>
          <w:rFonts w:ascii="Times New Roman" w:eastAsia="Times New Roman" w:hAnsi="Times New Roman" w:cs="Times New Roman"/>
          <w:noProof/>
          <w:lang w:val="en-GB" w:eastAsia="en-GB"/>
        </w:rPr>
        <mc:AlternateContent>
          <mc:Choice Requires="wps">
            <w:drawing>
              <wp:inline distT="0" distB="0" distL="0" distR="0" wp14:anchorId="6C94909A" wp14:editId="1A7C4727">
                <wp:extent cx="5943600" cy="1270"/>
                <wp:effectExtent l="0" t="31750" r="0" b="36830"/>
                <wp:docPr id="1214938316" name="Rectangle 3">
                  <a:extLst xmlns:a="http://schemas.openxmlformats.org/drawingml/2006/main">
                    <a:ext uri="{FF2B5EF4-FFF2-40B4-BE49-F238E27FC236}">
                      <a16:creationId xmlns:a16="http://schemas.microsoft.com/office/drawing/2014/main" id="{D29728D4-F35C-48E4-A2AD-9DC38D67B4A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a="http://schemas.openxmlformats.org/drawingml/2006/main" xmlns:a16="http://schemas.microsoft.com/office/drawing/2014/main" xmlns:arto="http://schemas.microsoft.com/office/word/2006/arto">
            <w:pict>
              <v:rect id="Rectangle 3"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29009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087689C4" w14:textId="77777777" w:rsidR="00FB604D" w:rsidRPr="00FB604D" w:rsidRDefault="00FB604D" w:rsidP="00FB604D">
      <w:pPr>
        <w:spacing w:before="100" w:beforeAutospacing="1" w:after="100" w:afterAutospacing="1" w:line="240" w:lineRule="auto"/>
        <w:outlineLvl w:val="2"/>
        <w:rPr>
          <w:rFonts w:ascii="Times New Roman" w:hAnsi="Times New Roman" w:cs="Times New Roman"/>
          <w:b/>
          <w:bCs/>
          <w:sz w:val="27"/>
          <w:szCs w:val="27"/>
          <w:lang w:val="en-GB" w:eastAsia="en-GB"/>
        </w:rPr>
      </w:pPr>
      <w:bookmarkStart w:id="12" w:name="_Toc1277769587"/>
      <w:r w:rsidRPr="00FB604D">
        <w:rPr>
          <w:rFonts w:ascii="Times New Roman" w:eastAsia="Times New Roman" w:hAnsi="Times New Roman" w:cs="Times New Roman"/>
          <w:b/>
          <w:bCs/>
          <w:sz w:val="27"/>
          <w:szCs w:val="27"/>
          <w:lang w:val="en-GB" w:eastAsia="en-GB"/>
        </w:rPr>
        <w:t>7. Impact of Organisational Culture on Toyota’s Performance</w:t>
      </w:r>
      <w:bookmarkEnd w:id="12"/>
    </w:p>
    <w:p w14:paraId="468FC7B8"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14EDBB6F"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Toyota’s performance demonstrates the tangible benefits of a strong organisational culture. The Toyota Way has underpinned its operational excellence, leading to consistent profitability and market leadership. According to </w:t>
      </w:r>
      <w:proofErr w:type="spellStart"/>
      <w:r w:rsidRPr="00FB604D">
        <w:rPr>
          <w:rFonts w:ascii="Times New Roman" w:hAnsi="Times New Roman" w:cs="Times New Roman"/>
          <w:lang w:val="en-GB" w:eastAsia="en-GB"/>
        </w:rPr>
        <w:t>Statista</w:t>
      </w:r>
      <w:proofErr w:type="spellEnd"/>
      <w:r w:rsidRPr="00FB604D">
        <w:rPr>
          <w:rFonts w:ascii="Times New Roman" w:hAnsi="Times New Roman" w:cs="Times New Roman"/>
          <w:lang w:val="en-GB" w:eastAsia="en-GB"/>
        </w:rPr>
        <w:t xml:space="preserve"> (2024), Toyota has maintained its position as the world’s largest automaker by sales volume for several consecutive years, partly due to its lean production philosophy and employee commitment.</w:t>
      </w:r>
    </w:p>
    <w:p w14:paraId="7F3C3FC7"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3477343B" w14:textId="45B5DA12" w:rsidR="00FB604D" w:rsidRPr="00FB604D" w:rsidRDefault="00FB604D" w:rsidP="03142E30">
      <w:p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Cultural alignment enhances employee engagement, which in turn drives innovation and quality improvement (Liker &amp; Hoseus, 2008). Toyota’s cross-functional teams encourage collaboration between engineering, production, and marketing units, resulting in efficient product development cycles.</w:t>
      </w:r>
    </w:p>
    <w:p w14:paraId="5C1B9DE3"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From a sustainability perspective, cultural integration has also reinforced Toyota’s corporate social responsibility (CSR). Its long-term orientation and respect-based culture have supported initiatives in renewable energy and green technology (Abdullah, 2022).</w:t>
      </w:r>
    </w:p>
    <w:p w14:paraId="2A85013B"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4B8D0043"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However, maintaining cultural cohesion across global operations remains a challenge. Differences in national cultures sometimes create inconsistencies in applying The Toyota Way. This highlights the need for stronger cross-cultural leadership and ongoing employee training.</w:t>
      </w:r>
    </w:p>
    <w:p w14:paraId="7B4FDD48" w14:textId="77777777" w:rsidR="00FB604D" w:rsidRPr="00FB604D" w:rsidRDefault="00FB604D" w:rsidP="00FB604D">
      <w:pPr>
        <w:spacing w:after="0" w:line="240" w:lineRule="auto"/>
        <w:rPr>
          <w:rFonts w:ascii="Times New Roman" w:eastAsia="Times New Roman" w:hAnsi="Times New Roman" w:cs="Times New Roman"/>
          <w:lang w:val="en-GB" w:eastAsia="en-GB"/>
        </w:rPr>
      </w:pPr>
      <w:r w:rsidRPr="00FB604D">
        <w:rPr>
          <w:rFonts w:ascii="Times New Roman" w:eastAsia="Times New Roman" w:hAnsi="Times New Roman" w:cs="Times New Roman"/>
          <w:noProof/>
          <w:lang w:val="en-GB" w:eastAsia="en-GB"/>
        </w:rPr>
        <mc:AlternateContent>
          <mc:Choice Requires="wps">
            <w:drawing>
              <wp:inline distT="0" distB="0" distL="0" distR="0" wp14:anchorId="2CC26987" wp14:editId="39572906">
                <wp:extent cx="5943600" cy="1270"/>
                <wp:effectExtent l="0" t="31750" r="0" b="36830"/>
                <wp:docPr id="1481273054" name="Rectangle 2">
                  <a:extLst xmlns:a="http://schemas.openxmlformats.org/drawingml/2006/main">
                    <a:ext uri="{FF2B5EF4-FFF2-40B4-BE49-F238E27FC236}">
                      <a16:creationId xmlns:a16="http://schemas.microsoft.com/office/drawing/2014/main" id="{E94D6379-F22B-4C91-878C-FC34B84693F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a="http://schemas.openxmlformats.org/drawingml/2006/main" xmlns:a16="http://schemas.microsoft.com/office/drawing/2014/main" xmlns:arto="http://schemas.microsoft.com/office/word/2006/arto">
            <w:pict>
              <v:rect id="Rectangle 2"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9B93C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41E91648" w14:textId="77777777" w:rsidR="00FB604D" w:rsidRPr="00FB604D" w:rsidRDefault="00FB604D" w:rsidP="00FB604D">
      <w:pPr>
        <w:spacing w:before="100" w:beforeAutospacing="1" w:after="100" w:afterAutospacing="1" w:line="240" w:lineRule="auto"/>
        <w:outlineLvl w:val="2"/>
        <w:rPr>
          <w:rFonts w:ascii="Times New Roman" w:hAnsi="Times New Roman" w:cs="Times New Roman"/>
          <w:b/>
          <w:bCs/>
          <w:sz w:val="27"/>
          <w:szCs w:val="27"/>
          <w:lang w:val="en-GB" w:eastAsia="en-GB"/>
        </w:rPr>
      </w:pPr>
      <w:bookmarkStart w:id="13" w:name="_Toc1936019363"/>
      <w:r w:rsidRPr="00FB604D">
        <w:rPr>
          <w:rFonts w:ascii="Times New Roman" w:eastAsia="Times New Roman" w:hAnsi="Times New Roman" w:cs="Times New Roman"/>
          <w:b/>
          <w:bCs/>
          <w:sz w:val="27"/>
          <w:szCs w:val="27"/>
          <w:lang w:val="en-GB" w:eastAsia="en-GB"/>
        </w:rPr>
        <w:t>8. Recommendations for Improvement</w:t>
      </w:r>
      <w:bookmarkEnd w:id="13"/>
    </w:p>
    <w:p w14:paraId="7DED2A51" w14:textId="63CD1576" w:rsidR="6FD6BB4B" w:rsidRDefault="6FD6BB4B" w:rsidP="6FD6BB4B">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26089D0D" w14:textId="77777777" w:rsidR="00FB604D" w:rsidRPr="00FB604D" w:rsidRDefault="00FB604D" w:rsidP="00FB604D">
      <w:pPr>
        <w:numPr>
          <w:ilvl w:val="0"/>
          <w:numId w:val="5"/>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Enhance Cross-Cultural Leadership Training:</w:t>
      </w:r>
    </w:p>
    <w:p w14:paraId="337DCDD8" w14:textId="77777777" w:rsidR="00FB604D" w:rsidRPr="00FB604D" w:rsidRDefault="00FB604D" w:rsidP="00FB604D">
      <w:pPr>
        <w:spacing w:before="100" w:beforeAutospacing="1" w:after="100" w:afterAutospacing="1" w:line="240" w:lineRule="auto"/>
        <w:ind w:left="720"/>
        <w:rPr>
          <w:rFonts w:ascii="Times New Roman" w:hAnsi="Times New Roman" w:cs="Times New Roman"/>
          <w:lang w:val="en-GB" w:eastAsia="en-GB"/>
        </w:rPr>
      </w:pPr>
      <w:r w:rsidRPr="00FB604D">
        <w:rPr>
          <w:rFonts w:ascii="Times New Roman" w:hAnsi="Times New Roman" w:cs="Times New Roman"/>
          <w:lang w:val="en-GB" w:eastAsia="en-GB"/>
        </w:rPr>
        <w:t>Toyota should invest in leadership programmes that develop managers capable of balancing Japanese cultural values with local expectations. This will improve decision-making and reduce communication barriers in global teams.</w:t>
      </w:r>
    </w:p>
    <w:p w14:paraId="7C4EB44D" w14:textId="77777777" w:rsidR="00FB604D" w:rsidRPr="00FB604D" w:rsidRDefault="00FB604D" w:rsidP="00FB604D">
      <w:pPr>
        <w:numPr>
          <w:ilvl w:val="0"/>
          <w:numId w:val="5"/>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Foster Open Communication and Psychological Safety:</w:t>
      </w:r>
    </w:p>
    <w:p w14:paraId="7267F032" w14:textId="77777777" w:rsidR="00FB604D" w:rsidRPr="00FB604D" w:rsidRDefault="00FB604D" w:rsidP="00FB604D">
      <w:pPr>
        <w:spacing w:before="100" w:beforeAutospacing="1" w:after="100" w:afterAutospacing="1" w:line="240" w:lineRule="auto"/>
        <w:ind w:left="720"/>
        <w:rPr>
          <w:rFonts w:ascii="Times New Roman" w:hAnsi="Times New Roman" w:cs="Times New Roman"/>
          <w:lang w:val="en-GB" w:eastAsia="en-GB"/>
        </w:rPr>
      </w:pPr>
      <w:r w:rsidRPr="00FB604D">
        <w:rPr>
          <w:rFonts w:ascii="Times New Roman" w:hAnsi="Times New Roman" w:cs="Times New Roman"/>
          <w:lang w:val="en-GB" w:eastAsia="en-GB"/>
        </w:rPr>
        <w:t>Encouraging constructive dissent and open dialogue can help Toyota overcome hierarchical constraints. Implementing structured feedback systems and anonymous reporting can enhance transparency.</w:t>
      </w:r>
    </w:p>
    <w:p w14:paraId="1876A288" w14:textId="77777777" w:rsidR="00FB604D" w:rsidRPr="00FB604D" w:rsidRDefault="00FB604D" w:rsidP="00FB604D">
      <w:pPr>
        <w:numPr>
          <w:ilvl w:val="0"/>
          <w:numId w:val="5"/>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Leverage Digital Transformation for Cultural Learning:</w:t>
      </w:r>
    </w:p>
    <w:p w14:paraId="1A45F255" w14:textId="77777777" w:rsidR="00FB604D" w:rsidRPr="00FB604D" w:rsidRDefault="00FB604D" w:rsidP="00FB604D">
      <w:pPr>
        <w:spacing w:before="100" w:beforeAutospacing="1" w:after="100" w:afterAutospacing="1" w:line="240" w:lineRule="auto"/>
        <w:ind w:left="720"/>
        <w:rPr>
          <w:rFonts w:ascii="Times New Roman" w:hAnsi="Times New Roman" w:cs="Times New Roman"/>
          <w:lang w:val="en-GB" w:eastAsia="en-GB"/>
        </w:rPr>
      </w:pPr>
      <w:r w:rsidRPr="00FB604D">
        <w:rPr>
          <w:rFonts w:ascii="Times New Roman" w:hAnsi="Times New Roman" w:cs="Times New Roman"/>
          <w:lang w:val="en-GB" w:eastAsia="en-GB"/>
        </w:rPr>
        <w:t>Using digital tools to share best practices and cultural stories across regions can sustain alignment with The Toyota Way while embracing local diversity.</w:t>
      </w:r>
    </w:p>
    <w:p w14:paraId="086E5FD4" w14:textId="77777777" w:rsidR="00FB604D" w:rsidRPr="00FB604D" w:rsidRDefault="00FB604D" w:rsidP="00FB604D">
      <w:pPr>
        <w:numPr>
          <w:ilvl w:val="0"/>
          <w:numId w:val="5"/>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Strengthen Diversity and Inclusion:</w:t>
      </w:r>
    </w:p>
    <w:p w14:paraId="0D5EFD4B" w14:textId="77777777" w:rsidR="00FB604D" w:rsidRPr="00FB604D" w:rsidRDefault="00FB604D" w:rsidP="00FB604D">
      <w:pPr>
        <w:spacing w:before="100" w:beforeAutospacing="1" w:after="100" w:afterAutospacing="1" w:line="240" w:lineRule="auto"/>
        <w:ind w:left="720"/>
        <w:rPr>
          <w:rFonts w:ascii="Times New Roman" w:hAnsi="Times New Roman" w:cs="Times New Roman"/>
          <w:lang w:val="en-GB" w:eastAsia="en-GB"/>
        </w:rPr>
      </w:pPr>
      <w:r w:rsidRPr="00FB604D">
        <w:rPr>
          <w:rFonts w:ascii="Times New Roman" w:hAnsi="Times New Roman" w:cs="Times New Roman"/>
          <w:lang w:val="en-GB" w:eastAsia="en-GB"/>
        </w:rPr>
        <w:t>By integrating diversity values into its cultural philosophy, Toyota can attract a broader talent pool and improve creativity, which supports innovation and adaptability.</w:t>
      </w:r>
    </w:p>
    <w:p w14:paraId="1027DF58" w14:textId="77777777" w:rsidR="00FB604D" w:rsidRPr="00FB604D" w:rsidRDefault="00FB604D" w:rsidP="00FB604D">
      <w:pPr>
        <w:numPr>
          <w:ilvl w:val="0"/>
          <w:numId w:val="5"/>
        </w:num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Monitor Cultural Effectiveness:</w:t>
      </w:r>
    </w:p>
    <w:p w14:paraId="64AFF62D" w14:textId="77777777" w:rsidR="00FB604D" w:rsidRPr="00FB604D" w:rsidRDefault="00FB604D" w:rsidP="00FB604D">
      <w:pPr>
        <w:spacing w:before="100" w:beforeAutospacing="1" w:after="100" w:afterAutospacing="1" w:line="240" w:lineRule="auto"/>
        <w:ind w:left="720"/>
        <w:rPr>
          <w:rFonts w:ascii="Times New Roman" w:hAnsi="Times New Roman" w:cs="Times New Roman"/>
          <w:lang w:val="en-GB" w:eastAsia="en-GB"/>
        </w:rPr>
      </w:pPr>
      <w:r w:rsidRPr="00FB604D">
        <w:rPr>
          <w:rFonts w:ascii="Times New Roman" w:hAnsi="Times New Roman" w:cs="Times New Roman"/>
          <w:lang w:val="en-GB" w:eastAsia="en-GB"/>
        </w:rPr>
        <w:t>Toyota should periodically assess cultural alignment through employee surveys, performance metrics, and cultural audits to ensure continuous improvement.</w:t>
      </w:r>
    </w:p>
    <w:p w14:paraId="4D8419ED" w14:textId="77777777" w:rsidR="00FB604D" w:rsidRPr="00FB604D" w:rsidRDefault="00FB604D" w:rsidP="00FB604D">
      <w:pPr>
        <w:spacing w:after="0" w:line="240" w:lineRule="auto"/>
        <w:rPr>
          <w:rFonts w:ascii="Times New Roman" w:eastAsia="Times New Roman" w:hAnsi="Times New Roman" w:cs="Times New Roman"/>
          <w:lang w:val="en-GB" w:eastAsia="en-GB"/>
        </w:rPr>
      </w:pPr>
      <w:r w:rsidRPr="00FB604D">
        <w:rPr>
          <w:rFonts w:ascii="Times New Roman" w:eastAsia="Times New Roman" w:hAnsi="Times New Roman" w:cs="Times New Roman"/>
          <w:noProof/>
          <w:lang w:val="en-GB" w:eastAsia="en-GB"/>
        </w:rPr>
        <mc:AlternateContent>
          <mc:Choice Requires="wps">
            <w:drawing>
              <wp:inline distT="0" distB="0" distL="0" distR="0" wp14:anchorId="5FCDA1DF" wp14:editId="6EC7C7EB">
                <wp:extent cx="5943600" cy="1270"/>
                <wp:effectExtent l="0" t="33655" r="0" b="38735"/>
                <wp:docPr id="519802258" name="Rectangle 1">
                  <a:extLst xmlns:a="http://schemas.openxmlformats.org/drawingml/2006/main">
                    <a:ext uri="{FF2B5EF4-FFF2-40B4-BE49-F238E27FC236}">
                      <a16:creationId xmlns:a16="http://schemas.microsoft.com/office/drawing/2014/main" id="{72CAE03E-7485-4C9C-9CCA-6AC0FA8AFA0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a="http://schemas.openxmlformats.org/drawingml/2006/main" xmlns:a16="http://schemas.microsoft.com/office/drawing/2014/main" xmlns:arto="http://schemas.microsoft.com/office/word/2006/arto">
            <w:pict>
              <v:rect id="Rectangle 1"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425AB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5FE3836B" w14:textId="77777777" w:rsidR="00FB604D" w:rsidRPr="00FB604D" w:rsidRDefault="00FB604D" w:rsidP="00FB604D">
      <w:pPr>
        <w:spacing w:before="100" w:beforeAutospacing="1" w:after="100" w:afterAutospacing="1" w:line="240" w:lineRule="auto"/>
        <w:outlineLvl w:val="2"/>
        <w:rPr>
          <w:rFonts w:ascii="Times New Roman" w:hAnsi="Times New Roman" w:cs="Times New Roman"/>
          <w:b/>
          <w:bCs/>
          <w:sz w:val="27"/>
          <w:szCs w:val="27"/>
          <w:lang w:val="en-GB" w:eastAsia="en-GB"/>
        </w:rPr>
      </w:pPr>
      <w:bookmarkStart w:id="14" w:name="_Toc1510359412"/>
      <w:r w:rsidRPr="00FB604D">
        <w:rPr>
          <w:rFonts w:ascii="Times New Roman" w:eastAsia="Times New Roman" w:hAnsi="Times New Roman" w:cs="Times New Roman"/>
          <w:b/>
          <w:bCs/>
          <w:sz w:val="27"/>
          <w:szCs w:val="27"/>
          <w:lang w:val="en-GB" w:eastAsia="en-GB"/>
        </w:rPr>
        <w:t>9. Conclusion</w:t>
      </w:r>
      <w:bookmarkEnd w:id="14"/>
    </w:p>
    <w:p w14:paraId="36359669"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40D7FB42"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Toyota’s organisational culture represents a distinctive blend of Japanese values and global practices that together drive its success. The Toyota Way embodies continuous improvement and respect for people, guiding decision-making, leadership, and structural design. Through the application of </w:t>
      </w:r>
      <w:proofErr w:type="spellStart"/>
      <w:r w:rsidRPr="00FB604D">
        <w:rPr>
          <w:rFonts w:ascii="Times New Roman" w:hAnsi="Times New Roman" w:cs="Times New Roman"/>
          <w:lang w:val="en-GB" w:eastAsia="en-GB"/>
        </w:rPr>
        <w:t>Schein’s</w:t>
      </w:r>
      <w:proofErr w:type="spellEnd"/>
      <w:r w:rsidRPr="00FB604D">
        <w:rPr>
          <w:rFonts w:ascii="Times New Roman" w:hAnsi="Times New Roman" w:cs="Times New Roman"/>
          <w:lang w:val="en-GB" w:eastAsia="en-GB"/>
        </w:rPr>
        <w:t xml:space="preserve">, </w:t>
      </w:r>
      <w:proofErr w:type="spellStart"/>
      <w:r w:rsidRPr="00FB604D">
        <w:rPr>
          <w:rFonts w:ascii="Times New Roman" w:hAnsi="Times New Roman" w:cs="Times New Roman"/>
          <w:lang w:val="en-GB" w:eastAsia="en-GB"/>
        </w:rPr>
        <w:t>Hofstede’s</w:t>
      </w:r>
      <w:proofErr w:type="spellEnd"/>
      <w:r w:rsidRPr="00FB604D">
        <w:rPr>
          <w:rFonts w:ascii="Times New Roman" w:hAnsi="Times New Roman" w:cs="Times New Roman"/>
          <w:lang w:val="en-GB" w:eastAsia="en-GB"/>
        </w:rPr>
        <w:t>, and Handy’s frameworks, it becomes evident that Toyota’s culture is both deep-rooted and adaptive.</w:t>
      </w:r>
    </w:p>
    <w:p w14:paraId="38CEE6E6" w14:textId="77777777" w:rsidR="00FB604D" w:rsidRPr="00FB604D" w:rsidRDefault="00FB604D" w:rsidP="00FB604D">
      <w:pPr>
        <w:spacing w:before="100" w:beforeAutospacing="1" w:after="100" w:afterAutospacing="1" w:line="240" w:lineRule="auto"/>
        <w:rPr>
          <w:rFonts w:ascii="Times New Roman" w:hAnsi="Times New Roman" w:cs="Times New Roman"/>
          <w:lang w:val="en-GB" w:eastAsia="en-GB"/>
        </w:rPr>
      </w:pPr>
    </w:p>
    <w:p w14:paraId="747CC9D0" w14:textId="43E01817" w:rsidR="00FB604D" w:rsidRDefault="00FB604D" w:rsidP="00FB604D">
      <w:pPr>
        <w:spacing w:before="100" w:beforeAutospacing="1" w:after="100" w:afterAutospacing="1" w:line="240" w:lineRule="auto"/>
        <w:rPr>
          <w:rFonts w:ascii="Times New Roman" w:hAnsi="Times New Roman" w:cs="Times New Roman"/>
          <w:lang w:val="en-GB" w:eastAsia="en-GB"/>
        </w:rPr>
      </w:pPr>
      <w:r w:rsidRPr="00FB604D">
        <w:rPr>
          <w:rFonts w:ascii="Times New Roman" w:hAnsi="Times New Roman" w:cs="Times New Roman"/>
          <w:lang w:val="en-GB" w:eastAsia="en-GB"/>
        </w:rPr>
        <w:t xml:space="preserve">While cultural rigidity can occasionally hinder rapid responsiveness, Toyota’s capacity for self-reflection and learning ensures long-term sustainability. </w:t>
      </w:r>
      <w:r w:rsidR="4E121E00" w:rsidRPr="5B95A3BC">
        <w:rPr>
          <w:rFonts w:ascii="Times New Roman" w:hAnsi="Times New Roman" w:cs="Times New Roman"/>
          <w:lang w:val="en-GB" w:eastAsia="en-GB"/>
        </w:rPr>
        <w:t>The</w:t>
      </w:r>
      <w:r w:rsidRPr="00FB604D">
        <w:rPr>
          <w:rFonts w:ascii="Times New Roman" w:hAnsi="Times New Roman" w:cs="Times New Roman"/>
          <w:lang w:val="en-GB" w:eastAsia="en-GB"/>
        </w:rPr>
        <w:t xml:space="preserve"> strength of Toyota’s culture lies in its alignment between purpose, people, and process—a model that continues to inspire global management practice.</w:t>
      </w:r>
    </w:p>
    <w:p w14:paraId="5C2248FB" w14:textId="577D141E" w:rsidR="5B95A3BC" w:rsidRDefault="5B95A3BC" w:rsidP="5B95A3BC">
      <w:pPr>
        <w:spacing w:beforeAutospacing="1" w:afterAutospacing="1" w:line="240" w:lineRule="auto"/>
        <w:rPr>
          <w:rFonts w:ascii="Times New Roman" w:hAnsi="Times New Roman" w:cs="Times New Roman"/>
          <w:lang w:val="en-GB" w:eastAsia="en-GB"/>
        </w:rPr>
      </w:pPr>
    </w:p>
    <w:p w14:paraId="1EC985C1" w14:textId="77777777" w:rsidR="000B23A7" w:rsidRDefault="000B23A7">
      <w:pPr>
        <w:pStyle w:val="p1"/>
      </w:pPr>
      <w:bookmarkStart w:id="15" w:name="_Int_UCuNR0O1"/>
      <w:r>
        <w:rPr>
          <w:rStyle w:val="s1"/>
        </w:rPr>
        <w:t>Ultimately, Toyota’s</w:t>
      </w:r>
      <w:bookmarkEnd w:id="15"/>
      <w:r>
        <w:rPr>
          <w:rStyle w:val="s1"/>
        </w:rPr>
        <w:t xml:space="preserve"> cultural journey illustrates how deeply rooted organisational values can evolve without losing authenticity. The company’s success lies in treating culture as a living system—adaptive, reflective, and people-centred. Other global organisations can learn from Toyota’s ability to align strategic goals with human values, achieving both performance and purpose. As industries face digital transformation and environmental uncertainty, Toyota’s example reaffirms that cultural resilience, not just efficiency, will define sustainable success (</w:t>
      </w:r>
      <w:proofErr w:type="spellStart"/>
      <w:r>
        <w:rPr>
          <w:rStyle w:val="s1"/>
        </w:rPr>
        <w:t>Hino</w:t>
      </w:r>
      <w:proofErr w:type="spellEnd"/>
      <w:r>
        <w:rPr>
          <w:rStyle w:val="s1"/>
        </w:rPr>
        <w:t xml:space="preserve">, 2006; </w:t>
      </w:r>
      <w:proofErr w:type="spellStart"/>
      <w:r>
        <w:rPr>
          <w:rStyle w:val="s1"/>
        </w:rPr>
        <w:t>Schein</w:t>
      </w:r>
      <w:proofErr w:type="spellEnd"/>
      <w:r>
        <w:rPr>
          <w:rStyle w:val="s1"/>
        </w:rPr>
        <w:t xml:space="preserve">, 2017; Liker &amp; </w:t>
      </w:r>
      <w:proofErr w:type="spellStart"/>
      <w:r>
        <w:rPr>
          <w:rStyle w:val="s1"/>
        </w:rPr>
        <w:t>Hoseus</w:t>
      </w:r>
      <w:proofErr w:type="spellEnd"/>
      <w:r>
        <w:rPr>
          <w:rStyle w:val="s1"/>
        </w:rPr>
        <w:t>, 2008).</w:t>
      </w:r>
    </w:p>
    <w:p w14:paraId="23999810" w14:textId="77777777" w:rsidR="000B23A7" w:rsidRPr="00FB604D" w:rsidRDefault="000B23A7" w:rsidP="00FB604D">
      <w:pPr>
        <w:spacing w:before="100" w:beforeAutospacing="1" w:after="100" w:afterAutospacing="1" w:line="240" w:lineRule="auto"/>
        <w:rPr>
          <w:rFonts w:ascii="Times New Roman" w:hAnsi="Times New Roman" w:cs="Times New Roman"/>
          <w:lang w:val="en-GB" w:eastAsia="en-GB"/>
        </w:rPr>
      </w:pPr>
    </w:p>
    <w:p w14:paraId="7CC18B47" w14:textId="73B7FDA6" w:rsidR="78FD38EB" w:rsidRDefault="78FD38EB" w:rsidP="78FD38EB"/>
    <w:p w14:paraId="74A7D0EB" w14:textId="7E4AA44A" w:rsidR="5B95A3BC" w:rsidRDefault="5B95A3BC"/>
    <w:p w14:paraId="63774839" w14:textId="774D7633" w:rsidR="03142E30" w:rsidRDefault="03142E30" w:rsidP="03142E30">
      <w:pPr>
        <w:rPr>
          <w:b/>
          <w:bCs/>
        </w:rPr>
      </w:pPr>
    </w:p>
    <w:p w14:paraId="10A85124" w14:textId="0C820E6F" w:rsidR="5CAB6C9F" w:rsidRDefault="5CAB6C9F" w:rsidP="03142E30">
      <w:pPr>
        <w:rPr>
          <w:b/>
          <w:bCs/>
        </w:rPr>
      </w:pPr>
      <w:r w:rsidRPr="03142E30">
        <w:rPr>
          <w:b/>
          <w:bCs/>
        </w:rPr>
        <w:t>Reference list.</w:t>
      </w:r>
    </w:p>
    <w:p w14:paraId="60799C9D"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Abdullah, M. (2022) Toyota’s Organisational Culture and Global Management Practices. Journal of International Business and Management, 14(2), pp. 115–129.</w:t>
      </w:r>
    </w:p>
    <w:p w14:paraId="347A0CF3"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494F9EEB"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Bodek, N. (2020) Kaikaku: The Power and Magic of Lean. Vancouver: PCS Press.</w:t>
      </w:r>
    </w:p>
    <w:p w14:paraId="0E9072A5"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568ACC2D"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Burns, T. and Stalker, G.M. (1961) The Management of Innovation. London: Tavistock Publications.</w:t>
      </w:r>
    </w:p>
    <w:p w14:paraId="25C7C8F2"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7C74A348"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Conger, J.A. and Kanungo, R.N. (1988) ‘The empowerment process: Integrating theory and practice’, Academy of Management Review, 13(3), pp. 471–482.</w:t>
      </w:r>
    </w:p>
    <w:p w14:paraId="21A90A47"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6CFC08B4"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Greto, E., Schotter, A. and Teagarden, M.B. (2010) ‘Toyota: Rebuilding the corporate brand after recall’, Thunderbird International Business Review, 52(1), pp. 117–126.</w:t>
      </w:r>
    </w:p>
    <w:p w14:paraId="1BE6C31A"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7ED76A86"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Handy, C. (1993) Understanding Organisations. 4th edn. London: Penguin Books.</w:t>
      </w:r>
    </w:p>
    <w:p w14:paraId="291E8BB8"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13E2E10C"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Hino, S. (2006) Inside the Mind of Toyota: Management Principles for Enduring Growth. New York: Productivity Press.</w:t>
      </w:r>
    </w:p>
    <w:p w14:paraId="01E03C9D"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12820FCE"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Hofstede, G. (2011) Dimensionalizing Cultures: The Hofstede Model in Context. Online Readings in Psychology and Culture, 2(1), pp. 1–26.</w:t>
      </w:r>
    </w:p>
    <w:p w14:paraId="22A5113B"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3192C22D"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 xml:space="preserve">Hofstede Insights (2024) Country Comparison: Japan. Available at: </w:t>
      </w:r>
      <w:hyperlink r:id="rId5">
        <w:r w:rsidRPr="03142E30">
          <w:rPr>
            <w:rFonts w:ascii="Times New Roman" w:hAnsi="Times New Roman" w:cs="Times New Roman"/>
            <w:color w:val="0000FF"/>
            <w:u w:val="single"/>
            <w:lang w:val="en-GB" w:eastAsia="en-GB"/>
          </w:rPr>
          <w:t>https://www.hofstede-insights.com/country-comparison/japan/</w:t>
        </w:r>
      </w:hyperlink>
      <w:r>
        <w:rPr>
          <w:noProof/>
        </w:rPr>
        <mc:AlternateContent>
          <mc:Choice Requires="wps">
            <w:drawing>
              <wp:inline distT="0" distB="0" distL="0" distR="0" wp14:anchorId="67278227" wp14:editId="48673E04">
                <wp:extent cx="304800" cy="304800"/>
                <wp:effectExtent l="0" t="0" r="0" b="0"/>
                <wp:docPr id="3096684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mc:AlternateContent>
      </w:r>
      <w:r w:rsidRPr="03142E30">
        <w:rPr>
          <w:rFonts w:ascii="Times New Roman" w:hAnsi="Times New Roman" w:cs="Times New Roman"/>
          <w:lang w:val="en-GB" w:eastAsia="en-GB"/>
        </w:rPr>
        <w:t xml:space="preserve"> (Accessed: 9 November 2025).</w:t>
      </w:r>
    </w:p>
    <w:p w14:paraId="66300599"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5B53A2D6"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Liker, J.K. (2004) The Toyota Way: 14 Management Principles from the World’s Greatest Manufacturer. New York: McGraw-Hill.</w:t>
      </w:r>
    </w:p>
    <w:p w14:paraId="329AC6EE"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76CE7478"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Liker, J.K. and Convis, G.L. (2012) The Toyota Way to Lean Leadership: Achieving and Sustaining Excellence through Leadership Development. New York: McGraw-Hill.</w:t>
      </w:r>
    </w:p>
    <w:p w14:paraId="695721E4"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4EBC233C"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Liker, J.K. and Hoseus, M. (2008) Toyota Culture: The Heart and Soul of the Toyota Way. New York: McGraw-Hill.</w:t>
      </w:r>
    </w:p>
    <w:p w14:paraId="22A094DB"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057B6A28"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Minkov, M. and Hofstede, G. (2012) ‘Is national culture a meaningful concept? Cultural values delineate homogeneous national clusters of in-country regions’, Cross Cultural Research, 46(2), pp. 133–159.</w:t>
      </w:r>
    </w:p>
    <w:p w14:paraId="6AA436C7"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38D65D9D"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Ohno, T. (1988) Toyota Production System: Beyond Large-Scale Production. Portland, OR: Productivity Press.</w:t>
      </w:r>
    </w:p>
    <w:p w14:paraId="12D22A67" w14:textId="77777777" w:rsidR="0012547D" w:rsidRPr="0012547D" w:rsidRDefault="0012547D" w:rsidP="0012547D">
      <w:pPr>
        <w:spacing w:before="100" w:beforeAutospacing="1" w:after="100" w:afterAutospacing="1" w:line="240" w:lineRule="auto"/>
        <w:rPr>
          <w:rFonts w:ascii="Times New Roman" w:hAnsi="Times New Roman" w:cs="Times New Roman"/>
          <w:lang w:val="en-GB" w:eastAsia="en-GB"/>
        </w:rPr>
      </w:pPr>
    </w:p>
    <w:p w14:paraId="23B16725" w14:textId="77777777"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Schein, E.H. (2017) Organizational Culture and Leadership. 5th edn. Hoboken, NJ: Wiley.</w:t>
      </w:r>
    </w:p>
    <w:p w14:paraId="2C81D625" w14:textId="6E19A931" w:rsidR="03142E30" w:rsidRDefault="03142E30" w:rsidP="03142E30">
      <w:pPr>
        <w:spacing w:beforeAutospacing="1" w:afterAutospacing="1" w:line="240" w:lineRule="auto"/>
        <w:rPr>
          <w:rFonts w:ascii="Times New Roman" w:hAnsi="Times New Roman" w:cs="Times New Roman"/>
          <w:lang w:val="en-GB" w:eastAsia="en-GB"/>
        </w:rPr>
      </w:pPr>
    </w:p>
    <w:p w14:paraId="7FB53E64" w14:textId="585A4703" w:rsidR="0012547D" w:rsidRPr="0012547D" w:rsidRDefault="0012547D" w:rsidP="03142E30">
      <w:pPr>
        <w:pStyle w:val="ListParagraph"/>
        <w:numPr>
          <w:ilvl w:val="0"/>
          <w:numId w:val="1"/>
        </w:numPr>
        <w:spacing w:before="100" w:beforeAutospacing="1" w:after="100" w:afterAutospacing="1" w:line="240" w:lineRule="auto"/>
        <w:rPr>
          <w:rFonts w:ascii="Times New Roman" w:hAnsi="Times New Roman" w:cs="Times New Roman"/>
          <w:lang w:val="en-GB" w:eastAsia="en-GB"/>
        </w:rPr>
      </w:pPr>
      <w:r w:rsidRPr="03142E30">
        <w:rPr>
          <w:rFonts w:ascii="Times New Roman" w:hAnsi="Times New Roman" w:cs="Times New Roman"/>
          <w:lang w:val="en-GB" w:eastAsia="en-GB"/>
        </w:rPr>
        <w:t xml:space="preserve">Toyota (2023) The Toyota Way 2023. Available at: </w:t>
      </w:r>
      <w:hyperlink r:id="rId6">
        <w:r w:rsidRPr="03142E30">
          <w:rPr>
            <w:rFonts w:ascii="Times New Roman" w:hAnsi="Times New Roman" w:cs="Times New Roman"/>
            <w:color w:val="0000FF"/>
            <w:u w:val="single"/>
            <w:lang w:val="en-GB" w:eastAsia="en-GB"/>
          </w:rPr>
          <w:t>https://global.toyota/en/company/vision-and-philosophy/toyotaway2023/</w:t>
        </w:r>
      </w:hyperlink>
      <w:r>
        <w:rPr>
          <w:noProof/>
        </w:rPr>
        <mc:AlternateContent>
          <mc:Choice Requires="wps">
            <w:drawing>
              <wp:inline distT="0" distB="0" distL="0" distR="0" wp14:anchorId="63506033" wp14:editId="5DF259EF">
                <wp:extent cx="304800" cy="304800"/>
                <wp:effectExtent l="0" t="0" r="0" b="0"/>
                <wp:docPr id="33536931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mc:AlternateContent>
      </w:r>
    </w:p>
    <w:p w14:paraId="57681EEE" w14:textId="0B5F9178" w:rsidR="5B95A3BC" w:rsidRDefault="5B95A3BC" w:rsidP="5B95A3BC">
      <w:pPr>
        <w:rPr>
          <w:b/>
          <w:bCs/>
        </w:rPr>
      </w:pPr>
    </w:p>
    <w:p w14:paraId="28958E72" w14:textId="552BF8A5" w:rsidR="78FD38EB" w:rsidRDefault="78FD38EB" w:rsidP="78FD38EB"/>
    <w:sectPr w:rsidR="78FD38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YNFBsbRV7+CNlr" int2:id="4kZHApgK">
      <int2:state int2:value="Rejected" int2:type="spell"/>
    </int2:textHash>
    <int2:textHash int2:hashCode="xd90nACpSI88Dy" int2:id="BNgjD75f">
      <int2:state int2:value="Rejected" int2:type="spell"/>
    </int2:textHash>
    <int2:textHash int2:hashCode="b/2WgtcirpaZ5P" int2:id="DHJTqWlt">
      <int2:state int2:value="Rejected" int2:type="spell"/>
    </int2:textHash>
    <int2:textHash int2:hashCode="iV64wkc1A4QYx+" int2:id="ICrDNyyV">
      <int2:state int2:value="Rejected" int2:type="spell"/>
    </int2:textHash>
    <int2:textHash int2:hashCode="ESC8Te5rfDh2aC" int2:id="PwCJCsR7">
      <int2:state int2:value="Rejected" int2:type="spell"/>
    </int2:textHash>
    <int2:textHash int2:hashCode="DR1V0SK7affEem" int2:id="QKEbFNDU">
      <int2:state int2:value="Rejected" int2:type="spell"/>
    </int2:textHash>
    <int2:textHash int2:hashCode="+D8McuJZ5po1BI" int2:id="WIOXB3n3">
      <int2:state int2:value="Rejected" int2:type="spell"/>
    </int2:textHash>
    <int2:textHash int2:hashCode="/XpnRczSGNplqc" int2:id="iI3r2PVR">
      <int2:state int2:value="Rejected" int2:type="spell"/>
    </int2:textHash>
    <int2:textHash int2:hashCode="B8BhPbadfPaBtk" int2:id="iR40AHFa">
      <int2:state int2:value="Rejected" int2:type="spell"/>
    </int2:textHash>
    <int2:textHash int2:hashCode="o5e/S+6EGealhb" int2:id="tQL837HJ">
      <int2:state int2:value="Rejected" int2:type="spell"/>
    </int2:textHash>
    <int2:bookmark int2:bookmarkName="_Int_EHYRNDNm" int2:invalidationBookmarkName="" int2:hashCode="rdE8zhk+dRBUGd" int2:id="GvvxfUkZ">
      <int2:state int2:value="Rejected" int2:type="style"/>
    </int2:bookmark>
    <int2:bookmark int2:bookmarkName="_Int_UCuNR0O1" int2:invalidationBookmarkName="" int2:hashCode="hUWSK/hwEJHnTu" int2:id="WCHr3aEy">
      <int2:state int2:value="Rejected" int2:type="style"/>
    </int2:bookmark>
    <int2:bookmark int2:bookmarkName="_Int_D9rE1zeJ" int2:invalidationBookmarkName="" int2:hashCode="D7MBLA90z5X3kp" int2:id="XkSXSaGp">
      <int2:state int2:value="Rejected" int2:type="style"/>
    </int2:bookmark>
    <int2:bookmark int2:bookmarkName="_Int_1tX7TwWE" int2:invalidationBookmarkName="" int2:hashCode="ADwvmMHwg9bM4Z" int2:id="oNOUq6q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64A78"/>
    <w:multiLevelType w:val="hybridMultilevel"/>
    <w:tmpl w:val="FFFFFFFF"/>
    <w:lvl w:ilvl="0" w:tplc="3EE6875C">
      <w:start w:val="1"/>
      <w:numFmt w:val="bullet"/>
      <w:lvlText w:val=""/>
      <w:lvlJc w:val="left"/>
      <w:pPr>
        <w:ind w:left="720" w:hanging="360"/>
      </w:pPr>
      <w:rPr>
        <w:rFonts w:ascii="Symbol" w:hAnsi="Symbol" w:hint="default"/>
      </w:rPr>
    </w:lvl>
    <w:lvl w:ilvl="1" w:tplc="69B486F6">
      <w:start w:val="1"/>
      <w:numFmt w:val="bullet"/>
      <w:lvlText w:val="o"/>
      <w:lvlJc w:val="left"/>
      <w:pPr>
        <w:ind w:left="1440" w:hanging="360"/>
      </w:pPr>
      <w:rPr>
        <w:rFonts w:ascii="Courier New" w:hAnsi="Courier New" w:hint="default"/>
      </w:rPr>
    </w:lvl>
    <w:lvl w:ilvl="2" w:tplc="FEF483A4">
      <w:start w:val="1"/>
      <w:numFmt w:val="bullet"/>
      <w:lvlText w:val=""/>
      <w:lvlJc w:val="left"/>
      <w:pPr>
        <w:ind w:left="2160" w:hanging="360"/>
      </w:pPr>
      <w:rPr>
        <w:rFonts w:ascii="Wingdings" w:hAnsi="Wingdings" w:hint="default"/>
      </w:rPr>
    </w:lvl>
    <w:lvl w:ilvl="3" w:tplc="BF08444A">
      <w:start w:val="1"/>
      <w:numFmt w:val="bullet"/>
      <w:lvlText w:val=""/>
      <w:lvlJc w:val="left"/>
      <w:pPr>
        <w:ind w:left="2880" w:hanging="360"/>
      </w:pPr>
      <w:rPr>
        <w:rFonts w:ascii="Symbol" w:hAnsi="Symbol" w:hint="default"/>
      </w:rPr>
    </w:lvl>
    <w:lvl w:ilvl="4" w:tplc="2C12FF14">
      <w:start w:val="1"/>
      <w:numFmt w:val="bullet"/>
      <w:lvlText w:val="o"/>
      <w:lvlJc w:val="left"/>
      <w:pPr>
        <w:ind w:left="3600" w:hanging="360"/>
      </w:pPr>
      <w:rPr>
        <w:rFonts w:ascii="Courier New" w:hAnsi="Courier New" w:hint="default"/>
      </w:rPr>
    </w:lvl>
    <w:lvl w:ilvl="5" w:tplc="4412B368">
      <w:start w:val="1"/>
      <w:numFmt w:val="bullet"/>
      <w:lvlText w:val=""/>
      <w:lvlJc w:val="left"/>
      <w:pPr>
        <w:ind w:left="4320" w:hanging="360"/>
      </w:pPr>
      <w:rPr>
        <w:rFonts w:ascii="Wingdings" w:hAnsi="Wingdings" w:hint="default"/>
      </w:rPr>
    </w:lvl>
    <w:lvl w:ilvl="6" w:tplc="48380940">
      <w:start w:val="1"/>
      <w:numFmt w:val="bullet"/>
      <w:lvlText w:val=""/>
      <w:lvlJc w:val="left"/>
      <w:pPr>
        <w:ind w:left="5040" w:hanging="360"/>
      </w:pPr>
      <w:rPr>
        <w:rFonts w:ascii="Symbol" w:hAnsi="Symbol" w:hint="default"/>
      </w:rPr>
    </w:lvl>
    <w:lvl w:ilvl="7" w:tplc="32AE9510">
      <w:start w:val="1"/>
      <w:numFmt w:val="bullet"/>
      <w:lvlText w:val="o"/>
      <w:lvlJc w:val="left"/>
      <w:pPr>
        <w:ind w:left="5760" w:hanging="360"/>
      </w:pPr>
      <w:rPr>
        <w:rFonts w:ascii="Courier New" w:hAnsi="Courier New" w:hint="default"/>
      </w:rPr>
    </w:lvl>
    <w:lvl w:ilvl="8" w:tplc="3496C43A">
      <w:start w:val="1"/>
      <w:numFmt w:val="bullet"/>
      <w:lvlText w:val=""/>
      <w:lvlJc w:val="left"/>
      <w:pPr>
        <w:ind w:left="6480" w:hanging="360"/>
      </w:pPr>
      <w:rPr>
        <w:rFonts w:ascii="Wingdings" w:hAnsi="Wingdings" w:hint="default"/>
      </w:rPr>
    </w:lvl>
  </w:abstractNum>
  <w:abstractNum w:abstractNumId="1" w15:restartNumberingAfterBreak="0">
    <w:nsid w:val="2F3B34B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F90F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BC2E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8C139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5788978">
    <w:abstractNumId w:val="0"/>
  </w:num>
  <w:num w:numId="2" w16cid:durableId="245039592">
    <w:abstractNumId w:val="3"/>
  </w:num>
  <w:num w:numId="3" w16cid:durableId="1072239909">
    <w:abstractNumId w:val="2"/>
  </w:num>
  <w:num w:numId="4" w16cid:durableId="1865089785">
    <w:abstractNumId w:val="4"/>
  </w:num>
  <w:num w:numId="5" w16cid:durableId="402918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64C395"/>
    <w:rsid w:val="0000298C"/>
    <w:rsid w:val="00044926"/>
    <w:rsid w:val="0007339B"/>
    <w:rsid w:val="000B23A7"/>
    <w:rsid w:val="000E23E8"/>
    <w:rsid w:val="00106154"/>
    <w:rsid w:val="00106409"/>
    <w:rsid w:val="0012416B"/>
    <w:rsid w:val="0012547D"/>
    <w:rsid w:val="00155267"/>
    <w:rsid w:val="002457BF"/>
    <w:rsid w:val="00284BE6"/>
    <w:rsid w:val="002B008C"/>
    <w:rsid w:val="002D59EF"/>
    <w:rsid w:val="00334A2D"/>
    <w:rsid w:val="00355388"/>
    <w:rsid w:val="003E50E7"/>
    <w:rsid w:val="0043238B"/>
    <w:rsid w:val="00472C89"/>
    <w:rsid w:val="004B54C6"/>
    <w:rsid w:val="00503E0E"/>
    <w:rsid w:val="00532FB9"/>
    <w:rsid w:val="00541E9C"/>
    <w:rsid w:val="00581449"/>
    <w:rsid w:val="00581CB2"/>
    <w:rsid w:val="005E3F03"/>
    <w:rsid w:val="005F3C9C"/>
    <w:rsid w:val="00613320"/>
    <w:rsid w:val="006911E3"/>
    <w:rsid w:val="00692994"/>
    <w:rsid w:val="006F3CB2"/>
    <w:rsid w:val="006F6053"/>
    <w:rsid w:val="007072DD"/>
    <w:rsid w:val="00752BC9"/>
    <w:rsid w:val="007B6BF5"/>
    <w:rsid w:val="00807623"/>
    <w:rsid w:val="00820884"/>
    <w:rsid w:val="008A2E6D"/>
    <w:rsid w:val="008A3E9C"/>
    <w:rsid w:val="008C4468"/>
    <w:rsid w:val="008D31A3"/>
    <w:rsid w:val="008E51D1"/>
    <w:rsid w:val="008F6EA1"/>
    <w:rsid w:val="00943763"/>
    <w:rsid w:val="009905DE"/>
    <w:rsid w:val="009D40E6"/>
    <w:rsid w:val="00A02BA0"/>
    <w:rsid w:val="00A21FDE"/>
    <w:rsid w:val="00A57BF7"/>
    <w:rsid w:val="00A642E0"/>
    <w:rsid w:val="00A847AE"/>
    <w:rsid w:val="00AB78C6"/>
    <w:rsid w:val="00AC2594"/>
    <w:rsid w:val="00AC547B"/>
    <w:rsid w:val="00B200E3"/>
    <w:rsid w:val="00B907CF"/>
    <w:rsid w:val="00B96149"/>
    <w:rsid w:val="00B96DA4"/>
    <w:rsid w:val="00BC4A6E"/>
    <w:rsid w:val="00C61010"/>
    <w:rsid w:val="00C91FE5"/>
    <w:rsid w:val="00CD4447"/>
    <w:rsid w:val="00CD7583"/>
    <w:rsid w:val="00D175E4"/>
    <w:rsid w:val="00D247A1"/>
    <w:rsid w:val="00DC6936"/>
    <w:rsid w:val="00E51C43"/>
    <w:rsid w:val="00EC764D"/>
    <w:rsid w:val="00ED3C76"/>
    <w:rsid w:val="00F64D1B"/>
    <w:rsid w:val="00F72150"/>
    <w:rsid w:val="00FB604D"/>
    <w:rsid w:val="00FC034D"/>
    <w:rsid w:val="00FD07AA"/>
    <w:rsid w:val="03142E30"/>
    <w:rsid w:val="0B1D04B7"/>
    <w:rsid w:val="0C4E90B6"/>
    <w:rsid w:val="0D116E1E"/>
    <w:rsid w:val="13D14502"/>
    <w:rsid w:val="1464C395"/>
    <w:rsid w:val="175B8306"/>
    <w:rsid w:val="191DD48B"/>
    <w:rsid w:val="1C740813"/>
    <w:rsid w:val="1E157C11"/>
    <w:rsid w:val="298AA178"/>
    <w:rsid w:val="2A4F6890"/>
    <w:rsid w:val="2F1A950E"/>
    <w:rsid w:val="2FEC0E2E"/>
    <w:rsid w:val="31B2E8E4"/>
    <w:rsid w:val="353FF1BC"/>
    <w:rsid w:val="3B020862"/>
    <w:rsid w:val="3E4FD114"/>
    <w:rsid w:val="3F385329"/>
    <w:rsid w:val="45F165F1"/>
    <w:rsid w:val="4E121E00"/>
    <w:rsid w:val="50E8FEF3"/>
    <w:rsid w:val="58406719"/>
    <w:rsid w:val="592998C3"/>
    <w:rsid w:val="5B95A3BC"/>
    <w:rsid w:val="5CAB6C9F"/>
    <w:rsid w:val="6461B175"/>
    <w:rsid w:val="6C21C3A4"/>
    <w:rsid w:val="6DD427CF"/>
    <w:rsid w:val="6EA19EDD"/>
    <w:rsid w:val="6FA55E9D"/>
    <w:rsid w:val="6FD6BB4B"/>
    <w:rsid w:val="75B5EB42"/>
    <w:rsid w:val="77B1FFF2"/>
    <w:rsid w:val="78FD38EB"/>
    <w:rsid w:val="7E00C9C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4C395"/>
  <w15:chartTrackingRefBased/>
  <w15:docId w15:val="{2658CF5A-BA01-4960-8A0C-32E352086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FB6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B604D"/>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FB6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04D"/>
    <w:rPr>
      <w:rFonts w:eastAsiaTheme="majorEastAsia" w:cstheme="majorBidi"/>
      <w:i/>
      <w:iCs/>
      <w:color w:val="0F4761" w:themeColor="accent1" w:themeShade="BF"/>
    </w:rPr>
  </w:style>
  <w:style w:type="paragraph" w:customStyle="1" w:styleId="p1">
    <w:name w:val="p1"/>
    <w:basedOn w:val="Normal"/>
    <w:rsid w:val="00FB604D"/>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FB604D"/>
  </w:style>
  <w:style w:type="paragraph" w:customStyle="1" w:styleId="p2">
    <w:name w:val="p2"/>
    <w:basedOn w:val="Normal"/>
    <w:rsid w:val="00FB604D"/>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FB604D"/>
  </w:style>
  <w:style w:type="paragraph" w:customStyle="1" w:styleId="p3">
    <w:name w:val="p3"/>
    <w:basedOn w:val="Normal"/>
    <w:rsid w:val="00FB604D"/>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FB604D"/>
  </w:style>
  <w:style w:type="character" w:customStyle="1" w:styleId="s4">
    <w:name w:val="s4"/>
    <w:basedOn w:val="DefaultParagraphFont"/>
    <w:rsid w:val="00FB604D"/>
  </w:style>
  <w:style w:type="paragraph" w:styleId="TOC3">
    <w:name w:val="toc 3"/>
    <w:basedOn w:val="Normal"/>
    <w:next w:val="Normal"/>
    <w:uiPriority w:val="39"/>
    <w:unhideWhenUsed/>
    <w:rsid w:val="00541E9C"/>
    <w:pPr>
      <w:spacing w:after="100"/>
      <w:ind w:left="440"/>
    </w:pPr>
  </w:style>
  <w:style w:type="character" w:styleId="Hyperlink">
    <w:name w:val="Hyperlink"/>
    <w:basedOn w:val="DefaultParagraphFont"/>
    <w:uiPriority w:val="99"/>
    <w:unhideWhenUsed/>
    <w:rsid w:val="00541E9C"/>
    <w:rPr>
      <w:color w:val="467886"/>
      <w:u w:val="single"/>
    </w:rPr>
  </w:style>
  <w:style w:type="paragraph" w:styleId="TOC4">
    <w:name w:val="toc 4"/>
    <w:basedOn w:val="Normal"/>
    <w:next w:val="Normal"/>
    <w:uiPriority w:val="39"/>
    <w:unhideWhenUsed/>
    <w:rsid w:val="00541E9C"/>
    <w:pPr>
      <w:spacing w:after="100"/>
      <w:ind w:left="660"/>
    </w:pPr>
  </w:style>
  <w:style w:type="paragraph" w:styleId="ListParagraph">
    <w:name w:val="List Paragraph"/>
    <w:basedOn w:val="Normal"/>
    <w:uiPriority w:val="34"/>
    <w:qFormat/>
    <w:rsid w:val="03142E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lobal.toyota/en/company/vision-and-philosophy/toyotaway2023/" TargetMode="External"/><Relationship Id="rId5" Type="http://schemas.openxmlformats.org/officeDocument/2006/relationships/hyperlink" Target="https://www.hofstede-insights.com/country-comparison/japan/"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3643</Words>
  <Characters>20770</Characters>
  <Application>Microsoft Office Word</Application>
  <DocSecurity>4</DocSecurity>
  <Lines>173</Lines>
  <Paragraphs>48</Paragraphs>
  <ScaleCrop>false</ScaleCrop>
  <Company/>
  <LinksUpToDate>false</LinksUpToDate>
  <CharactersWithSpaces>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Ionatan Sanda (2322691)</dc:creator>
  <cp:keywords/>
  <dc:description/>
  <cp:lastModifiedBy>Ionatan Sanda (2322691)</cp:lastModifiedBy>
  <cp:revision>39</cp:revision>
  <dcterms:created xsi:type="dcterms:W3CDTF">2025-11-09T18:01:00Z</dcterms:created>
  <dcterms:modified xsi:type="dcterms:W3CDTF">2025-11-09T13:59:00Z</dcterms:modified>
</cp:coreProperties>
</file>