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2252D" w14:textId="77777777" w:rsidR="00705143" w:rsidRPr="00705143" w:rsidRDefault="00705143" w:rsidP="0070514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05143">
        <w:rPr>
          <w:rFonts w:ascii="Times New Roman" w:eastAsia="Times New Roman" w:hAnsi="Times New Roman" w:cs="Times New Roman"/>
          <w:b/>
          <w:bCs/>
          <w:kern w:val="36"/>
          <w:sz w:val="48"/>
          <w:szCs w:val="48"/>
          <w14:ligatures w14:val="none"/>
        </w:rPr>
        <w:t>JP Morgan HR Department: Report on Business Transformation, Digital Technology, and Flexible Working</w:t>
      </w:r>
    </w:p>
    <w:p w14:paraId="5F8906F0" w14:textId="38708C4B"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b/>
          <w:bCs/>
          <w:kern w:val="0"/>
          <w14:ligatures w14:val="none"/>
        </w:rPr>
        <w:t>Name:</w:t>
      </w:r>
      <w:r w:rsidRPr="00705143">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Michael Ekoriko</w:t>
      </w:r>
      <w:r w:rsidRPr="00705143">
        <w:rPr>
          <w:rFonts w:ascii="Times New Roman" w:eastAsia="Times New Roman" w:hAnsi="Times New Roman" w:cs="Times New Roman"/>
          <w:kern w:val="0"/>
          <w14:ligatures w14:val="none"/>
        </w:rPr>
        <w:br/>
      </w:r>
      <w:r w:rsidRPr="00705143">
        <w:rPr>
          <w:rFonts w:ascii="Times New Roman" w:eastAsia="Times New Roman" w:hAnsi="Times New Roman" w:cs="Times New Roman"/>
          <w:b/>
          <w:bCs/>
          <w:kern w:val="0"/>
          <w14:ligatures w14:val="none"/>
        </w:rPr>
        <w:t>Student Number:</w:t>
      </w:r>
      <w:r w:rsidRPr="00705143">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2414382</w:t>
      </w:r>
      <w:r w:rsidRPr="00705143">
        <w:rPr>
          <w:rFonts w:ascii="Times New Roman" w:eastAsia="Times New Roman" w:hAnsi="Times New Roman" w:cs="Times New Roman"/>
          <w:kern w:val="0"/>
          <w14:ligatures w14:val="none"/>
        </w:rPr>
        <w:br/>
      </w:r>
      <w:r w:rsidRPr="00705143">
        <w:rPr>
          <w:rFonts w:ascii="Times New Roman" w:eastAsia="Times New Roman" w:hAnsi="Times New Roman" w:cs="Times New Roman"/>
          <w:b/>
          <w:bCs/>
          <w:kern w:val="0"/>
          <w14:ligatures w14:val="none"/>
        </w:rPr>
        <w:t>Module</w:t>
      </w:r>
      <w:r>
        <w:rPr>
          <w:rFonts w:ascii="Times New Roman" w:eastAsia="Times New Roman" w:hAnsi="Times New Roman" w:cs="Times New Roman"/>
          <w:b/>
          <w:bCs/>
          <w:kern w:val="0"/>
          <w14:ligatures w14:val="none"/>
        </w:rPr>
        <w:t>: Developing and Managing Individuals and Teams</w:t>
      </w:r>
      <w:r w:rsidRPr="00705143">
        <w:rPr>
          <w:rFonts w:ascii="Times New Roman" w:eastAsia="Times New Roman" w:hAnsi="Times New Roman" w:cs="Times New Roman"/>
          <w:kern w:val="0"/>
          <w14:ligatures w14:val="none"/>
        </w:rPr>
        <w:br/>
      </w:r>
      <w:r w:rsidRPr="00705143">
        <w:rPr>
          <w:rFonts w:ascii="Times New Roman" w:eastAsia="Times New Roman" w:hAnsi="Times New Roman" w:cs="Times New Roman"/>
          <w:b/>
          <w:bCs/>
          <w:kern w:val="0"/>
          <w14:ligatures w14:val="none"/>
        </w:rPr>
        <w:t>Lecturer:</w:t>
      </w:r>
      <w:r w:rsidRPr="00705143">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Toyin Adisa</w:t>
      </w:r>
      <w:r w:rsidRPr="00705143">
        <w:rPr>
          <w:rFonts w:ascii="Times New Roman" w:eastAsia="Times New Roman" w:hAnsi="Times New Roman" w:cs="Times New Roman"/>
          <w:kern w:val="0"/>
          <w14:ligatures w14:val="none"/>
        </w:rPr>
        <w:br/>
      </w:r>
      <w:r w:rsidRPr="00705143">
        <w:rPr>
          <w:rFonts w:ascii="Times New Roman" w:eastAsia="Times New Roman" w:hAnsi="Times New Roman" w:cs="Times New Roman"/>
          <w:b/>
          <w:bCs/>
          <w:kern w:val="0"/>
          <w14:ligatures w14:val="none"/>
        </w:rPr>
        <w:t>Assignment Title:</w:t>
      </w:r>
      <w:r w:rsidRPr="00705143">
        <w:rPr>
          <w:rFonts w:ascii="Times New Roman" w:eastAsia="Times New Roman" w:hAnsi="Times New Roman" w:cs="Times New Roman"/>
          <w:kern w:val="0"/>
          <w14:ligatures w14:val="none"/>
        </w:rPr>
        <w:t xml:space="preserve"> Report on Business Transformation, Digital Trends, and HR Practices at JP Morgan</w:t>
      </w:r>
    </w:p>
    <w:p w14:paraId="26DC0BFE" w14:textId="3A51CE66" w:rsidR="00705143" w:rsidRPr="00705143" w:rsidRDefault="00705143" w:rsidP="00705143">
      <w:pPr>
        <w:spacing w:after="0" w:line="240" w:lineRule="auto"/>
        <w:rPr>
          <w:rFonts w:ascii="Times New Roman" w:eastAsia="Times New Roman" w:hAnsi="Times New Roman" w:cs="Times New Roman"/>
          <w:kern w:val="0"/>
          <w14:ligatures w14:val="none"/>
        </w:rPr>
      </w:pPr>
    </w:p>
    <w:p w14:paraId="62C4CAD7" w14:textId="415A2532" w:rsidR="00705143" w:rsidRPr="00705143" w:rsidRDefault="00705143" w:rsidP="0070514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05143">
        <w:rPr>
          <w:rFonts w:ascii="Times New Roman" w:eastAsia="Times New Roman" w:hAnsi="Times New Roman" w:cs="Times New Roman"/>
          <w:b/>
          <w:bCs/>
          <w:kern w:val="0"/>
          <w:sz w:val="36"/>
          <w:szCs w:val="36"/>
          <w14:ligatures w14:val="none"/>
        </w:rPr>
        <w:t xml:space="preserve">Introduction </w:t>
      </w:r>
    </w:p>
    <w:p w14:paraId="32A68375"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Upon completing my studies in Leadership and Management, I commenced employment within the Human Resources department at JP Morgan, Canary Wharf, London. My academic background provided a strong foundation in leadership principles, organisational strategy, and people management, making me suitably equipped to handle complex workforce dynamics and contribute to strategic HR initiatives. During my initial month, I encountered a high volume of employee grievances, ranging from workplace conflict and unclear responsibilities to issues related to flexible work arrangements. These challenges highlighted areas where HR policies, engagement strategies, and digital integration needed urgent attention.</w:t>
      </w:r>
    </w:p>
    <w:p w14:paraId="390DE1D1"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JP Morgan has been navigating extensive organisational changes driven by business transformation, technological advancements, and evolving workforce expectations. Digitalisation has introduced new platforms, automated workflows, and advanced analytics, requiring staff to develop technical competencies while adapting to changing operational practices. Additionally, the shift towards flexible working arrangements, accelerated by post-pandemic trends, has reshaped expectations around remote work, hybrid schedules, and work-life balance.</w:t>
      </w:r>
    </w:p>
    <w:p w14:paraId="649CDF3F"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This report aims to analyse the specific factors influencing business transformation, digital trends, and flexible working within JP Morgan. It evaluates contemporary HR strategies that can address these factors, critically examines how departmental managers can enforce their implementation, and provides actionable recommendations to enhance HR efficiency, employee satisfaction, and organisational performance. By addressing these issues, the HR department can better manage grievances, foster engagement, and ensure that workforce practices align with the bank’s strategic goals.</w:t>
      </w:r>
    </w:p>
    <w:p w14:paraId="712D694C" w14:textId="6F67F3B9" w:rsidR="00705143" w:rsidRPr="00705143" w:rsidRDefault="00705143" w:rsidP="00705143">
      <w:pPr>
        <w:spacing w:after="0" w:line="240" w:lineRule="auto"/>
        <w:rPr>
          <w:rFonts w:ascii="Times New Roman" w:eastAsia="Times New Roman" w:hAnsi="Times New Roman" w:cs="Times New Roman"/>
          <w:kern w:val="0"/>
          <w14:ligatures w14:val="none"/>
        </w:rPr>
      </w:pPr>
    </w:p>
    <w:p w14:paraId="62C91B18" w14:textId="77777777" w:rsidR="00705143" w:rsidRDefault="00705143" w:rsidP="0070514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62D7AA6" w14:textId="50C2F8A1" w:rsidR="00705143" w:rsidRPr="00705143" w:rsidRDefault="00705143" w:rsidP="0070514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05143">
        <w:rPr>
          <w:rFonts w:ascii="Times New Roman" w:eastAsia="Times New Roman" w:hAnsi="Times New Roman" w:cs="Times New Roman"/>
          <w:b/>
          <w:bCs/>
          <w:kern w:val="0"/>
          <w:sz w:val="36"/>
          <w:szCs w:val="36"/>
          <w14:ligatures w14:val="none"/>
        </w:rPr>
        <w:lastRenderedPageBreak/>
        <w:t xml:space="preserve">1. Business Transformation, Digital Technology Trends, and Flexible Working </w:t>
      </w:r>
    </w:p>
    <w:p w14:paraId="49C71DD4" w14:textId="77777777" w:rsidR="00705143" w:rsidRP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05143">
        <w:rPr>
          <w:rFonts w:ascii="Times New Roman" w:eastAsia="Times New Roman" w:hAnsi="Times New Roman" w:cs="Times New Roman"/>
          <w:b/>
          <w:bCs/>
          <w:kern w:val="0"/>
          <w:sz w:val="27"/>
          <w:szCs w:val="27"/>
          <w14:ligatures w14:val="none"/>
        </w:rPr>
        <w:t>Business Transformation</w:t>
      </w:r>
    </w:p>
    <w:p w14:paraId="76D01AAA"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Business transformation at JP Morgan encompasses initiatives aimed at improving operational efficiency, enhancing client experiences, and maintaining competitive positioning. These initiatives often involve restructuring workflows, redefining job roles, and introducing new performance evaluation metrics. For example, the implementation of enterprise-level digital banking platforms requires employees across multiple functions to adapt to new processes for client interactions, compliance tracking, and transaction management.</w:t>
      </w:r>
    </w:p>
    <w:p w14:paraId="289BE4FE"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Human Resources plays a pivotal role in enabling these transformations by preparing employees for change through workforce planning, targeted training, and cultural alignment strategies. At JP Morgan, HR supports transformation by redesigning recruitment processes to identify talent capable of adapting to digital tools, offering reskilling programmes, and implementing change-management initiatives to reduce resistance.</w:t>
      </w:r>
    </w:p>
    <w:p w14:paraId="7FACBA36" w14:textId="77777777" w:rsidR="00705143" w:rsidRP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05143">
        <w:rPr>
          <w:rFonts w:ascii="Times New Roman" w:eastAsia="Times New Roman" w:hAnsi="Times New Roman" w:cs="Times New Roman"/>
          <w:b/>
          <w:bCs/>
          <w:kern w:val="0"/>
          <w:sz w:val="27"/>
          <w:szCs w:val="27"/>
          <w14:ligatures w14:val="none"/>
        </w:rPr>
        <w:t>Digital Technology Trends</w:t>
      </w:r>
    </w:p>
    <w:p w14:paraId="2070B6EF"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Technological evolution has significantly influenced HR and operational practices in financial services. Key trends include automation, artificial intelligence, cloud computing, advanced analytics, and digital collaboration tools. Automation and AI streamline repetitive tasks, facilitate compliance monitoring, and enhance customer service efficiency. However, staff require complementary skills in data interpretation, problem-solving, and digital proficiency to leverage these tools effectively.</w:t>
      </w:r>
    </w:p>
    <w:p w14:paraId="1F26B87B"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HR must ensure employees are adequately trained and engaged with these digital systems. Integrated HR information systems (HRIS) provide streamlined management of performance, leave, and grievance processes. Collaboration platforms such as Teams or Slack enable real-time communication across departments and support remote work. Insufficient adoption of these technologies can lead to frustration, operational inefficiencies, and lower morale.</w:t>
      </w:r>
    </w:p>
    <w:p w14:paraId="2B800F5E" w14:textId="77777777" w:rsidR="00705143" w:rsidRP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05143">
        <w:rPr>
          <w:rFonts w:ascii="Times New Roman" w:eastAsia="Times New Roman" w:hAnsi="Times New Roman" w:cs="Times New Roman"/>
          <w:b/>
          <w:bCs/>
          <w:kern w:val="0"/>
          <w:sz w:val="27"/>
          <w:szCs w:val="27"/>
          <w14:ligatures w14:val="none"/>
        </w:rPr>
        <w:t>Flexible Working Arrangements</w:t>
      </w:r>
    </w:p>
    <w:p w14:paraId="6ADA43F7"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Flexible working arrangements, including hybrid schedules, remote work, staggered shifts, and part-time options, have become central to talent retention and employee satisfaction. Flexible practices support work-life balance, reduce absenteeism, and enhance productivity. Yet, they also pose challenges in ensuring fairness, maintaining accountability, and preventing isolation.</w:t>
      </w:r>
    </w:p>
    <w:p w14:paraId="526E4B1F"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HR ensures flexible working is managed effectively through clear policies, manager training, and digital monitoring tools. Addressing grievances related to flexibility quickly and consistently helps maintain trust, inclusivity, and employee morale. Employees must feel supported and fairly treated, regardless of work location or schedule.</w:t>
      </w:r>
    </w:p>
    <w:p w14:paraId="0F165A0A" w14:textId="77777777" w:rsid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C44CFC8" w14:textId="5821430E" w:rsidR="00705143" w:rsidRP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05143">
        <w:rPr>
          <w:rFonts w:ascii="Times New Roman" w:eastAsia="Times New Roman" w:hAnsi="Times New Roman" w:cs="Times New Roman"/>
          <w:b/>
          <w:bCs/>
          <w:kern w:val="0"/>
          <w:sz w:val="27"/>
          <w:szCs w:val="27"/>
          <w14:ligatures w14:val="none"/>
        </w:rPr>
        <w:lastRenderedPageBreak/>
        <w:t>Integration of Factors</w:t>
      </w:r>
    </w:p>
    <w:p w14:paraId="26E41E99"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The interconnection between transformation, digital trends, and flexibility requires an integrated HR approach. Employees must navigate new workflows, digital platforms, and flexible schedules concurrently. HR’s role is to facilitate this transition by providing reskilling opportunities, clear communication, and robust grievance management, ensuring that staff can adapt successfully while contributing to organisational objectives.</w:t>
      </w:r>
    </w:p>
    <w:p w14:paraId="18769FA3" w14:textId="01FDE3CA" w:rsidR="00705143" w:rsidRPr="00705143" w:rsidRDefault="00705143" w:rsidP="00705143">
      <w:pPr>
        <w:spacing w:after="0" w:line="240" w:lineRule="auto"/>
        <w:rPr>
          <w:rFonts w:ascii="Times New Roman" w:eastAsia="Times New Roman" w:hAnsi="Times New Roman" w:cs="Times New Roman"/>
          <w:kern w:val="0"/>
          <w14:ligatures w14:val="none"/>
        </w:rPr>
      </w:pPr>
    </w:p>
    <w:p w14:paraId="19D6F1B4" w14:textId="525B9902" w:rsidR="00705143" w:rsidRPr="00705143" w:rsidRDefault="00705143" w:rsidP="0070514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05143">
        <w:rPr>
          <w:rFonts w:ascii="Times New Roman" w:eastAsia="Times New Roman" w:hAnsi="Times New Roman" w:cs="Times New Roman"/>
          <w:b/>
          <w:bCs/>
          <w:kern w:val="0"/>
          <w:sz w:val="36"/>
          <w:szCs w:val="36"/>
          <w14:ligatures w14:val="none"/>
        </w:rPr>
        <w:t>2. Contemporary HR Practices</w:t>
      </w:r>
    </w:p>
    <w:p w14:paraId="660356C9" w14:textId="77777777" w:rsidR="00705143" w:rsidRP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05143">
        <w:rPr>
          <w:rFonts w:ascii="Times New Roman" w:eastAsia="Times New Roman" w:hAnsi="Times New Roman" w:cs="Times New Roman"/>
          <w:b/>
          <w:bCs/>
          <w:kern w:val="0"/>
          <w:sz w:val="27"/>
          <w:szCs w:val="27"/>
          <w14:ligatures w14:val="none"/>
        </w:rPr>
        <w:t>Addressing Business Transformation</w:t>
      </w:r>
    </w:p>
    <w:p w14:paraId="29255967"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To support transformation, HR can utilise structured change-management frameworks such as Kotter’s 8-Step Model. Communication strategies outlining goals, expectations, and timelines foster employee understanding and reduce resistance. Training programmes focused on upskilling or reskilling prepare staff to navigate new processes. Performance management systems can be adjusted to reward adaptive behaviours, innovation, and cross-functional collaboration. Engagement surveys, feedback channels, and one-to-one discussions allow HR to identify concerns early, enhancing acceptance and participation in transformation initiatives.</w:t>
      </w:r>
    </w:p>
    <w:p w14:paraId="18E38BFA" w14:textId="77777777" w:rsidR="00705143" w:rsidRP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05143">
        <w:rPr>
          <w:rFonts w:ascii="Times New Roman" w:eastAsia="Times New Roman" w:hAnsi="Times New Roman" w:cs="Times New Roman"/>
          <w:b/>
          <w:bCs/>
          <w:kern w:val="0"/>
          <w:sz w:val="27"/>
          <w:szCs w:val="27"/>
          <w14:ligatures w14:val="none"/>
        </w:rPr>
        <w:t>Adapting to Digital Technology Trends</w:t>
      </w:r>
    </w:p>
    <w:p w14:paraId="6C7DBB34"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HR practices should embed digital competency into employee development through e-learning platforms, virtual workshops, and gamified learning. HRIS enables efficient management of employee records, performance tracking, and grievance resolution. Digital collaboration tools enhance cross-departmental communication and team cohesion, especially in hybrid or remote contexts. Recruitment, onboarding, and appraisals can incorporate digital skill assessment to ensure workforce readiness. These measures collectively improve adoption of technology while enhancing productivity and engagement.</w:t>
      </w:r>
    </w:p>
    <w:p w14:paraId="2E839B60" w14:textId="77777777" w:rsidR="00705143" w:rsidRP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05143">
        <w:rPr>
          <w:rFonts w:ascii="Times New Roman" w:eastAsia="Times New Roman" w:hAnsi="Times New Roman" w:cs="Times New Roman"/>
          <w:b/>
          <w:bCs/>
          <w:kern w:val="0"/>
          <w:sz w:val="27"/>
          <w:szCs w:val="27"/>
          <w14:ligatures w14:val="none"/>
        </w:rPr>
        <w:t>Managing Flexible Working Arrangements</w:t>
      </w:r>
    </w:p>
    <w:p w14:paraId="09EC717E"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HR must create transparent policies defining eligibility, expectations, and reporting processes for flexible work. Managerial training ensures equitable application, accountability, and consistent communication. Digital platforms support project tracking, virtual meetings, and resource sharing for remote staff. Employee well-being programmes, including mental health support and virtual engagement activities, mitigate isolation and maintain morale. Regular feedback mechanisms, such as surveys or check-ins, identify concerns and maintain fairness.</w:t>
      </w:r>
    </w:p>
    <w:p w14:paraId="4ECAAA6A" w14:textId="77777777" w:rsidR="00705143" w:rsidRP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05143">
        <w:rPr>
          <w:rFonts w:ascii="Times New Roman" w:eastAsia="Times New Roman" w:hAnsi="Times New Roman" w:cs="Times New Roman"/>
          <w:b/>
          <w:bCs/>
          <w:kern w:val="0"/>
          <w:sz w:val="27"/>
          <w:szCs w:val="27"/>
          <w14:ligatures w14:val="none"/>
        </w:rPr>
        <w:t>Integrated Approach</w:t>
      </w:r>
    </w:p>
    <w:p w14:paraId="4FF894D3"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 xml:space="preserve">Combining HR practices across business transformation, technology adoption, and flexible work ensures a cohesive workforce strategy. Reskilling programmes that incorporate digital training alongside flexible learning schedules address multiple organisational needs simultaneously. Performance management systems should measure adaptability, technological proficiency, and productivity under flexible arrangements. A comprehensive </w:t>
      </w:r>
      <w:r w:rsidRPr="00705143">
        <w:rPr>
          <w:rFonts w:ascii="Times New Roman" w:eastAsia="Times New Roman" w:hAnsi="Times New Roman" w:cs="Times New Roman"/>
          <w:kern w:val="0"/>
          <w14:ligatures w14:val="none"/>
        </w:rPr>
        <w:lastRenderedPageBreak/>
        <w:t>approach ensures HR interventions are effective, timely, and aligned with organisational goals.</w:t>
      </w:r>
    </w:p>
    <w:p w14:paraId="0E724736" w14:textId="04187F4C" w:rsidR="00705143" w:rsidRPr="00705143" w:rsidRDefault="00705143" w:rsidP="00705143">
      <w:pPr>
        <w:spacing w:after="0" w:line="240" w:lineRule="auto"/>
        <w:rPr>
          <w:rFonts w:ascii="Times New Roman" w:eastAsia="Times New Roman" w:hAnsi="Times New Roman" w:cs="Times New Roman"/>
          <w:kern w:val="0"/>
          <w14:ligatures w14:val="none"/>
        </w:rPr>
      </w:pPr>
    </w:p>
    <w:p w14:paraId="51228CF3" w14:textId="5439317A" w:rsidR="00705143" w:rsidRPr="00705143" w:rsidRDefault="00705143" w:rsidP="0070514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05143">
        <w:rPr>
          <w:rFonts w:ascii="Times New Roman" w:eastAsia="Times New Roman" w:hAnsi="Times New Roman" w:cs="Times New Roman"/>
          <w:b/>
          <w:bCs/>
          <w:kern w:val="0"/>
          <w:sz w:val="36"/>
          <w:szCs w:val="36"/>
          <w14:ligatures w14:val="none"/>
        </w:rPr>
        <w:t>3. Ensuring Urgent Implementation by Managers</w:t>
      </w:r>
    </w:p>
    <w:p w14:paraId="3586382B" w14:textId="77777777" w:rsidR="00705143" w:rsidRP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05143">
        <w:rPr>
          <w:rFonts w:ascii="Times New Roman" w:eastAsia="Times New Roman" w:hAnsi="Times New Roman" w:cs="Times New Roman"/>
          <w:b/>
          <w:bCs/>
          <w:kern w:val="0"/>
          <w:sz w:val="27"/>
          <w:szCs w:val="27"/>
          <w14:ligatures w14:val="none"/>
        </w:rPr>
        <w:t>Leadership and Communication</w:t>
      </w:r>
    </w:p>
    <w:p w14:paraId="7925A70E"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Departmental managers must lead by example, demonstrating commitment to HR initiatives, embracing digital tools, and supporting flexible work practices. Clear communication about expectations, goals, and available resources is crucial. Regular team meetings allow managers to address grievances, monitor progress, and reinforce desired behaviours, fostering trust and buy-in.</w:t>
      </w:r>
    </w:p>
    <w:p w14:paraId="3486B155" w14:textId="77777777" w:rsidR="00705143" w:rsidRP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05143">
        <w:rPr>
          <w:rFonts w:ascii="Times New Roman" w:eastAsia="Times New Roman" w:hAnsi="Times New Roman" w:cs="Times New Roman"/>
          <w:b/>
          <w:bCs/>
          <w:kern w:val="0"/>
          <w:sz w:val="27"/>
          <w:szCs w:val="27"/>
          <w14:ligatures w14:val="none"/>
        </w:rPr>
        <w:t>Accountability</w:t>
      </w:r>
    </w:p>
    <w:p w14:paraId="2E4DDD6D"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Managers should be held accountable for implementing HR practices effectively. KPIs linked to HR initiatives, such as digital training completion rates or flexible work compliance, ensure measurable progress. Regular reporting to senior leadership provides oversight and maintains urgency. Ensuring timely grievance resolution strengthens credibility and employee satisfaction.</w:t>
      </w:r>
    </w:p>
    <w:p w14:paraId="7C346660" w14:textId="77777777" w:rsidR="00705143" w:rsidRP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05143">
        <w:rPr>
          <w:rFonts w:ascii="Times New Roman" w:eastAsia="Times New Roman" w:hAnsi="Times New Roman" w:cs="Times New Roman"/>
          <w:b/>
          <w:bCs/>
          <w:kern w:val="0"/>
          <w:sz w:val="27"/>
          <w:szCs w:val="27"/>
          <w14:ligatures w14:val="none"/>
        </w:rPr>
        <w:t>Monitoring and Feedback</w:t>
      </w:r>
    </w:p>
    <w:p w14:paraId="01487188"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Continuous assessment allows managers to identify gaps and intervene promptly. HRIS dashboards, feedback surveys, and team consultations provide real-time data on implementation effectiveness. Managers can provide coaching and mentoring to support staff adaptation and maintain operational continuity.</w:t>
      </w:r>
    </w:p>
    <w:p w14:paraId="53381D3C" w14:textId="77777777" w:rsidR="00705143" w:rsidRPr="00705143" w:rsidRDefault="00705143" w:rsidP="0070514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05143">
        <w:rPr>
          <w:rFonts w:ascii="Times New Roman" w:eastAsia="Times New Roman" w:hAnsi="Times New Roman" w:cs="Times New Roman"/>
          <w:b/>
          <w:bCs/>
          <w:kern w:val="0"/>
          <w:sz w:val="27"/>
          <w:szCs w:val="27"/>
          <w14:ligatures w14:val="none"/>
        </w:rPr>
        <w:t>Collaboration with HR</w:t>
      </w:r>
    </w:p>
    <w:p w14:paraId="2AC674CB" w14:textId="77777777" w:rsidR="00705143" w:rsidRP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Close cooperation between HR and departmental managers ensures alignment of strategies with organisational policies. Coordinated training sessions, joint planning, and shared reporting systems allow for consistent implementation. Collaborative approaches enable rapid resolution of grievances, accelerate digital adoption, and facilitate effective flexible working practices.</w:t>
      </w:r>
    </w:p>
    <w:p w14:paraId="1A7B6791" w14:textId="3AD841F5" w:rsidR="00705143" w:rsidRPr="00705143" w:rsidRDefault="00705143" w:rsidP="00705143">
      <w:pPr>
        <w:spacing w:after="0" w:line="240" w:lineRule="auto"/>
        <w:rPr>
          <w:rFonts w:ascii="Times New Roman" w:eastAsia="Times New Roman" w:hAnsi="Times New Roman" w:cs="Times New Roman"/>
          <w:kern w:val="0"/>
          <w14:ligatures w14:val="none"/>
        </w:rPr>
      </w:pPr>
    </w:p>
    <w:p w14:paraId="46BE0DAF" w14:textId="77777777" w:rsidR="00705143" w:rsidRDefault="00705143" w:rsidP="0070514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589D24E" w14:textId="77777777" w:rsidR="00705143" w:rsidRDefault="00705143" w:rsidP="0070514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FB96883" w14:textId="77777777" w:rsidR="00705143" w:rsidRDefault="00705143" w:rsidP="0070514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73C6A87" w14:textId="77777777" w:rsidR="00705143" w:rsidRDefault="00705143" w:rsidP="0070514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12B0699" w14:textId="76EB2D79" w:rsidR="00705143" w:rsidRPr="00705143" w:rsidRDefault="00705143" w:rsidP="0070514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05143">
        <w:rPr>
          <w:rFonts w:ascii="Times New Roman" w:eastAsia="Times New Roman" w:hAnsi="Times New Roman" w:cs="Times New Roman"/>
          <w:b/>
          <w:bCs/>
          <w:kern w:val="0"/>
          <w:sz w:val="36"/>
          <w:szCs w:val="36"/>
          <w14:ligatures w14:val="none"/>
        </w:rPr>
        <w:lastRenderedPageBreak/>
        <w:t xml:space="preserve">Conclusion </w:t>
      </w:r>
    </w:p>
    <w:p w14:paraId="7AA9060D" w14:textId="77777777" w:rsidR="00705143" w:rsidRDefault="00705143" w:rsidP="00705143">
      <w:pPr>
        <w:spacing w:before="100" w:beforeAutospacing="1" w:after="100" w:afterAutospacing="1" w:line="240" w:lineRule="auto"/>
        <w:rPr>
          <w:rFonts w:ascii="Times New Roman" w:eastAsia="Times New Roman" w:hAnsi="Times New Roman" w:cs="Times New Roman"/>
          <w:kern w:val="0"/>
          <w14:ligatures w14:val="none"/>
        </w:rPr>
      </w:pPr>
      <w:r w:rsidRPr="00705143">
        <w:rPr>
          <w:rFonts w:ascii="Times New Roman" w:eastAsia="Times New Roman" w:hAnsi="Times New Roman" w:cs="Times New Roman"/>
          <w:kern w:val="0"/>
          <w14:ligatures w14:val="none"/>
        </w:rPr>
        <w:t>My initial experience within JP Morgan’s HR department highlighted the complexities of managing a workforce amid ongoing business transformation, technological change, and flexible working demands. Employee grievances, skill gaps, and resistance to change underscored the importance of proactive, integrated HR strategies. Effective implementation of contemporary HR practices can enhance engagement, productivity, and organisational resilience.</w:t>
      </w:r>
    </w:p>
    <w:p w14:paraId="6F573784" w14:textId="77777777" w:rsidR="00E02FB5" w:rsidRPr="00E02FB5" w:rsidRDefault="00E02FB5" w:rsidP="00E02FB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02FB5">
        <w:rPr>
          <w:rFonts w:ascii="Times New Roman" w:eastAsia="Times New Roman" w:hAnsi="Times New Roman" w:cs="Times New Roman"/>
          <w:b/>
          <w:bCs/>
          <w:kern w:val="0"/>
          <w:sz w:val="27"/>
          <w:szCs w:val="27"/>
          <w14:ligatures w14:val="none"/>
        </w:rPr>
        <w:t>Recommendations</w:t>
      </w:r>
    </w:p>
    <w:p w14:paraId="7FF9A7E1" w14:textId="77777777" w:rsidR="00E02FB5" w:rsidRPr="00E02FB5" w:rsidRDefault="00E02FB5" w:rsidP="00E02FB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2FB5">
        <w:rPr>
          <w:rFonts w:ascii="Times New Roman" w:eastAsia="Times New Roman" w:hAnsi="Times New Roman" w:cs="Times New Roman"/>
          <w:b/>
          <w:bCs/>
          <w:kern w:val="0"/>
          <w14:ligatures w14:val="none"/>
        </w:rPr>
        <w:t>Implement a structured change management framework</w:t>
      </w:r>
      <w:r w:rsidRPr="00E02FB5">
        <w:rPr>
          <w:rFonts w:ascii="Times New Roman" w:eastAsia="Times New Roman" w:hAnsi="Times New Roman" w:cs="Times New Roman"/>
          <w:kern w:val="0"/>
          <w14:ligatures w14:val="none"/>
        </w:rPr>
        <w:t xml:space="preserve"> – Use communication plans, reskilling programmes, and engagement surveys to support transformation initiatives.</w:t>
      </w:r>
    </w:p>
    <w:p w14:paraId="27AA565B" w14:textId="77777777" w:rsidR="00E02FB5" w:rsidRPr="00E02FB5" w:rsidRDefault="00E02FB5" w:rsidP="00E02FB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2FB5">
        <w:rPr>
          <w:rFonts w:ascii="Times New Roman" w:eastAsia="Times New Roman" w:hAnsi="Times New Roman" w:cs="Times New Roman"/>
          <w:b/>
          <w:bCs/>
          <w:kern w:val="0"/>
          <w14:ligatures w14:val="none"/>
        </w:rPr>
        <w:t>Develop digital competency initiatives</w:t>
      </w:r>
      <w:r w:rsidRPr="00E02FB5">
        <w:rPr>
          <w:rFonts w:ascii="Times New Roman" w:eastAsia="Times New Roman" w:hAnsi="Times New Roman" w:cs="Times New Roman"/>
          <w:kern w:val="0"/>
          <w14:ligatures w14:val="none"/>
        </w:rPr>
        <w:t xml:space="preserve"> – Provide e-learning modules, digital workshops, and collaboration tools to enhance workforce capabilities.</w:t>
      </w:r>
    </w:p>
    <w:p w14:paraId="4CBF9F06" w14:textId="77777777" w:rsidR="00E02FB5" w:rsidRPr="00E02FB5" w:rsidRDefault="00E02FB5" w:rsidP="00E02FB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2FB5">
        <w:rPr>
          <w:rFonts w:ascii="Times New Roman" w:eastAsia="Times New Roman" w:hAnsi="Times New Roman" w:cs="Times New Roman"/>
          <w:b/>
          <w:bCs/>
          <w:kern w:val="0"/>
          <w14:ligatures w14:val="none"/>
        </w:rPr>
        <w:t>Establish equitable flexible working policies</w:t>
      </w:r>
      <w:r w:rsidRPr="00E02FB5">
        <w:rPr>
          <w:rFonts w:ascii="Times New Roman" w:eastAsia="Times New Roman" w:hAnsi="Times New Roman" w:cs="Times New Roman"/>
          <w:kern w:val="0"/>
          <w14:ligatures w14:val="none"/>
        </w:rPr>
        <w:t xml:space="preserve"> – Ensure transparent guidelines, manager training, and monitoring systems to support remote and hybrid work.</w:t>
      </w:r>
    </w:p>
    <w:p w14:paraId="6E448B55" w14:textId="77777777" w:rsidR="00E02FB5" w:rsidRPr="00E02FB5" w:rsidRDefault="00E02FB5" w:rsidP="00E02FB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2FB5">
        <w:rPr>
          <w:rFonts w:ascii="Times New Roman" w:eastAsia="Times New Roman" w:hAnsi="Times New Roman" w:cs="Times New Roman"/>
          <w:b/>
          <w:bCs/>
          <w:kern w:val="0"/>
          <w14:ligatures w14:val="none"/>
        </w:rPr>
        <w:t>Strengthen grievance management</w:t>
      </w:r>
      <w:r w:rsidRPr="00E02FB5">
        <w:rPr>
          <w:rFonts w:ascii="Times New Roman" w:eastAsia="Times New Roman" w:hAnsi="Times New Roman" w:cs="Times New Roman"/>
          <w:kern w:val="0"/>
          <w14:ligatures w14:val="none"/>
        </w:rPr>
        <w:t xml:space="preserve"> – Introduce rapid-response channels, anonymous reporting mechanisms, and HR support for managers.</w:t>
      </w:r>
    </w:p>
    <w:p w14:paraId="56A23A22" w14:textId="77777777" w:rsidR="00E02FB5" w:rsidRPr="00E02FB5" w:rsidRDefault="00E02FB5" w:rsidP="00E02FB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2FB5">
        <w:rPr>
          <w:rFonts w:ascii="Times New Roman" w:eastAsia="Times New Roman" w:hAnsi="Times New Roman" w:cs="Times New Roman"/>
          <w:b/>
          <w:bCs/>
          <w:kern w:val="0"/>
          <w14:ligatures w14:val="none"/>
        </w:rPr>
        <w:t>Link HR practices to measurable outcomes</w:t>
      </w:r>
      <w:r w:rsidRPr="00E02FB5">
        <w:rPr>
          <w:rFonts w:ascii="Times New Roman" w:eastAsia="Times New Roman" w:hAnsi="Times New Roman" w:cs="Times New Roman"/>
          <w:kern w:val="0"/>
          <w14:ligatures w14:val="none"/>
        </w:rPr>
        <w:t xml:space="preserve"> – Use KPIs to monitor digital adoption, flexibility compliance, and employee engagement.</w:t>
      </w:r>
    </w:p>
    <w:p w14:paraId="289D06BD" w14:textId="77777777" w:rsidR="00E02FB5" w:rsidRPr="00E02FB5" w:rsidRDefault="00E02FB5" w:rsidP="00E02FB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2FB5">
        <w:rPr>
          <w:rFonts w:ascii="Times New Roman" w:eastAsia="Times New Roman" w:hAnsi="Times New Roman" w:cs="Times New Roman"/>
          <w:b/>
          <w:bCs/>
          <w:kern w:val="0"/>
          <w14:ligatures w14:val="none"/>
        </w:rPr>
        <w:t>Enhance manager accountability</w:t>
      </w:r>
      <w:r w:rsidRPr="00E02FB5">
        <w:rPr>
          <w:rFonts w:ascii="Times New Roman" w:eastAsia="Times New Roman" w:hAnsi="Times New Roman" w:cs="Times New Roman"/>
          <w:kern w:val="0"/>
          <w14:ligatures w14:val="none"/>
        </w:rPr>
        <w:t xml:space="preserve"> – Require managers to champion HR initiatives, monitor team performance, and provide continuous feedback.</w:t>
      </w:r>
    </w:p>
    <w:p w14:paraId="2B185914" w14:textId="77777777" w:rsidR="00E02FB5" w:rsidRPr="00E02FB5" w:rsidRDefault="00E02FB5" w:rsidP="00E02FB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2FB5">
        <w:rPr>
          <w:rFonts w:ascii="Times New Roman" w:eastAsia="Times New Roman" w:hAnsi="Times New Roman" w:cs="Times New Roman"/>
          <w:b/>
          <w:bCs/>
          <w:kern w:val="0"/>
          <w14:ligatures w14:val="none"/>
        </w:rPr>
        <w:t>Promote collaboration between HR and departmental managers</w:t>
      </w:r>
      <w:r w:rsidRPr="00E02FB5">
        <w:rPr>
          <w:rFonts w:ascii="Times New Roman" w:eastAsia="Times New Roman" w:hAnsi="Times New Roman" w:cs="Times New Roman"/>
          <w:kern w:val="0"/>
          <w14:ligatures w14:val="none"/>
        </w:rPr>
        <w:t xml:space="preserve"> – Coordinate training, feedback sessions, and policy implementation to ensure consistency.</w:t>
      </w:r>
    </w:p>
    <w:p w14:paraId="601E14A1" w14:textId="77777777" w:rsidR="00E02FB5" w:rsidRPr="00E02FB5" w:rsidRDefault="00E02FB5" w:rsidP="00E02FB5">
      <w:pPr>
        <w:spacing w:before="100" w:beforeAutospacing="1" w:after="100" w:afterAutospacing="1" w:line="240" w:lineRule="auto"/>
        <w:rPr>
          <w:rFonts w:ascii="Times New Roman" w:eastAsia="Times New Roman" w:hAnsi="Times New Roman" w:cs="Times New Roman"/>
          <w:kern w:val="0"/>
          <w14:ligatures w14:val="none"/>
        </w:rPr>
      </w:pPr>
      <w:r w:rsidRPr="00E02FB5">
        <w:rPr>
          <w:rFonts w:ascii="Times New Roman" w:eastAsia="Times New Roman" w:hAnsi="Times New Roman" w:cs="Times New Roman"/>
          <w:kern w:val="0"/>
          <w14:ligatures w14:val="none"/>
        </w:rPr>
        <w:t>By implementing these recommendations, JP Morgan’s HR department can create a responsive, digitally competent, and engaged workforce capable of thriving in a rapidly evolving financial services environment.</w:t>
      </w:r>
    </w:p>
    <w:p w14:paraId="7AE2522D" w14:textId="77777777" w:rsidR="00E02FB5" w:rsidRPr="00705143" w:rsidRDefault="00E02FB5" w:rsidP="00705143">
      <w:pPr>
        <w:spacing w:before="100" w:beforeAutospacing="1" w:after="100" w:afterAutospacing="1" w:line="240" w:lineRule="auto"/>
        <w:rPr>
          <w:rFonts w:ascii="Times New Roman" w:eastAsia="Times New Roman" w:hAnsi="Times New Roman" w:cs="Times New Roman"/>
          <w:kern w:val="0"/>
          <w14:ligatures w14:val="none"/>
        </w:rPr>
      </w:pPr>
    </w:p>
    <w:p w14:paraId="04E52160" w14:textId="653E021E" w:rsidR="00705143" w:rsidRPr="00705143" w:rsidRDefault="00705143" w:rsidP="00705143">
      <w:pPr>
        <w:pStyle w:val="NormalWeb"/>
        <w:rPr>
          <w:b/>
          <w:bCs/>
          <w:sz w:val="36"/>
          <w:szCs w:val="36"/>
        </w:rPr>
      </w:pPr>
      <w:r w:rsidRPr="00705143">
        <w:rPr>
          <w:b/>
          <w:bCs/>
          <w:sz w:val="36"/>
          <w:szCs w:val="36"/>
        </w:rPr>
        <w:t>Reference List</w:t>
      </w:r>
    </w:p>
    <w:p w14:paraId="10FA3B52" w14:textId="545F305B" w:rsidR="00705143" w:rsidRDefault="00705143" w:rsidP="00705143">
      <w:pPr>
        <w:pStyle w:val="NormalWeb"/>
        <w:numPr>
          <w:ilvl w:val="0"/>
          <w:numId w:val="1"/>
        </w:numPr>
      </w:pPr>
      <w:r>
        <w:t xml:space="preserve">Armstrong, M. (2020) </w:t>
      </w:r>
      <w:r>
        <w:rPr>
          <w:rStyle w:val="Emphasis"/>
          <w:rFonts w:eastAsiaTheme="majorEastAsia"/>
        </w:rPr>
        <w:t>Armstrong's Handbook of Human Resource Management Practice</w:t>
      </w:r>
      <w:r>
        <w:t>. 15th edn. London: Kogan Page.</w:t>
      </w:r>
    </w:p>
    <w:p w14:paraId="2C66D4ED" w14:textId="77777777" w:rsidR="00705143" w:rsidRDefault="00705143" w:rsidP="00705143">
      <w:pPr>
        <w:pStyle w:val="NormalWeb"/>
        <w:numPr>
          <w:ilvl w:val="0"/>
          <w:numId w:val="1"/>
        </w:numPr>
      </w:pPr>
      <w:r>
        <w:t xml:space="preserve">CIPD. (2022) </w:t>
      </w:r>
      <w:r>
        <w:rPr>
          <w:rStyle w:val="Emphasis"/>
          <w:rFonts w:eastAsiaTheme="majorEastAsia"/>
        </w:rPr>
        <w:t>Flexible working and wellbeing: HR practice insights</w:t>
      </w:r>
      <w:r>
        <w:t>. Available at: https://www.cipd.co.uk (Accessed: 23 November 2025).</w:t>
      </w:r>
    </w:p>
    <w:p w14:paraId="00034684" w14:textId="77777777" w:rsidR="00705143" w:rsidRDefault="00705143" w:rsidP="00705143">
      <w:pPr>
        <w:pStyle w:val="NormalWeb"/>
        <w:numPr>
          <w:ilvl w:val="0"/>
          <w:numId w:val="1"/>
        </w:numPr>
      </w:pPr>
      <w:r>
        <w:t xml:space="preserve">Deloitte. (2021) </w:t>
      </w:r>
      <w:r>
        <w:rPr>
          <w:rStyle w:val="Emphasis"/>
          <w:rFonts w:eastAsiaTheme="majorEastAsia"/>
        </w:rPr>
        <w:t>Human Capital Trends 2021: The future of work is here</w:t>
      </w:r>
      <w:r>
        <w:t>. Available at: https://www2.deloitte.com (Accessed: 23 November 2025).</w:t>
      </w:r>
    </w:p>
    <w:p w14:paraId="18B4F532" w14:textId="77777777" w:rsidR="00705143" w:rsidRDefault="00705143" w:rsidP="00705143">
      <w:pPr>
        <w:pStyle w:val="NormalWeb"/>
        <w:numPr>
          <w:ilvl w:val="0"/>
          <w:numId w:val="1"/>
        </w:numPr>
      </w:pPr>
      <w:r>
        <w:t xml:space="preserve">Harvard Business Review. (2020) </w:t>
      </w:r>
      <w:r>
        <w:rPr>
          <w:rStyle w:val="Emphasis"/>
          <w:rFonts w:eastAsiaTheme="majorEastAsia"/>
        </w:rPr>
        <w:t>Digital transformation in the workplace: HR perspectives</w:t>
      </w:r>
      <w:r>
        <w:t>. Available at: https://hbr.org (Accessed: 23 November 2025).</w:t>
      </w:r>
    </w:p>
    <w:p w14:paraId="712F3E54" w14:textId="77777777" w:rsidR="00705143" w:rsidRDefault="00705143" w:rsidP="00705143">
      <w:pPr>
        <w:pStyle w:val="NormalWeb"/>
        <w:numPr>
          <w:ilvl w:val="0"/>
          <w:numId w:val="1"/>
        </w:numPr>
      </w:pPr>
      <w:r>
        <w:t xml:space="preserve">KPMG. (2021) </w:t>
      </w:r>
      <w:r>
        <w:rPr>
          <w:rStyle w:val="Emphasis"/>
          <w:rFonts w:eastAsiaTheme="majorEastAsia"/>
        </w:rPr>
        <w:t>Future of HR: Digital and flexible working trends</w:t>
      </w:r>
      <w:r>
        <w:t>. Available at: https://home.kpmg (Accessed: 23 November 2025).</w:t>
      </w:r>
    </w:p>
    <w:p w14:paraId="3C7708E6" w14:textId="77777777" w:rsidR="00705143" w:rsidRDefault="00705143" w:rsidP="00705143">
      <w:pPr>
        <w:pStyle w:val="NormalWeb"/>
        <w:numPr>
          <w:ilvl w:val="0"/>
          <w:numId w:val="1"/>
        </w:numPr>
      </w:pPr>
      <w:r>
        <w:t xml:space="preserve">Society for Human Resource Management (SHRM). (2022) </w:t>
      </w:r>
      <w:r>
        <w:rPr>
          <w:rStyle w:val="Emphasis"/>
          <w:rFonts w:eastAsiaTheme="majorEastAsia"/>
        </w:rPr>
        <w:t>Implementing contemporary HR practices in organizations</w:t>
      </w:r>
      <w:r>
        <w:t>. Available at: https://www.shrm.org (Accessed: 23 November 2025).</w:t>
      </w:r>
    </w:p>
    <w:p w14:paraId="25EDD0ED" w14:textId="77777777" w:rsidR="00705143" w:rsidRDefault="00705143"/>
    <w:sectPr w:rsidR="007051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CB6679"/>
    <w:multiLevelType w:val="multilevel"/>
    <w:tmpl w:val="DA7EC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302B2C"/>
    <w:multiLevelType w:val="multilevel"/>
    <w:tmpl w:val="F1D87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2719833">
    <w:abstractNumId w:val="0"/>
  </w:num>
  <w:num w:numId="2" w16cid:durableId="1778713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143"/>
    <w:rsid w:val="005E0A82"/>
    <w:rsid w:val="00705143"/>
    <w:rsid w:val="00E02F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F6EEA"/>
  <w15:chartTrackingRefBased/>
  <w15:docId w15:val="{F99080A3-60CB-482E-A6DE-497433B6C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5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51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51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51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51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51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51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51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1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51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51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51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51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5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5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5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5143"/>
    <w:rPr>
      <w:rFonts w:eastAsiaTheme="majorEastAsia" w:cstheme="majorBidi"/>
      <w:color w:val="272727" w:themeColor="text1" w:themeTint="D8"/>
    </w:rPr>
  </w:style>
  <w:style w:type="paragraph" w:styleId="Title">
    <w:name w:val="Title"/>
    <w:basedOn w:val="Normal"/>
    <w:next w:val="Normal"/>
    <w:link w:val="TitleChar"/>
    <w:uiPriority w:val="10"/>
    <w:qFormat/>
    <w:rsid w:val="007051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5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51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5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5143"/>
    <w:pPr>
      <w:spacing w:before="160"/>
      <w:jc w:val="center"/>
    </w:pPr>
    <w:rPr>
      <w:i/>
      <w:iCs/>
      <w:color w:val="404040" w:themeColor="text1" w:themeTint="BF"/>
    </w:rPr>
  </w:style>
  <w:style w:type="character" w:customStyle="1" w:styleId="QuoteChar">
    <w:name w:val="Quote Char"/>
    <w:basedOn w:val="DefaultParagraphFont"/>
    <w:link w:val="Quote"/>
    <w:uiPriority w:val="29"/>
    <w:rsid w:val="00705143"/>
    <w:rPr>
      <w:i/>
      <w:iCs/>
      <w:color w:val="404040" w:themeColor="text1" w:themeTint="BF"/>
    </w:rPr>
  </w:style>
  <w:style w:type="paragraph" w:styleId="ListParagraph">
    <w:name w:val="List Paragraph"/>
    <w:basedOn w:val="Normal"/>
    <w:uiPriority w:val="34"/>
    <w:qFormat/>
    <w:rsid w:val="00705143"/>
    <w:pPr>
      <w:ind w:left="720"/>
      <w:contextualSpacing/>
    </w:pPr>
  </w:style>
  <w:style w:type="character" w:styleId="IntenseEmphasis">
    <w:name w:val="Intense Emphasis"/>
    <w:basedOn w:val="DefaultParagraphFont"/>
    <w:uiPriority w:val="21"/>
    <w:qFormat/>
    <w:rsid w:val="00705143"/>
    <w:rPr>
      <w:i/>
      <w:iCs/>
      <w:color w:val="0F4761" w:themeColor="accent1" w:themeShade="BF"/>
    </w:rPr>
  </w:style>
  <w:style w:type="paragraph" w:styleId="IntenseQuote">
    <w:name w:val="Intense Quote"/>
    <w:basedOn w:val="Normal"/>
    <w:next w:val="Normal"/>
    <w:link w:val="IntenseQuoteChar"/>
    <w:uiPriority w:val="30"/>
    <w:qFormat/>
    <w:rsid w:val="00705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5143"/>
    <w:rPr>
      <w:i/>
      <w:iCs/>
      <w:color w:val="0F4761" w:themeColor="accent1" w:themeShade="BF"/>
    </w:rPr>
  </w:style>
  <w:style w:type="character" w:styleId="IntenseReference">
    <w:name w:val="Intense Reference"/>
    <w:basedOn w:val="DefaultParagraphFont"/>
    <w:uiPriority w:val="32"/>
    <w:qFormat/>
    <w:rsid w:val="00705143"/>
    <w:rPr>
      <w:b/>
      <w:bCs/>
      <w:smallCaps/>
      <w:color w:val="0F4761" w:themeColor="accent1" w:themeShade="BF"/>
      <w:spacing w:val="5"/>
    </w:rPr>
  </w:style>
  <w:style w:type="paragraph" w:styleId="NormalWeb">
    <w:name w:val="Normal (Web)"/>
    <w:basedOn w:val="Normal"/>
    <w:uiPriority w:val="99"/>
    <w:semiHidden/>
    <w:unhideWhenUsed/>
    <w:rsid w:val="0070514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7051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8863715">
      <w:bodyDiv w:val="1"/>
      <w:marLeft w:val="0"/>
      <w:marRight w:val="0"/>
      <w:marTop w:val="0"/>
      <w:marBottom w:val="0"/>
      <w:divBdr>
        <w:top w:val="none" w:sz="0" w:space="0" w:color="auto"/>
        <w:left w:val="none" w:sz="0" w:space="0" w:color="auto"/>
        <w:bottom w:val="none" w:sz="0" w:space="0" w:color="auto"/>
        <w:right w:val="none" w:sz="0" w:space="0" w:color="auto"/>
      </w:divBdr>
      <w:divsChild>
        <w:div w:id="97066835">
          <w:marLeft w:val="0"/>
          <w:marRight w:val="0"/>
          <w:marTop w:val="0"/>
          <w:marBottom w:val="0"/>
          <w:divBdr>
            <w:top w:val="none" w:sz="0" w:space="0" w:color="auto"/>
            <w:left w:val="none" w:sz="0" w:space="0" w:color="auto"/>
            <w:bottom w:val="none" w:sz="0" w:space="0" w:color="auto"/>
            <w:right w:val="none" w:sz="0" w:space="0" w:color="auto"/>
          </w:divBdr>
        </w:div>
        <w:div w:id="953638034">
          <w:marLeft w:val="0"/>
          <w:marRight w:val="0"/>
          <w:marTop w:val="0"/>
          <w:marBottom w:val="0"/>
          <w:divBdr>
            <w:top w:val="none" w:sz="0" w:space="0" w:color="auto"/>
            <w:left w:val="none" w:sz="0" w:space="0" w:color="auto"/>
            <w:bottom w:val="none" w:sz="0" w:space="0" w:color="auto"/>
            <w:right w:val="none" w:sz="0" w:space="0" w:color="auto"/>
          </w:divBdr>
        </w:div>
        <w:div w:id="2057123036">
          <w:marLeft w:val="0"/>
          <w:marRight w:val="0"/>
          <w:marTop w:val="0"/>
          <w:marBottom w:val="0"/>
          <w:divBdr>
            <w:top w:val="none" w:sz="0" w:space="0" w:color="auto"/>
            <w:left w:val="none" w:sz="0" w:space="0" w:color="auto"/>
            <w:bottom w:val="none" w:sz="0" w:space="0" w:color="auto"/>
            <w:right w:val="none" w:sz="0" w:space="0" w:color="auto"/>
          </w:divBdr>
        </w:div>
        <w:div w:id="108403922">
          <w:marLeft w:val="0"/>
          <w:marRight w:val="0"/>
          <w:marTop w:val="0"/>
          <w:marBottom w:val="0"/>
          <w:divBdr>
            <w:top w:val="none" w:sz="0" w:space="0" w:color="auto"/>
            <w:left w:val="none" w:sz="0" w:space="0" w:color="auto"/>
            <w:bottom w:val="none" w:sz="0" w:space="0" w:color="auto"/>
            <w:right w:val="none" w:sz="0" w:space="0" w:color="auto"/>
          </w:divBdr>
        </w:div>
        <w:div w:id="664435138">
          <w:marLeft w:val="0"/>
          <w:marRight w:val="0"/>
          <w:marTop w:val="0"/>
          <w:marBottom w:val="0"/>
          <w:divBdr>
            <w:top w:val="none" w:sz="0" w:space="0" w:color="auto"/>
            <w:left w:val="none" w:sz="0" w:space="0" w:color="auto"/>
            <w:bottom w:val="none" w:sz="0" w:space="0" w:color="auto"/>
            <w:right w:val="none" w:sz="0" w:space="0" w:color="auto"/>
          </w:divBdr>
        </w:div>
      </w:divsChild>
    </w:div>
    <w:div w:id="1231843537">
      <w:bodyDiv w:val="1"/>
      <w:marLeft w:val="0"/>
      <w:marRight w:val="0"/>
      <w:marTop w:val="0"/>
      <w:marBottom w:val="0"/>
      <w:divBdr>
        <w:top w:val="none" w:sz="0" w:space="0" w:color="auto"/>
        <w:left w:val="none" w:sz="0" w:space="0" w:color="auto"/>
        <w:bottom w:val="none" w:sz="0" w:space="0" w:color="auto"/>
        <w:right w:val="none" w:sz="0" w:space="0" w:color="auto"/>
      </w:divBdr>
    </w:div>
    <w:div w:id="138302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6" ma:contentTypeDescription="Create a new document." ma:contentTypeScope="" ma:versionID="9abf175d5f47271028774fc77c8f5943">
  <xsd:schema xmlns:xsd="http://www.w3.org/2001/XMLSchema" xmlns:xs="http://www.w3.org/2001/XMLSchema" xmlns:p="http://schemas.microsoft.com/office/2006/metadata/properties" xmlns:ns3="ea615e75-cfa6-4777-b3e2-cd5725779d91" targetNamespace="http://schemas.microsoft.com/office/2006/metadata/properties" ma:root="true" ma:fieldsID="2a7e03599bf68830fef4bbc42090a35c"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Props1.xml><?xml version="1.0" encoding="utf-8"?>
<ds:datastoreItem xmlns:ds="http://schemas.openxmlformats.org/officeDocument/2006/customXml" ds:itemID="{9D031B26-9FE1-4B16-98AD-C2D552C9D9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361ADC-3170-42C6-9407-FD88554B5916}">
  <ds:schemaRefs>
    <ds:schemaRef ds:uri="http://schemas.microsoft.com/sharepoint/v3/contenttype/forms"/>
  </ds:schemaRefs>
</ds:datastoreItem>
</file>

<file path=customXml/itemProps3.xml><?xml version="1.0" encoding="utf-8"?>
<ds:datastoreItem xmlns:ds="http://schemas.openxmlformats.org/officeDocument/2006/customXml" ds:itemID="{11CD62EB-F673-45BE-8F41-7A4A09B60A8B}">
  <ds:schemaRefs>
    <ds:schemaRef ds:uri="http://schemas.microsoft.com/office/2006/documentManagement/types"/>
    <ds:schemaRef ds:uri="http://purl.org/dc/elements/1.1/"/>
    <ds:schemaRef ds:uri="http://www.w3.org/XML/1998/namespace"/>
    <ds:schemaRef ds:uri="http://schemas.openxmlformats.org/package/2006/metadata/core-properties"/>
    <ds:schemaRef ds:uri="ea615e75-cfa6-4777-b3e2-cd5725779d91"/>
    <ds:schemaRef ds:uri="http://purl.org/dc/dcmitype/"/>
    <ds:schemaRef ds:uri="http://purl.org/dc/term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1788</Words>
  <Characters>10193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Ekoriko (2414382)</dc:creator>
  <cp:keywords/>
  <dc:description/>
  <cp:lastModifiedBy>Michael Ekoriko (2414382)</cp:lastModifiedBy>
  <cp:revision>2</cp:revision>
  <dcterms:created xsi:type="dcterms:W3CDTF">2025-11-23T21:49:00Z</dcterms:created>
  <dcterms:modified xsi:type="dcterms:W3CDTF">2025-11-23T21:49:00Z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