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Autospacing="0" w:afterAutospacing="0" w:line="360" w:lineRule="auto"/>
        <w:ind w:left="-180" w:right="-334"/>
      </w:pPr>
      <w:bookmarkStart w:id="0" w:name="OLE_LINK6"/>
      <w:r>
        <w:rPr>
          <w:lang w:eastAsia="en-GB"/>
        </w:rPr>
        <w:drawing>
          <wp:inline distT="0" distB="0" distL="114300" distR="114300">
            <wp:extent cx="2058035" cy="856615"/>
            <wp:effectExtent l="0" t="0" r="14605" b="12065"/>
            <wp:docPr id="5" name="图片 5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blettm\AppData\Local\Microsoft\Windows\Temporary Internet Files\Content.Outlook\R41HOZLM\UWTSD Logo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8566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spacing w:beforeAutospacing="0" w:afterAutospacing="0" w:line="360" w:lineRule="auto"/>
        <w:ind w:left="-180" w:right="-334"/>
      </w:pPr>
    </w:p>
    <w:p>
      <w:pPr>
        <w:pStyle w:val="5"/>
        <w:spacing w:beforeAutospacing="0" w:afterAutospacing="0" w:line="360" w:lineRule="auto"/>
        <w:ind w:left="-180" w:right="-334"/>
      </w:pPr>
    </w:p>
    <w:p>
      <w:pPr>
        <w:pStyle w:val="5"/>
        <w:spacing w:beforeAutospacing="0" w:afterAutospacing="0" w:line="360" w:lineRule="auto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>
      <w:pPr>
        <w:pStyle w:val="5"/>
        <w:spacing w:beforeAutospacing="0" w:afterAutospacing="0" w:line="360" w:lineRule="auto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>
      <w:pPr>
        <w:spacing w:line="360" w:lineRule="auto"/>
        <w:rPr>
          <w:rFonts w:ascii="Arial" w:hAnsi="Arial" w:cs="Arial"/>
          <w:sz w:val="28"/>
          <w:szCs w:val="28"/>
          <w:lang w:val="cy-GB"/>
        </w:rPr>
      </w:pPr>
    </w:p>
    <w:p>
      <w:pPr>
        <w:pStyle w:val="2"/>
        <w:spacing w:line="360" w:lineRule="auto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>
      <w:pPr>
        <w:pStyle w:val="2"/>
        <w:spacing w:line="360" w:lineRule="auto"/>
        <w:jc w:val="center"/>
        <w:rPr>
          <w:rFonts w:ascii="Trebuchet MS" w:hAnsi="Trebuchet MS"/>
        </w:rPr>
      </w:pPr>
    </w:p>
    <w:tbl>
      <w:tblPr>
        <w:tblStyle w:val="7"/>
        <w:tblW w:w="88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8"/>
        <w:gridCol w:w="423"/>
        <w:gridCol w:w="1557"/>
        <w:gridCol w:w="286"/>
        <w:gridCol w:w="180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Yuang Sun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4788" w:type="dxa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hint="eastAsia" w:ascii="Arial" w:hAnsi="Arial" w:cs="Arial"/>
                <w:sz w:val="22"/>
                <w:szCs w:val="22"/>
              </w:rPr>
              <w:t>SICH3003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Explaining and memorizing the classical Chinese text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hint="eastAsia" w:ascii="Arial" w:hAnsi="Arial" w:cs="Arial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Arial" w:hAnsi="Arial" w:cs="Arial"/>
                <w:sz w:val="22"/>
                <w:szCs w:val="22"/>
              </w:rPr>
              <w:t>1804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386</w:t>
            </w:r>
          </w:p>
        </w:tc>
        <w:tc>
          <w:tcPr>
            <w:tcW w:w="1802" w:type="dxa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trike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>/No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hint="eastAsia" w:ascii="Arial" w:hAnsi="Arial" w:cs="Arial"/>
                <w:sz w:val="22"/>
                <w:szCs w:val="22"/>
              </w:rPr>
              <w:t xml:space="preserve"> Professor Chia-Feng Hsieh 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eastAsia="宋体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date:11</w:t>
            </w:r>
            <w:r>
              <w:rPr>
                <w:rFonts w:hint="eastAsia" w:ascii="Arial" w:hAnsi="Arial" w:cs="Arial"/>
                <w:sz w:val="22"/>
                <w:szCs w:val="22"/>
              </w:rPr>
              <w:t>th January, 2019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tcBorders>
              <w:bottom w:val="single" w:color="000000" w:sz="4" w:space="0"/>
            </w:tcBorders>
          </w:tcPr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hint="eastAsia" w:ascii="Arial" w:hAnsi="Arial" w:cs="Arial"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√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856" w:type="dxa"/>
            <w:gridSpan w:val="5"/>
            <w:shd w:val="clear" w:color="auto" w:fill="D9D9D9"/>
          </w:tcPr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>
              <w:rPr>
                <w:rFonts w:hint="eastAsia" w:ascii="Arial" w:hAnsi="Arial" w:cs="Arial"/>
                <w:sz w:val="22"/>
                <w:szCs w:val="22"/>
                <w:lang w:val="en-US" w:eastAsia="zh-CN"/>
              </w:rPr>
              <w:t>Yuang Sun</w:t>
            </w: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</w:t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</w:rPr>
              <w:t>Email submission: if you are submitting this form via email, please tick this box</w:t>
            </w:r>
            <w:r>
              <w:rPr>
                <w:rFonts w:ascii="Calibri" w:hAnsi="Calibri" w:cs="Tahoma"/>
                <w:b/>
                <w:sz w:val="36"/>
                <w:szCs w:val="36"/>
              </w:rPr>
              <w:sym w:font="Wingdings" w:char="00FE"/>
            </w:r>
          </w:p>
          <w:p>
            <w:pPr>
              <w:pStyle w:val="5"/>
              <w:spacing w:beforeAutospacing="0" w:afterAutospacing="0" w:line="360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2" w:hRule="atLeast"/>
        </w:trPr>
        <w:tc>
          <w:tcPr>
            <w:tcW w:w="8856" w:type="dxa"/>
            <w:gridSpan w:val="5"/>
          </w:tcPr>
          <w:p>
            <w:pPr>
              <w:spacing w:line="360" w:lineRule="auto"/>
              <w:rPr>
                <w:rFonts w:ascii="Arial" w:hAnsi="Arial"/>
                <w:b/>
              </w:rPr>
            </w:pPr>
          </w:p>
          <w:p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Style w:val="7"/>
              <w:tblW w:w="863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70"/>
              <w:gridCol w:w="166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Agreed Internal Mark: </w:t>
                  </w: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7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  <w:p>
                  <w:pPr>
                    <w:spacing w:line="360" w:lineRule="auto"/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>
                  <w:pPr>
                    <w:spacing w:line="360" w:lineRule="auto"/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5"/>
              <w:spacing w:beforeAutospacing="0" w:afterAutospacing="0" w:line="360" w:lineRule="auto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>
            <w:pPr>
              <w:pStyle w:val="5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>
            <w:pPr>
              <w:pStyle w:val="5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6768" w:type="dxa"/>
            <w:gridSpan w:val="3"/>
          </w:tcPr>
          <w:p>
            <w:pPr>
              <w:pStyle w:val="5"/>
              <w:spacing w:line="360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</w:tcPr>
          <w:p>
            <w:pPr>
              <w:pStyle w:val="5"/>
              <w:spacing w:line="360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5"/>
          </w:tcPr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Marker’s Signature:</w:t>
            </w:r>
          </w:p>
        </w:tc>
        <w:tc>
          <w:tcPr>
            <w:tcW w:w="3645" w:type="dxa"/>
            <w:gridSpan w:val="3"/>
          </w:tcPr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Comment on process on arriving at agreed mark:</w:t>
            </w: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856" w:type="dxa"/>
            <w:gridSpan w:val="5"/>
          </w:tcPr>
          <w:p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>
            <w:pPr>
              <w:pStyle w:val="5"/>
              <w:spacing w:beforeAutospacing="0" w:afterAutospacing="0" w:line="360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211" w:type="dxa"/>
            <w:gridSpan w:val="2"/>
          </w:tcPr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bookmarkEnd w:id="0"/>
    </w:tbl>
    <w:p>
      <w:pPr>
        <w:spacing w:line="360" w:lineRule="auto"/>
        <w:jc w:val="center"/>
        <w:rPr>
          <w:rFonts w:ascii="DFKai-SB" w:hAnsi="DFKai-SB" w:eastAsia="DFKai-SB" w:cs="DFKai-SB"/>
          <w:sz w:val="36"/>
          <w:szCs w:val="36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  <w:r>
        <w:rPr>
          <w:rFonts w:hint="eastAsia" w:ascii="DFKai-SB" w:hAnsi="DFKai-SB" w:eastAsia="DFKai-SB" w:cs="DFKai-SB"/>
          <w:sz w:val="36"/>
          <w:szCs w:val="36"/>
          <w:lang w:eastAsia="zh-TW"/>
        </w:rPr>
        <w:t>背誦內容</w:t>
      </w:r>
    </w:p>
    <w:p>
      <w:pPr>
        <w:spacing w:line="360" w:lineRule="auto"/>
        <w:jc w:val="center"/>
        <w:rPr>
          <w:rFonts w:hint="eastAsia" w:ascii="DFKai-SB" w:hAnsi="DFKai-SB" w:eastAsia="DFKai-SB" w:cs="DFKai-SB"/>
          <w:sz w:val="36"/>
          <w:szCs w:val="36"/>
          <w:lang w:eastAsia="zh-TW"/>
        </w:rPr>
      </w:pP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lang w:val="en-US" w:eastAsia="zh-CN"/>
        </w:rPr>
        <w:t>注：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red"/>
          <w:lang w:val="en-US" w:eastAsia="zh-CN"/>
        </w:rPr>
        <w:t>紅色：背錯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green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green"/>
          <w:lang w:val="en-US" w:eastAsia="zh-CN"/>
        </w:rPr>
        <w:t>綠色：背漏</w:t>
      </w:r>
    </w:p>
    <w:p>
      <w:pPr>
        <w:spacing w:line="360" w:lineRule="auto"/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</w:pPr>
      <w:r>
        <w:rPr>
          <w:rFonts w:hint="eastAsia" w:ascii="PMingLiU" w:hAnsi="PMingLiU" w:eastAsia="PMingLiU" w:cs="PMingLiU"/>
          <w:b w:val="0"/>
          <w:bCs w:val="0"/>
          <w:sz w:val="28"/>
          <w:szCs w:val="28"/>
          <w:highlight w:val="yellow"/>
          <w:lang w:val="en-US" w:eastAsia="zh-CN"/>
        </w:rPr>
        <w:t>黃色：卡頓</w:t>
      </w:r>
    </w:p>
    <w:p>
      <w:pPr>
        <w:spacing w:line="360" w:lineRule="auto"/>
        <w:rPr>
          <w:rFonts w:hint="eastAsia" w:ascii="楷体" w:hAnsi="楷体" w:eastAsia="楷体" w:cs="楷体"/>
          <w:sz w:val="28"/>
          <w:szCs w:val="28"/>
          <w:lang w:val="en-US" w:eastAsia="zh-CN"/>
        </w:rPr>
      </w:pPr>
    </w:p>
    <w:p>
      <w:pPr>
        <w:spacing w:line="360" w:lineRule="auto"/>
        <w:rPr>
          <w:rFonts w:ascii="PMingLiU" w:hAnsi="PMingLiU" w:eastAsia="PMingLiU" w:cs="PMingLiU"/>
          <w:sz w:val="28"/>
          <w:szCs w:val="28"/>
          <w:lang w:eastAsia="zh-TW"/>
        </w:rPr>
      </w:pPr>
      <w:r>
        <w:rPr>
          <w:rFonts w:hint="eastAsia" w:ascii="PMingLiU" w:hAnsi="PMingLiU" w:eastAsia="PMingLiU" w:cs="PMingLiU"/>
          <w:sz w:val="28"/>
          <w:szCs w:val="28"/>
          <w:lang w:eastAsia="zh-TW"/>
        </w:rPr>
        <w:t>《大學》背誦：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1、大學之道：在明明德，在親民，在止於至善。知止而后有定，定而后能靜，靜而后能安，安而后能慮，慮而后能得。物有本末，事有終始，知所先後，則近道矣。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古之欲明明德於天下者，先治其國；欲治其國者，先齊其家；欲齊其家者，先脩其身；欲脩其身者，先正其心；欲正其心者，先誠其意；欲誠其意者，先致其知，致知在格物。物格而后知至，知至而后意誠，意誠而后心正，心正而后身脩，身脩而后家齊，家齊而后國治，國治而后天下平。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自天子以至於庶人，壹是皆以脩身為本。其本亂而末治者否矣，其所厚者薄，而其所薄者厚，未之有也！此謂知本，此謂知之至也。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2、所謂誠其意者，毋自欺也。如惡惡臭，如好好色，此之謂自謙。故君子必慎其獨也。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小人閒居為不善，無所不至；見君子而後厭然，揜其不善，而著其善。人之視己，如見其肺肝然，則何益矣？此謂誠於中，形於外，故君子必慎其獨也。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曾子曰：「十目所視，十手所指，其嚴乎！」富潤屋，德潤身，心廣體胖，故君子必誠其意。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3、所謂治國必先齊其家者，其家不可教而能教人者，無之。故君子不出家而成教於國：孝者，所以事君也；弟者，所以事長也；慈者，所以使眾也。 〈康誥〉曰：「如保赤子」，心誠求之，雖不中，不遠矣。未有學養子而後嫁者也！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一家仁，一國興仁；一家讓，一國興讓；一人貪戾，一國作亂。其機如此。此謂一言僨事，一人定國。堯、舜帥天下以仁，而民從之；桀、紂帥天下以暴，而民從之。其所令反其所好，而民不從。是故君子有諸己而後求諸人，無諸己，而後非諸人。所藏乎身不恕，而能喻諸人者，未之有也。故治國在齊其家。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《中庸》背誦：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1、天命之謂性，率性之謂道，修道之謂教。道也者，不可須臾離也，可離非道也。是故君子戒慎乎其所不睹，恐懼乎其所不聞。莫見乎隱，莫顯乎微。故君子慎其獨也。</w:t>
      </w:r>
      <w:r>
        <w:rPr>
          <w:rFonts w:hint="eastAsia" w:ascii="DFKai-SB" w:hAnsi="DFKai-SB" w:eastAsia="DFKai-SB" w:cs="DFKai-SB"/>
          <w:color w:val="auto"/>
          <w:sz w:val="28"/>
          <w:szCs w:val="28"/>
          <w:highlight w:val="red"/>
          <w:lang w:val="en-US" w:eastAsia="zh-CN"/>
        </w:rPr>
        <w:t>喜怒哀樂之未發</w:t>
      </w:r>
      <w:r>
        <w:rPr>
          <w:rFonts w:hint="eastAsia" w:ascii="DFKai-SB" w:hAnsi="DFKai-SB" w:eastAsia="DFKai-SB" w:cs="DFKai-SB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謂之中；發而皆中節，謂之和；中也者，天下之大本也；和也者，天下之達道也。致中和，天地位焉，萬物育焉。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仲尼曰：「君子中庸，小人反中庸。君子之中庸也，君子而時中；小人之中庸也，小人而無忌憚也。」</w:t>
      </w:r>
    </w:p>
    <w:p>
      <w:pPr>
        <w:numPr>
          <w:ilvl w:val="0"/>
          <w:numId w:val="0"/>
        </w:numPr>
        <w:spacing w:line="360" w:lineRule="auto"/>
        <w:ind w:firstLine="280" w:firstLineChars="1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 </w:t>
      </w:r>
    </w:p>
    <w:p>
      <w:pPr>
        <w:numPr>
          <w:ilvl w:val="0"/>
          <w:numId w:val="1"/>
        </w:numPr>
        <w:spacing w:line="360" w:lineRule="auto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凡事豫則立，不豫則廢。言前定則不跲，事前定則不困，行前定則不疚，道前定則不窮。在</w:t>
      </w:r>
      <w:r>
        <w:rPr>
          <w:rFonts w:hint="eastAsia" w:ascii="DFKai-SB" w:hAnsi="DFKai-SB" w:eastAsia="DFKai-SB" w:cs="DFKai-SB"/>
          <w:sz w:val="28"/>
          <w:szCs w:val="28"/>
          <w:highlight w:val="red"/>
          <w:lang w:val="en-US" w:eastAsia="zh-CN"/>
        </w:rPr>
        <w:t>下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位不獲乎</w:t>
      </w:r>
      <w:r>
        <w:rPr>
          <w:rFonts w:hint="eastAsia" w:ascii="DFKai-SB" w:hAnsi="DFKai-SB" w:eastAsia="DFKai-SB" w:cs="DFKai-SB"/>
          <w:sz w:val="28"/>
          <w:szCs w:val="28"/>
          <w:highlight w:val="red"/>
          <w:lang w:val="en-US" w:eastAsia="zh-CN"/>
        </w:rPr>
        <w:t>上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，民不可得而治矣；獲乎上有道：不信乎朋友，不獲乎上矣；信乎朋友有道：不順乎親，不信乎朋友矣；順乎親有道：反諸身不誠，不順乎親矣；誠身有道：不明乎善，不誠乎身矣。誠者，天之道也；誠之者，人之道也。誠者不勉而中，不思而得，從容中道，聖人也。誠之者，擇善而固執之者也。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博學之，審問之，慎思之，明辨之，篤行之。有弗學，學之弗能，弗措也；</w:t>
      </w:r>
      <w:r>
        <w:rPr>
          <w:rFonts w:hint="eastAsia" w:ascii="DFKai-SB" w:hAnsi="DFKai-SB" w:eastAsia="DFKai-SB" w:cs="DFKai-SB"/>
          <w:sz w:val="28"/>
          <w:szCs w:val="28"/>
          <w:highlight w:val="green"/>
          <w:lang w:val="en-US" w:eastAsia="zh-CN"/>
        </w:rPr>
        <w:t>有弗問，問之弗知，弗措也；有弗思，思之弗得，弗措也；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有弗辨，辨之弗明，弗措也，有弗行，行之弗篤，弗措也。人一能之己百之，人十能之己千之。果能此道矣，雖愚必明，雖柔必強。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自誠明，謂之性；自明誠，謂之教。誠則明矣，明則誠矣。唯天下至誠，為能盡其性；能盡其性，則能盡人之性；能盡人之性，則能盡物之性；能盡物之性，則可以贊天地之化育；可以贊天地之化育，則可以與天地參矣。</w:t>
      </w:r>
    </w:p>
    <w:p>
      <w:pPr>
        <w:spacing w:line="360" w:lineRule="auto"/>
        <w:ind w:firstLine="56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DFKai-SB" w:hAnsi="DFKai-SB" w:eastAsia="DFKai-SB" w:cs="DFKai-SB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至誠之道，可以前知。國家將興，必有禎祥；國家將亡，必有妖孽。見乎蓍龜，動乎四體。禍福將至：善，必先知之；不善，必先知之。故至誠如神。誠者，自成也，而道，自道也。</w:t>
      </w:r>
      <w:r>
        <w:rPr>
          <w:rFonts w:hint="eastAsia" w:ascii="DFKai-SB" w:hAnsi="DFKai-SB" w:eastAsia="DFKai-SB" w:cs="DFKai-SB"/>
          <w:sz w:val="28"/>
          <w:szCs w:val="28"/>
          <w:highlight w:val="green"/>
          <w:lang w:val="en-US" w:eastAsia="zh-CN"/>
        </w:rPr>
        <w:t>誠者物之終始，不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>誠無物。是故君子誠之為貴。誠者非自成己而已也，所以成物也。成己，仁也；成物，知也。性之德也，合外內之道也，故時措之宜也。</w:t>
      </w:r>
    </w:p>
    <w:p>
      <w:pPr>
        <w:spacing w:line="360" w:lineRule="auto"/>
        <w:rPr>
          <w:rFonts w:hint="eastAsia" w:ascii="楷体" w:hAnsi="楷体" w:eastAsia="楷体" w:cs="楷体"/>
          <w:sz w:val="28"/>
          <w:szCs w:val="28"/>
          <w:lang w:val="en-US" w:eastAsia="zh-CN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《論語》背誦：</w:t>
      </w:r>
    </w:p>
    <w:p>
      <w:pPr>
        <w:adjustRightInd w:val="0"/>
        <w:snapToGrid w:val="0"/>
        <w:spacing w:line="360" w:lineRule="auto"/>
        <w:ind w:firstLine="5" w:firstLineChars="2"/>
        <w:jc w:val="left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&lt;顏淵第十二&gt;</w:t>
      </w:r>
      <w:r>
        <w:rPr>
          <w:rFonts w:hint="eastAsia" w:ascii="DFKai-SB" w:hAnsi="DFKai-SB" w:eastAsia="DFKai-SB" w:cs="DFKai-SB"/>
          <w:sz w:val="28"/>
          <w:szCs w:val="28"/>
          <w:lang w:val="en-US" w:eastAsia="zh-CN"/>
        </w:rPr>
        <w:t xml:space="preserve">  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顏淵問「仁」。子曰：「克己復禮為仁。一日克己復禮，天下歸仁焉。為仁由己，而由仁乎哉？」顏淵曰：「請問其目？」子曰：「非禮勿視，非禮勿聽，非禮勿言，非禮勿動。」顏淵曰：「回雖不敏，請事斯語矣！」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仲弓問「仁」。子曰：「出門如見大賓；使民如承大祭；己所不欲，勿施於人；在邦無怨，在家無怨。」仲弓曰：「雍雖不敏，請事斯語矣！」</w:t>
      </w:r>
    </w:p>
    <w:p>
      <w:pPr>
        <w:adjustRightInd w:val="0"/>
        <w:snapToGrid w:val="0"/>
        <w:spacing w:line="360" w:lineRule="auto"/>
        <w:ind w:firstLine="560" w:firstLineChars="200"/>
        <w:jc w:val="left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司馬牛問「仁」。子曰：「仁者，其言也訒。」曰：「其言也訒，斯謂之仁矣乎？」子曰：「為之難，言之得無訒乎？」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司馬牛問「君子」。子曰：「君子不憂不懼。」曰：「不憂不懼，斯謂之君子矣乎？」子曰：「內省不疚，夫何憂何懼？」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&lt;季氏第十六&gt;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孔子曰：「益者三友，損者三友。友直，友諒，友多聞，益矣。友便辟，友善柔，友便佞，損矣。」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孔子曰：「益者三樂，損者三樂。樂節禮樂，樂道人之善，樂多賢友，益矣。樂驕樂，樂佚遊，樂宴樂，損矣。」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孔子曰：「侍於君子有三愆。言未及之而言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謂之躁，言及之而不言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謂之隱，未見顏色而言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TW"/>
        </w:rPr>
        <w:t>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謂之瞽。」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孔子曰：「君子有三戒。少之時，血氣未定，戒之在色；及其壯也，血氣方剛，戒之在鬥；及其老也，血氣既衰，戒之在得。」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孔子曰：「君子有三畏：畏天命，畏大人，畏聖人之言。小人不知天命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green"/>
        </w:rPr>
        <w:t>而不畏也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，狎大人，侮聖人之言。」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孔子曰：「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red"/>
        </w:rPr>
        <w:t>生而知之者，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yellow"/>
        </w:rPr>
        <w:t>上也；學而知之者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，次也；困而學之，又其次也。困而不學，民斯為下矣！」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highlight w:val="red"/>
        </w:rPr>
        <w:t>孔子曰：「君子有九思：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視思明，聽思聰，色思溫，貌思恭，言思忠，事思敬，疑思問，忿思難，見得思義。」</w:t>
      </w:r>
    </w:p>
    <w:p>
      <w:pPr>
        <w:spacing w:line="360" w:lineRule="auto"/>
        <w:jc w:val="left"/>
        <w:rPr>
          <w:rFonts w:hint="eastAsia" w:ascii="PMingLiU" w:hAnsi="PMingLiU" w:eastAsia="PMingLiU" w:cs="楷体"/>
          <w:b/>
          <w:kern w:val="2"/>
          <w:sz w:val="28"/>
          <w:szCs w:val="28"/>
          <w:lang w:val="en-US" w:eastAsia="zh-CN" w:bidi="ar-SA"/>
        </w:rPr>
      </w:pPr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</w:rPr>
        <w:t>《孟子》背誦：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&lt;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公孫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丑章句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上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&gt;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孟子曰：「人皆有不忍人之心。先王有不忍人之心，斯有不忍人之政矣。以不忍人之心，行不忍人之政，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治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天下可運之掌上。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所以謂人皆有不忍人之心者，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今人乍見孺子將入於井，皆有怵惕惻隱之心。非所以內交於孺子之父母也，非所以要譽於鄉黨朋友也，非惡其聲而然也。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由是觀之，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無惻隱之心，非人也；無羞惡之心，非人也；無辭讓之心，非人也；無是非之心，非人也。惻隱之心，仁之端也；羞惡之心，義之端也；辭讓之心，禮之端也；是非之心，智之端也。人之有是四端也，猶其有四體也。有是四端而自謂不能者，自賊者也；謂其君不能者，賊其君者也。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2、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&lt;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滕文公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章句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上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&gt;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「然則治天下獨可耕且為與？有大人之事，有小人之事。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且一人之身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，而百工之所為備。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如必自為而後用之，是率天下而路也。故曰：或勞心，或勞力；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勞心者治人，勞力者治於人；治於人者食人，治人者食於人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：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天下之通義也。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「當堯之時，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天下猶未平，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洪水橫流，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氾濫於天下。草木暢茂，禽獸繁殖，五穀不登，禽獸偪人。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獸蹄鳥跡之道，交於中國。堯獨憂之，舉舜而敷治焉。舜使益掌火，益烈山澤而焚之，禽獸逃匿。禹疏九河，瀹濟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漯而注諸海；決汝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漢，排淮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eastAsia="zh-CN"/>
        </w:rPr>
        <w:t>、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泗，而注之江，然後中國可得而食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也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。當是時也，禹八年於外，三過其門而不入，雖欲耕，得乎？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</w:pP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</w:rPr>
      </w:pP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3、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&lt;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告子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  <w:t>章句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</w:rPr>
        <w:t>上</w:t>
      </w:r>
      <w:r>
        <w:rPr>
          <w:rFonts w:hint="eastAsia" w:ascii="DFKai-SB" w:hAnsi="DFKai-SB" w:eastAsia="DFKai-SB" w:cs="DFKai-SB"/>
          <w:b w:val="0"/>
          <w:bCs w:val="0"/>
          <w:sz w:val="28"/>
          <w:szCs w:val="28"/>
          <w:lang w:eastAsia="zh-CN"/>
        </w:rPr>
        <w:t>&gt;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告子曰：「性，猶湍水也，決諸東方則東流，決諸西方則西流。人性之無分於善不善也，猶水之無分於東西也。」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孟子曰：「水信無分於東西。無分於上下乎？人性之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  <w:lang w:val="en-US" w:eastAsia="zh-CN"/>
        </w:rPr>
        <w:t xml:space="preserve"> 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善也，猶水之就下</w:t>
      </w:r>
      <w:r>
        <w:rPr>
          <w:rFonts w:hint="eastAsia" w:ascii="DFKai-SB" w:hAnsi="DFKai-SB" w:eastAsia="DFKai-SB" w:cs="DFKai-SB"/>
          <w:sz w:val="28"/>
          <w:szCs w:val="28"/>
          <w:highlight w:val="none"/>
          <w:shd w:val="clear" w:color="auto" w:fill="FFFFFF"/>
        </w:rPr>
        <w:t>也。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人無有不善，水無有不下。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今夫水，搏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而躍之，可使過顙；激而行之，可使在山。是豈水之性哉？其勢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則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然也。</w:t>
      </w:r>
      <w:r>
        <w:rPr>
          <w:rFonts w:hint="eastAsia" w:ascii="DFKai-SB" w:hAnsi="DFKai-SB" w:eastAsia="DFKai-SB" w:cs="DFKai-SB"/>
          <w:sz w:val="28"/>
          <w:szCs w:val="28"/>
          <w:highlight w:val="red"/>
          <w:shd w:val="clear" w:color="auto" w:fill="FFFFFF"/>
        </w:rPr>
        <w:t>人之可使為不善，其性亦猶是也。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</w:p>
    <w:p>
      <w:pPr>
        <w:spacing w:line="360" w:lineRule="auto"/>
        <w:jc w:val="center"/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</w:pPr>
      <w:r>
        <w:rPr>
          <w:rFonts w:hint="eastAsia" w:ascii="DFKai-SB" w:hAnsi="DFKai-SB" w:eastAsia="DFKai-SB" w:cs="DFKai-SB"/>
          <w:color w:val="000000"/>
          <w:sz w:val="36"/>
          <w:szCs w:val="36"/>
          <w:shd w:val="clear" w:color="auto" w:fill="FFFFFF"/>
          <w:lang w:eastAsia="zh-TW"/>
        </w:rPr>
        <w:t>經文淺釋</w:t>
      </w:r>
    </w:p>
    <w:p>
      <w:pPr>
        <w:spacing w:line="360" w:lineRule="auto"/>
        <w:rPr>
          <w:rFonts w:hint="eastAsia" w:ascii="DFKai-SB" w:hAnsi="DFKai-SB" w:eastAsia="DFKai-SB" w:cs="DFKai-SB"/>
          <w:b w:val="0"/>
          <w:bCs w:val="0"/>
          <w:sz w:val="28"/>
          <w:szCs w:val="28"/>
          <w:lang w:val="en-US" w:eastAsia="zh-CN"/>
        </w:rPr>
      </w:pPr>
      <w:bookmarkStart w:id="7" w:name="_GoBack"/>
      <w:bookmarkEnd w:id="7"/>
    </w:p>
    <w:p>
      <w:pPr>
        <w:spacing w:line="360" w:lineRule="auto"/>
        <w:rPr>
          <w:rFonts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經文：</w:t>
      </w:r>
    </w:p>
    <w:p>
      <w:pPr>
        <w:spacing w:line="360" w:lineRule="auto"/>
        <w:ind w:firstLine="560" w:firstLineChars="200"/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古之欲明明德於天下者，先治其國；欲治其國者，先齊其家；欲齊其家者，先脩其身；欲脩其身者，先正其心；欲正其心者，先誠其意；欲誠其意者，先致其知，致知在格物。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</w:pPr>
    </w:p>
    <w:p>
      <w:pPr>
        <w:spacing w:line="360" w:lineRule="auto"/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</w:pPr>
      <w:r>
        <w:rPr>
          <w:rFonts w:hint="eastAsia" w:ascii="PMingLiU" w:hAnsi="PMingLiU" w:eastAsia="PMingLiU" w:cs="PMingLiU"/>
          <w:color w:val="000000"/>
          <w:sz w:val="28"/>
          <w:szCs w:val="28"/>
          <w:shd w:val="clear" w:color="auto" w:fill="FFFFFF"/>
          <w:lang w:eastAsia="zh-TW"/>
        </w:rPr>
        <w:t>淺釋：</w:t>
      </w: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古之欲明明德於天下者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意思是，古代的帝王或君王，當他們想要治理國家，就要將自己的教化推行於天下，第一個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</w:rPr>
        <w:t>「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明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</w:rPr>
        <w:t>」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是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</w:rPr>
        <w:t>「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推廣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</w:rPr>
        <w:t>」</w:t>
      </w: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的意思。</w:t>
      </w:r>
    </w:p>
    <w:p>
      <w:pPr>
        <w:spacing w:line="360" w:lineRule="auto"/>
        <w:rPr>
          <w:rFonts w:ascii="Verdana" w:hAnsi="Verdana"/>
          <w:sz w:val="36"/>
          <w:szCs w:val="36"/>
          <w:shd w:val="clear" w:color="auto" w:fill="FFFFFF"/>
        </w:rPr>
      </w:pP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先治其國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，</w:t>
      </w:r>
    </w:p>
    <w:p>
      <w:pPr>
        <w:spacing w:line="360" w:lineRule="auto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首先要治理好自己的國家和百姓。</w:t>
      </w:r>
    </w:p>
    <w:p>
      <w:pPr>
        <w:spacing w:line="360" w:lineRule="auto"/>
        <w:rPr>
          <w:rFonts w:hint="eastAsia" w:ascii="楷体" w:hAnsi="楷体" w:eastAsia="楷体" w:cs="楷体"/>
          <w:sz w:val="32"/>
          <w:szCs w:val="32"/>
          <w:shd w:val="clear" w:color="auto" w:fill="FFFFFF"/>
          <w:lang w:val="en-US" w:eastAsia="zh-CN"/>
        </w:rPr>
      </w:pPr>
    </w:p>
    <w:p>
      <w:pPr>
        <w:spacing w:line="360" w:lineRule="auto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欲治其國者，先齊其家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當想要治理好自己的國家之前，首先要治理好自己的家庭。因為當時的社會背景，國家和民族的根源來自於家庭，要每個家庭都和睦相處，家庭與家庭之間都能夠友好，所以在治理好一個國家之前，必須要先治理好一個家族。</w:t>
      </w:r>
    </w:p>
    <w:p>
      <w:pPr>
        <w:spacing w:line="360" w:lineRule="auto"/>
        <w:jc w:val="left"/>
        <w:rPr>
          <w:rFonts w:ascii="Verdana" w:hAnsi="Verdana"/>
          <w:sz w:val="36"/>
          <w:szCs w:val="36"/>
          <w:shd w:val="clear" w:color="auto" w:fill="FFFFFF"/>
        </w:rPr>
      </w:pP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欲齊其家者，先脩其身；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jc w:val="left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然而，一個家族都會有一個首長或者是一個領導人來帶領，那麼這位領導人就必須要擁有足夠的才能與德行。因此對於一個人的修養、言行、舉止、品行都會有著很高的要求，故而，欲齊其家者，先脩其身！</w:t>
      </w:r>
    </w:p>
    <w:p>
      <w:pPr>
        <w:spacing w:line="360" w:lineRule="auto"/>
        <w:jc w:val="left"/>
        <w:rPr>
          <w:rFonts w:ascii="Verdana" w:hAnsi="Verdana"/>
          <w:sz w:val="36"/>
          <w:szCs w:val="36"/>
          <w:shd w:val="clear" w:color="auto" w:fill="FFFFFF"/>
        </w:rPr>
      </w:pP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欲脩其身者，先正其心；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jc w:val="left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因為身體之動，皆由心念所起，只有把心先端正才能做到言行舉止的合乎禮節、合乎情理。</w:t>
      </w: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欲正其心者，先誠其意；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jc w:val="left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心是思慮，意是念頭。誠意是要降伏自己的私欲和私念。</w:t>
      </w: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欲誠其意者，先致其知，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jc w:val="left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誠意是要降伏自己的私欲和私念，首先要，「致」達到，或幹禦；「知」是指良知或良能，就是自己原本人沒有染物的的天性</w:t>
      </w: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</w:p>
    <w:p>
      <w:pPr>
        <w:spacing w:line="360" w:lineRule="auto"/>
        <w:jc w:val="left"/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</w:pP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「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  <w:lang w:val="en-US" w:eastAsia="zh-CN"/>
        </w:rPr>
        <w:t>致知在格物。</w:t>
      </w:r>
      <w:r>
        <w:rPr>
          <w:rFonts w:hint="eastAsia" w:ascii="DFKai-SB" w:hAnsi="DFKai-SB" w:eastAsia="DFKai-SB" w:cs="DFKai-SB"/>
          <w:sz w:val="28"/>
          <w:szCs w:val="28"/>
          <w:shd w:val="clear" w:color="auto" w:fill="FFFFFF"/>
        </w:rPr>
        <w:t>」</w:t>
      </w:r>
    </w:p>
    <w:p>
      <w:pPr>
        <w:spacing w:line="360" w:lineRule="auto"/>
        <w:jc w:val="left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是指要在生活當中不斷的去革除自己的物欲，以及自己不好的習慣，來端正自己。</w:t>
      </w:r>
    </w:p>
    <w:p>
      <w:pPr>
        <w:spacing w:line="360" w:lineRule="auto"/>
        <w:jc w:val="left"/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PMingLiU" w:hAnsi="PMingLiU" w:eastAsia="PMingLiU" w:cs="PMingLiU"/>
          <w:sz w:val="28"/>
          <w:szCs w:val="28"/>
          <w:shd w:val="clear" w:color="auto" w:fill="FFFFFF"/>
          <w:lang w:val="en-US" w:eastAsia="zh-CN"/>
        </w:rPr>
        <w:t>以上是學生對於這段經文的基本消文釋義。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恋你依旧">
    <w:panose1 w:val="02010600010101010101"/>
    <w:charset w:val="86"/>
    <w:family w:val="auto"/>
    <w:pitch w:val="default"/>
    <w:sig w:usb0="A00002BF" w:usb1="18CF6CFB" w:usb2="00000012" w:usb3="00000000" w:csb0="00040001" w:csb1="00000000"/>
  </w:font>
  <w:font w:name="方正哦小可爱">
    <w:panose1 w:val="02010600010101010101"/>
    <w:charset w:val="86"/>
    <w:family w:val="auto"/>
    <w:pitch w:val="default"/>
    <w:sig w:usb0="A00002BF" w:usb1="18CF6CFB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C856AE"/>
    <w:multiLevelType w:val="singleLevel"/>
    <w:tmpl w:val="9AC856AE"/>
    <w:lvl w:ilvl="0" w:tentative="0">
      <w:start w:val="2"/>
      <w:numFmt w:val="decimal"/>
      <w:suff w:val="space"/>
      <w:lvlText w:val="%1、"/>
      <w:lvlJc w:val="left"/>
    </w:lvl>
  </w:abstractNum>
  <w:abstractNum w:abstractNumId="1">
    <w:nsid w:val="3866BC7B"/>
    <w:multiLevelType w:val="singleLevel"/>
    <w:tmpl w:val="3866BC7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5416B7"/>
    <w:rsid w:val="03276414"/>
    <w:rsid w:val="0E9239B5"/>
    <w:rsid w:val="1D784D38"/>
    <w:rsid w:val="28124C54"/>
    <w:rsid w:val="387D21ED"/>
    <w:rsid w:val="4EAD6A27"/>
    <w:rsid w:val="50E03D26"/>
    <w:rsid w:val="53AC487C"/>
    <w:rsid w:val="595416B7"/>
    <w:rsid w:val="6230740D"/>
    <w:rsid w:val="690572B0"/>
    <w:rsid w:val="78CF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ind w:left="720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Office_11.1.0.8203_F1E327BC-269C-435d-A152-05C5408002CA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2019-01-09T08:43:00Z</dcterms:created>
  <dc:creator>拙訥先生</dc:creator>
  <cp:lastModifiedBy>Ann</cp:lastModifiedBy>
  <dcterms:modified xsi:type="dcterms:W3CDTF">2019-01-10T13:04:12Z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2052-11.1.0.8203</vt:lpwstr>
  </property>
  <property fmtid="{D5CDD505-2E9C-101B-9397-08002B2CF9AE}" pid="3" name="KSORubyTemplateID" linkTarget="0">
    <vt:lpwstr>6</vt:lpwstr>
  </property>
</Properties>
</file>