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05CF3" w14:textId="77777777" w:rsidR="009A7425" w:rsidRPr="0046783B" w:rsidRDefault="00284704">
      <w:pPr>
        <w:ind w:hanging="2"/>
        <w:rPr>
          <w:rFonts w:ascii="Arial" w:eastAsia="Times New Roman" w:hAnsi="Arial" w:cs="Arial"/>
          <w:sz w:val="24"/>
          <w:szCs w:val="24"/>
        </w:rPr>
      </w:pPr>
      <w:r w:rsidRPr="0046783B">
        <w:rPr>
          <w:rFonts w:ascii="Arial" w:eastAsia="Times New Roman" w:hAnsi="Arial" w:cs="Arial"/>
          <w:sz w:val="24"/>
          <w:szCs w:val="24"/>
        </w:rPr>
        <w:t xml:space="preserve"> </w:t>
      </w:r>
    </w:p>
    <w:p w14:paraId="5D205CF4" w14:textId="77777777" w:rsidR="009A7425" w:rsidRPr="0046783B" w:rsidRDefault="009A7425">
      <w:pPr>
        <w:ind w:hanging="2"/>
        <w:rPr>
          <w:rFonts w:ascii="Arial" w:eastAsia="Times New Roman" w:hAnsi="Arial" w:cs="Arial"/>
          <w:sz w:val="24"/>
          <w:szCs w:val="24"/>
        </w:rPr>
      </w:pPr>
    </w:p>
    <w:p w14:paraId="5D205CF5" w14:textId="77777777" w:rsidR="009A7425" w:rsidRPr="0046783B" w:rsidRDefault="009A7425">
      <w:pPr>
        <w:ind w:hanging="2"/>
        <w:rPr>
          <w:rFonts w:ascii="Arial" w:eastAsia="Times New Roman" w:hAnsi="Arial" w:cs="Arial"/>
          <w:sz w:val="24"/>
          <w:szCs w:val="24"/>
        </w:rPr>
      </w:pPr>
    </w:p>
    <w:p w14:paraId="5D205CF6" w14:textId="77777777" w:rsidR="009A7425" w:rsidRPr="0046783B" w:rsidRDefault="009A7425">
      <w:pPr>
        <w:ind w:hanging="2"/>
        <w:rPr>
          <w:rFonts w:ascii="Arial" w:eastAsia="Times New Roman" w:hAnsi="Arial" w:cs="Arial"/>
          <w:sz w:val="24"/>
          <w:szCs w:val="24"/>
        </w:rPr>
      </w:pPr>
    </w:p>
    <w:p w14:paraId="5D205CF7" w14:textId="77777777" w:rsidR="009A7425" w:rsidRPr="0046783B" w:rsidRDefault="009A7425">
      <w:pPr>
        <w:ind w:hanging="2"/>
        <w:rPr>
          <w:rFonts w:ascii="Arial" w:eastAsia="Times New Roman" w:hAnsi="Arial" w:cs="Arial"/>
          <w:sz w:val="24"/>
          <w:szCs w:val="24"/>
        </w:rPr>
      </w:pPr>
    </w:p>
    <w:p w14:paraId="5D205CF8" w14:textId="77777777" w:rsidR="009A7425" w:rsidRPr="0046783B" w:rsidRDefault="009A7425">
      <w:pPr>
        <w:ind w:hanging="2"/>
        <w:rPr>
          <w:rFonts w:ascii="Arial" w:eastAsia="Times New Roman" w:hAnsi="Arial" w:cs="Arial"/>
          <w:sz w:val="24"/>
          <w:szCs w:val="24"/>
        </w:rPr>
      </w:pPr>
    </w:p>
    <w:p w14:paraId="5D205CF9" w14:textId="77777777" w:rsidR="009A7425" w:rsidRPr="0046783B" w:rsidRDefault="009A7425">
      <w:pPr>
        <w:ind w:hanging="2"/>
        <w:rPr>
          <w:rFonts w:ascii="Arial" w:eastAsia="Times New Roman" w:hAnsi="Arial" w:cs="Arial"/>
          <w:sz w:val="28"/>
          <w:szCs w:val="28"/>
        </w:rPr>
      </w:pPr>
    </w:p>
    <w:p w14:paraId="29E01074" w14:textId="77777777" w:rsidR="00F55E0C" w:rsidRDefault="00F55E0C">
      <w:pPr>
        <w:spacing w:line="360" w:lineRule="auto"/>
        <w:ind w:hanging="2"/>
        <w:jc w:val="center"/>
        <w:rPr>
          <w:rFonts w:ascii="Arial" w:eastAsia="Arial" w:hAnsi="Arial" w:cs="Arial"/>
          <w:b/>
          <w:bCs/>
          <w:sz w:val="40"/>
          <w:szCs w:val="40"/>
        </w:rPr>
      </w:pPr>
    </w:p>
    <w:p w14:paraId="2CA70523" w14:textId="77777777" w:rsidR="00F55E0C" w:rsidRDefault="00F55E0C">
      <w:pPr>
        <w:spacing w:line="360" w:lineRule="auto"/>
        <w:ind w:hanging="2"/>
        <w:jc w:val="center"/>
        <w:rPr>
          <w:rFonts w:ascii="Arial" w:eastAsia="Arial" w:hAnsi="Arial" w:cs="Arial"/>
          <w:b/>
          <w:bCs/>
          <w:sz w:val="40"/>
          <w:szCs w:val="40"/>
        </w:rPr>
      </w:pPr>
    </w:p>
    <w:p w14:paraId="5D205CFA" w14:textId="1E7CCFA2" w:rsidR="009A7425" w:rsidRPr="00656A31" w:rsidRDefault="0046783B">
      <w:pPr>
        <w:spacing w:line="360" w:lineRule="auto"/>
        <w:ind w:hanging="2"/>
        <w:jc w:val="center"/>
        <w:rPr>
          <w:rFonts w:ascii="Arial" w:eastAsia="Arial" w:hAnsi="Arial" w:cs="Arial"/>
          <w:b/>
          <w:bCs/>
          <w:sz w:val="40"/>
          <w:szCs w:val="40"/>
        </w:rPr>
      </w:pPr>
      <w:r w:rsidRPr="00656A31">
        <w:rPr>
          <w:rFonts w:ascii="Arial" w:eastAsia="Arial" w:hAnsi="Arial" w:cs="Arial"/>
          <w:b/>
          <w:bCs/>
          <w:sz w:val="40"/>
          <w:szCs w:val="40"/>
        </w:rPr>
        <w:t xml:space="preserve">Introduction to Health and Social Care  </w:t>
      </w:r>
    </w:p>
    <w:p w14:paraId="5D205CFB" w14:textId="0DBD13D0" w:rsidR="009A7425" w:rsidRDefault="00656A31">
      <w:pPr>
        <w:spacing w:line="360" w:lineRule="auto"/>
        <w:ind w:hanging="2"/>
        <w:jc w:val="center"/>
        <w:rPr>
          <w:rFonts w:ascii="Arial" w:eastAsia="Arial" w:hAnsi="Arial" w:cs="Arial"/>
          <w:sz w:val="28"/>
          <w:szCs w:val="28"/>
        </w:rPr>
      </w:pPr>
      <w:r>
        <w:rPr>
          <w:rFonts w:ascii="Arial" w:eastAsia="Arial" w:hAnsi="Arial" w:cs="Arial"/>
          <w:sz w:val="28"/>
          <w:szCs w:val="28"/>
        </w:rPr>
        <w:t>Component 1</w:t>
      </w:r>
    </w:p>
    <w:p w14:paraId="03FE5CD0" w14:textId="7352EAC0" w:rsidR="00656A31" w:rsidRPr="0046783B" w:rsidRDefault="00656A31" w:rsidP="00656A31">
      <w:pPr>
        <w:spacing w:line="360" w:lineRule="auto"/>
        <w:ind w:hanging="2"/>
        <w:jc w:val="center"/>
        <w:rPr>
          <w:rFonts w:ascii="Arial" w:eastAsia="Arial" w:hAnsi="Arial" w:cs="Arial"/>
          <w:sz w:val="28"/>
          <w:szCs w:val="28"/>
        </w:rPr>
      </w:pPr>
      <w:r>
        <w:rPr>
          <w:rFonts w:ascii="Arial" w:eastAsia="Arial" w:hAnsi="Arial" w:cs="Arial"/>
          <w:sz w:val="28"/>
          <w:szCs w:val="28"/>
        </w:rPr>
        <w:t>Student number:</w:t>
      </w:r>
      <w:r w:rsidR="001E0F38">
        <w:rPr>
          <w:rFonts w:ascii="Arial" w:eastAsia="Arial" w:hAnsi="Arial" w:cs="Arial"/>
          <w:sz w:val="28"/>
          <w:szCs w:val="28"/>
        </w:rPr>
        <w:t xml:space="preserve"> </w:t>
      </w:r>
      <w:r w:rsidR="009B3362">
        <w:rPr>
          <w:rFonts w:ascii="Arial" w:eastAsia="Arial" w:hAnsi="Arial" w:cs="Arial"/>
          <w:sz w:val="28"/>
          <w:szCs w:val="28"/>
        </w:rPr>
        <w:t>2441</w:t>
      </w:r>
      <w:r w:rsidR="001E0F38">
        <w:rPr>
          <w:rFonts w:ascii="Arial" w:eastAsia="Arial" w:hAnsi="Arial" w:cs="Arial"/>
          <w:sz w:val="28"/>
          <w:szCs w:val="28"/>
        </w:rPr>
        <w:t>882</w:t>
      </w:r>
    </w:p>
    <w:p w14:paraId="5D205CFC" w14:textId="2D5111C4" w:rsidR="009A7425" w:rsidRPr="0046783B" w:rsidRDefault="00284704">
      <w:pPr>
        <w:spacing w:line="360" w:lineRule="auto"/>
        <w:ind w:hanging="2"/>
        <w:jc w:val="center"/>
        <w:rPr>
          <w:rFonts w:ascii="Arial" w:eastAsia="Arial" w:hAnsi="Arial" w:cs="Arial"/>
          <w:sz w:val="28"/>
          <w:szCs w:val="28"/>
        </w:rPr>
      </w:pPr>
      <w:r w:rsidRPr="0046783B">
        <w:rPr>
          <w:rFonts w:ascii="Arial" w:eastAsia="Arial" w:hAnsi="Arial" w:cs="Arial"/>
          <w:sz w:val="28"/>
          <w:szCs w:val="28"/>
        </w:rPr>
        <w:t>Module Leader</w:t>
      </w:r>
      <w:r w:rsidR="001E0F38">
        <w:rPr>
          <w:rFonts w:ascii="Arial" w:eastAsia="Arial" w:hAnsi="Arial" w:cs="Arial"/>
          <w:sz w:val="28"/>
          <w:szCs w:val="28"/>
        </w:rPr>
        <w:t xml:space="preserve">: </w:t>
      </w:r>
      <w:r w:rsidR="00F25B0F">
        <w:rPr>
          <w:rFonts w:ascii="Arial" w:eastAsia="Arial" w:hAnsi="Arial" w:cs="Arial"/>
          <w:sz w:val="28"/>
          <w:szCs w:val="28"/>
        </w:rPr>
        <w:t xml:space="preserve">Mark </w:t>
      </w:r>
      <w:r w:rsidR="00100E4D">
        <w:rPr>
          <w:rFonts w:ascii="Arial" w:eastAsia="Arial" w:hAnsi="Arial" w:cs="Arial"/>
          <w:sz w:val="28"/>
          <w:szCs w:val="28"/>
        </w:rPr>
        <w:t>Kane</w:t>
      </w:r>
    </w:p>
    <w:p w14:paraId="5D205CFD" w14:textId="4647FE06" w:rsidR="009A7425" w:rsidRPr="0046783B" w:rsidRDefault="00284704">
      <w:pPr>
        <w:spacing w:line="360" w:lineRule="auto"/>
        <w:ind w:hanging="2"/>
        <w:jc w:val="center"/>
        <w:rPr>
          <w:rFonts w:ascii="Arial" w:eastAsia="Arial" w:hAnsi="Arial" w:cs="Arial"/>
          <w:sz w:val="28"/>
          <w:szCs w:val="28"/>
        </w:rPr>
      </w:pPr>
      <w:r w:rsidRPr="0046783B">
        <w:rPr>
          <w:rFonts w:ascii="Arial" w:eastAsia="Arial" w:hAnsi="Arial" w:cs="Arial"/>
          <w:sz w:val="28"/>
          <w:szCs w:val="28"/>
        </w:rPr>
        <w:t>Course</w:t>
      </w:r>
      <w:r w:rsidR="00100E4D">
        <w:rPr>
          <w:rFonts w:ascii="Arial" w:eastAsia="Arial" w:hAnsi="Arial" w:cs="Arial"/>
          <w:sz w:val="28"/>
          <w:szCs w:val="28"/>
        </w:rPr>
        <w:t xml:space="preserve">: Health And Social </w:t>
      </w:r>
      <w:r w:rsidR="004878E5">
        <w:rPr>
          <w:rFonts w:ascii="Arial" w:eastAsia="Arial" w:hAnsi="Arial" w:cs="Arial"/>
          <w:sz w:val="28"/>
          <w:szCs w:val="28"/>
        </w:rPr>
        <w:t xml:space="preserve">Care </w:t>
      </w:r>
    </w:p>
    <w:p w14:paraId="5D205CFE" w14:textId="41C6AA00" w:rsidR="009A7425" w:rsidRPr="0046783B" w:rsidRDefault="00284704">
      <w:pPr>
        <w:spacing w:line="360" w:lineRule="auto"/>
        <w:ind w:hanging="2"/>
        <w:jc w:val="center"/>
        <w:rPr>
          <w:rFonts w:ascii="Arial" w:eastAsia="Arial" w:hAnsi="Arial" w:cs="Arial"/>
          <w:sz w:val="28"/>
          <w:szCs w:val="28"/>
        </w:rPr>
      </w:pPr>
      <w:r w:rsidRPr="0046783B">
        <w:rPr>
          <w:rFonts w:ascii="Arial" w:eastAsia="Arial" w:hAnsi="Arial" w:cs="Arial"/>
          <w:sz w:val="28"/>
          <w:szCs w:val="28"/>
        </w:rPr>
        <w:t>University</w:t>
      </w:r>
      <w:r w:rsidR="004878E5">
        <w:rPr>
          <w:rFonts w:ascii="Arial" w:eastAsia="Arial" w:hAnsi="Arial" w:cs="Arial"/>
          <w:sz w:val="28"/>
          <w:szCs w:val="28"/>
        </w:rPr>
        <w:t xml:space="preserve"> : University Of Wales London </w:t>
      </w:r>
    </w:p>
    <w:p w14:paraId="5D205CFF" w14:textId="3A158826" w:rsidR="009A7425" w:rsidRPr="0046783B" w:rsidRDefault="00A657EF">
      <w:pPr>
        <w:spacing w:line="360" w:lineRule="auto"/>
        <w:ind w:hanging="2"/>
        <w:jc w:val="center"/>
        <w:rPr>
          <w:rFonts w:ascii="Arial" w:eastAsia="Arial" w:hAnsi="Arial" w:cs="Arial"/>
          <w:sz w:val="28"/>
          <w:szCs w:val="28"/>
        </w:rPr>
      </w:pPr>
      <w:r>
        <w:rPr>
          <w:rFonts w:ascii="Arial" w:eastAsia="Arial" w:hAnsi="Arial" w:cs="Arial"/>
          <w:sz w:val="28"/>
          <w:szCs w:val="28"/>
        </w:rPr>
        <w:t>17</w:t>
      </w:r>
      <w:r w:rsidRPr="00A657EF">
        <w:rPr>
          <w:rFonts w:ascii="Arial" w:eastAsia="Arial" w:hAnsi="Arial" w:cs="Arial"/>
          <w:sz w:val="28"/>
          <w:szCs w:val="28"/>
          <w:vertAlign w:val="superscript"/>
        </w:rPr>
        <w:t>th</w:t>
      </w:r>
      <w:r>
        <w:rPr>
          <w:rFonts w:ascii="Arial" w:eastAsia="Arial" w:hAnsi="Arial" w:cs="Arial"/>
          <w:sz w:val="28"/>
          <w:szCs w:val="28"/>
        </w:rPr>
        <w:t xml:space="preserve"> November 2025</w:t>
      </w:r>
    </w:p>
    <w:p w14:paraId="5D205D00" w14:textId="77777777" w:rsidR="009A7425" w:rsidRPr="0046783B" w:rsidRDefault="009A7425">
      <w:pPr>
        <w:spacing w:line="480" w:lineRule="auto"/>
        <w:ind w:hanging="2"/>
        <w:rPr>
          <w:rFonts w:ascii="Arial" w:eastAsia="Times New Roman" w:hAnsi="Arial" w:cs="Arial"/>
          <w:sz w:val="24"/>
          <w:szCs w:val="24"/>
        </w:rPr>
      </w:pPr>
    </w:p>
    <w:p w14:paraId="5D205D01" w14:textId="77777777" w:rsidR="009A7425" w:rsidRPr="0046783B" w:rsidRDefault="009A7425">
      <w:pPr>
        <w:spacing w:line="480" w:lineRule="auto"/>
        <w:ind w:hanging="2"/>
        <w:rPr>
          <w:rFonts w:ascii="Arial" w:eastAsia="Times New Roman" w:hAnsi="Arial" w:cs="Arial"/>
          <w:sz w:val="24"/>
          <w:szCs w:val="24"/>
        </w:rPr>
      </w:pPr>
    </w:p>
    <w:p w14:paraId="5D205D02" w14:textId="77777777" w:rsidR="009A7425" w:rsidRPr="0046783B" w:rsidRDefault="009A7425">
      <w:pPr>
        <w:spacing w:line="480" w:lineRule="auto"/>
        <w:ind w:hanging="2"/>
        <w:rPr>
          <w:rFonts w:ascii="Arial" w:eastAsia="Times New Roman" w:hAnsi="Arial" w:cs="Arial"/>
          <w:sz w:val="24"/>
          <w:szCs w:val="24"/>
        </w:rPr>
      </w:pPr>
    </w:p>
    <w:p w14:paraId="26AEC46C" w14:textId="77777777" w:rsidR="00503F18" w:rsidRDefault="00503F18">
      <w:pPr>
        <w:spacing w:line="360" w:lineRule="auto"/>
        <w:ind w:firstLine="0"/>
        <w:jc w:val="both"/>
        <w:rPr>
          <w:rFonts w:ascii="Arial" w:eastAsia="Arial" w:hAnsi="Arial" w:cs="Arial"/>
          <w:sz w:val="24"/>
          <w:szCs w:val="24"/>
        </w:rPr>
        <w:sectPr w:rsidR="00503F18">
          <w:headerReference w:type="even" r:id="rId7"/>
          <w:headerReference w:type="default" r:id="rId8"/>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19B234D5" w14:textId="55DEC0C0" w:rsidR="00503F18" w:rsidRDefault="002027C1">
      <w:pPr>
        <w:spacing w:line="360" w:lineRule="auto"/>
        <w:ind w:firstLine="0"/>
        <w:jc w:val="both"/>
        <w:rPr>
          <w:rFonts w:ascii="Arial" w:eastAsia="Arial" w:hAnsi="Arial" w:cs="Arial"/>
          <w:sz w:val="24"/>
          <w:szCs w:val="24"/>
        </w:rPr>
        <w:sectPr w:rsidR="00503F18" w:rsidSect="002D3B86">
          <w:pgSz w:w="15840" w:h="12240" w:orient="landscape"/>
          <w:pgMar w:top="556" w:right="1440" w:bottom="1440" w:left="1440" w:header="720" w:footer="720" w:gutter="0"/>
          <w:pgNumType w:start="1"/>
          <w:cols w:space="720"/>
          <w:titlePg/>
          <w:docGrid w:linePitch="299"/>
        </w:sectPr>
      </w:pPr>
      <w:r>
        <w:rPr>
          <w:rFonts w:ascii="Arial" w:eastAsia="Arial" w:hAnsi="Arial" w:cs="Arial"/>
          <w:noProof/>
          <w:sz w:val="24"/>
          <w:szCs w:val="24"/>
        </w:rPr>
        <w:drawing>
          <wp:anchor distT="0" distB="0" distL="114300" distR="114300" simplePos="0" relativeHeight="251658240" behindDoc="1" locked="0" layoutInCell="1" allowOverlap="1" wp14:anchorId="4660AD18" wp14:editId="2FB8F083">
            <wp:simplePos x="0" y="0"/>
            <wp:positionH relativeFrom="page">
              <wp:posOffset>27940</wp:posOffset>
            </wp:positionH>
            <wp:positionV relativeFrom="paragraph">
              <wp:posOffset>0</wp:posOffset>
            </wp:positionV>
            <wp:extent cx="9982835" cy="7370445"/>
            <wp:effectExtent l="0" t="0" r="0" b="1905"/>
            <wp:wrapTight wrapText="bothSides">
              <wp:wrapPolygon edited="0">
                <wp:start x="0" y="0"/>
                <wp:lineTo x="0" y="21550"/>
                <wp:lineTo x="21557" y="21550"/>
                <wp:lineTo x="21557" y="0"/>
                <wp:lineTo x="0" y="0"/>
              </wp:wrapPolygon>
            </wp:wrapTight>
            <wp:docPr id="16525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82835" cy="7370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05D09" w14:textId="1EEDC5E4" w:rsidR="009A7425" w:rsidRPr="003060FF" w:rsidRDefault="00284704">
      <w:pPr>
        <w:spacing w:line="360" w:lineRule="auto"/>
        <w:ind w:firstLine="0"/>
        <w:jc w:val="both"/>
        <w:rPr>
          <w:rFonts w:ascii="Arial" w:eastAsia="Arial" w:hAnsi="Arial" w:cs="Arial"/>
          <w:b/>
          <w:bCs/>
          <w:sz w:val="24"/>
          <w:szCs w:val="24"/>
        </w:rPr>
      </w:pPr>
      <w:r w:rsidRPr="003060FF">
        <w:rPr>
          <w:rFonts w:ascii="Arial" w:eastAsia="Arial" w:hAnsi="Arial" w:cs="Arial"/>
          <w:b/>
          <w:bCs/>
          <w:sz w:val="24"/>
          <w:szCs w:val="24"/>
        </w:rPr>
        <w:t>Task 2:</w:t>
      </w:r>
      <w:r w:rsidR="0046783B" w:rsidRPr="003060FF">
        <w:rPr>
          <w:rFonts w:ascii="Arial" w:eastAsia="Arial" w:hAnsi="Arial" w:cs="Arial"/>
          <w:b/>
          <w:bCs/>
          <w:sz w:val="24"/>
          <w:szCs w:val="24"/>
        </w:rPr>
        <w:t xml:space="preserve"> </w:t>
      </w:r>
      <w:r w:rsidRPr="003060FF">
        <w:rPr>
          <w:rFonts w:ascii="Arial" w:eastAsia="Arial" w:hAnsi="Arial" w:cs="Arial"/>
          <w:b/>
          <w:bCs/>
          <w:sz w:val="24"/>
          <w:szCs w:val="24"/>
        </w:rPr>
        <w:t>The Origin and Structure of the National Health Service (NHS)</w:t>
      </w:r>
    </w:p>
    <w:p w14:paraId="5D205D0A"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The National Health Service (NHS) stands out as perhaps the most consequential institution in the UK. The NHS, as established in 1948, remains, to this day, one of the largest systems of publicly funded healthcare, providing a full range of medical services to all of the UK’s residents (Roderick and Pollock, 2022).</w:t>
      </w:r>
    </w:p>
    <w:p w14:paraId="5D205D0B"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Historical Context and Origins</w:t>
      </w:r>
    </w:p>
    <w:p w14:paraId="5D205D0C"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 xml:space="preserve">Prior to the founding of the NHS, the healthcare system in Britain was inequitable, insufficient and highly privatised and reliant on charitable or local authority settlement (Nuffield Trust, 2025). Health care access in Britain was, and for the most part still is, determined by economic status. The poor had to depend on voluntary hospitals or workhouse infirmaries, the wealthier population could pay for private care (Gorsky, 2015). The 1942 Beveridge Report, by economist William Beveridge, was a key turning point in the development of an inclusive welfare state aimed at combating the five giants of want, disease, ignorance, squalor and idleness (Nuffield Trust, 2025). His proposals for social insurance and the state’s responsibility for health triggered the development of the NHS. In the years immediately after World War II, the National Health Service Act (1946) was passed despite reluctance from some in the medical profession (Klein, 2019). The NHS became operational on 5 July 1948, meeting the needs of the population regardless of the beneficiaries’ ability to pay at the point of delivery or the beneficiary's ability to pay for the provided services (NHS England, 2023). </w:t>
      </w:r>
    </w:p>
    <w:p w14:paraId="5D205D0D"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Key Principles and Evolution</w:t>
      </w:r>
    </w:p>
    <w:p w14:paraId="5D205D0E" w14:textId="7EFF010E"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 xml:space="preserve">Funded through the general taxation system, the NHS was the first system to operate on a universal, comprehensive, and publicly used method. Initially, it unified the previously disparate hospital, general practitioner, and local government health system in a single structure on a national scale (Gorsky, 2015). The NHS gradually modified to changes in population, technological advancements, and shifts in the economy. The implementation of the NHS and Community Care Act (1990) introduced a major period of reform to the system, fostering the creation of internal markets and internal fragmentation of the NHS by separating the commissioners from the providers (Williams, 2024). Altogether the Health and Social Care Act (2012) further changed by enhancing local self-governance and creating Clinical Commissioning Groups (CCGs), which under the 2022 reforms later became Integrated Care Systems (ICSs) (Ham, 2021). However, the NHS universalism ideals have continued to be tested </w:t>
      </w:r>
      <w:r w:rsidR="003060FF" w:rsidRPr="0046783B">
        <w:rPr>
          <w:rFonts w:ascii="Arial" w:eastAsia="Arial" w:hAnsi="Arial" w:cs="Arial"/>
          <w:sz w:val="24"/>
          <w:szCs w:val="24"/>
        </w:rPr>
        <w:t>by increasing</w:t>
      </w:r>
      <w:r w:rsidRPr="0046783B">
        <w:rPr>
          <w:rFonts w:ascii="Arial" w:eastAsia="Arial" w:hAnsi="Arial" w:cs="Arial"/>
          <w:sz w:val="24"/>
          <w:szCs w:val="24"/>
        </w:rPr>
        <w:t xml:space="preserve"> costs, insufficient workforce, and rising demand from chronic age and disease patients (Snow and Whitecross, 2022).</w:t>
      </w:r>
    </w:p>
    <w:p w14:paraId="5D205D0F"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Current Structure and Functioning</w:t>
      </w:r>
    </w:p>
    <w:p w14:paraId="5D205D10" w14:textId="6375E6B3"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 xml:space="preserve">The NHS has four distinct arms, each devolved in England, Scotland, Wales, and Northern Ireland (Williams, 2024). In England, the DHSC supervises the NHS while NHS England handles the strategic framework for and leadership of the NHS while commissioning some specialist </w:t>
      </w:r>
      <w:r w:rsidR="003060FF" w:rsidRPr="0046783B">
        <w:rPr>
          <w:rFonts w:ascii="Arial" w:eastAsia="Arial" w:hAnsi="Arial" w:cs="Arial"/>
          <w:sz w:val="24"/>
          <w:szCs w:val="24"/>
        </w:rPr>
        <w:t>services and</w:t>
      </w:r>
      <w:r w:rsidRPr="0046783B">
        <w:rPr>
          <w:rFonts w:ascii="Arial" w:eastAsia="Arial" w:hAnsi="Arial" w:cs="Arial"/>
          <w:sz w:val="24"/>
          <w:szCs w:val="24"/>
        </w:rPr>
        <w:t xml:space="preserve"> supervising the quality and safety of services. Service delivery is predominantly through Integrated Care Systems (ICSs) which focuses on coordinating the efforts of NHS organisations, local government, and other community stakeholders to plan and deliver integrated health services (NHS England, 2024). This marks a paradigm shift from a competition-based, market-driven approach to cooperation and population health management. </w:t>
      </w:r>
    </w:p>
    <w:p w14:paraId="5D205D11" w14:textId="58D0D212"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 xml:space="preserve">Most </w:t>
      </w:r>
      <w:r w:rsidR="003060FF" w:rsidRPr="0046783B">
        <w:rPr>
          <w:rFonts w:ascii="Arial" w:eastAsia="Arial" w:hAnsi="Arial" w:cs="Arial"/>
          <w:sz w:val="24"/>
          <w:szCs w:val="24"/>
        </w:rPr>
        <w:t>patients access</w:t>
      </w:r>
      <w:r w:rsidRPr="0046783B">
        <w:rPr>
          <w:rFonts w:ascii="Arial" w:eastAsia="Arial" w:hAnsi="Arial" w:cs="Arial"/>
          <w:sz w:val="24"/>
          <w:szCs w:val="24"/>
        </w:rPr>
        <w:t xml:space="preserve"> primary care through their general practitioners, dentists, pharmacists, and optometrists as the first point of contact. Secondary Care is provided via hospitals, specialised outpatient clinics, and mental health trusts, as well as tertiary care (Gorsky, 2015; RCN, 2023). the Public Health and preventative services such as vaccinations and screening tests, is the responsibility of the UK Health Security Agency (UKHSA) and the Office for Health Improvement and Disparities (OHID) (NHS England, 2024</w:t>
      </w:r>
      <w:r w:rsidR="003060FF" w:rsidRPr="0046783B">
        <w:rPr>
          <w:rFonts w:ascii="Arial" w:eastAsia="Arial" w:hAnsi="Arial" w:cs="Arial"/>
          <w:sz w:val="24"/>
          <w:szCs w:val="24"/>
        </w:rPr>
        <w:t>). The</w:t>
      </w:r>
      <w:r w:rsidRPr="0046783B">
        <w:rPr>
          <w:rFonts w:ascii="Arial" w:eastAsia="Arial" w:hAnsi="Arial" w:cs="Arial"/>
          <w:sz w:val="24"/>
          <w:szCs w:val="24"/>
        </w:rPr>
        <w:t xml:space="preserve"> primary funding source for the NHS continues to be general taxation, complemented by a small contribution from National Insurance. However, current financial pressures in conjunction with increasing demand have resulted in concerns about the long-term sustainability of the system, particularly waiting times (Snow and Whitecross, 2022).</w:t>
      </w:r>
    </w:p>
    <w:p w14:paraId="5D205D12"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Conclusion</w:t>
      </w:r>
    </w:p>
    <w:p w14:paraId="5D205D13" w14:textId="77777777" w:rsidR="009A7425" w:rsidRPr="0046783B" w:rsidRDefault="00284704">
      <w:pPr>
        <w:spacing w:line="360" w:lineRule="auto"/>
        <w:ind w:firstLine="0"/>
        <w:jc w:val="both"/>
        <w:rPr>
          <w:rFonts w:ascii="Arial" w:eastAsia="Arial" w:hAnsi="Arial" w:cs="Arial"/>
          <w:sz w:val="24"/>
          <w:szCs w:val="24"/>
        </w:rPr>
      </w:pPr>
      <w:r w:rsidRPr="0046783B">
        <w:rPr>
          <w:rFonts w:ascii="Arial" w:eastAsia="Arial" w:hAnsi="Arial" w:cs="Arial"/>
          <w:sz w:val="24"/>
          <w:szCs w:val="24"/>
        </w:rPr>
        <w:t>In conclusion, even though the NHS still faces the unrelenting burden of limited funding, workforce shortages, and unmet demand, it has remained devoted to the principles of universal and high-quality care, making it central to the UK welfare state.</w:t>
      </w:r>
    </w:p>
    <w:p w14:paraId="5D205D14" w14:textId="77777777" w:rsidR="009A7425" w:rsidRPr="0046783B" w:rsidRDefault="009A7425">
      <w:pPr>
        <w:spacing w:line="360" w:lineRule="auto"/>
        <w:ind w:firstLine="0"/>
        <w:jc w:val="both"/>
        <w:rPr>
          <w:rFonts w:ascii="Arial" w:eastAsia="Arial" w:hAnsi="Arial" w:cs="Arial"/>
          <w:sz w:val="24"/>
          <w:szCs w:val="24"/>
        </w:rPr>
      </w:pPr>
    </w:p>
    <w:p w14:paraId="5D205D15" w14:textId="77777777" w:rsidR="009A7425" w:rsidRPr="0046783B" w:rsidRDefault="009A7425">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p>
    <w:p w14:paraId="57B5AA7C" w14:textId="77777777" w:rsidR="003060FF" w:rsidRDefault="003060FF">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bookmarkStart w:id="0" w:name="_heading=h.v43plazepci7" w:colFirst="0" w:colLast="0"/>
      <w:bookmarkEnd w:id="0"/>
      <w:r>
        <w:rPr>
          <w:rFonts w:ascii="Arial" w:eastAsia="Arial" w:hAnsi="Arial" w:cs="Arial"/>
          <w:color w:val="000000"/>
          <w:sz w:val="24"/>
          <w:szCs w:val="24"/>
        </w:rPr>
        <w:br w:type="page"/>
      </w:r>
    </w:p>
    <w:p w14:paraId="5D205D16" w14:textId="57CC67C4" w:rsidR="009A7425" w:rsidRPr="0046783B" w:rsidRDefault="00284704" w:rsidP="003060FF">
      <w:pPr>
        <w:pBdr>
          <w:top w:val="nil"/>
          <w:left w:val="nil"/>
          <w:bottom w:val="nil"/>
          <w:right w:val="nil"/>
          <w:between w:val="nil"/>
        </w:pBdr>
        <w:spacing w:after="0" w:line="360" w:lineRule="auto"/>
        <w:ind w:left="720" w:hanging="720"/>
        <w:jc w:val="center"/>
        <w:rPr>
          <w:rFonts w:ascii="Arial" w:eastAsia="Arial" w:hAnsi="Arial" w:cs="Arial"/>
          <w:color w:val="000000"/>
          <w:sz w:val="24"/>
          <w:szCs w:val="24"/>
        </w:rPr>
      </w:pPr>
      <w:r w:rsidRPr="003060FF">
        <w:rPr>
          <w:rFonts w:ascii="Arial" w:eastAsia="Arial" w:hAnsi="Arial" w:cs="Arial"/>
          <w:b/>
          <w:bCs/>
          <w:color w:val="000000"/>
          <w:sz w:val="24"/>
          <w:szCs w:val="24"/>
        </w:rPr>
        <w:t>References</w:t>
      </w:r>
    </w:p>
    <w:p w14:paraId="5D205D17" w14:textId="77777777" w:rsidR="009A7425" w:rsidRPr="0046783B" w:rsidRDefault="00284704" w:rsidP="003060FF">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sidRPr="0046783B">
        <w:rPr>
          <w:rFonts w:ascii="Arial" w:eastAsia="Arial" w:hAnsi="Arial" w:cs="Arial"/>
          <w:color w:val="000000"/>
          <w:sz w:val="24"/>
          <w:szCs w:val="24"/>
        </w:rPr>
        <w:t xml:space="preserve">NHS England (2024b) </w:t>
      </w:r>
      <w:r w:rsidRPr="0046783B">
        <w:rPr>
          <w:rFonts w:ascii="Arial" w:eastAsia="Arial" w:hAnsi="Arial" w:cs="Arial"/>
          <w:i/>
          <w:iCs/>
          <w:color w:val="000000"/>
          <w:sz w:val="24"/>
          <w:szCs w:val="24"/>
        </w:rPr>
        <w:t>Milestones of the NHS</w:t>
      </w:r>
      <w:r w:rsidRPr="0046783B">
        <w:rPr>
          <w:rFonts w:ascii="Arial" w:eastAsia="Arial" w:hAnsi="Arial" w:cs="Arial"/>
          <w:color w:val="000000"/>
          <w:sz w:val="24"/>
          <w:szCs w:val="24"/>
        </w:rPr>
        <w:t>. Available at: https://www.england.nhs.uk/about/nhs-history/ (Accessed: October 15, 2025).</w:t>
      </w:r>
    </w:p>
    <w:p w14:paraId="5D205D18" w14:textId="77777777" w:rsidR="009A7425" w:rsidRPr="0046783B" w:rsidRDefault="00284704" w:rsidP="003060FF">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sidRPr="0046783B">
        <w:rPr>
          <w:rFonts w:ascii="Arial" w:eastAsia="Arial" w:hAnsi="Arial" w:cs="Arial"/>
          <w:color w:val="000000"/>
          <w:sz w:val="24"/>
          <w:szCs w:val="24"/>
        </w:rPr>
        <w:t xml:space="preserve">Powell, T. (2023) </w:t>
      </w:r>
      <w:r w:rsidRPr="0046783B">
        <w:rPr>
          <w:rFonts w:ascii="Arial" w:eastAsia="Arial" w:hAnsi="Arial" w:cs="Arial"/>
          <w:i/>
          <w:iCs/>
          <w:color w:val="000000"/>
          <w:sz w:val="24"/>
          <w:szCs w:val="24"/>
        </w:rPr>
        <w:t>The structure of the NHS in England</w:t>
      </w:r>
      <w:r w:rsidRPr="0046783B">
        <w:rPr>
          <w:rFonts w:ascii="Arial" w:eastAsia="Arial" w:hAnsi="Arial" w:cs="Arial"/>
          <w:color w:val="000000"/>
          <w:sz w:val="24"/>
          <w:szCs w:val="24"/>
        </w:rPr>
        <w:t xml:space="preserve">, </w:t>
      </w:r>
      <w:r w:rsidRPr="0046783B">
        <w:rPr>
          <w:rFonts w:ascii="Arial" w:eastAsia="Arial" w:hAnsi="Arial" w:cs="Arial"/>
          <w:i/>
          <w:iCs/>
          <w:color w:val="000000"/>
          <w:sz w:val="24"/>
          <w:szCs w:val="24"/>
        </w:rPr>
        <w:t>House of Commons Library</w:t>
      </w:r>
      <w:r w:rsidRPr="0046783B">
        <w:rPr>
          <w:rFonts w:ascii="Arial" w:eastAsia="Arial" w:hAnsi="Arial" w:cs="Arial"/>
          <w:color w:val="000000"/>
          <w:sz w:val="24"/>
          <w:szCs w:val="24"/>
        </w:rPr>
        <w:t>. Available at: https://researchbriefings.files.parliament.uk/documents/CBP-7206/CBP-7206.pdf (Accessed: October 15, 2025).</w:t>
      </w:r>
    </w:p>
    <w:p w14:paraId="5D205D19" w14:textId="77777777" w:rsidR="009A7425" w:rsidRPr="0046783B" w:rsidRDefault="00284704" w:rsidP="003060FF">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sidRPr="0046783B">
        <w:rPr>
          <w:rFonts w:ascii="Arial" w:eastAsia="Arial" w:hAnsi="Arial" w:cs="Arial"/>
          <w:color w:val="000000"/>
          <w:sz w:val="24"/>
          <w:szCs w:val="24"/>
        </w:rPr>
        <w:t xml:space="preserve">Roderick, P. and Pollock, A.M. (2022) “Dismantling the National Health Service in England,” </w:t>
      </w:r>
      <w:r w:rsidRPr="0046783B">
        <w:rPr>
          <w:rFonts w:ascii="Arial" w:eastAsia="Arial" w:hAnsi="Arial" w:cs="Arial"/>
          <w:i/>
          <w:iCs/>
          <w:color w:val="000000"/>
          <w:sz w:val="24"/>
          <w:szCs w:val="24"/>
        </w:rPr>
        <w:t>International Journal of Health Services</w:t>
      </w:r>
      <w:r w:rsidRPr="0046783B">
        <w:rPr>
          <w:rFonts w:ascii="Arial" w:eastAsia="Arial" w:hAnsi="Arial" w:cs="Arial"/>
          <w:color w:val="000000"/>
          <w:sz w:val="24"/>
          <w:szCs w:val="24"/>
        </w:rPr>
        <w:t>, 52(4), pp. 470–479. Available at: https://doi.org/10.1177/00207314221114540.</w:t>
      </w:r>
    </w:p>
    <w:p w14:paraId="5D205D1A" w14:textId="77777777" w:rsidR="009A7425" w:rsidRPr="0046783B" w:rsidRDefault="00284704" w:rsidP="003060FF">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sidRPr="0046783B">
        <w:rPr>
          <w:rFonts w:ascii="Arial" w:eastAsia="Arial" w:hAnsi="Arial" w:cs="Arial"/>
          <w:color w:val="000000"/>
          <w:sz w:val="24"/>
          <w:szCs w:val="24"/>
        </w:rPr>
        <w:t xml:space="preserve">Royal College of Nursing (RCN) (2023) </w:t>
      </w:r>
      <w:r w:rsidRPr="0046783B">
        <w:rPr>
          <w:rFonts w:ascii="Arial" w:eastAsia="Arial" w:hAnsi="Arial" w:cs="Arial"/>
          <w:i/>
          <w:iCs/>
          <w:color w:val="000000"/>
          <w:sz w:val="24"/>
          <w:szCs w:val="24"/>
        </w:rPr>
        <w:t>NHS 75: the history of our National Health Service | RCN Magazine | Royal College of Nursing</w:t>
      </w:r>
      <w:r w:rsidRPr="0046783B">
        <w:rPr>
          <w:rFonts w:ascii="Arial" w:eastAsia="Arial" w:hAnsi="Arial" w:cs="Arial"/>
          <w:color w:val="000000"/>
          <w:sz w:val="24"/>
          <w:szCs w:val="24"/>
        </w:rPr>
        <w:t xml:space="preserve">, </w:t>
      </w:r>
      <w:r w:rsidRPr="0046783B">
        <w:rPr>
          <w:rFonts w:ascii="Arial" w:eastAsia="Arial" w:hAnsi="Arial" w:cs="Arial"/>
          <w:i/>
          <w:iCs/>
          <w:color w:val="000000"/>
          <w:sz w:val="24"/>
          <w:szCs w:val="24"/>
        </w:rPr>
        <w:t>The Royal College of Nursing</w:t>
      </w:r>
      <w:r w:rsidRPr="0046783B">
        <w:rPr>
          <w:rFonts w:ascii="Arial" w:eastAsia="Arial" w:hAnsi="Arial" w:cs="Arial"/>
          <w:color w:val="000000"/>
          <w:sz w:val="24"/>
          <w:szCs w:val="24"/>
        </w:rPr>
        <w:t>. Available at: https://www.rcn.org.uk/magazines/History/2023/July/NHS-75-anniversary-history-of-the-National-Health-Service.</w:t>
      </w:r>
    </w:p>
    <w:p w14:paraId="5D205D1B" w14:textId="77777777" w:rsidR="009A7425" w:rsidRPr="0046783B" w:rsidRDefault="00284704" w:rsidP="003060FF">
      <w:pPr>
        <w:pBdr>
          <w:top w:val="nil"/>
          <w:left w:val="nil"/>
          <w:bottom w:val="nil"/>
          <w:right w:val="nil"/>
          <w:between w:val="nil"/>
        </w:pBdr>
        <w:spacing w:after="0" w:line="480" w:lineRule="auto"/>
        <w:ind w:left="720" w:hanging="720"/>
        <w:rPr>
          <w:rFonts w:ascii="Arial" w:eastAsia="Times New Roman" w:hAnsi="Arial" w:cs="Arial"/>
          <w:color w:val="000000"/>
          <w:sz w:val="24"/>
          <w:szCs w:val="24"/>
        </w:rPr>
      </w:pPr>
      <w:r w:rsidRPr="0046783B">
        <w:rPr>
          <w:rFonts w:ascii="Arial" w:eastAsia="Times New Roman" w:hAnsi="Arial" w:cs="Arial"/>
          <w:color w:val="000000"/>
          <w:sz w:val="24"/>
          <w:szCs w:val="24"/>
        </w:rPr>
        <w:t xml:space="preserve">Nuffield Trust (2025) </w:t>
      </w:r>
      <w:r w:rsidRPr="0046783B">
        <w:rPr>
          <w:rFonts w:ascii="Arial" w:eastAsia="Times New Roman" w:hAnsi="Arial" w:cs="Arial"/>
          <w:i/>
          <w:iCs/>
          <w:color w:val="000000"/>
          <w:sz w:val="24"/>
          <w:szCs w:val="24"/>
        </w:rPr>
        <w:t>The history of the NHS</w:t>
      </w:r>
      <w:r w:rsidRPr="0046783B">
        <w:rPr>
          <w:rFonts w:ascii="Arial" w:eastAsia="Times New Roman" w:hAnsi="Arial" w:cs="Arial"/>
          <w:color w:val="000000"/>
          <w:sz w:val="24"/>
          <w:szCs w:val="24"/>
        </w:rPr>
        <w:t xml:space="preserve">, </w:t>
      </w:r>
      <w:r w:rsidRPr="0046783B">
        <w:rPr>
          <w:rFonts w:ascii="Arial" w:eastAsia="Times New Roman" w:hAnsi="Arial" w:cs="Arial"/>
          <w:i/>
          <w:iCs/>
          <w:color w:val="000000"/>
          <w:sz w:val="24"/>
          <w:szCs w:val="24"/>
        </w:rPr>
        <w:t>Nuffield Trust</w:t>
      </w:r>
      <w:r w:rsidRPr="0046783B">
        <w:rPr>
          <w:rFonts w:ascii="Arial" w:eastAsia="Times New Roman" w:hAnsi="Arial" w:cs="Arial"/>
          <w:color w:val="000000"/>
          <w:sz w:val="24"/>
          <w:szCs w:val="24"/>
        </w:rPr>
        <w:t>. Available at: https://www.nuffieldtrust.org.uk/health-and-social-care-explained/the-history-of-the-nhs (Accessed: November 12, 2025).</w:t>
      </w:r>
    </w:p>
    <w:p w14:paraId="5D205D1C" w14:textId="479E4486" w:rsidR="009A7425" w:rsidRPr="0046783B" w:rsidRDefault="00284704" w:rsidP="003060FF">
      <w:pPr>
        <w:pBdr>
          <w:top w:val="nil"/>
          <w:left w:val="nil"/>
          <w:bottom w:val="nil"/>
          <w:right w:val="nil"/>
          <w:between w:val="nil"/>
        </w:pBdr>
        <w:spacing w:after="0" w:line="480" w:lineRule="auto"/>
        <w:ind w:left="720" w:hanging="720"/>
        <w:rPr>
          <w:rFonts w:ascii="Arial" w:eastAsia="Times New Roman" w:hAnsi="Arial" w:cs="Arial"/>
          <w:color w:val="000000"/>
          <w:sz w:val="24"/>
          <w:szCs w:val="24"/>
        </w:rPr>
      </w:pPr>
      <w:r w:rsidRPr="0046783B">
        <w:rPr>
          <w:rFonts w:ascii="Arial" w:eastAsia="Times New Roman" w:hAnsi="Arial" w:cs="Arial"/>
          <w:color w:val="000000"/>
          <w:sz w:val="24"/>
          <w:szCs w:val="24"/>
        </w:rPr>
        <w:t xml:space="preserve">Gorsky, M. (2015) </w:t>
      </w:r>
      <w:r w:rsidRPr="0046783B">
        <w:rPr>
          <w:rFonts w:ascii="Arial" w:eastAsia="Times New Roman" w:hAnsi="Arial" w:cs="Arial"/>
          <w:i/>
          <w:iCs/>
          <w:color w:val="000000"/>
          <w:sz w:val="24"/>
          <w:szCs w:val="24"/>
        </w:rPr>
        <w:t xml:space="preserve">The NHS in Britain: Any Lesson from History for Universal Health </w:t>
      </w:r>
      <w:r w:rsidR="003601AB" w:rsidRPr="0046783B">
        <w:rPr>
          <w:rFonts w:ascii="Arial" w:eastAsia="Times New Roman" w:hAnsi="Arial" w:cs="Arial"/>
          <w:i/>
          <w:iCs/>
          <w:color w:val="000000"/>
          <w:sz w:val="24"/>
          <w:szCs w:val="24"/>
        </w:rPr>
        <w:t>Coverage?</w:t>
      </w:r>
      <w:r w:rsidRPr="0046783B">
        <w:rPr>
          <w:rFonts w:ascii="Arial" w:eastAsia="Times New Roman" w:hAnsi="Arial" w:cs="Arial"/>
          <w:color w:val="000000"/>
          <w:sz w:val="24"/>
          <w:szCs w:val="24"/>
        </w:rPr>
        <w:t xml:space="preserve"> </w:t>
      </w:r>
      <w:r w:rsidRPr="0046783B">
        <w:rPr>
          <w:rFonts w:ascii="Arial" w:eastAsia="Times New Roman" w:hAnsi="Arial" w:cs="Arial"/>
          <w:i/>
          <w:iCs/>
          <w:color w:val="000000"/>
          <w:sz w:val="24"/>
          <w:szCs w:val="24"/>
        </w:rPr>
        <w:t>Health for All - NCBI Bookshelf</w:t>
      </w:r>
      <w:r w:rsidRPr="0046783B">
        <w:rPr>
          <w:rFonts w:ascii="Arial" w:eastAsia="Times New Roman" w:hAnsi="Arial" w:cs="Arial"/>
          <w:color w:val="000000"/>
          <w:sz w:val="24"/>
          <w:szCs w:val="24"/>
        </w:rPr>
        <w:t>. Available at: https://www.ncbi.nlm.nih.gov/books/NBK316274/.</w:t>
      </w:r>
    </w:p>
    <w:p w14:paraId="5D205D1D" w14:textId="77777777" w:rsidR="009A7425" w:rsidRPr="0046783B" w:rsidRDefault="00284704" w:rsidP="003060FF">
      <w:pPr>
        <w:pBdr>
          <w:top w:val="nil"/>
          <w:left w:val="nil"/>
          <w:bottom w:val="nil"/>
          <w:right w:val="nil"/>
          <w:between w:val="nil"/>
        </w:pBdr>
        <w:spacing w:after="0" w:line="480" w:lineRule="auto"/>
        <w:ind w:left="720" w:hanging="720"/>
        <w:rPr>
          <w:rFonts w:ascii="Arial" w:eastAsia="Times New Roman" w:hAnsi="Arial" w:cs="Arial"/>
          <w:color w:val="000000"/>
          <w:sz w:val="24"/>
          <w:szCs w:val="24"/>
        </w:rPr>
      </w:pPr>
      <w:r w:rsidRPr="0046783B">
        <w:rPr>
          <w:rFonts w:ascii="Arial" w:eastAsia="Times New Roman" w:hAnsi="Arial" w:cs="Arial"/>
          <w:color w:val="000000"/>
          <w:sz w:val="24"/>
          <w:szCs w:val="24"/>
        </w:rPr>
        <w:t xml:space="preserve">Snow, S.J. and Whitecross, A.F. (2022) “Making history together: the UK’s National Health Service and the story of our lives since 1948,” </w:t>
      </w:r>
      <w:r w:rsidRPr="0046783B">
        <w:rPr>
          <w:rFonts w:ascii="Arial" w:eastAsia="Times New Roman" w:hAnsi="Arial" w:cs="Arial"/>
          <w:i/>
          <w:iCs/>
          <w:color w:val="000000"/>
          <w:sz w:val="24"/>
          <w:szCs w:val="24"/>
        </w:rPr>
        <w:t>Contemporary British History</w:t>
      </w:r>
      <w:r w:rsidRPr="0046783B">
        <w:rPr>
          <w:rFonts w:ascii="Arial" w:eastAsia="Times New Roman" w:hAnsi="Arial" w:cs="Arial"/>
          <w:color w:val="000000"/>
          <w:sz w:val="24"/>
          <w:szCs w:val="24"/>
        </w:rPr>
        <w:t>, 36(3), pp. 403–429. Available at: https://doi.org/10.1080/13619462.2022.2045199.</w:t>
      </w:r>
    </w:p>
    <w:p w14:paraId="5D205D1F" w14:textId="23274645" w:rsidR="009A7425" w:rsidRPr="003060FF" w:rsidRDefault="00284704" w:rsidP="003060FF">
      <w:pPr>
        <w:pBdr>
          <w:top w:val="nil"/>
          <w:left w:val="nil"/>
          <w:bottom w:val="nil"/>
          <w:right w:val="nil"/>
          <w:between w:val="nil"/>
        </w:pBdr>
        <w:spacing w:after="0" w:line="480" w:lineRule="auto"/>
        <w:ind w:left="720" w:hanging="720"/>
        <w:rPr>
          <w:rFonts w:ascii="Arial" w:eastAsia="Times New Roman" w:hAnsi="Arial" w:cs="Arial"/>
          <w:color w:val="000000"/>
          <w:sz w:val="24"/>
          <w:szCs w:val="24"/>
        </w:rPr>
      </w:pPr>
      <w:r w:rsidRPr="0046783B">
        <w:rPr>
          <w:rFonts w:ascii="Arial" w:eastAsia="Times New Roman" w:hAnsi="Arial" w:cs="Arial"/>
          <w:color w:val="000000"/>
          <w:sz w:val="24"/>
          <w:szCs w:val="24"/>
        </w:rPr>
        <w:t xml:space="preserve">Williams, B. (2024) “The British NHS at 75: Past, contemporary, and future challenges,” </w:t>
      </w:r>
      <w:r w:rsidRPr="0046783B">
        <w:rPr>
          <w:rFonts w:ascii="Arial" w:eastAsia="Times New Roman" w:hAnsi="Arial" w:cs="Arial"/>
          <w:i/>
          <w:iCs/>
          <w:color w:val="000000"/>
          <w:sz w:val="24"/>
          <w:szCs w:val="24"/>
        </w:rPr>
        <w:t>International Journal of Social Determinants of Health and Health Services</w:t>
      </w:r>
      <w:r w:rsidRPr="0046783B">
        <w:rPr>
          <w:rFonts w:ascii="Arial" w:eastAsia="Times New Roman" w:hAnsi="Arial" w:cs="Arial"/>
          <w:color w:val="000000"/>
          <w:sz w:val="24"/>
          <w:szCs w:val="24"/>
        </w:rPr>
        <w:t>, 55(1), pp. 76–87. Available at: https://doi.org/10.1177/27551938241280175.</w:t>
      </w:r>
    </w:p>
    <w:sectPr w:rsidR="009A7425" w:rsidRPr="003060FF">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89D2B" w14:textId="77777777" w:rsidR="003D7E4E" w:rsidRDefault="003D7E4E">
      <w:pPr>
        <w:spacing w:after="0" w:line="240" w:lineRule="auto"/>
      </w:pPr>
      <w:r>
        <w:separator/>
      </w:r>
    </w:p>
  </w:endnote>
  <w:endnote w:type="continuationSeparator" w:id="0">
    <w:p w14:paraId="3BE77464" w14:textId="77777777" w:rsidR="003D7E4E" w:rsidRDefault="003D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D22" w14:textId="77777777" w:rsidR="009A7425" w:rsidRDefault="009A7425">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D23" w14:textId="77777777" w:rsidR="009A7425" w:rsidRDefault="009A7425">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jc w:val="right"/>
      <w:rPr>
        <w:color w:val="000000"/>
      </w:rPr>
    </w:pPr>
  </w:p>
  <w:p w14:paraId="5D205D24" w14:textId="77777777" w:rsidR="009A7425" w:rsidRDefault="009A7425">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D26" w14:textId="77777777" w:rsidR="009A7425" w:rsidRDefault="009A7425">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CE69A" w14:textId="77777777" w:rsidR="003D7E4E" w:rsidRDefault="003D7E4E">
      <w:pPr>
        <w:spacing w:after="0" w:line="240" w:lineRule="auto"/>
      </w:pPr>
      <w:r>
        <w:separator/>
      </w:r>
    </w:p>
  </w:footnote>
  <w:footnote w:type="continuationSeparator" w:id="0">
    <w:p w14:paraId="245F7BB0" w14:textId="77777777" w:rsidR="003D7E4E" w:rsidRDefault="003D7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D20" w14:textId="77777777" w:rsidR="009A7425" w:rsidRDefault="009A7425">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5D21" w14:textId="5BA531CD" w:rsidR="009A7425" w:rsidRDefault="00284704">
    <w:pPr>
      <w:spacing w:line="480" w:lineRule="auto"/>
      <w:ind w:hanging="2"/>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46783B">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425"/>
    <w:rsid w:val="00100E4D"/>
    <w:rsid w:val="00186EA9"/>
    <w:rsid w:val="001E0F38"/>
    <w:rsid w:val="002027C1"/>
    <w:rsid w:val="00284704"/>
    <w:rsid w:val="002C5097"/>
    <w:rsid w:val="002D3B86"/>
    <w:rsid w:val="003060FF"/>
    <w:rsid w:val="00335015"/>
    <w:rsid w:val="003601AB"/>
    <w:rsid w:val="003D4A83"/>
    <w:rsid w:val="003D7E4E"/>
    <w:rsid w:val="0046024D"/>
    <w:rsid w:val="004645D1"/>
    <w:rsid w:val="0046783B"/>
    <w:rsid w:val="004878E5"/>
    <w:rsid w:val="00503F18"/>
    <w:rsid w:val="00656A31"/>
    <w:rsid w:val="007B2462"/>
    <w:rsid w:val="00932245"/>
    <w:rsid w:val="009A7425"/>
    <w:rsid w:val="009B3362"/>
    <w:rsid w:val="00A10C7C"/>
    <w:rsid w:val="00A657EF"/>
    <w:rsid w:val="00CC56A1"/>
    <w:rsid w:val="00E82D21"/>
    <w:rsid w:val="00F25B0F"/>
    <w:rsid w:val="00F55E0C"/>
    <w:rsid w:val="00FE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05CF3"/>
  <w15:docId w15:val="{5520AAE3-2458-43E9-9614-8A80CB93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spacing w:before="240" w:after="60"/>
      <w:outlineLvl w:val="0"/>
    </w:pPr>
    <w:rPr>
      <w:rFonts w:ascii="Cambria" w:eastAsia="Cambria" w:hAnsi="Cambria" w:cs="Cambria"/>
      <w:b/>
      <w:bCs/>
      <w:color w:val="000000"/>
      <w:sz w:val="32"/>
      <w:szCs w:val="32"/>
    </w:rPr>
  </w:style>
  <w:style w:type="paragraph" w:styleId="Heading2">
    <w:name w:val="heading 2"/>
    <w:basedOn w:val="Normal"/>
    <w:next w:val="Normal"/>
    <w:uiPriority w:val="9"/>
    <w:semiHidden/>
    <w:unhideWhenUsed/>
    <w:qFormat/>
    <w:pPr>
      <w:keepNext/>
      <w:pBdr>
        <w:top w:val="nil"/>
        <w:left w:val="nil"/>
        <w:bottom w:val="nil"/>
        <w:right w:val="nil"/>
        <w:between w:val="nil"/>
      </w:pBdr>
      <w:spacing w:before="240" w:after="60"/>
      <w:outlineLvl w:val="1"/>
    </w:pPr>
    <w:rPr>
      <w:b/>
      <w:bCs/>
      <w:i/>
      <w:iCs/>
      <w:color w:val="000000"/>
      <w:sz w:val="28"/>
      <w:szCs w:val="28"/>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60"/>
      <w:outlineLvl w:val="2"/>
    </w:pPr>
    <w:rPr>
      <w:b/>
      <w:bCs/>
      <w:color w:val="000000"/>
      <w:sz w:val="26"/>
      <w:szCs w:val="26"/>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after="60"/>
      <w:outlineLvl w:val="3"/>
    </w:pPr>
    <w:rPr>
      <w:b/>
      <w:bCs/>
      <w:color w:val="000000"/>
      <w:sz w:val="28"/>
      <w:szCs w:val="28"/>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unhideWhenUsed/>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1"/>
    <w:uiPriority w:val="39"/>
    <w:qFormat/>
    <w:pPr>
      <w:spacing w:after="0" w:line="240" w:lineRule="auto"/>
      <w:ind w:firstLine="0"/>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gkelc">
    <w:name w:val="hgkelc"/>
    <w:basedOn w:val="DefaultParagraphFont"/>
    <w:qFormat/>
  </w:style>
  <w:style w:type="paragraph" w:customStyle="1" w:styleId="muitypography-root">
    <w:name w:val="muitypography-root"/>
    <w:qFormat/>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halfrhythm">
    <w:name w:val="half_rhythm"/>
    <w:qFormat/>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styleId="ListParagraph">
    <w:name w:val="List Paragraph"/>
    <w:uiPriority w:val="34"/>
    <w:qFormat/>
    <w:pPr>
      <w:ind w:left="720"/>
      <w:contextualSpacing/>
    </w:pPr>
  </w:style>
  <w:style w:type="paragraph" w:customStyle="1" w:styleId="xmsonormal">
    <w:name w:val="x_msonormal"/>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ff6">
    <w:name w:val="ff6"/>
    <w:basedOn w:val="DefaultParagraphFont"/>
    <w:qFormat/>
  </w:style>
  <w:style w:type="character" w:customStyle="1" w:styleId="lsc">
    <w:name w:val="lsc"/>
    <w:basedOn w:val="DefaultParagraphFont"/>
    <w:qFormat/>
  </w:style>
  <w:style w:type="character" w:customStyle="1" w:styleId="ls2">
    <w:name w:val="ls2"/>
    <w:basedOn w:val="DefaultParagraphFont"/>
    <w:qFormat/>
  </w:style>
  <w:style w:type="character" w:customStyle="1" w:styleId="fc2">
    <w:name w:val="fc2"/>
    <w:basedOn w:val="DefaultParagraphFont"/>
    <w:qFormat/>
  </w:style>
  <w:style w:type="character" w:customStyle="1" w:styleId="ls5d">
    <w:name w:val="ls5d"/>
    <w:basedOn w:val="DefaultParagraphFont"/>
    <w:qFormat/>
  </w:style>
  <w:style w:type="character" w:customStyle="1" w:styleId="ls28">
    <w:name w:val="ls28"/>
    <w:basedOn w:val="DefaultParagraphFont"/>
    <w:qFormat/>
  </w:style>
  <w:style w:type="character" w:customStyle="1" w:styleId="ls3">
    <w:name w:val="ls3"/>
    <w:basedOn w:val="DefaultParagraphFont"/>
  </w:style>
  <w:style w:type="character" w:customStyle="1" w:styleId="ls25">
    <w:name w:val="ls25"/>
    <w:basedOn w:val="DefaultParagraphFont"/>
    <w:qFormat/>
  </w:style>
  <w:style w:type="character" w:customStyle="1" w:styleId="ls17">
    <w:name w:val="ls17"/>
    <w:basedOn w:val="DefaultParagraphFont"/>
  </w:style>
  <w:style w:type="character" w:customStyle="1" w:styleId="ls24">
    <w:name w:val="ls24"/>
    <w:basedOn w:val="DefaultParagraphFont"/>
  </w:style>
  <w:style w:type="character" w:customStyle="1" w:styleId="ls27">
    <w:name w:val="ls27"/>
    <w:basedOn w:val="DefaultParagraphFont"/>
  </w:style>
  <w:style w:type="character" w:customStyle="1" w:styleId="ls67">
    <w:name w:val="ls67"/>
    <w:basedOn w:val="DefaultParagraphFont"/>
    <w:qFormat/>
  </w:style>
  <w:style w:type="character" w:customStyle="1" w:styleId="ls21">
    <w:name w:val="ls21"/>
    <w:basedOn w:val="DefaultParagraphFont"/>
    <w:qFormat/>
  </w:style>
  <w:style w:type="character" w:customStyle="1" w:styleId="ls6">
    <w:name w:val="ls6"/>
    <w:basedOn w:val="DefaultParagraphFont"/>
  </w:style>
  <w:style w:type="character" w:customStyle="1" w:styleId="lse">
    <w:name w:val="lse"/>
    <w:basedOn w:val="DefaultParagraphFont"/>
    <w:qFormat/>
  </w:style>
  <w:style w:type="character" w:customStyle="1" w:styleId="ls22">
    <w:name w:val="ls22"/>
    <w:basedOn w:val="DefaultParagraphFont"/>
    <w:qFormat/>
  </w:style>
  <w:style w:type="character" w:customStyle="1" w:styleId="ls68">
    <w:name w:val="ls68"/>
    <w:basedOn w:val="DefaultParagraphFont"/>
  </w:style>
  <w:style w:type="character" w:customStyle="1" w:styleId="ls7">
    <w:name w:val="ls7"/>
    <w:basedOn w:val="DefaultParagraphFont"/>
  </w:style>
  <w:style w:type="character" w:customStyle="1" w:styleId="ls69">
    <w:name w:val="ls69"/>
    <w:basedOn w:val="DefaultParagraphFont"/>
  </w:style>
  <w:style w:type="character" w:customStyle="1" w:styleId="ls20">
    <w:name w:val="ls20"/>
    <w:basedOn w:val="DefaultParagraphFont"/>
  </w:style>
  <w:style w:type="character" w:customStyle="1" w:styleId="fc0">
    <w:name w:val="fc0"/>
    <w:basedOn w:val="DefaultParagraphFont"/>
  </w:style>
  <w:style w:type="character" w:customStyle="1" w:styleId="ls5a">
    <w:name w:val="ls5a"/>
    <w:basedOn w:val="DefaultParagraphFont"/>
  </w:style>
  <w:style w:type="character" w:customStyle="1" w:styleId="ls34">
    <w:name w:val="ls34"/>
    <w:basedOn w:val="DefaultParagraphFont"/>
  </w:style>
  <w:style w:type="character" w:customStyle="1" w:styleId="ls6a">
    <w:name w:val="ls6a"/>
    <w:basedOn w:val="DefaultParagraphFont"/>
  </w:style>
  <w:style w:type="character" w:customStyle="1" w:styleId="ws23">
    <w:name w:val="ws23"/>
    <w:basedOn w:val="DefaultParagraphFont"/>
  </w:style>
  <w:style w:type="character" w:customStyle="1" w:styleId="ls2d">
    <w:name w:val="ls2d"/>
    <w:basedOn w:val="DefaultParagraphFont"/>
  </w:style>
  <w:style w:type="character" w:customStyle="1" w:styleId="ws7">
    <w:name w:val="ws7"/>
    <w:basedOn w:val="DefaultParagraphFont"/>
  </w:style>
  <w:style w:type="character" w:customStyle="1" w:styleId="ls29">
    <w:name w:val="ls29"/>
    <w:basedOn w:val="DefaultParagraphFont"/>
  </w:style>
  <w:style w:type="character" w:customStyle="1" w:styleId="ls6b">
    <w:name w:val="ls6b"/>
    <w:basedOn w:val="DefaultParagraphFont"/>
  </w:style>
  <w:style w:type="character" w:customStyle="1" w:styleId="ws9">
    <w:name w:val="ws9"/>
    <w:basedOn w:val="DefaultParagraphFont"/>
  </w:style>
  <w:style w:type="character" w:customStyle="1" w:styleId="ls9">
    <w:name w:val="ls9"/>
    <w:basedOn w:val="DefaultParagraphFont"/>
  </w:style>
  <w:style w:type="character" w:customStyle="1" w:styleId="ls6c">
    <w:name w:val="ls6c"/>
    <w:basedOn w:val="DefaultParagraphFont"/>
  </w:style>
  <w:style w:type="character" w:customStyle="1" w:styleId="ls6d">
    <w:name w:val="ls6d"/>
    <w:basedOn w:val="DefaultParagraphFont"/>
  </w:style>
  <w:style w:type="character" w:customStyle="1" w:styleId="ws43">
    <w:name w:val="ws43"/>
    <w:basedOn w:val="DefaultParagraphFont"/>
  </w:style>
  <w:style w:type="character" w:customStyle="1" w:styleId="ls8">
    <w:name w:val="ls8"/>
    <w:basedOn w:val="DefaultParagraphFont"/>
  </w:style>
  <w:style w:type="paragraph" w:customStyle="1" w:styleId="p">
    <w:name w:val="p"/>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a">
    <w:name w:val="_"/>
    <w:basedOn w:val="DefaultParagraphFont"/>
  </w:style>
  <w:style w:type="character" w:customStyle="1" w:styleId="ls0">
    <w:name w:val="ls0"/>
    <w:basedOn w:val="DefaultParagraphFont"/>
  </w:style>
  <w:style w:type="character" w:customStyle="1" w:styleId="ff7">
    <w:name w:val="ff7"/>
    <w:basedOn w:val="DefaultParagraphFont"/>
  </w:style>
  <w:style w:type="character" w:customStyle="1" w:styleId="ref-lnk">
    <w:name w:val="ref-lnk"/>
    <w:basedOn w:val="DefaultParagraphFont"/>
  </w:style>
  <w:style w:type="character" w:customStyle="1" w:styleId="off-screen">
    <w:name w:val="off-screen"/>
    <w:basedOn w:val="DefaultParagraphFont"/>
  </w:style>
  <w:style w:type="paragraph" w:customStyle="1" w:styleId="para">
    <w:name w:val="para"/>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lsa">
    <w:name w:val="lsa"/>
    <w:basedOn w:val="DefaultParagraphFont"/>
  </w:style>
  <w:style w:type="character" w:customStyle="1" w:styleId="markedcontent">
    <w:name w:val="markedcontent"/>
    <w:basedOn w:val="DefaultParagraphFont"/>
    <w:qFormat/>
  </w:style>
  <w:style w:type="character" w:customStyle="1" w:styleId="url">
    <w:name w:val="url"/>
    <w:basedOn w:val="DefaultParagraphFont"/>
    <w:qFormat/>
  </w:style>
  <w:style w:type="character" w:customStyle="1" w:styleId="jpfdse">
    <w:name w:val="jpfdse"/>
    <w:basedOn w:val="DefaultParagraphFont"/>
    <w:qFormat/>
  </w:style>
  <w:style w:type="character" w:customStyle="1" w:styleId="ff4">
    <w:name w:val="ff4"/>
    <w:basedOn w:val="DefaultParagraphFont"/>
    <w:qFormat/>
  </w:style>
  <w:style w:type="character" w:customStyle="1" w:styleId="ff1">
    <w:name w:val="ff1"/>
    <w:basedOn w:val="DefaultParagraphFont"/>
    <w:qFormat/>
  </w:style>
  <w:style w:type="character" w:customStyle="1" w:styleId="lsf">
    <w:name w:val="lsf"/>
    <w:basedOn w:val="DefaultParagraphFont"/>
    <w:qFormat/>
  </w:style>
  <w:style w:type="character" w:customStyle="1" w:styleId="lsb">
    <w:name w:val="lsb"/>
    <w:basedOn w:val="DefaultParagraphFont"/>
    <w:qFormat/>
  </w:style>
  <w:style w:type="character" w:customStyle="1" w:styleId="ls4">
    <w:name w:val="ls4"/>
    <w:basedOn w:val="DefaultParagraphFont"/>
    <w:qFormat/>
  </w:style>
  <w:style w:type="character" w:customStyle="1" w:styleId="lsd">
    <w:name w:val="lsd"/>
    <w:basedOn w:val="DefaultParagraphFont"/>
    <w:qFormat/>
  </w:style>
  <w:style w:type="character" w:customStyle="1" w:styleId="ls1">
    <w:name w:val="ls1"/>
    <w:basedOn w:val="DefaultParagraphFont"/>
    <w:qFormat/>
  </w:style>
  <w:style w:type="character" w:customStyle="1" w:styleId="ff5">
    <w:name w:val="ff5"/>
    <w:basedOn w:val="DefaultParagraphFont"/>
    <w:qFormat/>
  </w:style>
  <w:style w:type="character" w:customStyle="1" w:styleId="ls5">
    <w:name w:val="ls5"/>
    <w:basedOn w:val="DefaultParagraphFont"/>
    <w:qFormat/>
  </w:style>
  <w:style w:type="paragraph" w:customStyle="1" w:styleId="text-main">
    <w:name w:val="text-main"/>
    <w:qFormat/>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customStyle="1" w:styleId="TableParagraph">
    <w:name w:val="Table Paragraph"/>
    <w:uiPriority w:val="1"/>
    <w:qFormat/>
    <w:pPr>
      <w:widowControl w:val="0"/>
      <w:autoSpaceDE w:val="0"/>
      <w:autoSpaceDN w:val="0"/>
      <w:spacing w:after="0" w:line="240" w:lineRule="auto"/>
      <w:ind w:firstLine="0"/>
    </w:pPr>
    <w:rPr>
      <w:rFonts w:ascii="Arial" w:eastAsia="Arial" w:hAnsi="Arial" w:cs="Arial"/>
      <w:lang w:val="en-US"/>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2D3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B86"/>
  </w:style>
  <w:style w:type="paragraph" w:styleId="Footer">
    <w:name w:val="footer"/>
    <w:basedOn w:val="Normal"/>
    <w:link w:val="FooterChar"/>
    <w:uiPriority w:val="99"/>
    <w:semiHidden/>
    <w:unhideWhenUsed/>
    <w:rsid w:val="002C509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C5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BC3ntk8eC8l3YVM4qH0naRp07g==">CgMxLjAyDmgudjQzcGxhemVwY2k3OAByITFlWkRsYmp0UmNVMTJ6b3djekdEUFV5SjBJZ1d4YW9Rcw==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979</Words>
  <Characters>5581</Characters>
  <Application>Microsoft Office Word</Application>
  <DocSecurity>0</DocSecurity>
  <Lines>46</Lines>
  <Paragraphs>13</Paragraphs>
  <ScaleCrop>false</ScaleCrop>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mmikey8000@gmail.com</cp:lastModifiedBy>
  <cp:revision>2</cp:revision>
  <dcterms:created xsi:type="dcterms:W3CDTF">2025-11-16T13:04:00Z</dcterms:created>
  <dcterms:modified xsi:type="dcterms:W3CDTF">2025-11-16T13:04:00Z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186279a31dffec49a0d8cc351ce9b3aca0aabdb9d2c90d45fe309bc184e4b345</vt:lpwstr>
  </property>
  <property fmtid="{D5CDD505-2E9C-101B-9397-08002B2CF9AE}" pid="3" name="MSIP_Label_d0354ca5-015e-47ab-9fdb-c0a8323bc23e_Enabled">
    <vt:lpwstr>true</vt:lpwstr>
  </property>
  <property fmtid="{D5CDD505-2E9C-101B-9397-08002B2CF9AE}" pid="4" name="MSIP_Label_d0354ca5-015e-47ab-9fdb-c0a8323bc23e_SetDate">
    <vt:lpwstr>2023-12-18T11:57:27Z</vt:lpwstr>
  </property>
  <property fmtid="{D5CDD505-2E9C-101B-9397-08002B2CF9AE}" pid="5" name="MSIP_Label_d0354ca5-015e-47ab-9fdb-c0a8323bc23e_Method">
    <vt:lpwstr>Privileged</vt:lpwstr>
  </property>
  <property fmtid="{D5CDD505-2E9C-101B-9397-08002B2CF9AE}" pid="6" name="MSIP_Label_d0354ca5-015e-47ab-9fdb-c0a8323bc23e_Name">
    <vt:lpwstr>d0354ca5-015e-47ab-9fdb-c0a8323bc23e</vt:lpwstr>
  </property>
  <property fmtid="{D5CDD505-2E9C-101B-9397-08002B2CF9AE}" pid="7" name="MSIP_Label_d0354ca5-015e-47ab-9fdb-c0a8323bc23e_SiteId">
    <vt:lpwstr>07ebc6c3-7074-4387-a625-b9d918ba4a97</vt:lpwstr>
  </property>
  <property fmtid="{D5CDD505-2E9C-101B-9397-08002B2CF9AE}" pid="8" name="MSIP_Label_d0354ca5-015e-47ab-9fdb-c0a8323bc23e_ActionId">
    <vt:lpwstr>17fc6f72-6f24-481b-8f46-2153f1eab63d</vt:lpwstr>
  </property>
  <property fmtid="{D5CDD505-2E9C-101B-9397-08002B2CF9AE}" pid="9" name="MSIP_Label_d0354ca5-015e-47ab-9fdb-c0a8323bc23e_ContentBits">
    <vt:lpwstr>0</vt:lpwstr>
  </property>
  <property fmtid="{D5CDD505-2E9C-101B-9397-08002B2CF9AE}" pid="10" name="KSOProductBuildVer">
    <vt:lpwstr>2057-12.2.0.23149</vt:lpwstr>
  </property>
  <property fmtid="{D5CDD505-2E9C-101B-9397-08002B2CF9AE}" pid="11" name="ICV">
    <vt:lpwstr>EA1EE614D66C417EA4BD1538262AD62C_13</vt:lpwstr>
  </property>
</Properties>
</file>