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5B781EA3" w14:textId="2A3C3765" w:rsidR="00F3602C" w:rsidRDefault="00ED5964" w:rsidP="00ED5964">
      <w:pPr>
        <w:jc w:val="both"/>
        <w:rPr>
          <w:rFonts w:asciiTheme="minorBidi" w:hAnsiTheme="minorBidi"/>
          <w:sz w:val="28"/>
          <w:szCs w:val="28"/>
        </w:rPr>
      </w:pPr>
      <w:r>
        <w:rPr>
          <w:rFonts w:asciiTheme="minorBidi" w:hAnsiTheme="minorBidi"/>
          <w:sz w:val="28"/>
          <w:szCs w:val="28"/>
        </w:rPr>
        <w:t xml:space="preserve">Name: </w:t>
      </w:r>
      <w:r w:rsidR="00F3602C">
        <w:rPr>
          <w:rFonts w:asciiTheme="minorBidi" w:hAnsiTheme="minorBidi"/>
          <w:sz w:val="28"/>
          <w:szCs w:val="28"/>
        </w:rPr>
        <w:t>Bamidele Idowu</w:t>
      </w:r>
    </w:p>
    <w:p w14:paraId="485B6F49" w14:textId="1E3A68F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3602C">
        <w:rPr>
          <w:rFonts w:asciiTheme="minorBidi" w:hAnsiTheme="minorBidi"/>
          <w:sz w:val="28"/>
          <w:szCs w:val="28"/>
        </w:rPr>
        <w:t>2538823</w:t>
      </w:r>
    </w:p>
    <w:p w14:paraId="3C1E7A20" w14:textId="1CDB83E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16AA0A93" w:rsidRPr="30AAD314">
        <w:rPr>
          <w:rFonts w:asciiTheme="minorBidi" w:hAnsiTheme="minorBidi"/>
          <w:sz w:val="28"/>
          <w:szCs w:val="28"/>
        </w:rPr>
        <w:t>LCHS 4001</w:t>
      </w:r>
    </w:p>
    <w:p w14:paraId="4EEB2DA3" w14:textId="2B0ED84D" w:rsidR="00ED5964" w:rsidRDefault="00ED5964" w:rsidP="00ED5964">
      <w:pPr>
        <w:jc w:val="both"/>
        <w:rPr>
          <w:rFonts w:asciiTheme="minorBidi" w:hAnsiTheme="minorBidi"/>
          <w:sz w:val="28"/>
          <w:szCs w:val="28"/>
        </w:rPr>
      </w:pPr>
      <w:r w:rsidRPr="30AAD314">
        <w:rPr>
          <w:rFonts w:asciiTheme="minorBidi" w:hAnsiTheme="minorBidi"/>
          <w:sz w:val="28"/>
          <w:szCs w:val="28"/>
        </w:rPr>
        <w:t xml:space="preserve">Module: </w:t>
      </w:r>
      <w:r w:rsidR="63BA07C5" w:rsidRPr="30AAD314">
        <w:rPr>
          <w:rFonts w:asciiTheme="minorBidi" w:hAnsiTheme="minorBidi"/>
          <w:sz w:val="28"/>
          <w:szCs w:val="28"/>
        </w:rPr>
        <w:t>Academic &amp; Employability Skills</w:t>
      </w:r>
    </w:p>
    <w:p w14:paraId="1A4C3919" w14:textId="4919F614" w:rsidR="0001561E" w:rsidRPr="0001561E" w:rsidRDefault="00ED5964" w:rsidP="00C25BF1">
      <w:pPr>
        <w:jc w:val="both"/>
        <w:rPr>
          <w:rFonts w:asciiTheme="minorBidi" w:hAnsiTheme="minorBidi"/>
          <w:sz w:val="28"/>
          <w:szCs w:val="28"/>
        </w:rPr>
      </w:pPr>
      <w:r w:rsidRPr="30AAD314">
        <w:rPr>
          <w:rFonts w:asciiTheme="minorBidi" w:hAnsiTheme="minorBidi"/>
          <w:sz w:val="28"/>
          <w:szCs w:val="28"/>
        </w:rPr>
        <w:t>Lecturer:</w:t>
      </w:r>
      <w:r w:rsidR="003D6DFA" w:rsidRPr="30AAD314">
        <w:rPr>
          <w:rFonts w:asciiTheme="minorBidi" w:hAnsiTheme="minorBidi"/>
          <w:sz w:val="28"/>
          <w:szCs w:val="28"/>
        </w:rPr>
        <w:t xml:space="preserve"> </w:t>
      </w:r>
      <w:r w:rsidR="7BB93EEC" w:rsidRPr="30AAD314">
        <w:rPr>
          <w:rFonts w:asciiTheme="minorBidi" w:hAnsiTheme="minorBidi"/>
          <w:sz w:val="28"/>
          <w:szCs w:val="28"/>
        </w:rPr>
        <w:t>Oluwadamilola Tayo</w:t>
      </w: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0E507D4E" w14:textId="77777777" w:rsidR="00C25BF1" w:rsidRDefault="00C25BF1" w:rsidP="00ED5964">
      <w:pPr>
        <w:jc w:val="both"/>
        <w:rPr>
          <w:rFonts w:asciiTheme="minorBidi" w:hAnsiTheme="minorBidi"/>
          <w:sz w:val="28"/>
          <w:szCs w:val="28"/>
        </w:rPr>
      </w:pPr>
    </w:p>
    <w:p w14:paraId="00D89AD9" w14:textId="77777777" w:rsidR="00C25BF1" w:rsidRDefault="00C25BF1" w:rsidP="00ED5964">
      <w:pPr>
        <w:jc w:val="both"/>
        <w:rPr>
          <w:rFonts w:asciiTheme="minorBidi" w:hAnsiTheme="minorBidi"/>
          <w:sz w:val="28"/>
          <w:szCs w:val="28"/>
        </w:rPr>
      </w:pPr>
    </w:p>
    <w:p w14:paraId="29205B51" w14:textId="77777777" w:rsidR="00C25BF1" w:rsidRDefault="00C25BF1" w:rsidP="00ED5964">
      <w:pPr>
        <w:jc w:val="both"/>
        <w:rPr>
          <w:rFonts w:asciiTheme="minorBidi" w:hAnsiTheme="minorBidi"/>
          <w:sz w:val="28"/>
          <w:szCs w:val="28"/>
        </w:rPr>
      </w:pPr>
    </w:p>
    <w:p w14:paraId="37A1F8BB" w14:textId="77777777" w:rsidR="00C25BF1" w:rsidRDefault="00C25BF1"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
          <w:color w:val="auto"/>
          <w:kern w:val="2"/>
          <w:sz w:val="20"/>
          <w:szCs w:val="20"/>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1197E7AB" w:rsidR="00824CB1" w:rsidRDefault="0CF501EC" w:rsidP="30AAD314">
          <w:pPr>
            <w:pStyle w:val="TOC2"/>
            <w:tabs>
              <w:tab w:val="right" w:leader="dot" w:pos="9015"/>
            </w:tabs>
          </w:pPr>
          <w:r>
            <w:fldChar w:fldCharType="begin"/>
          </w:r>
          <w:r w:rsidR="0156E134">
            <w:instrText>TOC \o "1-3" \z \u \h</w:instrText>
          </w:r>
          <w:r>
            <w:fldChar w:fldCharType="separate"/>
          </w:r>
          <w:hyperlink w:anchor="_Toc1393558567">
            <w:r w:rsidR="30AAD314" w:rsidRPr="30AAD314">
              <w:rPr>
                <w:rStyle w:val="Hyperlink"/>
              </w:rPr>
              <w:t>1.1 Introduction</w:t>
            </w:r>
            <w:r w:rsidR="0156E134">
              <w:tab/>
            </w:r>
            <w:r w:rsidR="0156E134">
              <w:fldChar w:fldCharType="begin"/>
            </w:r>
            <w:r w:rsidR="0156E134">
              <w:instrText>PAGEREF _Toc1393558567 \h</w:instrText>
            </w:r>
            <w:r w:rsidR="0156E134">
              <w:fldChar w:fldCharType="separate"/>
            </w:r>
            <w:r w:rsidR="30AAD314" w:rsidRPr="30AAD314">
              <w:rPr>
                <w:rStyle w:val="Hyperlink"/>
              </w:rPr>
              <w:t>3</w:t>
            </w:r>
            <w:r w:rsidR="0156E134">
              <w:fldChar w:fldCharType="end"/>
            </w:r>
          </w:hyperlink>
        </w:p>
        <w:p w14:paraId="5A09ADA9" w14:textId="4412E7D5" w:rsidR="00824CB1" w:rsidRDefault="30AAD314" w:rsidP="30AAD314">
          <w:pPr>
            <w:pStyle w:val="TOC2"/>
            <w:tabs>
              <w:tab w:val="right" w:leader="dot" w:pos="9015"/>
            </w:tabs>
          </w:pPr>
          <w:hyperlink w:anchor="_Toc126656086">
            <w:r w:rsidRPr="30AAD314">
              <w:rPr>
                <w:rStyle w:val="Hyperlink"/>
              </w:rPr>
              <w:t>2 Pharmacy Technician in the Health and Social Care Field</w:t>
            </w:r>
            <w:r w:rsidR="0CF501EC">
              <w:tab/>
            </w:r>
            <w:r w:rsidR="0CF501EC">
              <w:fldChar w:fldCharType="begin"/>
            </w:r>
            <w:r w:rsidR="0CF501EC">
              <w:instrText>PAGEREF _Toc126656086 \h</w:instrText>
            </w:r>
            <w:r w:rsidR="0CF501EC">
              <w:fldChar w:fldCharType="separate"/>
            </w:r>
            <w:r w:rsidRPr="30AAD314">
              <w:rPr>
                <w:rStyle w:val="Hyperlink"/>
              </w:rPr>
              <w:t>3</w:t>
            </w:r>
            <w:r w:rsidR="0CF501EC">
              <w:fldChar w:fldCharType="end"/>
            </w:r>
          </w:hyperlink>
        </w:p>
        <w:p w14:paraId="405810A6" w14:textId="6952A66E" w:rsidR="00824CB1" w:rsidRDefault="30AAD314" w:rsidP="30AAD314">
          <w:pPr>
            <w:pStyle w:val="TOC2"/>
            <w:tabs>
              <w:tab w:val="right" w:leader="dot" w:pos="9015"/>
            </w:tabs>
          </w:pPr>
          <w:hyperlink w:anchor="_Toc298136553">
            <w:r w:rsidRPr="30AAD314">
              <w:rPr>
                <w:rStyle w:val="Hyperlink"/>
              </w:rPr>
              <w:t>2.1 Description of Pharmacy Technician in Health and Social Care</w:t>
            </w:r>
            <w:r w:rsidR="0CF501EC">
              <w:tab/>
            </w:r>
            <w:r w:rsidR="0CF501EC">
              <w:fldChar w:fldCharType="begin"/>
            </w:r>
            <w:r w:rsidR="0CF501EC">
              <w:instrText>PAGEREF _Toc298136553 \h</w:instrText>
            </w:r>
            <w:r w:rsidR="0CF501EC">
              <w:fldChar w:fldCharType="separate"/>
            </w:r>
            <w:r w:rsidRPr="30AAD314">
              <w:rPr>
                <w:rStyle w:val="Hyperlink"/>
              </w:rPr>
              <w:t>3</w:t>
            </w:r>
            <w:r w:rsidR="0CF501EC">
              <w:fldChar w:fldCharType="end"/>
            </w:r>
          </w:hyperlink>
        </w:p>
        <w:p w14:paraId="0D838B7F" w14:textId="1A2E1866" w:rsidR="00824CB1" w:rsidRDefault="30AAD314" w:rsidP="30AAD314">
          <w:pPr>
            <w:pStyle w:val="TOC2"/>
            <w:tabs>
              <w:tab w:val="right" w:leader="dot" w:pos="9015"/>
            </w:tabs>
          </w:pPr>
          <w:hyperlink w:anchor="_Toc1800280758">
            <w:r w:rsidRPr="30AAD314">
              <w:rPr>
                <w:rStyle w:val="Hyperlink"/>
              </w:rPr>
              <w:t>2.2 Explanation of Most Significant Skills Needed for Pharmacy Technician in Health and Social Care</w:t>
            </w:r>
            <w:r w:rsidR="0CF501EC">
              <w:tab/>
            </w:r>
            <w:r w:rsidR="0CF501EC">
              <w:fldChar w:fldCharType="begin"/>
            </w:r>
            <w:r w:rsidR="0CF501EC">
              <w:instrText>PAGEREF _Toc1800280758 \h</w:instrText>
            </w:r>
            <w:r w:rsidR="0CF501EC">
              <w:fldChar w:fldCharType="separate"/>
            </w:r>
            <w:r w:rsidRPr="30AAD314">
              <w:rPr>
                <w:rStyle w:val="Hyperlink"/>
              </w:rPr>
              <w:t>4</w:t>
            </w:r>
            <w:r w:rsidR="0CF501EC">
              <w:fldChar w:fldCharType="end"/>
            </w:r>
          </w:hyperlink>
        </w:p>
        <w:p w14:paraId="0A8B3CCA" w14:textId="0A7DFC36" w:rsidR="00824CB1" w:rsidRDefault="30AAD314" w:rsidP="30AAD314">
          <w:pPr>
            <w:pStyle w:val="TOC2"/>
            <w:tabs>
              <w:tab w:val="right" w:leader="dot" w:pos="9015"/>
            </w:tabs>
          </w:pPr>
          <w:hyperlink w:anchor="_Toc135877164">
            <w:r w:rsidRPr="30AAD314">
              <w:rPr>
                <w:rStyle w:val="Hyperlink"/>
              </w:rPr>
              <w:t>3 Strategies for Skill Improvement for Pharmacy Technician</w:t>
            </w:r>
            <w:r w:rsidR="0CF501EC">
              <w:tab/>
            </w:r>
            <w:r w:rsidR="0CF501EC">
              <w:fldChar w:fldCharType="begin"/>
            </w:r>
            <w:r w:rsidR="0CF501EC">
              <w:instrText>PAGEREF _Toc135877164 \h</w:instrText>
            </w:r>
            <w:r w:rsidR="0CF501EC">
              <w:fldChar w:fldCharType="separate"/>
            </w:r>
            <w:r w:rsidRPr="30AAD314">
              <w:rPr>
                <w:rStyle w:val="Hyperlink"/>
              </w:rPr>
              <w:t>5</w:t>
            </w:r>
            <w:r w:rsidR="0CF501EC">
              <w:fldChar w:fldCharType="end"/>
            </w:r>
          </w:hyperlink>
        </w:p>
        <w:p w14:paraId="1AA7C6F6" w14:textId="7F9743F0" w:rsidR="00824CB1" w:rsidRDefault="30AAD314" w:rsidP="30AAD314">
          <w:pPr>
            <w:pStyle w:val="TOC2"/>
            <w:tabs>
              <w:tab w:val="right" w:leader="dot" w:pos="9015"/>
            </w:tabs>
          </w:pPr>
          <w:hyperlink w:anchor="_Toc15344006">
            <w:r w:rsidRPr="30AAD314">
              <w:rPr>
                <w:rStyle w:val="Hyperlink"/>
              </w:rPr>
              <w:t>3.1 Three Strategies to Improve the Skills for Pharmacy Technician</w:t>
            </w:r>
            <w:r w:rsidR="0CF501EC">
              <w:tab/>
            </w:r>
            <w:r w:rsidR="0CF501EC">
              <w:fldChar w:fldCharType="begin"/>
            </w:r>
            <w:r w:rsidR="0CF501EC">
              <w:instrText>PAGEREF _Toc15344006 \h</w:instrText>
            </w:r>
            <w:r w:rsidR="0CF501EC">
              <w:fldChar w:fldCharType="separate"/>
            </w:r>
            <w:r w:rsidRPr="30AAD314">
              <w:rPr>
                <w:rStyle w:val="Hyperlink"/>
              </w:rPr>
              <w:t>5</w:t>
            </w:r>
            <w:r w:rsidR="0CF501EC">
              <w:fldChar w:fldCharType="end"/>
            </w:r>
          </w:hyperlink>
        </w:p>
        <w:p w14:paraId="318879F9" w14:textId="423FAABF" w:rsidR="00824CB1" w:rsidRDefault="30AAD314" w:rsidP="30AAD314">
          <w:pPr>
            <w:pStyle w:val="TOC2"/>
            <w:tabs>
              <w:tab w:val="right" w:leader="dot" w:pos="9015"/>
            </w:tabs>
          </w:pPr>
          <w:hyperlink w:anchor="_Toc553961778">
            <w:r w:rsidRPr="30AAD314">
              <w:rPr>
                <w:rStyle w:val="Hyperlink"/>
              </w:rPr>
              <w:t>4 Conclusion</w:t>
            </w:r>
            <w:r w:rsidR="0CF501EC">
              <w:tab/>
            </w:r>
            <w:r w:rsidR="0CF501EC">
              <w:fldChar w:fldCharType="begin"/>
            </w:r>
            <w:r w:rsidR="0CF501EC">
              <w:instrText>PAGEREF _Toc553961778 \h</w:instrText>
            </w:r>
            <w:r w:rsidR="0CF501EC">
              <w:fldChar w:fldCharType="separate"/>
            </w:r>
            <w:r w:rsidRPr="30AAD314">
              <w:rPr>
                <w:rStyle w:val="Hyperlink"/>
              </w:rPr>
              <w:t>5</w:t>
            </w:r>
            <w:r w:rsidR="0CF501EC">
              <w:fldChar w:fldCharType="end"/>
            </w:r>
          </w:hyperlink>
        </w:p>
        <w:p w14:paraId="6A1868E3" w14:textId="1071D2B5" w:rsidR="30AAD314" w:rsidRDefault="30AAD314" w:rsidP="30AAD314">
          <w:pPr>
            <w:pStyle w:val="TOC2"/>
            <w:tabs>
              <w:tab w:val="right" w:leader="dot" w:pos="9015"/>
            </w:tabs>
          </w:pPr>
          <w:hyperlink w:anchor="_Toc2014722589">
            <w:r w:rsidRPr="30AAD314">
              <w:rPr>
                <w:rStyle w:val="Hyperlink"/>
              </w:rPr>
              <w:t>5 Reference List</w:t>
            </w:r>
            <w:r>
              <w:tab/>
            </w:r>
            <w:r>
              <w:fldChar w:fldCharType="begin"/>
            </w:r>
            <w:r>
              <w:instrText>PAGEREF _Toc2014722589 \h</w:instrText>
            </w:r>
            <w:r>
              <w:fldChar w:fldCharType="separate"/>
            </w:r>
            <w:r w:rsidRPr="30AAD314">
              <w:rPr>
                <w:rStyle w:val="Hyperlink"/>
              </w:rPr>
              <w:t>7</w:t>
            </w:r>
            <w:r>
              <w:fldChar w:fldCharType="end"/>
            </w:r>
          </w:hyperlink>
        </w:p>
        <w:p w14:paraId="2F2A1EA8" w14:textId="35FC6274" w:rsidR="0156E134" w:rsidRDefault="0CF501EC" w:rsidP="0156E134">
          <w:pPr>
            <w:pStyle w:val="TOC2"/>
            <w:tabs>
              <w:tab w:val="right" w:leader="dot" w:pos="9015"/>
            </w:tabs>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1393558567"/>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2F840957" w14:textId="6970D6D7" w:rsidR="00500295" w:rsidRPr="00242974" w:rsidRDefault="00500295" w:rsidP="00500295">
      <w:pPr>
        <w:spacing w:after="0"/>
        <w:jc w:val="both"/>
        <w:rPr>
          <w:sz w:val="21"/>
          <w:szCs w:val="21"/>
        </w:rPr>
      </w:pPr>
    </w:p>
    <w:p w14:paraId="7C723A06" w14:textId="6AC72C5F" w:rsidR="7007116E" w:rsidRDefault="7007116E" w:rsidP="30AAD314">
      <w:pPr>
        <w:spacing w:after="0" w:line="360" w:lineRule="auto"/>
        <w:jc w:val="both"/>
        <w:rPr>
          <w:rFonts w:ascii="Arial" w:eastAsia="Arial" w:hAnsi="Arial" w:cs="Arial"/>
          <w:sz w:val="22"/>
        </w:rPr>
      </w:pPr>
      <w:r w:rsidRPr="30AAD314">
        <w:rPr>
          <w:rFonts w:ascii="Arial" w:eastAsia="Arial" w:hAnsi="Arial" w:cs="Arial"/>
          <w:sz w:val="22"/>
        </w:rPr>
        <w:t xml:space="preserve">Health and social care rely on a wide range of skilled professionals working together to provide safe, effective, and person-centred care. These include pharmacists, doctors, pharmacy technicians, nurses, </w:t>
      </w:r>
      <w:r w:rsidR="51A5E852" w:rsidRPr="30AAD314">
        <w:rPr>
          <w:rFonts w:ascii="Arial" w:eastAsia="Arial" w:hAnsi="Arial" w:cs="Arial"/>
          <w:sz w:val="22"/>
        </w:rPr>
        <w:t xml:space="preserve">[physiotherapist, social worker, support worker and others. </w:t>
      </w:r>
      <w:r w:rsidRPr="30AAD314">
        <w:rPr>
          <w:rFonts w:ascii="Arial" w:eastAsia="Arial" w:hAnsi="Arial" w:cs="Arial"/>
          <w:sz w:val="22"/>
        </w:rPr>
        <w:t>Pharmacy technicians play an essential role within healthcare teams by supporting the safe preparation, supply, and management of medicines while helping to improve patient outcomes (NHS, 2025). They work in a variety of settings, including hospitals, community pharmacies, GP practices, and other healthcare services (General Pharmaceutical Council, 2025). This report examines the role of a pharmacy technician, explains the key skills required to perform the role effectively, explores strategies for developing these skills, and concludes by highlighting their importance in delivering high-quality patient care.</w:t>
      </w:r>
    </w:p>
    <w:p w14:paraId="4CC61BC1" w14:textId="55FEF9DD" w:rsidR="00F36ADC" w:rsidRPr="00242974" w:rsidRDefault="00F36ADC" w:rsidP="0156E134">
      <w:pPr>
        <w:spacing w:after="0" w:line="240" w:lineRule="auto"/>
        <w:rPr>
          <w:sz w:val="22"/>
        </w:rPr>
      </w:pPr>
    </w:p>
    <w:p w14:paraId="64F36E68" w14:textId="643581D5" w:rsidR="3C659699" w:rsidRDefault="3C659699" w:rsidP="0CF501EC">
      <w:pPr>
        <w:pStyle w:val="Heading2"/>
        <w:rPr>
          <w:color w:val="4472C4" w:themeColor="accent1"/>
        </w:rPr>
      </w:pPr>
      <w:bookmarkStart w:id="1" w:name="_Toc126656086"/>
      <w:r w:rsidRPr="0CF501EC">
        <w:rPr>
          <w:color w:val="4471C4"/>
        </w:rPr>
        <w:t xml:space="preserve">2 </w:t>
      </w:r>
      <w:r w:rsidR="4CB34086" w:rsidRPr="30AAD314">
        <w:rPr>
          <w:color w:val="4471C4"/>
        </w:rPr>
        <w:t>Pharmacy Technician</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1376407" w:rsidR="008B0B22" w:rsidRPr="002976D4" w:rsidRDefault="5CF7C3DB" w:rsidP="0156E134">
      <w:pPr>
        <w:pStyle w:val="Heading2"/>
        <w:rPr>
          <w:color w:val="4472C4" w:themeColor="accent1"/>
        </w:rPr>
      </w:pPr>
      <w:bookmarkStart w:id="2" w:name="_Toc298136553"/>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EAE12B0" w:rsidRPr="30AAD314">
        <w:rPr>
          <w:color w:val="4471C4"/>
        </w:rPr>
        <w:t>Pharmacy Technician</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4F1C47B0" w14:textId="1D1F9CB1" w:rsidR="0156E134" w:rsidRDefault="0156E134" w:rsidP="0156E134">
      <w:pPr>
        <w:spacing w:after="0" w:line="240" w:lineRule="auto"/>
        <w:jc w:val="both"/>
        <w:rPr>
          <w:sz w:val="22"/>
        </w:rPr>
      </w:pPr>
    </w:p>
    <w:p w14:paraId="54765540" w14:textId="46C46E87" w:rsidR="00684A13" w:rsidRPr="00684A13" w:rsidRDefault="748E9E46" w:rsidP="30AAD314">
      <w:pPr>
        <w:spacing w:after="0" w:line="360" w:lineRule="auto"/>
        <w:jc w:val="both"/>
        <w:rPr>
          <w:rFonts w:ascii="Arial" w:eastAsia="Arial" w:hAnsi="Arial" w:cs="Arial"/>
          <w:sz w:val="22"/>
        </w:rPr>
      </w:pPr>
      <w:r w:rsidRPr="30AAD314">
        <w:rPr>
          <w:rFonts w:ascii="Arial" w:eastAsia="Arial" w:hAnsi="Arial" w:cs="Arial"/>
          <w:sz w:val="22"/>
        </w:rPr>
        <w:t xml:space="preserve">Pharmacy technicians play a vital role in the health and social care sector by ensuring that medicines are prepared, supplied, and managed safely and accurately. </w:t>
      </w:r>
      <w:r w:rsidR="00F65918" w:rsidRPr="30AAD314">
        <w:rPr>
          <w:rFonts w:ascii="Arial" w:eastAsia="Arial" w:hAnsi="Arial" w:cs="Arial"/>
          <w:sz w:val="22"/>
        </w:rPr>
        <w:t>The</w:t>
      </w:r>
      <w:r w:rsidR="6FFF092F" w:rsidRPr="30AAD314">
        <w:rPr>
          <w:rFonts w:ascii="Arial" w:eastAsia="Arial" w:hAnsi="Arial" w:cs="Arial"/>
          <w:sz w:val="22"/>
        </w:rPr>
        <w:t>y remain si</w:t>
      </w:r>
      <w:r w:rsidR="00F65918" w:rsidRPr="30AAD314">
        <w:rPr>
          <w:rFonts w:ascii="Arial" w:eastAsia="Arial" w:hAnsi="Arial" w:cs="Arial"/>
          <w:sz w:val="22"/>
        </w:rPr>
        <w:t>gnificant due to their ability to enhance medication safety, streamline workflows, and improve patient care</w:t>
      </w:r>
      <w:r w:rsidR="00DC56EE" w:rsidRPr="30AAD314">
        <w:rPr>
          <w:rFonts w:ascii="Arial" w:eastAsia="Arial" w:hAnsi="Arial" w:cs="Arial"/>
          <w:sz w:val="22"/>
        </w:rPr>
        <w:t>. Their work supports pharmacists and other healthcare professionals in delivering effective patient care while reducing the risk of medication errors (NHS, 2025</w:t>
      </w:r>
      <w:r w:rsidR="0CAF99F7" w:rsidRPr="30AAD314">
        <w:rPr>
          <w:rFonts w:ascii="Arial" w:eastAsia="Arial" w:hAnsi="Arial" w:cs="Arial"/>
          <w:sz w:val="22"/>
        </w:rPr>
        <w:t>)</w:t>
      </w:r>
      <w:r w:rsidR="62B5CFB2" w:rsidRPr="30AAD314">
        <w:rPr>
          <w:rFonts w:ascii="Arial" w:eastAsia="Arial" w:hAnsi="Arial" w:cs="Arial"/>
          <w:sz w:val="22"/>
        </w:rPr>
        <w:t>.</w:t>
      </w:r>
      <w:r w:rsidR="00DC56EE" w:rsidRPr="30AAD314">
        <w:rPr>
          <w:rFonts w:ascii="Arial" w:eastAsia="Arial" w:hAnsi="Arial" w:cs="Arial"/>
          <w:sz w:val="22"/>
        </w:rPr>
        <w:t xml:space="preserve"> </w:t>
      </w:r>
      <w:r w:rsidR="3E95AA83" w:rsidRPr="30AAD314">
        <w:rPr>
          <w:rFonts w:ascii="Arial" w:eastAsia="Arial" w:hAnsi="Arial" w:cs="Arial"/>
          <w:sz w:val="22"/>
        </w:rPr>
        <w:t>Their responsibilities include dispensing prescriptions, checking stock levels, preparing medicines, maintaining accurate patient records, supporting medicines optimisation, and providing advice on the safe use of medicines within the limits of their role</w:t>
      </w:r>
      <w:r w:rsidR="00D8676E" w:rsidRPr="30AAD314">
        <w:rPr>
          <w:rFonts w:ascii="Arial" w:eastAsia="Arial" w:hAnsi="Arial" w:cs="Arial"/>
          <w:sz w:val="22"/>
        </w:rPr>
        <w:t xml:space="preserve"> </w:t>
      </w:r>
      <w:r w:rsidR="09C0B341" w:rsidRPr="30AAD314">
        <w:rPr>
          <w:rFonts w:ascii="Arial" w:eastAsia="Arial" w:hAnsi="Arial" w:cs="Arial"/>
          <w:sz w:val="22"/>
        </w:rPr>
        <w:t>(General Pharmace</w:t>
      </w:r>
      <w:r w:rsidR="09C0B341" w:rsidRPr="30AAD314">
        <w:rPr>
          <w:rFonts w:ascii="Arial" w:eastAsia="Arial" w:hAnsi="Arial" w:cs="Arial"/>
          <w:sz w:val="22"/>
        </w:rPr>
        <w:lastRenderedPageBreak/>
        <w:t xml:space="preserve">utical Council, 2025). </w:t>
      </w:r>
      <w:r w:rsidR="05566F2E" w:rsidRPr="30AAD314">
        <w:rPr>
          <w:rFonts w:ascii="Arial" w:eastAsia="Arial" w:hAnsi="Arial" w:cs="Arial"/>
          <w:sz w:val="22"/>
        </w:rPr>
        <w:t>The</w:t>
      </w:r>
      <w:r w:rsidR="1B42BCE1" w:rsidRPr="30AAD314">
        <w:rPr>
          <w:rFonts w:ascii="Arial" w:eastAsia="Arial" w:hAnsi="Arial" w:cs="Arial"/>
          <w:sz w:val="22"/>
        </w:rPr>
        <w:t>ir</w:t>
      </w:r>
      <w:r w:rsidR="05566F2E" w:rsidRPr="30AAD314">
        <w:rPr>
          <w:rFonts w:ascii="Arial" w:eastAsia="Arial" w:hAnsi="Arial" w:cs="Arial"/>
          <w:sz w:val="22"/>
        </w:rPr>
        <w:t xml:space="preserve"> duty </w:t>
      </w:r>
      <w:r w:rsidR="170AFA7B" w:rsidRPr="30AAD314">
        <w:rPr>
          <w:rFonts w:ascii="Arial" w:eastAsia="Arial" w:hAnsi="Arial" w:cs="Arial"/>
          <w:sz w:val="22"/>
        </w:rPr>
        <w:t>aims</w:t>
      </w:r>
      <w:r w:rsidR="05566F2E" w:rsidRPr="30AAD314">
        <w:rPr>
          <w:rFonts w:ascii="Arial" w:eastAsia="Arial" w:hAnsi="Arial" w:cs="Arial"/>
          <w:sz w:val="22"/>
        </w:rPr>
        <w:t xml:space="preserve"> to </w:t>
      </w:r>
      <w:r w:rsidR="00D8676E" w:rsidRPr="30AAD314">
        <w:rPr>
          <w:rFonts w:ascii="Arial" w:eastAsia="Arial" w:hAnsi="Arial" w:cs="Arial"/>
          <w:sz w:val="22"/>
        </w:rPr>
        <w:t xml:space="preserve">help patients achieve the best outcomes from their </w:t>
      </w:r>
      <w:r w:rsidR="5938FBA7" w:rsidRPr="30AAD314">
        <w:rPr>
          <w:rFonts w:ascii="Arial" w:eastAsia="Arial" w:hAnsi="Arial" w:cs="Arial"/>
          <w:sz w:val="22"/>
        </w:rPr>
        <w:t>treatments and</w:t>
      </w:r>
      <w:r w:rsidR="00D8676E" w:rsidRPr="30AAD314">
        <w:rPr>
          <w:rFonts w:ascii="Arial" w:eastAsia="Arial" w:hAnsi="Arial" w:cs="Arial"/>
          <w:sz w:val="22"/>
        </w:rPr>
        <w:t xml:space="preserve"> providing essential information to patients and other healthcare professionals</w:t>
      </w:r>
      <w:r w:rsidR="00FE200A" w:rsidRPr="30AAD314">
        <w:rPr>
          <w:rFonts w:ascii="Arial" w:eastAsia="Arial" w:hAnsi="Arial" w:cs="Arial"/>
          <w:sz w:val="22"/>
        </w:rPr>
        <w:t xml:space="preserve"> (Skills England, 2026).</w:t>
      </w:r>
      <w:r w:rsidR="4E29202B" w:rsidRPr="30AAD314">
        <w:rPr>
          <w:rFonts w:ascii="Arial" w:eastAsia="Arial" w:hAnsi="Arial" w:cs="Arial"/>
          <w:sz w:val="22"/>
        </w:rPr>
        <w:t xml:space="preserve"> </w:t>
      </w:r>
    </w:p>
    <w:p w14:paraId="3AE30DFC" w14:textId="77777777" w:rsidR="009569D2" w:rsidRDefault="009569D2" w:rsidP="006068A8">
      <w:pPr>
        <w:jc w:val="both"/>
        <w:rPr>
          <w:sz w:val="22"/>
        </w:rPr>
      </w:pPr>
    </w:p>
    <w:p w14:paraId="689B4307" w14:textId="31CB452A" w:rsidR="00684A13" w:rsidRPr="00684A13" w:rsidRDefault="48942F29" w:rsidP="30AAD314">
      <w:pPr>
        <w:spacing w:after="0" w:line="360" w:lineRule="auto"/>
        <w:jc w:val="both"/>
        <w:rPr>
          <w:rFonts w:ascii="Arial" w:eastAsia="Arial" w:hAnsi="Arial" w:cs="Arial"/>
          <w:sz w:val="22"/>
        </w:rPr>
      </w:pPr>
      <w:r w:rsidRPr="30AAD314">
        <w:rPr>
          <w:rFonts w:ascii="Arial" w:eastAsia="Arial" w:hAnsi="Arial" w:cs="Arial"/>
          <w:sz w:val="22"/>
        </w:rPr>
        <w:t>Some key skills needed to perform the role</w:t>
      </w:r>
      <w:r w:rsidR="007A0517" w:rsidRPr="30AAD314">
        <w:rPr>
          <w:rFonts w:ascii="Arial" w:eastAsia="Arial" w:hAnsi="Arial" w:cs="Arial"/>
          <w:sz w:val="22"/>
        </w:rPr>
        <w:t xml:space="preserve"> include Communication skills, Teamwork, Professionalism, Organisational skills, </w:t>
      </w:r>
      <w:r w:rsidR="0001362B" w:rsidRPr="30AAD314">
        <w:rPr>
          <w:rFonts w:ascii="Arial" w:eastAsia="Arial" w:hAnsi="Arial" w:cs="Arial"/>
          <w:sz w:val="22"/>
        </w:rPr>
        <w:t>and ability to maintain confidentia</w:t>
      </w:r>
      <w:r w:rsidR="001F39F6" w:rsidRPr="30AAD314">
        <w:rPr>
          <w:rFonts w:ascii="Arial" w:eastAsia="Arial" w:hAnsi="Arial" w:cs="Arial"/>
          <w:sz w:val="22"/>
        </w:rPr>
        <w:t>lit</w:t>
      </w:r>
      <w:r w:rsidR="0001362B" w:rsidRPr="30AAD314">
        <w:rPr>
          <w:rFonts w:ascii="Arial" w:eastAsia="Arial" w:hAnsi="Arial" w:cs="Arial"/>
          <w:sz w:val="22"/>
        </w:rPr>
        <w:t xml:space="preserve">y and </w:t>
      </w:r>
      <w:r w:rsidR="001F39F6" w:rsidRPr="30AAD314">
        <w:rPr>
          <w:rFonts w:ascii="Arial" w:eastAsia="Arial" w:hAnsi="Arial" w:cs="Arial"/>
          <w:sz w:val="22"/>
        </w:rPr>
        <w:t>privacy (NHS Careers, 2026).</w:t>
      </w:r>
      <w:r w:rsidR="424848AC" w:rsidRPr="30AAD314">
        <w:rPr>
          <w:rFonts w:ascii="Arial" w:eastAsia="Arial" w:hAnsi="Arial" w:cs="Arial"/>
          <w:sz w:val="22"/>
        </w:rPr>
        <w:t xml:space="preserve"> Effective communication skills enable pharmacy technicians to work collaboratively with pharmacists, doctors, nurses, and patients while providing clear information about medicines. They must also demonstrate professionalism by following legal, ethical, and regulatory standards, maintaining patient confidentiality, and acting in the best interests of patients. These skills contribute to safe, person-centred care and help improve </w:t>
      </w:r>
      <w:r w:rsidR="10EDCF7F" w:rsidRPr="30AAD314">
        <w:rPr>
          <w:rFonts w:ascii="Arial" w:eastAsia="Arial" w:hAnsi="Arial" w:cs="Arial"/>
          <w:sz w:val="22"/>
        </w:rPr>
        <w:t>overall patient</w:t>
      </w:r>
      <w:r w:rsidR="424848AC" w:rsidRPr="30AAD314">
        <w:rPr>
          <w:rFonts w:ascii="Arial" w:eastAsia="Arial" w:hAnsi="Arial" w:cs="Arial"/>
          <w:sz w:val="22"/>
        </w:rPr>
        <w:t xml:space="preserve"> outcomes (National Careers Service, 2025; NHS, 2025).</w:t>
      </w:r>
    </w:p>
    <w:p w14:paraId="1CB8B0F1" w14:textId="34C40497" w:rsidR="0156E134" w:rsidRDefault="0156E134" w:rsidP="0156E134">
      <w:pPr>
        <w:spacing w:after="0" w:line="240" w:lineRule="auto"/>
        <w:jc w:val="both"/>
        <w:rPr>
          <w:sz w:val="22"/>
        </w:rPr>
      </w:pPr>
    </w:p>
    <w:p w14:paraId="4010C35E" w14:textId="26AEB70D" w:rsidR="00EC7EBE" w:rsidRPr="002976D4" w:rsidRDefault="04019B15" w:rsidP="0CF501EC">
      <w:pPr>
        <w:pStyle w:val="Heading2"/>
        <w:rPr>
          <w:color w:val="4472C4" w:themeColor="accent1"/>
        </w:rPr>
      </w:pPr>
      <w:bookmarkStart w:id="3" w:name="_Toc1800280758"/>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61F05EDA" w:rsidRPr="30AAD314">
        <w:rPr>
          <w:color w:val="4471C4"/>
        </w:rPr>
        <w:t>Pharmacy Technician</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1A6DB046" w14:textId="2865CD6A" w:rsidR="30AAD314" w:rsidRDefault="30AAD314" w:rsidP="30AAD314">
      <w:pPr>
        <w:spacing w:after="0" w:line="360" w:lineRule="auto"/>
        <w:jc w:val="both"/>
        <w:rPr>
          <w:rFonts w:ascii="Arial" w:eastAsia="Arial" w:hAnsi="Arial" w:cs="Arial"/>
          <w:sz w:val="22"/>
        </w:rPr>
      </w:pPr>
    </w:p>
    <w:p w14:paraId="2418A1E2" w14:textId="70F3725E" w:rsidR="00C85A7C" w:rsidRPr="00242974" w:rsidRDefault="1D222659" w:rsidP="30AAD314">
      <w:pPr>
        <w:spacing w:after="0" w:line="360" w:lineRule="auto"/>
        <w:jc w:val="both"/>
        <w:rPr>
          <w:rFonts w:ascii="Arial" w:eastAsia="Arial" w:hAnsi="Arial" w:cs="Arial"/>
          <w:sz w:val="22"/>
        </w:rPr>
      </w:pPr>
      <w:r w:rsidRPr="30AAD314">
        <w:rPr>
          <w:rFonts w:ascii="Arial" w:eastAsia="Arial" w:hAnsi="Arial" w:cs="Arial"/>
          <w:sz w:val="22"/>
        </w:rPr>
        <w:t>Attention to detail is one of the most important skills required of a pharmacy technician because it helps ensure that medicines are supplied safely and accurately. Pharmacy technicians are responsible for checking prescriptions, preparing medications, confirming dosages, and maintaining accurate records. Even a small mistake, such as selecting the wrong medicine or strength, could have serious consequences for a patient's health. For example, if a patient is dispensed the wrong dosage of medication due to an error during the check</w:t>
      </w:r>
      <w:r w:rsidRPr="30AAD314">
        <w:rPr>
          <w:rFonts w:ascii="Arial" w:eastAsia="Arial" w:hAnsi="Arial" w:cs="Arial"/>
          <w:sz w:val="22"/>
        </w:rPr>
        <w:lastRenderedPageBreak/>
        <w:t>ing process, they could experience harmful side effects or fail to receive the treatment they need. The NHS (2025) and the National Careers Service (2025) highlight accuracy and attention to detail as essential qualities for pharmacy technicians because these skills reduce medication errors and support safe patient care.</w:t>
      </w:r>
    </w:p>
    <w:p w14:paraId="4EA5A878" w14:textId="443964B0" w:rsidR="00C85A7C" w:rsidRPr="00242974" w:rsidRDefault="1D222659" w:rsidP="30AAD314">
      <w:pPr>
        <w:spacing w:after="0" w:line="360" w:lineRule="auto"/>
        <w:jc w:val="both"/>
        <w:rPr>
          <w:rFonts w:ascii="Arial" w:eastAsia="Arial" w:hAnsi="Arial" w:cs="Arial"/>
          <w:sz w:val="22"/>
        </w:rPr>
      </w:pPr>
      <w:r w:rsidRPr="30AAD314">
        <w:rPr>
          <w:rFonts w:ascii="Arial" w:eastAsia="Arial" w:hAnsi="Arial" w:cs="Arial"/>
          <w:sz w:val="22"/>
        </w:rPr>
        <w:t>Effective communication is another essential skill because pharmacy technicians work closely with patients and other healthcare professionals every day. They must communicate clearly when explaining how medicines should be taken, answering questions within their scope of practice, and discussing prescriptions with pharmacists, doctors, and nurses. Good communication also involves listening carefully to patients so that concerns or potential medication issues can be identified and referred appropriately. For example, a pharmacy technician may recognise that a patient is confused about when to take their medication and provide clear instructions or seek support from the pharmacist. The NHS (2025) explains that strong communication skills help pharmacy staff provide safe, person-centred care while promoting patient understanding and adherence to treatment.</w:t>
      </w:r>
    </w:p>
    <w:p w14:paraId="333472D6" w14:textId="74A0D536" w:rsidR="00C85A7C" w:rsidRPr="00242974" w:rsidRDefault="1D222659" w:rsidP="30AAD314">
      <w:pPr>
        <w:spacing w:after="0" w:line="360" w:lineRule="auto"/>
        <w:jc w:val="both"/>
        <w:rPr>
          <w:rFonts w:ascii="Arial" w:eastAsia="Arial" w:hAnsi="Arial" w:cs="Arial"/>
          <w:sz w:val="22"/>
        </w:rPr>
      </w:pPr>
      <w:r w:rsidRPr="30AAD314">
        <w:rPr>
          <w:rFonts w:ascii="Arial" w:eastAsia="Arial" w:hAnsi="Arial" w:cs="Arial"/>
          <w:sz w:val="22"/>
        </w:rPr>
        <w:t>Teamwork is equally important because pharmacy technicians work as part of multidisciplinary healthcare teams. They regularly collaborate with pharmacists, dispensing assistants, doctors, nurses, and other healthcare professionals to ensure patients receive appropriate medicines at the correct time. Effective teamwork supports efficient workflows, reduces the likelihood of errors, and improves the quality of patient care. For instance, when preparing discharge medication for a hospital patient, a pharmacy technician works with pharmacists and ward staff to ensure the medicines are accurate and available before the patient leaves hospital. According to the General Pharmaceutical Council (2025), pharmacy technicians must work collaboratively while maintaining professional standards to protect patient safety and deliver effective healthcare services.</w:t>
      </w:r>
    </w:p>
    <w:p w14:paraId="11B1A059" w14:textId="182C6756" w:rsidR="00C85A7C" w:rsidRPr="00242974" w:rsidRDefault="1D222659" w:rsidP="30AAD314">
      <w:pPr>
        <w:spacing w:after="0" w:line="360" w:lineRule="auto"/>
        <w:jc w:val="both"/>
        <w:rPr>
          <w:rFonts w:ascii="Arial" w:eastAsia="Arial" w:hAnsi="Arial" w:cs="Arial"/>
          <w:sz w:val="22"/>
        </w:rPr>
      </w:pPr>
      <w:r w:rsidRPr="30AAD314">
        <w:rPr>
          <w:rFonts w:ascii="Arial" w:eastAsia="Arial" w:hAnsi="Arial" w:cs="Arial"/>
          <w:sz w:val="22"/>
        </w:rPr>
        <w:t>When pharmacy technicians do not demonstrate attention to detail, communication, or teamwork, patient safety and the quality of care may be compromised. Inaccurate dispensing can result in medication errors, poor communication may cause patients to misunderstand how to use their medicines, and ineffective teamwork can delay treatment or create confusion among healthcare professionals. These issues may lead to avoidable harm, reduced patient confidence, and increased pressure on healthcare services. For this reason, professional standards require pharmacy technicians to maintain competence, communicate effectively, and work collaboratively to provide safe, effective, and person-centred care (General Pharmaceutical Council, 2025; NHS, 2025).</w:t>
      </w:r>
    </w:p>
    <w:p w14:paraId="7338813D" w14:textId="62BDE1DA" w:rsidR="00C85A7C" w:rsidRPr="00242974" w:rsidRDefault="00C85A7C" w:rsidP="00C85A7C">
      <w:pPr>
        <w:spacing w:after="0" w:line="240" w:lineRule="auto"/>
        <w:jc w:val="both"/>
        <w:rPr>
          <w:sz w:val="21"/>
          <w:szCs w:val="21"/>
        </w:rPr>
      </w:pPr>
    </w:p>
    <w:p w14:paraId="2CAEA1EC" w14:textId="60A279A8" w:rsidR="002370CE" w:rsidRPr="002976D4" w:rsidRDefault="1F09BC6E" w:rsidP="0CF501EC">
      <w:pPr>
        <w:pStyle w:val="Heading2"/>
        <w:rPr>
          <w:color w:val="4472C4" w:themeColor="accent1"/>
        </w:rPr>
      </w:pPr>
      <w:bookmarkStart w:id="4" w:name="_Toc135877164"/>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3A6EB926" w:rsidRPr="30AAD314">
        <w:rPr>
          <w:color w:val="4471C4"/>
        </w:rPr>
        <w:t>Pharmacy Technician</w:t>
      </w:r>
      <w:bookmarkEnd w:id="4"/>
    </w:p>
    <w:p w14:paraId="01C49510" w14:textId="4B77A208" w:rsidR="002370CE" w:rsidRPr="002976D4" w:rsidRDefault="0C5D0C5C" w:rsidP="0156E134">
      <w:pPr>
        <w:pStyle w:val="Heading2"/>
        <w:rPr>
          <w:color w:val="4472C4" w:themeColor="accent1"/>
        </w:rPr>
      </w:pPr>
      <w:bookmarkStart w:id="5" w:name="_Toc15344006"/>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600BE357" w:rsidRPr="30AAD314">
        <w:rPr>
          <w:color w:val="4471C4"/>
        </w:rPr>
        <w:t>Pharmacy Technician</w:t>
      </w:r>
      <w:bookmarkEnd w:id="5"/>
    </w:p>
    <w:p w14:paraId="32D18F51" w14:textId="17873AFF" w:rsidR="0156E134" w:rsidRDefault="0156E134" w:rsidP="30AAD314">
      <w:pPr>
        <w:spacing w:after="0"/>
        <w:rPr>
          <w:sz w:val="22"/>
        </w:rPr>
      </w:pPr>
    </w:p>
    <w:p w14:paraId="204EA4DB" w14:textId="731B7335" w:rsidR="0156E134" w:rsidRDefault="4B818D54" w:rsidP="30AAD314">
      <w:pPr>
        <w:spacing w:after="0" w:line="360" w:lineRule="auto"/>
      </w:pPr>
      <w:r w:rsidRPr="30AAD314">
        <w:rPr>
          <w:rFonts w:ascii="Arial" w:eastAsia="Arial" w:hAnsi="Arial" w:cs="Arial"/>
          <w:sz w:val="22"/>
        </w:rPr>
        <w:t xml:space="preserve">Continuing professional development (CPD) is an effective strategy for improving attention to detail because it enables pharmacy technicians to maintain their competence, update their knowledge, and reflect on their practice. Regular training helps practitioners recognise potential medication errors and maintain safe dispensing standards (Flornoy-Guédon et al., 2024). </w:t>
      </w:r>
      <w:r w:rsidR="6E78C685" w:rsidRPr="30AAD314">
        <w:rPr>
          <w:rFonts w:ascii="Arial" w:eastAsia="Arial" w:hAnsi="Arial" w:cs="Arial"/>
          <w:sz w:val="22"/>
        </w:rPr>
        <w:t>CPD activities may include attending training courses, completing online learning modules, participating in workshops, or reflecting on professional practice. For example, a pharmacy technician who completes additional training on medication safety and dispensing procedures is more likely to identify potential prescribing or dispensing errors before medicines reach the patient. The General Pharmaceutical Council (2025) emphasises that ongoing professional development is essential for maintaining competence and protecting patient safety.</w:t>
      </w:r>
    </w:p>
    <w:p w14:paraId="483D1CBE" w14:textId="3EA5CD14" w:rsidR="0156E134" w:rsidRDefault="35FAB8E6" w:rsidP="30AAD314">
      <w:pPr>
        <w:spacing w:after="0" w:line="360" w:lineRule="auto"/>
      </w:pPr>
      <w:r w:rsidRPr="30AAD314">
        <w:rPr>
          <w:rFonts w:ascii="Arial" w:eastAsia="Arial" w:hAnsi="Arial" w:cs="Arial"/>
          <w:sz w:val="22"/>
        </w:rPr>
        <w:t>Simulation-based training and role-play are valuable strategies for developing communication skills. These approaches allow pharmacy technicians to practise speaking with patients and collaborating with colleagues in realistic situations without putting patient safety at risk. Research has shown that simulation improves communication skills, confidence, and collaborative practice before learners enter real clinical environments (Kostoff</w:t>
      </w:r>
      <w:r w:rsidR="2656C3C3" w:rsidRPr="30AAD314">
        <w:rPr>
          <w:rFonts w:ascii="Arial" w:eastAsia="Arial" w:hAnsi="Arial" w:cs="Arial"/>
          <w:sz w:val="22"/>
        </w:rPr>
        <w:t>, 2016).</w:t>
      </w:r>
      <w:r w:rsidRPr="30AAD314">
        <w:rPr>
          <w:rFonts w:ascii="Arial" w:eastAsia="Arial" w:hAnsi="Arial" w:cs="Arial"/>
          <w:sz w:val="22"/>
        </w:rPr>
        <w:t xml:space="preserve"> During role-play activities, pharmacy technicians can improve their ability to explain medication instructions clearly, respond to patient concerns, and communicate effectively with pharmacists and other healthcare professionals. For example, practising conversations with patients who have limited understanding of their medicines helps pharmacy technicians build confidence and improve the clarity of their communication. Research has shown that simulation-based learning strengthens communication skills and prepares healthcare professionals for real clinical situations.</w:t>
      </w:r>
    </w:p>
    <w:p w14:paraId="4C2D4491" w14:textId="0BCDB232" w:rsidR="0156E134" w:rsidRDefault="7447B573" w:rsidP="30AAD314">
      <w:pPr>
        <w:spacing w:after="0" w:line="360" w:lineRule="auto"/>
      </w:pPr>
      <w:r w:rsidRPr="30AAD314">
        <w:rPr>
          <w:rFonts w:ascii="Arial" w:eastAsia="Arial" w:hAnsi="Arial" w:cs="Arial"/>
          <w:sz w:val="22"/>
        </w:rPr>
        <w:t>Participating in multidisciplinary team meetings and collaborative workplace learning is an effective way to strengthen teamwork skills. Working alongside pharmacists, doctors, nurses, and other healthcare professionals enables pharmacy technicians to understand each team member's responsibilities while improving cooperation and problem-solving.</w:t>
      </w:r>
      <w:r w:rsidR="25AE7F36" w:rsidRPr="30AAD314">
        <w:rPr>
          <w:rFonts w:ascii="Arial" w:eastAsia="Arial" w:hAnsi="Arial" w:cs="Arial"/>
          <w:sz w:val="22"/>
        </w:rPr>
        <w:t xml:space="preserve"> Studies have shown that interprofessional education enhances teamwork and patient safety (Vyas, 2012).</w:t>
      </w:r>
      <w:r w:rsidRPr="30AAD314">
        <w:rPr>
          <w:rFonts w:ascii="Arial" w:eastAsia="Arial" w:hAnsi="Arial" w:cs="Arial"/>
          <w:sz w:val="22"/>
        </w:rPr>
        <w:t xml:space="preserve"> Regular team discussions encourage the sharing of information, promote mutual respect, and support coordinated patient care. For instance, participating in hospital ward meetings allows pharmacy technicians to communicate medication-related concerns, contribute to discharge planning, and ensure that patients receive appropriate medicines before leaving hospital. The NHS (2025) highlights the importance of collaborative working in delivering safe and effective healthcare services.</w:t>
      </w:r>
    </w:p>
    <w:p w14:paraId="20BF72A7" w14:textId="05545F8A" w:rsidR="0156E134" w:rsidRDefault="7447B573" w:rsidP="30AAD314">
      <w:pPr>
        <w:spacing w:after="0" w:line="360" w:lineRule="auto"/>
      </w:pPr>
      <w:r w:rsidRPr="30AAD314">
        <w:rPr>
          <w:rFonts w:ascii="Arial" w:eastAsia="Arial" w:hAnsi="Arial" w:cs="Arial"/>
          <w:sz w:val="22"/>
        </w:rPr>
        <w:t xml:space="preserve">Overall, </w:t>
      </w:r>
      <w:r w:rsidR="1C21BC8E" w:rsidRPr="30AAD314">
        <w:rPr>
          <w:rFonts w:ascii="Arial" w:eastAsia="Arial" w:hAnsi="Arial" w:cs="Arial"/>
          <w:sz w:val="22"/>
        </w:rPr>
        <w:t xml:space="preserve">developing these skills </w:t>
      </w:r>
      <w:r w:rsidRPr="30AAD314">
        <w:rPr>
          <w:rFonts w:ascii="Arial" w:eastAsia="Arial" w:hAnsi="Arial" w:cs="Arial"/>
          <w:sz w:val="22"/>
        </w:rPr>
        <w:t>enables pharmacy technicians to provide safer and more effective patient care. Continuous professional development, simulation-based communication training, and collaborative workplace learning all contribute to improved professional competence and confidence. As pharmacy practice continues to evolve, engaging in lifelong learning and working effectively with others helps pharmacy technicians meet professional standards, reduce medication errors, and deliver high-quality, person-centred care.</w:t>
      </w:r>
    </w:p>
    <w:p w14:paraId="58A1B501" w14:textId="6680ED45" w:rsidR="0156E134" w:rsidRDefault="0156E134" w:rsidP="30AAD314">
      <w:pPr>
        <w:spacing w:after="0" w:line="360" w:lineRule="auto"/>
        <w:rPr>
          <w:rFonts w:ascii="Arial" w:eastAsia="Arial" w:hAnsi="Arial" w:cs="Arial"/>
          <w:sz w:val="22"/>
        </w:rPr>
      </w:pPr>
    </w:p>
    <w:p w14:paraId="288A0877" w14:textId="7A37D4F5" w:rsidR="00F1720B" w:rsidRPr="00242974" w:rsidRDefault="5617AA6E" w:rsidP="30AAD314">
      <w:pPr>
        <w:pStyle w:val="Heading2"/>
        <w:spacing w:line="360" w:lineRule="auto"/>
        <w:rPr>
          <w:rFonts w:ascii="Arial" w:eastAsia="Arial" w:hAnsi="Arial" w:cs="Arial"/>
          <w:color w:val="4472C4" w:themeColor="accent1"/>
          <w:sz w:val="22"/>
          <w:szCs w:val="22"/>
        </w:rPr>
      </w:pPr>
      <w:bookmarkStart w:id="6" w:name="_Toc553961778"/>
      <w:r w:rsidRPr="0CF501EC">
        <w:rPr>
          <w:color w:val="4471C4"/>
        </w:rPr>
        <w:t>4</w:t>
      </w:r>
      <w:r w:rsidR="00A946CB" w:rsidRPr="0CF501EC">
        <w:rPr>
          <w:color w:val="4471C4"/>
        </w:rPr>
        <w:t xml:space="preserve"> Conclusion</w:t>
      </w:r>
      <w:bookmarkEnd w:id="6"/>
    </w:p>
    <w:p w14:paraId="1B568993" w14:textId="464E26DD" w:rsidR="46C19903" w:rsidRDefault="46C19903" w:rsidP="30AAD314">
      <w:pPr>
        <w:spacing w:after="0" w:line="360" w:lineRule="auto"/>
        <w:rPr>
          <w:rFonts w:ascii="Arial" w:eastAsia="Arial" w:hAnsi="Arial" w:cs="Arial"/>
          <w:sz w:val="22"/>
        </w:rPr>
      </w:pPr>
      <w:r w:rsidRPr="30AAD314">
        <w:rPr>
          <w:rFonts w:ascii="Arial" w:eastAsia="Arial" w:hAnsi="Arial" w:cs="Arial"/>
          <w:sz w:val="22"/>
        </w:rPr>
        <w:t>Pharmacy technicians play a vital role in delivering safe, effective, and person-centred care through the accurate preparation and management of medicines. This report has highlighted the importance of attention to detail, communication, and teamwork in supporting patient safety and improving health outcomes. It has also explained how continuing professional development, simulation-based training, and collaborative learning can strengthen these essential skills. Developing and maintaining these competencies enables pharmacy technicians to meet professional standards and contribute to high-quality healthcare within multidisciplinary teams.</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bookmarkStart w:id="8" w:name="_Toc2014722589"/>
      <w:r w:rsidRPr="0CF501EC">
        <w:rPr>
          <w:color w:val="4471C4"/>
        </w:rPr>
        <w:t>5 Reference List</w:t>
      </w:r>
      <w:bookmarkEnd w:id="7"/>
      <w:bookmarkEnd w:id="8"/>
    </w:p>
    <w:p w14:paraId="10B73368" w14:textId="5FA70C1D" w:rsidR="30AAD314" w:rsidRDefault="30AAD314" w:rsidP="30AAD314">
      <w:pPr>
        <w:spacing w:after="0" w:line="240" w:lineRule="auto"/>
        <w:rPr>
          <w:sz w:val="22"/>
        </w:rPr>
      </w:pPr>
    </w:p>
    <w:p w14:paraId="0FF266C1" w14:textId="4EFD6095" w:rsidR="20DDA878" w:rsidRDefault="20DDA878" w:rsidP="30AAD314">
      <w:pPr>
        <w:spacing w:after="0" w:line="360" w:lineRule="auto"/>
        <w:rPr>
          <w:rFonts w:ascii="Arial" w:eastAsia="Arial" w:hAnsi="Arial" w:cs="Arial"/>
          <w:sz w:val="22"/>
        </w:rPr>
      </w:pPr>
      <w:r w:rsidRPr="30AAD314">
        <w:rPr>
          <w:rFonts w:ascii="Arial" w:eastAsia="Arial" w:hAnsi="Arial" w:cs="Arial"/>
          <w:sz w:val="22"/>
        </w:rPr>
        <w:t xml:space="preserve">Flornoy-Guédon, A., Fonzo-Christe, C., Meier, E., Gazengel-Marchand, M., Francois, O., Gschwind, L. and Bonnabry, P. (2024) ‘Development and evaluation of a blended learning training programme for pharmacy technicians’ continuing education’, European Journal of Hospital Pharmacy, 31(5), pp. 403–408. Available at: </w:t>
      </w:r>
      <w:hyperlink r:id="rId9">
        <w:r w:rsidRPr="30AAD314">
          <w:rPr>
            <w:rStyle w:val="Hyperlink"/>
            <w:rFonts w:ascii="Arial" w:eastAsia="Arial" w:hAnsi="Arial" w:cs="Arial"/>
            <w:sz w:val="22"/>
          </w:rPr>
          <w:t>https://doi.org/10.1136/ejhpharm-2022-003679</w:t>
        </w:r>
      </w:hyperlink>
      <w:r w:rsidRPr="30AAD314">
        <w:rPr>
          <w:rFonts w:ascii="Arial" w:eastAsia="Arial" w:hAnsi="Arial" w:cs="Arial"/>
          <w:sz w:val="22"/>
        </w:rPr>
        <w:t xml:space="preserve"> . </w:t>
      </w:r>
    </w:p>
    <w:p w14:paraId="791018EC" w14:textId="2BE51D07" w:rsidR="20DDA878" w:rsidRDefault="20DDA878" w:rsidP="30AAD314">
      <w:pPr>
        <w:spacing w:line="360" w:lineRule="auto"/>
      </w:pPr>
      <w:r w:rsidRPr="30AAD314">
        <w:rPr>
          <w:rFonts w:ascii="Arial" w:eastAsia="Arial" w:hAnsi="Arial" w:cs="Arial"/>
          <w:sz w:val="22"/>
        </w:rPr>
        <w:t xml:space="preserve">General Pharmaceutical Council (GPhC). (2025). </w:t>
      </w:r>
      <w:r w:rsidRPr="30AAD314">
        <w:rPr>
          <w:rFonts w:ascii="Arial" w:eastAsia="Arial" w:hAnsi="Arial" w:cs="Arial"/>
          <w:i/>
          <w:iCs/>
          <w:sz w:val="22"/>
        </w:rPr>
        <w:t>Pharmacy technician education and training</w:t>
      </w:r>
      <w:r w:rsidRPr="30AAD314">
        <w:rPr>
          <w:rFonts w:ascii="Arial" w:eastAsia="Arial" w:hAnsi="Arial" w:cs="Arial"/>
          <w:sz w:val="22"/>
        </w:rPr>
        <w:t xml:space="preserve">. </w:t>
      </w:r>
      <w:hyperlink r:id="rId10">
        <w:r w:rsidRPr="30AAD314">
          <w:rPr>
            <w:rStyle w:val="Hyperlink"/>
            <w:rFonts w:ascii="Arial" w:eastAsia="Arial" w:hAnsi="Arial" w:cs="Arial"/>
            <w:sz w:val="22"/>
          </w:rPr>
          <w:t>https://www.pharmacyregulation.org/students-and-trainees/pharmacy-technician-education-and-training</w:t>
        </w:r>
      </w:hyperlink>
    </w:p>
    <w:p w14:paraId="49B84264" w14:textId="0BEE257E" w:rsidR="20DDA878" w:rsidRDefault="20DDA878" w:rsidP="30AAD314">
      <w:pPr>
        <w:spacing w:line="360" w:lineRule="auto"/>
        <w:rPr>
          <w:rFonts w:ascii="Arial" w:eastAsia="Arial" w:hAnsi="Arial" w:cs="Arial"/>
          <w:sz w:val="22"/>
        </w:rPr>
      </w:pPr>
      <w:r w:rsidRPr="30AAD314">
        <w:rPr>
          <w:rFonts w:ascii="Arial" w:eastAsia="Arial" w:hAnsi="Arial" w:cs="Arial"/>
          <w:sz w:val="22"/>
        </w:rPr>
        <w:t xml:space="preserve">Kostoff, M., Burkhardt, C., Winter, A. and Shrader, S. (2016) ‘An interprofessional simulation using the SBAR communication tool’, American Journal of Pharmaceutical Education, 80(9), Article 157. Available at: </w:t>
      </w:r>
      <w:hyperlink r:id="rId11">
        <w:r w:rsidRPr="30AAD314">
          <w:rPr>
            <w:rStyle w:val="Hyperlink"/>
            <w:rFonts w:ascii="Arial" w:eastAsia="Arial" w:hAnsi="Arial" w:cs="Arial"/>
            <w:sz w:val="22"/>
          </w:rPr>
          <w:t>https://doi.org/10.5688/ajpe809157</w:t>
        </w:r>
      </w:hyperlink>
      <w:r w:rsidRPr="30AAD314">
        <w:rPr>
          <w:rFonts w:ascii="Arial" w:eastAsia="Arial" w:hAnsi="Arial" w:cs="Arial"/>
          <w:sz w:val="22"/>
        </w:rPr>
        <w:t xml:space="preserve">. </w:t>
      </w:r>
    </w:p>
    <w:p w14:paraId="0BA22F36" w14:textId="01F00DD3" w:rsidR="004F025D" w:rsidRPr="00753EA5" w:rsidRDefault="004F025D" w:rsidP="30AAD314">
      <w:pPr>
        <w:spacing w:line="360" w:lineRule="auto"/>
        <w:rPr>
          <w:rFonts w:ascii="Arial" w:eastAsia="Arial" w:hAnsi="Arial" w:cs="Arial"/>
          <w:sz w:val="22"/>
        </w:rPr>
      </w:pPr>
      <w:r w:rsidRPr="30AAD314">
        <w:rPr>
          <w:rFonts w:ascii="Arial" w:eastAsia="Arial" w:hAnsi="Arial" w:cs="Arial"/>
          <w:sz w:val="22"/>
        </w:rPr>
        <w:t>NHS Careers (202</w:t>
      </w:r>
      <w:r w:rsidR="23DABCE5" w:rsidRPr="30AAD314">
        <w:rPr>
          <w:rFonts w:ascii="Arial" w:eastAsia="Arial" w:hAnsi="Arial" w:cs="Arial"/>
          <w:sz w:val="22"/>
        </w:rPr>
        <w:t>5</w:t>
      </w:r>
      <w:r w:rsidRPr="30AAD314">
        <w:rPr>
          <w:rFonts w:ascii="Arial" w:eastAsia="Arial" w:hAnsi="Arial" w:cs="Arial"/>
          <w:sz w:val="22"/>
        </w:rPr>
        <w:t xml:space="preserve">) </w:t>
      </w:r>
      <w:r w:rsidRPr="30AAD314">
        <w:rPr>
          <w:rFonts w:ascii="Arial" w:eastAsia="Arial" w:hAnsi="Arial" w:cs="Arial"/>
          <w:i/>
          <w:iCs/>
          <w:sz w:val="22"/>
        </w:rPr>
        <w:t xml:space="preserve">Pharmacy </w:t>
      </w:r>
      <w:r w:rsidR="56BFC6EB" w:rsidRPr="30AAD314">
        <w:rPr>
          <w:rFonts w:ascii="Arial" w:eastAsia="Arial" w:hAnsi="Arial" w:cs="Arial"/>
          <w:i/>
          <w:iCs/>
          <w:sz w:val="22"/>
        </w:rPr>
        <w:t>Technician</w:t>
      </w:r>
      <w:r w:rsidRPr="30AAD314">
        <w:rPr>
          <w:rFonts w:ascii="Arial" w:eastAsia="Arial" w:hAnsi="Arial" w:cs="Arial"/>
          <w:sz w:val="22"/>
        </w:rPr>
        <w:t xml:space="preserve"> Available at: </w:t>
      </w:r>
      <w:hyperlink r:id="rId12">
        <w:r w:rsidRPr="30AAD314">
          <w:rPr>
            <w:rStyle w:val="Hyperlink"/>
            <w:rFonts w:ascii="Arial" w:eastAsia="Arial" w:hAnsi="Arial" w:cs="Arial"/>
            <w:sz w:val="22"/>
          </w:rPr>
          <w:t>Pharmacy technician | Health Careers</w:t>
        </w:r>
      </w:hyperlink>
      <w:r w:rsidRPr="30AAD314">
        <w:rPr>
          <w:rFonts w:ascii="Arial" w:eastAsia="Arial" w:hAnsi="Arial" w:cs="Arial"/>
          <w:sz w:val="22"/>
        </w:rPr>
        <w:t xml:space="preserve"> </w:t>
      </w:r>
      <w:r w:rsidR="5F468B0C" w:rsidRPr="30AAD314">
        <w:rPr>
          <w:rFonts w:ascii="Arial" w:eastAsia="Arial" w:hAnsi="Arial" w:cs="Arial"/>
          <w:sz w:val="22"/>
        </w:rPr>
        <w:t>(</w:t>
      </w:r>
      <w:r w:rsidRPr="30AAD314">
        <w:rPr>
          <w:rFonts w:ascii="Arial" w:eastAsia="Arial" w:hAnsi="Arial" w:cs="Arial"/>
          <w:sz w:val="22"/>
        </w:rPr>
        <w:t>Accessed 28 July 2026</w:t>
      </w:r>
      <w:r w:rsidR="0DA8F45E" w:rsidRPr="30AAD314">
        <w:rPr>
          <w:rFonts w:ascii="Arial" w:eastAsia="Arial" w:hAnsi="Arial" w:cs="Arial"/>
          <w:sz w:val="22"/>
        </w:rPr>
        <w:t>).</w:t>
      </w:r>
    </w:p>
    <w:p w14:paraId="349E3099" w14:textId="1C4DF536" w:rsidR="652CEEEE" w:rsidRDefault="652CEEEE" w:rsidP="30AAD314">
      <w:pPr>
        <w:spacing w:line="360" w:lineRule="auto"/>
        <w:rPr>
          <w:rFonts w:ascii="Arial" w:eastAsia="Arial" w:hAnsi="Arial" w:cs="Arial"/>
          <w:sz w:val="22"/>
        </w:rPr>
      </w:pPr>
      <w:r w:rsidRPr="30AAD314">
        <w:rPr>
          <w:rFonts w:ascii="Arial" w:eastAsia="Arial" w:hAnsi="Arial" w:cs="Arial"/>
          <w:sz w:val="22"/>
        </w:rPr>
        <w:t xml:space="preserve">NHS. (2025). </w:t>
      </w:r>
      <w:r w:rsidRPr="30AAD314">
        <w:rPr>
          <w:rFonts w:ascii="Arial" w:eastAsia="Arial" w:hAnsi="Arial" w:cs="Arial"/>
          <w:i/>
          <w:iCs/>
          <w:sz w:val="22"/>
        </w:rPr>
        <w:t>Pharmacy technician</w:t>
      </w:r>
      <w:r w:rsidRPr="30AAD314">
        <w:rPr>
          <w:rFonts w:ascii="Arial" w:eastAsia="Arial" w:hAnsi="Arial" w:cs="Arial"/>
          <w:sz w:val="22"/>
        </w:rPr>
        <w:t xml:space="preserve">. </w:t>
      </w:r>
      <w:hyperlink r:id="rId13">
        <w:r w:rsidRPr="30AAD314">
          <w:rPr>
            <w:rStyle w:val="Hyperlink"/>
            <w:rFonts w:ascii="Arial" w:eastAsia="Arial" w:hAnsi="Arial" w:cs="Arial"/>
            <w:sz w:val="22"/>
          </w:rPr>
          <w:t>https://www.healthcareers.nhs.uk/explore-roles/pharmacy/roles-pharmacy/pharmacy-technician</w:t>
        </w:r>
      </w:hyperlink>
      <w:r w:rsidRPr="30AAD314">
        <w:rPr>
          <w:rFonts w:ascii="Arial" w:eastAsia="Arial" w:hAnsi="Arial" w:cs="Arial"/>
          <w:sz w:val="22"/>
        </w:rPr>
        <w:t xml:space="preserve"> </w:t>
      </w:r>
    </w:p>
    <w:p w14:paraId="2957CBF2" w14:textId="4E3F8499" w:rsidR="3032DD5B" w:rsidRDefault="3032DD5B" w:rsidP="30AAD314">
      <w:pPr>
        <w:spacing w:line="360" w:lineRule="auto"/>
      </w:pPr>
      <w:r w:rsidRPr="30AAD314">
        <w:rPr>
          <w:rFonts w:ascii="Arial" w:eastAsia="Arial" w:hAnsi="Arial" w:cs="Arial"/>
          <w:sz w:val="22"/>
        </w:rPr>
        <w:t xml:space="preserve">Skills England (2026) </w:t>
      </w:r>
      <w:r w:rsidRPr="30AAD314">
        <w:rPr>
          <w:rFonts w:ascii="Arial" w:eastAsia="Arial" w:hAnsi="Arial" w:cs="Arial"/>
          <w:i/>
          <w:iCs/>
          <w:sz w:val="22"/>
        </w:rPr>
        <w:t xml:space="preserve">Pharmacy technician (integrated) </w:t>
      </w:r>
      <w:r w:rsidRPr="30AAD314">
        <w:rPr>
          <w:rFonts w:ascii="Arial" w:eastAsia="Arial" w:hAnsi="Arial" w:cs="Arial"/>
          <w:sz w:val="22"/>
        </w:rPr>
        <w:t xml:space="preserve">Available at: </w:t>
      </w:r>
      <w:hyperlink r:id="rId14">
        <w:r w:rsidRPr="30AAD314">
          <w:rPr>
            <w:rStyle w:val="Hyperlink"/>
            <w:rFonts w:ascii="Arial" w:eastAsia="Arial" w:hAnsi="Arial" w:cs="Arial"/>
            <w:color w:val="auto"/>
            <w:sz w:val="22"/>
          </w:rPr>
          <w:t>Pharmacy technician (integrated) / Skills England</w:t>
        </w:r>
      </w:hyperlink>
      <w:r w:rsidRPr="30AAD314">
        <w:rPr>
          <w:rFonts w:ascii="Arial" w:eastAsia="Arial" w:hAnsi="Arial" w:cs="Arial"/>
          <w:sz w:val="22"/>
        </w:rPr>
        <w:t xml:space="preserve"> (Accessed 28 July 2026).</w:t>
      </w:r>
    </w:p>
    <w:p w14:paraId="5FE4513D" w14:textId="4DB49236" w:rsidR="18A3D4D3" w:rsidRDefault="18A3D4D3" w:rsidP="30AAD314">
      <w:pPr>
        <w:spacing w:after="0" w:line="360" w:lineRule="auto"/>
        <w:rPr>
          <w:rFonts w:ascii="Arial" w:eastAsia="Arial" w:hAnsi="Arial" w:cs="Arial"/>
          <w:sz w:val="22"/>
        </w:rPr>
      </w:pPr>
      <w:r w:rsidRPr="30AAD314">
        <w:rPr>
          <w:rFonts w:ascii="Arial" w:eastAsia="Arial" w:hAnsi="Arial" w:cs="Arial"/>
          <w:sz w:val="22"/>
        </w:rPr>
        <w:t xml:space="preserve">Vyas, D., McCulloh, R., Dyer, C., Gregory, G. and Higbee, D. (2012) ‘An interprofessional course using human patient simulation to teach patient safety and teamwork skills’, American Journal of Pharmaceutical Education, 76(4), Article 71. Available at: </w:t>
      </w:r>
      <w:hyperlink r:id="rId15">
        <w:r w:rsidRPr="30AAD314">
          <w:rPr>
            <w:rStyle w:val="Hyperlink"/>
            <w:rFonts w:ascii="Arial" w:eastAsia="Arial" w:hAnsi="Arial" w:cs="Arial"/>
            <w:sz w:val="22"/>
          </w:rPr>
          <w:t>https://doi.org/10.5688/ajpe76471</w:t>
        </w:r>
      </w:hyperlink>
      <w:r w:rsidRPr="30AAD314">
        <w:rPr>
          <w:rFonts w:ascii="Arial" w:eastAsia="Arial" w:hAnsi="Arial" w:cs="Arial"/>
          <w:sz w:val="22"/>
        </w:rPr>
        <w:t xml:space="preserve"> .</w:t>
      </w:r>
    </w:p>
    <w:p w14:paraId="5846B3F1" w14:textId="29B14D9B" w:rsidR="30AAD314" w:rsidRDefault="30AAD314" w:rsidP="30AAD314">
      <w:pPr>
        <w:spacing w:line="360" w:lineRule="auto"/>
        <w:rPr>
          <w:rFonts w:ascii="Arial" w:eastAsia="Arial" w:hAnsi="Arial" w:cs="Arial"/>
          <w:sz w:val="22"/>
        </w:rPr>
      </w:pPr>
    </w:p>
    <w:p w14:paraId="059F74B3" w14:textId="424820AC" w:rsidR="004F025D" w:rsidRDefault="004F025D"/>
    <w:sectPr w:rsidR="004F025D"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D394F" w14:textId="77777777" w:rsidR="00654388" w:rsidRDefault="00654388" w:rsidP="003C7C97">
      <w:pPr>
        <w:spacing w:after="0" w:line="240" w:lineRule="auto"/>
      </w:pPr>
      <w:r>
        <w:separator/>
      </w:r>
    </w:p>
  </w:endnote>
  <w:endnote w:type="continuationSeparator" w:id="0">
    <w:p w14:paraId="7DB6CA18" w14:textId="77777777" w:rsidR="00654388" w:rsidRDefault="0065438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02872" w14:textId="77777777" w:rsidR="00654388" w:rsidRDefault="00654388" w:rsidP="003C7C97">
      <w:pPr>
        <w:spacing w:after="0" w:line="240" w:lineRule="auto"/>
      </w:pPr>
      <w:r>
        <w:separator/>
      </w:r>
    </w:p>
  </w:footnote>
  <w:footnote w:type="continuationSeparator" w:id="0">
    <w:p w14:paraId="25BAC0DD" w14:textId="77777777" w:rsidR="00654388" w:rsidRDefault="00654388"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85F6C63A"/>
    <w:lvl w:ilvl="0" w:tplc="27B0DDF8">
      <w:start w:val="1"/>
      <w:numFmt w:val="bullet"/>
      <w:lvlText w:val=""/>
      <w:lvlJc w:val="left"/>
      <w:pPr>
        <w:ind w:left="720" w:hanging="360"/>
      </w:pPr>
      <w:rPr>
        <w:rFonts w:ascii="Symbol" w:hAnsi="Symbol" w:hint="default"/>
      </w:rPr>
    </w:lvl>
    <w:lvl w:ilvl="1" w:tplc="25D22EA2">
      <w:start w:val="1"/>
      <w:numFmt w:val="bullet"/>
      <w:lvlText w:val="o"/>
      <w:lvlJc w:val="left"/>
      <w:pPr>
        <w:ind w:left="1440" w:hanging="360"/>
      </w:pPr>
      <w:rPr>
        <w:rFonts w:ascii="Courier New" w:hAnsi="Courier New" w:hint="default"/>
      </w:rPr>
    </w:lvl>
    <w:lvl w:ilvl="2" w:tplc="5E80C18E">
      <w:start w:val="1"/>
      <w:numFmt w:val="bullet"/>
      <w:lvlText w:val=""/>
      <w:lvlJc w:val="left"/>
      <w:pPr>
        <w:ind w:left="2160" w:hanging="360"/>
      </w:pPr>
      <w:rPr>
        <w:rFonts w:ascii="Wingdings" w:hAnsi="Wingdings" w:hint="default"/>
      </w:rPr>
    </w:lvl>
    <w:lvl w:ilvl="3" w:tplc="D8561D58">
      <w:start w:val="1"/>
      <w:numFmt w:val="bullet"/>
      <w:lvlText w:val=""/>
      <w:lvlJc w:val="left"/>
      <w:pPr>
        <w:ind w:left="2880" w:hanging="360"/>
      </w:pPr>
      <w:rPr>
        <w:rFonts w:ascii="Symbol" w:hAnsi="Symbol" w:hint="default"/>
      </w:rPr>
    </w:lvl>
    <w:lvl w:ilvl="4" w:tplc="16262ACA">
      <w:start w:val="1"/>
      <w:numFmt w:val="bullet"/>
      <w:lvlText w:val="o"/>
      <w:lvlJc w:val="left"/>
      <w:pPr>
        <w:ind w:left="3600" w:hanging="360"/>
      </w:pPr>
      <w:rPr>
        <w:rFonts w:ascii="Courier New" w:hAnsi="Courier New" w:hint="default"/>
      </w:rPr>
    </w:lvl>
    <w:lvl w:ilvl="5" w:tplc="14880F98">
      <w:start w:val="1"/>
      <w:numFmt w:val="bullet"/>
      <w:lvlText w:val=""/>
      <w:lvlJc w:val="left"/>
      <w:pPr>
        <w:ind w:left="4320" w:hanging="360"/>
      </w:pPr>
      <w:rPr>
        <w:rFonts w:ascii="Wingdings" w:hAnsi="Wingdings" w:hint="default"/>
      </w:rPr>
    </w:lvl>
    <w:lvl w:ilvl="6" w:tplc="A24832B8">
      <w:start w:val="1"/>
      <w:numFmt w:val="bullet"/>
      <w:lvlText w:val=""/>
      <w:lvlJc w:val="left"/>
      <w:pPr>
        <w:ind w:left="5040" w:hanging="360"/>
      </w:pPr>
      <w:rPr>
        <w:rFonts w:ascii="Symbol" w:hAnsi="Symbol" w:hint="default"/>
      </w:rPr>
    </w:lvl>
    <w:lvl w:ilvl="7" w:tplc="36ACAF3E">
      <w:start w:val="1"/>
      <w:numFmt w:val="bullet"/>
      <w:lvlText w:val="o"/>
      <w:lvlJc w:val="left"/>
      <w:pPr>
        <w:ind w:left="5760" w:hanging="360"/>
      </w:pPr>
      <w:rPr>
        <w:rFonts w:ascii="Courier New" w:hAnsi="Courier New" w:hint="default"/>
      </w:rPr>
    </w:lvl>
    <w:lvl w:ilvl="8" w:tplc="731C93A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1E2DDCC"/>
    <w:lvl w:ilvl="0" w:tplc="5A7EE9C8">
      <w:start w:val="1"/>
      <w:numFmt w:val="bullet"/>
      <w:lvlText w:val=""/>
      <w:lvlJc w:val="left"/>
      <w:pPr>
        <w:ind w:left="720" w:hanging="360"/>
      </w:pPr>
      <w:rPr>
        <w:rFonts w:ascii="Symbol" w:hAnsi="Symbol" w:hint="default"/>
      </w:rPr>
    </w:lvl>
    <w:lvl w:ilvl="1" w:tplc="5E8EDF30">
      <w:start w:val="1"/>
      <w:numFmt w:val="bullet"/>
      <w:lvlText w:val="o"/>
      <w:lvlJc w:val="left"/>
      <w:pPr>
        <w:ind w:left="1440" w:hanging="360"/>
      </w:pPr>
      <w:rPr>
        <w:rFonts w:ascii="Courier New" w:hAnsi="Courier New" w:hint="default"/>
      </w:rPr>
    </w:lvl>
    <w:lvl w:ilvl="2" w:tplc="C0309B0C">
      <w:start w:val="1"/>
      <w:numFmt w:val="bullet"/>
      <w:lvlText w:val=""/>
      <w:lvlJc w:val="left"/>
      <w:pPr>
        <w:ind w:left="2160" w:hanging="360"/>
      </w:pPr>
      <w:rPr>
        <w:rFonts w:ascii="Wingdings" w:hAnsi="Wingdings" w:hint="default"/>
      </w:rPr>
    </w:lvl>
    <w:lvl w:ilvl="3" w:tplc="C89E059A">
      <w:start w:val="1"/>
      <w:numFmt w:val="bullet"/>
      <w:lvlText w:val=""/>
      <w:lvlJc w:val="left"/>
      <w:pPr>
        <w:ind w:left="2880" w:hanging="360"/>
      </w:pPr>
      <w:rPr>
        <w:rFonts w:ascii="Symbol" w:hAnsi="Symbol" w:hint="default"/>
      </w:rPr>
    </w:lvl>
    <w:lvl w:ilvl="4" w:tplc="23865580">
      <w:start w:val="1"/>
      <w:numFmt w:val="bullet"/>
      <w:lvlText w:val="o"/>
      <w:lvlJc w:val="left"/>
      <w:pPr>
        <w:ind w:left="3600" w:hanging="360"/>
      </w:pPr>
      <w:rPr>
        <w:rFonts w:ascii="Courier New" w:hAnsi="Courier New" w:hint="default"/>
      </w:rPr>
    </w:lvl>
    <w:lvl w:ilvl="5" w:tplc="8A9C22FC">
      <w:start w:val="1"/>
      <w:numFmt w:val="bullet"/>
      <w:lvlText w:val=""/>
      <w:lvlJc w:val="left"/>
      <w:pPr>
        <w:ind w:left="4320" w:hanging="360"/>
      </w:pPr>
      <w:rPr>
        <w:rFonts w:ascii="Wingdings" w:hAnsi="Wingdings" w:hint="default"/>
      </w:rPr>
    </w:lvl>
    <w:lvl w:ilvl="6" w:tplc="8DB6170E">
      <w:start w:val="1"/>
      <w:numFmt w:val="bullet"/>
      <w:lvlText w:val=""/>
      <w:lvlJc w:val="left"/>
      <w:pPr>
        <w:ind w:left="5040" w:hanging="360"/>
      </w:pPr>
      <w:rPr>
        <w:rFonts w:ascii="Symbol" w:hAnsi="Symbol" w:hint="default"/>
      </w:rPr>
    </w:lvl>
    <w:lvl w:ilvl="7" w:tplc="E8B03986">
      <w:start w:val="1"/>
      <w:numFmt w:val="bullet"/>
      <w:lvlText w:val="o"/>
      <w:lvlJc w:val="left"/>
      <w:pPr>
        <w:ind w:left="5760" w:hanging="360"/>
      </w:pPr>
      <w:rPr>
        <w:rFonts w:ascii="Courier New" w:hAnsi="Courier New" w:hint="default"/>
      </w:rPr>
    </w:lvl>
    <w:lvl w:ilvl="8" w:tplc="1A0A73D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62CCCA36"/>
    <w:lvl w:ilvl="0" w:tplc="F4ACF5E4">
      <w:start w:val="1"/>
      <w:numFmt w:val="bullet"/>
      <w:lvlText w:val=""/>
      <w:lvlJc w:val="left"/>
      <w:pPr>
        <w:ind w:left="720" w:hanging="360"/>
      </w:pPr>
      <w:rPr>
        <w:rFonts w:ascii="Symbol" w:hAnsi="Symbol" w:hint="default"/>
      </w:rPr>
    </w:lvl>
    <w:lvl w:ilvl="1" w:tplc="BCC461F0">
      <w:start w:val="1"/>
      <w:numFmt w:val="bullet"/>
      <w:lvlText w:val="o"/>
      <w:lvlJc w:val="left"/>
      <w:pPr>
        <w:ind w:left="1440" w:hanging="360"/>
      </w:pPr>
      <w:rPr>
        <w:rFonts w:ascii="Courier New" w:hAnsi="Courier New" w:hint="default"/>
      </w:rPr>
    </w:lvl>
    <w:lvl w:ilvl="2" w:tplc="CFB267C0">
      <w:start w:val="1"/>
      <w:numFmt w:val="bullet"/>
      <w:lvlText w:val=""/>
      <w:lvlJc w:val="left"/>
      <w:pPr>
        <w:ind w:left="2160" w:hanging="360"/>
      </w:pPr>
      <w:rPr>
        <w:rFonts w:ascii="Wingdings" w:hAnsi="Wingdings" w:hint="default"/>
      </w:rPr>
    </w:lvl>
    <w:lvl w:ilvl="3" w:tplc="C4C65B78">
      <w:start w:val="1"/>
      <w:numFmt w:val="bullet"/>
      <w:lvlText w:val=""/>
      <w:lvlJc w:val="left"/>
      <w:pPr>
        <w:ind w:left="2880" w:hanging="360"/>
      </w:pPr>
      <w:rPr>
        <w:rFonts w:ascii="Symbol" w:hAnsi="Symbol" w:hint="default"/>
      </w:rPr>
    </w:lvl>
    <w:lvl w:ilvl="4" w:tplc="7B0050E0">
      <w:start w:val="1"/>
      <w:numFmt w:val="bullet"/>
      <w:lvlText w:val="o"/>
      <w:lvlJc w:val="left"/>
      <w:pPr>
        <w:ind w:left="3600" w:hanging="360"/>
      </w:pPr>
      <w:rPr>
        <w:rFonts w:ascii="Courier New" w:hAnsi="Courier New" w:hint="default"/>
      </w:rPr>
    </w:lvl>
    <w:lvl w:ilvl="5" w:tplc="FACAAA8A">
      <w:start w:val="1"/>
      <w:numFmt w:val="bullet"/>
      <w:lvlText w:val=""/>
      <w:lvlJc w:val="left"/>
      <w:pPr>
        <w:ind w:left="4320" w:hanging="360"/>
      </w:pPr>
      <w:rPr>
        <w:rFonts w:ascii="Wingdings" w:hAnsi="Wingdings" w:hint="default"/>
      </w:rPr>
    </w:lvl>
    <w:lvl w:ilvl="6" w:tplc="FE1E725C">
      <w:start w:val="1"/>
      <w:numFmt w:val="bullet"/>
      <w:lvlText w:val=""/>
      <w:lvlJc w:val="left"/>
      <w:pPr>
        <w:ind w:left="5040" w:hanging="360"/>
      </w:pPr>
      <w:rPr>
        <w:rFonts w:ascii="Symbol" w:hAnsi="Symbol" w:hint="default"/>
      </w:rPr>
    </w:lvl>
    <w:lvl w:ilvl="7" w:tplc="B2E48436">
      <w:start w:val="1"/>
      <w:numFmt w:val="bullet"/>
      <w:lvlText w:val="o"/>
      <w:lvlJc w:val="left"/>
      <w:pPr>
        <w:ind w:left="5760" w:hanging="360"/>
      </w:pPr>
      <w:rPr>
        <w:rFonts w:ascii="Courier New" w:hAnsi="Courier New" w:hint="default"/>
      </w:rPr>
    </w:lvl>
    <w:lvl w:ilvl="8" w:tplc="6CDE235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A560E2C4"/>
    <w:lvl w:ilvl="0" w:tplc="3EAE0EAA">
      <w:start w:val="1"/>
      <w:numFmt w:val="bullet"/>
      <w:lvlText w:val=""/>
      <w:lvlJc w:val="left"/>
      <w:pPr>
        <w:ind w:left="720" w:hanging="360"/>
      </w:pPr>
      <w:rPr>
        <w:rFonts w:ascii="Symbol" w:hAnsi="Symbol" w:hint="default"/>
      </w:rPr>
    </w:lvl>
    <w:lvl w:ilvl="1" w:tplc="D6E22930">
      <w:start w:val="1"/>
      <w:numFmt w:val="bullet"/>
      <w:lvlText w:val="o"/>
      <w:lvlJc w:val="left"/>
      <w:pPr>
        <w:ind w:left="1440" w:hanging="360"/>
      </w:pPr>
      <w:rPr>
        <w:rFonts w:ascii="Courier New" w:hAnsi="Courier New" w:hint="default"/>
      </w:rPr>
    </w:lvl>
    <w:lvl w:ilvl="2" w:tplc="666A50BE">
      <w:start w:val="1"/>
      <w:numFmt w:val="bullet"/>
      <w:lvlText w:val=""/>
      <w:lvlJc w:val="left"/>
      <w:pPr>
        <w:ind w:left="2160" w:hanging="360"/>
      </w:pPr>
      <w:rPr>
        <w:rFonts w:ascii="Wingdings" w:hAnsi="Wingdings" w:hint="default"/>
      </w:rPr>
    </w:lvl>
    <w:lvl w:ilvl="3" w:tplc="DF3A5B2A">
      <w:start w:val="1"/>
      <w:numFmt w:val="bullet"/>
      <w:lvlText w:val=""/>
      <w:lvlJc w:val="left"/>
      <w:pPr>
        <w:ind w:left="2880" w:hanging="360"/>
      </w:pPr>
      <w:rPr>
        <w:rFonts w:ascii="Symbol" w:hAnsi="Symbol" w:hint="default"/>
      </w:rPr>
    </w:lvl>
    <w:lvl w:ilvl="4" w:tplc="D9B6C5AC">
      <w:start w:val="1"/>
      <w:numFmt w:val="bullet"/>
      <w:lvlText w:val="o"/>
      <w:lvlJc w:val="left"/>
      <w:pPr>
        <w:ind w:left="3600" w:hanging="360"/>
      </w:pPr>
      <w:rPr>
        <w:rFonts w:ascii="Courier New" w:hAnsi="Courier New" w:hint="default"/>
      </w:rPr>
    </w:lvl>
    <w:lvl w:ilvl="5" w:tplc="E3BE7B96">
      <w:start w:val="1"/>
      <w:numFmt w:val="bullet"/>
      <w:lvlText w:val=""/>
      <w:lvlJc w:val="left"/>
      <w:pPr>
        <w:ind w:left="4320" w:hanging="360"/>
      </w:pPr>
      <w:rPr>
        <w:rFonts w:ascii="Wingdings" w:hAnsi="Wingdings" w:hint="default"/>
      </w:rPr>
    </w:lvl>
    <w:lvl w:ilvl="6" w:tplc="CC100F08">
      <w:start w:val="1"/>
      <w:numFmt w:val="bullet"/>
      <w:lvlText w:val=""/>
      <w:lvlJc w:val="left"/>
      <w:pPr>
        <w:ind w:left="5040" w:hanging="360"/>
      </w:pPr>
      <w:rPr>
        <w:rFonts w:ascii="Symbol" w:hAnsi="Symbol" w:hint="default"/>
      </w:rPr>
    </w:lvl>
    <w:lvl w:ilvl="7" w:tplc="FD4E3BFC">
      <w:start w:val="1"/>
      <w:numFmt w:val="bullet"/>
      <w:lvlText w:val="o"/>
      <w:lvlJc w:val="left"/>
      <w:pPr>
        <w:ind w:left="5760" w:hanging="360"/>
      </w:pPr>
      <w:rPr>
        <w:rFonts w:ascii="Courier New" w:hAnsi="Courier New" w:hint="default"/>
      </w:rPr>
    </w:lvl>
    <w:lvl w:ilvl="8" w:tplc="C6ECEC5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51A4BDA"/>
    <w:lvl w:ilvl="0" w:tplc="59020476">
      <w:start w:val="1"/>
      <w:numFmt w:val="bullet"/>
      <w:lvlText w:val=""/>
      <w:lvlJc w:val="left"/>
      <w:pPr>
        <w:ind w:left="720" w:hanging="360"/>
      </w:pPr>
      <w:rPr>
        <w:rFonts w:ascii="Symbol" w:hAnsi="Symbol" w:hint="default"/>
      </w:rPr>
    </w:lvl>
    <w:lvl w:ilvl="1" w:tplc="914212AA">
      <w:start w:val="1"/>
      <w:numFmt w:val="bullet"/>
      <w:lvlText w:val="o"/>
      <w:lvlJc w:val="left"/>
      <w:pPr>
        <w:ind w:left="1440" w:hanging="360"/>
      </w:pPr>
      <w:rPr>
        <w:rFonts w:ascii="Courier New" w:hAnsi="Courier New" w:hint="default"/>
      </w:rPr>
    </w:lvl>
    <w:lvl w:ilvl="2" w:tplc="85E64A68">
      <w:start w:val="1"/>
      <w:numFmt w:val="bullet"/>
      <w:lvlText w:val=""/>
      <w:lvlJc w:val="left"/>
      <w:pPr>
        <w:ind w:left="2160" w:hanging="360"/>
      </w:pPr>
      <w:rPr>
        <w:rFonts w:ascii="Wingdings" w:hAnsi="Wingdings" w:hint="default"/>
      </w:rPr>
    </w:lvl>
    <w:lvl w:ilvl="3" w:tplc="FE269BBA">
      <w:start w:val="1"/>
      <w:numFmt w:val="bullet"/>
      <w:lvlText w:val=""/>
      <w:lvlJc w:val="left"/>
      <w:pPr>
        <w:ind w:left="2880" w:hanging="360"/>
      </w:pPr>
      <w:rPr>
        <w:rFonts w:ascii="Symbol" w:hAnsi="Symbol" w:hint="default"/>
      </w:rPr>
    </w:lvl>
    <w:lvl w:ilvl="4" w:tplc="C5D2C4A0">
      <w:start w:val="1"/>
      <w:numFmt w:val="bullet"/>
      <w:lvlText w:val="o"/>
      <w:lvlJc w:val="left"/>
      <w:pPr>
        <w:ind w:left="3600" w:hanging="360"/>
      </w:pPr>
      <w:rPr>
        <w:rFonts w:ascii="Courier New" w:hAnsi="Courier New" w:hint="default"/>
      </w:rPr>
    </w:lvl>
    <w:lvl w:ilvl="5" w:tplc="CCDA5DF6">
      <w:start w:val="1"/>
      <w:numFmt w:val="bullet"/>
      <w:lvlText w:val=""/>
      <w:lvlJc w:val="left"/>
      <w:pPr>
        <w:ind w:left="4320" w:hanging="360"/>
      </w:pPr>
      <w:rPr>
        <w:rFonts w:ascii="Wingdings" w:hAnsi="Wingdings" w:hint="default"/>
      </w:rPr>
    </w:lvl>
    <w:lvl w:ilvl="6" w:tplc="3562600E">
      <w:start w:val="1"/>
      <w:numFmt w:val="bullet"/>
      <w:lvlText w:val=""/>
      <w:lvlJc w:val="left"/>
      <w:pPr>
        <w:ind w:left="5040" w:hanging="360"/>
      </w:pPr>
      <w:rPr>
        <w:rFonts w:ascii="Symbol" w:hAnsi="Symbol" w:hint="default"/>
      </w:rPr>
    </w:lvl>
    <w:lvl w:ilvl="7" w:tplc="6A40B906">
      <w:start w:val="1"/>
      <w:numFmt w:val="bullet"/>
      <w:lvlText w:val="o"/>
      <w:lvlJc w:val="left"/>
      <w:pPr>
        <w:ind w:left="5760" w:hanging="360"/>
      </w:pPr>
      <w:rPr>
        <w:rFonts w:ascii="Courier New" w:hAnsi="Courier New" w:hint="default"/>
      </w:rPr>
    </w:lvl>
    <w:lvl w:ilvl="8" w:tplc="C15C9B6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3DCE7C96"/>
    <w:lvl w:ilvl="0" w:tplc="E66EB638">
      <w:start w:val="1"/>
      <w:numFmt w:val="bullet"/>
      <w:lvlText w:val=""/>
      <w:lvlJc w:val="left"/>
      <w:pPr>
        <w:ind w:left="720" w:hanging="360"/>
      </w:pPr>
      <w:rPr>
        <w:rFonts w:ascii="Symbol" w:hAnsi="Symbol" w:hint="default"/>
      </w:rPr>
    </w:lvl>
    <w:lvl w:ilvl="1" w:tplc="05281D56">
      <w:start w:val="1"/>
      <w:numFmt w:val="bullet"/>
      <w:lvlText w:val="o"/>
      <w:lvlJc w:val="left"/>
      <w:pPr>
        <w:ind w:left="1440" w:hanging="360"/>
      </w:pPr>
      <w:rPr>
        <w:rFonts w:ascii="Courier New" w:hAnsi="Courier New" w:hint="default"/>
      </w:rPr>
    </w:lvl>
    <w:lvl w:ilvl="2" w:tplc="F17A6E38">
      <w:start w:val="1"/>
      <w:numFmt w:val="bullet"/>
      <w:lvlText w:val=""/>
      <w:lvlJc w:val="left"/>
      <w:pPr>
        <w:ind w:left="2160" w:hanging="360"/>
      </w:pPr>
      <w:rPr>
        <w:rFonts w:ascii="Wingdings" w:hAnsi="Wingdings" w:hint="default"/>
      </w:rPr>
    </w:lvl>
    <w:lvl w:ilvl="3" w:tplc="E6A4B698">
      <w:start w:val="1"/>
      <w:numFmt w:val="bullet"/>
      <w:lvlText w:val=""/>
      <w:lvlJc w:val="left"/>
      <w:pPr>
        <w:ind w:left="2880" w:hanging="360"/>
      </w:pPr>
      <w:rPr>
        <w:rFonts w:ascii="Symbol" w:hAnsi="Symbol" w:hint="default"/>
      </w:rPr>
    </w:lvl>
    <w:lvl w:ilvl="4" w:tplc="93DC012C">
      <w:start w:val="1"/>
      <w:numFmt w:val="bullet"/>
      <w:lvlText w:val="o"/>
      <w:lvlJc w:val="left"/>
      <w:pPr>
        <w:ind w:left="3600" w:hanging="360"/>
      </w:pPr>
      <w:rPr>
        <w:rFonts w:ascii="Courier New" w:hAnsi="Courier New" w:hint="default"/>
      </w:rPr>
    </w:lvl>
    <w:lvl w:ilvl="5" w:tplc="41F811E6">
      <w:start w:val="1"/>
      <w:numFmt w:val="bullet"/>
      <w:lvlText w:val=""/>
      <w:lvlJc w:val="left"/>
      <w:pPr>
        <w:ind w:left="4320" w:hanging="360"/>
      </w:pPr>
      <w:rPr>
        <w:rFonts w:ascii="Wingdings" w:hAnsi="Wingdings" w:hint="default"/>
      </w:rPr>
    </w:lvl>
    <w:lvl w:ilvl="6" w:tplc="240EAF70">
      <w:start w:val="1"/>
      <w:numFmt w:val="bullet"/>
      <w:lvlText w:val=""/>
      <w:lvlJc w:val="left"/>
      <w:pPr>
        <w:ind w:left="5040" w:hanging="360"/>
      </w:pPr>
      <w:rPr>
        <w:rFonts w:ascii="Symbol" w:hAnsi="Symbol" w:hint="default"/>
      </w:rPr>
    </w:lvl>
    <w:lvl w:ilvl="7" w:tplc="03A4E296">
      <w:start w:val="1"/>
      <w:numFmt w:val="bullet"/>
      <w:lvlText w:val="o"/>
      <w:lvlJc w:val="left"/>
      <w:pPr>
        <w:ind w:left="5760" w:hanging="360"/>
      </w:pPr>
      <w:rPr>
        <w:rFonts w:ascii="Courier New" w:hAnsi="Courier New" w:hint="default"/>
      </w:rPr>
    </w:lvl>
    <w:lvl w:ilvl="8" w:tplc="26DE83C2">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585473">
    <w:abstractNumId w:val="11"/>
  </w:num>
  <w:num w:numId="2" w16cid:durableId="1886527510">
    <w:abstractNumId w:val="12"/>
  </w:num>
  <w:num w:numId="3" w16cid:durableId="997686238">
    <w:abstractNumId w:val="1"/>
  </w:num>
  <w:num w:numId="4" w16cid:durableId="968896521">
    <w:abstractNumId w:val="3"/>
  </w:num>
  <w:num w:numId="5" w16cid:durableId="128665768">
    <w:abstractNumId w:val="15"/>
  </w:num>
  <w:num w:numId="6" w16cid:durableId="81070763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62B"/>
    <w:rsid w:val="0001561E"/>
    <w:rsid w:val="0001715D"/>
    <w:rsid w:val="00022C42"/>
    <w:rsid w:val="00027B15"/>
    <w:rsid w:val="00030A05"/>
    <w:rsid w:val="00070818"/>
    <w:rsid w:val="0008238F"/>
    <w:rsid w:val="00082EC6"/>
    <w:rsid w:val="00085388"/>
    <w:rsid w:val="000D41DC"/>
    <w:rsid w:val="000F4137"/>
    <w:rsid w:val="00125D37"/>
    <w:rsid w:val="00127C1A"/>
    <w:rsid w:val="00150D81"/>
    <w:rsid w:val="00166CEB"/>
    <w:rsid w:val="00167909"/>
    <w:rsid w:val="00183CB9"/>
    <w:rsid w:val="00184A9A"/>
    <w:rsid w:val="001947DF"/>
    <w:rsid w:val="001B22BB"/>
    <w:rsid w:val="001B619C"/>
    <w:rsid w:val="001D1D3C"/>
    <w:rsid w:val="001F39F6"/>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72A2C"/>
    <w:rsid w:val="00396F60"/>
    <w:rsid w:val="003A51D6"/>
    <w:rsid w:val="003B125E"/>
    <w:rsid w:val="003B2A5E"/>
    <w:rsid w:val="003C7C97"/>
    <w:rsid w:val="003D6DFA"/>
    <w:rsid w:val="00406B8D"/>
    <w:rsid w:val="00410068"/>
    <w:rsid w:val="0041618E"/>
    <w:rsid w:val="0042295C"/>
    <w:rsid w:val="00426EEC"/>
    <w:rsid w:val="004466C3"/>
    <w:rsid w:val="004552CE"/>
    <w:rsid w:val="00481FF7"/>
    <w:rsid w:val="004A3773"/>
    <w:rsid w:val="004F025D"/>
    <w:rsid w:val="00500295"/>
    <w:rsid w:val="00501AAF"/>
    <w:rsid w:val="00527AFA"/>
    <w:rsid w:val="005419DA"/>
    <w:rsid w:val="005678AC"/>
    <w:rsid w:val="005679BD"/>
    <w:rsid w:val="005709B1"/>
    <w:rsid w:val="00572B3B"/>
    <w:rsid w:val="005836D2"/>
    <w:rsid w:val="00587C58"/>
    <w:rsid w:val="0059794C"/>
    <w:rsid w:val="005A7FD4"/>
    <w:rsid w:val="005B1A84"/>
    <w:rsid w:val="005D1AF9"/>
    <w:rsid w:val="005D5457"/>
    <w:rsid w:val="005E2699"/>
    <w:rsid w:val="005E44B5"/>
    <w:rsid w:val="006068A8"/>
    <w:rsid w:val="00612DEA"/>
    <w:rsid w:val="00614572"/>
    <w:rsid w:val="006232DF"/>
    <w:rsid w:val="00631F2E"/>
    <w:rsid w:val="006457C0"/>
    <w:rsid w:val="00652BB7"/>
    <w:rsid w:val="00654388"/>
    <w:rsid w:val="00656CEF"/>
    <w:rsid w:val="00661758"/>
    <w:rsid w:val="0067612C"/>
    <w:rsid w:val="00676FEB"/>
    <w:rsid w:val="00684A13"/>
    <w:rsid w:val="006912C4"/>
    <w:rsid w:val="006A5CFC"/>
    <w:rsid w:val="006A7049"/>
    <w:rsid w:val="006C5138"/>
    <w:rsid w:val="006C689B"/>
    <w:rsid w:val="006E005C"/>
    <w:rsid w:val="006E6EE5"/>
    <w:rsid w:val="006F0029"/>
    <w:rsid w:val="007138EF"/>
    <w:rsid w:val="00753EA5"/>
    <w:rsid w:val="007632A9"/>
    <w:rsid w:val="0076689E"/>
    <w:rsid w:val="00774092"/>
    <w:rsid w:val="00782830"/>
    <w:rsid w:val="0078664A"/>
    <w:rsid w:val="007A0517"/>
    <w:rsid w:val="007B0F6D"/>
    <w:rsid w:val="007C62C3"/>
    <w:rsid w:val="007D25AA"/>
    <w:rsid w:val="007F0873"/>
    <w:rsid w:val="00805726"/>
    <w:rsid w:val="00815117"/>
    <w:rsid w:val="00824CB1"/>
    <w:rsid w:val="008408BA"/>
    <w:rsid w:val="008520F8"/>
    <w:rsid w:val="00855F34"/>
    <w:rsid w:val="0087512F"/>
    <w:rsid w:val="008826B6"/>
    <w:rsid w:val="008B0B22"/>
    <w:rsid w:val="008C58B0"/>
    <w:rsid w:val="008C591B"/>
    <w:rsid w:val="008C6182"/>
    <w:rsid w:val="008E2487"/>
    <w:rsid w:val="0090779E"/>
    <w:rsid w:val="00926458"/>
    <w:rsid w:val="00933720"/>
    <w:rsid w:val="009569D2"/>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27735"/>
    <w:rsid w:val="00B66CFF"/>
    <w:rsid w:val="00B81790"/>
    <w:rsid w:val="00B81BBC"/>
    <w:rsid w:val="00BD03D5"/>
    <w:rsid w:val="00C25BF1"/>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8676E"/>
    <w:rsid w:val="00D95CAF"/>
    <w:rsid w:val="00DB2B29"/>
    <w:rsid w:val="00DB60B6"/>
    <w:rsid w:val="00DC0F07"/>
    <w:rsid w:val="00DC1CC6"/>
    <w:rsid w:val="00DC56EE"/>
    <w:rsid w:val="00DD5135"/>
    <w:rsid w:val="00E067A8"/>
    <w:rsid w:val="00E13924"/>
    <w:rsid w:val="00E15FD5"/>
    <w:rsid w:val="00E1725A"/>
    <w:rsid w:val="00E33758"/>
    <w:rsid w:val="00E53E5E"/>
    <w:rsid w:val="00E64325"/>
    <w:rsid w:val="00E673C5"/>
    <w:rsid w:val="00E67967"/>
    <w:rsid w:val="00E82723"/>
    <w:rsid w:val="00E84B78"/>
    <w:rsid w:val="00EA29A5"/>
    <w:rsid w:val="00EC0DBC"/>
    <w:rsid w:val="00EC107C"/>
    <w:rsid w:val="00EC7EBE"/>
    <w:rsid w:val="00EC7FD2"/>
    <w:rsid w:val="00ED5964"/>
    <w:rsid w:val="00F16616"/>
    <w:rsid w:val="00F1720B"/>
    <w:rsid w:val="00F3602C"/>
    <w:rsid w:val="00F36ADC"/>
    <w:rsid w:val="00F44536"/>
    <w:rsid w:val="00F605C6"/>
    <w:rsid w:val="00F65918"/>
    <w:rsid w:val="00F6785B"/>
    <w:rsid w:val="00F9012D"/>
    <w:rsid w:val="00F915D6"/>
    <w:rsid w:val="00F917D5"/>
    <w:rsid w:val="00FCFA5A"/>
    <w:rsid w:val="00FE200A"/>
    <w:rsid w:val="00FF2B0A"/>
    <w:rsid w:val="00FF5D06"/>
    <w:rsid w:val="012F621C"/>
    <w:rsid w:val="0156E134"/>
    <w:rsid w:val="02AEF76F"/>
    <w:rsid w:val="039D865D"/>
    <w:rsid w:val="03F72721"/>
    <w:rsid w:val="04019B15"/>
    <w:rsid w:val="04CBC5D6"/>
    <w:rsid w:val="04D669FE"/>
    <w:rsid w:val="05566F2E"/>
    <w:rsid w:val="071F48DC"/>
    <w:rsid w:val="09C0B341"/>
    <w:rsid w:val="0A1BD9C6"/>
    <w:rsid w:val="0B284D8F"/>
    <w:rsid w:val="0C5D0C5C"/>
    <w:rsid w:val="0CAF99F7"/>
    <w:rsid w:val="0CF501EC"/>
    <w:rsid w:val="0DA8F45E"/>
    <w:rsid w:val="0EAE12B0"/>
    <w:rsid w:val="0F02B855"/>
    <w:rsid w:val="104EC4AE"/>
    <w:rsid w:val="10EDCF7F"/>
    <w:rsid w:val="11731B90"/>
    <w:rsid w:val="13BD3D5D"/>
    <w:rsid w:val="13E2B416"/>
    <w:rsid w:val="14AA69B9"/>
    <w:rsid w:val="16AA0A93"/>
    <w:rsid w:val="170AFA7B"/>
    <w:rsid w:val="17DB1000"/>
    <w:rsid w:val="18625B0D"/>
    <w:rsid w:val="18A3D4D3"/>
    <w:rsid w:val="19D14F19"/>
    <w:rsid w:val="1A27FBCF"/>
    <w:rsid w:val="1B42BCE1"/>
    <w:rsid w:val="1C21BC8E"/>
    <w:rsid w:val="1D222659"/>
    <w:rsid w:val="1F09BC6E"/>
    <w:rsid w:val="1F6C9426"/>
    <w:rsid w:val="20512457"/>
    <w:rsid w:val="209C6AFA"/>
    <w:rsid w:val="20DDA878"/>
    <w:rsid w:val="217596E1"/>
    <w:rsid w:val="2187D2EC"/>
    <w:rsid w:val="239B752F"/>
    <w:rsid w:val="23DABCE5"/>
    <w:rsid w:val="242706DB"/>
    <w:rsid w:val="245892C2"/>
    <w:rsid w:val="25AE7F36"/>
    <w:rsid w:val="25D53A11"/>
    <w:rsid w:val="2656C3C3"/>
    <w:rsid w:val="26DE8CCE"/>
    <w:rsid w:val="27DA2C2C"/>
    <w:rsid w:val="2A8B0EC3"/>
    <w:rsid w:val="2B16B39E"/>
    <w:rsid w:val="2DB1163C"/>
    <w:rsid w:val="3032DD5B"/>
    <w:rsid w:val="30AAD314"/>
    <w:rsid w:val="32D5A2D5"/>
    <w:rsid w:val="3464B4D3"/>
    <w:rsid w:val="35FAB8E6"/>
    <w:rsid w:val="3697CCBD"/>
    <w:rsid w:val="375D97DC"/>
    <w:rsid w:val="37E0668F"/>
    <w:rsid w:val="396EFD87"/>
    <w:rsid w:val="39CD68D8"/>
    <w:rsid w:val="3A5D81C9"/>
    <w:rsid w:val="3A6EB926"/>
    <w:rsid w:val="3C659699"/>
    <w:rsid w:val="3CA85900"/>
    <w:rsid w:val="3D6135D7"/>
    <w:rsid w:val="3E95AA83"/>
    <w:rsid w:val="40AA17C9"/>
    <w:rsid w:val="40F0AB75"/>
    <w:rsid w:val="41987B35"/>
    <w:rsid w:val="421D10B7"/>
    <w:rsid w:val="424848AC"/>
    <w:rsid w:val="4578B948"/>
    <w:rsid w:val="45F7FCBB"/>
    <w:rsid w:val="46C19903"/>
    <w:rsid w:val="47AB21B7"/>
    <w:rsid w:val="48942F29"/>
    <w:rsid w:val="49810E4A"/>
    <w:rsid w:val="49A51184"/>
    <w:rsid w:val="4A794AD2"/>
    <w:rsid w:val="4B818D54"/>
    <w:rsid w:val="4C416B25"/>
    <w:rsid w:val="4CB34086"/>
    <w:rsid w:val="4DA29D29"/>
    <w:rsid w:val="4E228D52"/>
    <w:rsid w:val="4E29202B"/>
    <w:rsid w:val="4E707105"/>
    <w:rsid w:val="4FEAE3AC"/>
    <w:rsid w:val="500CA3B5"/>
    <w:rsid w:val="506F78BE"/>
    <w:rsid w:val="51A5E852"/>
    <w:rsid w:val="5293F137"/>
    <w:rsid w:val="531A4B12"/>
    <w:rsid w:val="53CC3362"/>
    <w:rsid w:val="549B9698"/>
    <w:rsid w:val="556E2D6A"/>
    <w:rsid w:val="5617AA6E"/>
    <w:rsid w:val="5665A8E9"/>
    <w:rsid w:val="56BFC6EB"/>
    <w:rsid w:val="5938FBA7"/>
    <w:rsid w:val="59AB5A3E"/>
    <w:rsid w:val="5B5435BF"/>
    <w:rsid w:val="5C123D21"/>
    <w:rsid w:val="5C6B4F87"/>
    <w:rsid w:val="5CE671C3"/>
    <w:rsid w:val="5CF7C3DB"/>
    <w:rsid w:val="5D18D413"/>
    <w:rsid w:val="5D49BF1F"/>
    <w:rsid w:val="5DAAFF88"/>
    <w:rsid w:val="5EA74194"/>
    <w:rsid w:val="5EB28EA7"/>
    <w:rsid w:val="5F468B0C"/>
    <w:rsid w:val="600BE357"/>
    <w:rsid w:val="61F05EDA"/>
    <w:rsid w:val="621430C3"/>
    <w:rsid w:val="6288133F"/>
    <w:rsid w:val="62B5CFB2"/>
    <w:rsid w:val="6382BE72"/>
    <w:rsid w:val="63BA07C5"/>
    <w:rsid w:val="64EFFCCB"/>
    <w:rsid w:val="651C264F"/>
    <w:rsid w:val="651DF0F4"/>
    <w:rsid w:val="652CEEEE"/>
    <w:rsid w:val="653BE314"/>
    <w:rsid w:val="655ACEAB"/>
    <w:rsid w:val="664D2432"/>
    <w:rsid w:val="66EBA1AA"/>
    <w:rsid w:val="6CD03BBB"/>
    <w:rsid w:val="6DAC9956"/>
    <w:rsid w:val="6E78C685"/>
    <w:rsid w:val="6F3208D0"/>
    <w:rsid w:val="6FE35140"/>
    <w:rsid w:val="6FFF092F"/>
    <w:rsid w:val="7007116E"/>
    <w:rsid w:val="733B1C5C"/>
    <w:rsid w:val="7447B573"/>
    <w:rsid w:val="74806FC3"/>
    <w:rsid w:val="748E9E46"/>
    <w:rsid w:val="74FD8B09"/>
    <w:rsid w:val="759A1527"/>
    <w:rsid w:val="7718BDA2"/>
    <w:rsid w:val="7AC44C89"/>
    <w:rsid w:val="7BB93EEC"/>
    <w:rsid w:val="7BC3E7A0"/>
    <w:rsid w:val="7F67BA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C0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careers.nhs.uk/explore-roles/pharmacy/roles-pharmacy/pharmacy-technicia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pharmacy/roles-pharmacy/pharmacy-technicia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688/ajpe809157" TargetMode="External"/><Relationship Id="rId5" Type="http://schemas.openxmlformats.org/officeDocument/2006/relationships/webSettings" Target="webSettings.xml"/><Relationship Id="rId15" Type="http://schemas.openxmlformats.org/officeDocument/2006/relationships/hyperlink" Target="https://doi.org/10.5688/ajpe76471" TargetMode="External"/><Relationship Id="rId10" Type="http://schemas.openxmlformats.org/officeDocument/2006/relationships/hyperlink" Target="https://www.pharmacyregulation.org/students-and-trainees/pharmacy-technician-education-and-train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36/ejhpharm-2022-003679" TargetMode="External"/><Relationship Id="rId14" Type="http://schemas.openxmlformats.org/officeDocument/2006/relationships/hyperlink" Target="https://skillsengland.education.gov.uk/occupations/OCC0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8200</TotalTime>
  <Pages>6</Pages>
  <Words>2018</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Bamidele Ayodele Idowu (2538823)</cp:lastModifiedBy>
  <cp:revision>28</cp:revision>
  <dcterms:created xsi:type="dcterms:W3CDTF">2026-07-08T10:07:00Z</dcterms:created>
  <dcterms:modified xsi:type="dcterms:W3CDTF">2026-08-10T10:07:00Z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