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04E6268" w14:textId="59E8CD40" w:rsidR="001B7CCE" w:rsidRPr="00477F30" w:rsidRDefault="002D6860" w:rsidP="00477F30">
      <w:pPr>
        <w:pStyle w:val="NoSpacing"/>
        <w:spacing w:line="360" w:lineRule="auto"/>
        <w:rPr>
          <w:rFonts w:ascii="Segoe UI Historic" w:hAnsi="Segoe UI Historic" w:cs="Segoe UI Historic"/>
          <w:sz w:val="28"/>
          <w:szCs w:val="24"/>
          <w:u w:val="single"/>
        </w:rPr>
      </w:pPr>
      <w:r w:rsidRPr="00477F30">
        <w:rPr>
          <w:rFonts w:ascii="Segoe UI Historic" w:hAnsi="Segoe UI Historic" w:cs="Segoe UI Historic"/>
          <w:sz w:val="28"/>
          <w:szCs w:val="24"/>
          <w:u w:val="single"/>
        </w:rPr>
        <w:t>The Boundary Stela</w:t>
      </w:r>
    </w:p>
    <w:p w14:paraId="62141C2C" w14:textId="77777777" w:rsidR="00E21380" w:rsidRDefault="00E21380" w:rsidP="00477F30">
      <w:pPr>
        <w:pStyle w:val="NoSpacing"/>
        <w:spacing w:line="360" w:lineRule="auto"/>
        <w:rPr>
          <w:rFonts w:ascii="Segoe UI Historic" w:hAnsi="Segoe UI Historic" w:cs="Segoe UI Historic"/>
          <w:sz w:val="24"/>
          <w:szCs w:val="24"/>
        </w:rPr>
      </w:pPr>
    </w:p>
    <w:p w14:paraId="3889BD85" w14:textId="33D4F668" w:rsidR="00E21380" w:rsidRDefault="00E21380" w:rsidP="00477F30">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Amenhotep IV, when he became Pharaoh in c.1355 B.C., </w:t>
      </w:r>
      <w:r w:rsidR="009358BB">
        <w:rPr>
          <w:rFonts w:ascii="Segoe UI Historic" w:hAnsi="Segoe UI Historic" w:cs="Segoe UI Historic"/>
          <w:sz w:val="24"/>
          <w:szCs w:val="24"/>
        </w:rPr>
        <w:t xml:space="preserve">introduced the solar deity, Aten, as a more prominent god than he had been </w:t>
      </w:r>
      <w:r w:rsidR="009358BB">
        <w:rPr>
          <w:rFonts w:ascii="Segoe UI Historic" w:hAnsi="Segoe UI Historic" w:cs="Segoe UI Historic"/>
          <w:sz w:val="24"/>
          <w:szCs w:val="24"/>
        </w:rPr>
        <w:t>previously</w:t>
      </w:r>
      <w:r w:rsidR="00693FD4">
        <w:rPr>
          <w:rFonts w:ascii="Segoe UI Historic" w:hAnsi="Segoe UI Historic" w:cs="Segoe UI Historic"/>
          <w:sz w:val="24"/>
          <w:szCs w:val="24"/>
        </w:rPr>
        <w:t>.</w:t>
      </w:r>
      <w:r w:rsidR="009358BB">
        <w:rPr>
          <w:rFonts w:ascii="Segoe UI Historic" w:hAnsi="Segoe UI Historic" w:cs="Segoe UI Historic"/>
          <w:sz w:val="24"/>
          <w:szCs w:val="24"/>
        </w:rPr>
        <w:t xml:space="preserve"> </w:t>
      </w:r>
      <w:r w:rsidR="00693FD4">
        <w:rPr>
          <w:rFonts w:ascii="Segoe UI Historic" w:hAnsi="Segoe UI Historic" w:cs="Segoe UI Historic"/>
          <w:sz w:val="24"/>
          <w:szCs w:val="24"/>
        </w:rPr>
        <w:t>T</w:t>
      </w:r>
      <w:r w:rsidR="009358BB">
        <w:rPr>
          <w:rFonts w:ascii="Segoe UI Historic" w:hAnsi="Segoe UI Historic" w:cs="Segoe UI Historic"/>
          <w:sz w:val="24"/>
          <w:szCs w:val="24"/>
        </w:rPr>
        <w:t xml:space="preserve">o </w:t>
      </w:r>
      <w:r w:rsidR="009358BB">
        <w:rPr>
          <w:rFonts w:ascii="Segoe UI Historic" w:hAnsi="Segoe UI Historic" w:cs="Segoe UI Historic"/>
          <w:sz w:val="24"/>
          <w:szCs w:val="24"/>
        </w:rPr>
        <w:t>do this, he built temples to the g</w:t>
      </w:r>
      <w:bookmarkStart w:id="0" w:name="_GoBack"/>
      <w:bookmarkEnd w:id="0"/>
      <w:r w:rsidR="009358BB">
        <w:rPr>
          <w:rFonts w:ascii="Segoe UI Historic" w:hAnsi="Segoe UI Historic" w:cs="Segoe UI Historic"/>
          <w:sz w:val="24"/>
          <w:szCs w:val="24"/>
        </w:rPr>
        <w:t>od Aten</w:t>
      </w:r>
      <w:r w:rsidR="00E0274A">
        <w:rPr>
          <w:rFonts w:ascii="Segoe UI Historic" w:hAnsi="Segoe UI Historic" w:cs="Segoe UI Historic"/>
          <w:sz w:val="24"/>
          <w:szCs w:val="24"/>
        </w:rPr>
        <w:t>, under the name of ‘</w:t>
      </w:r>
      <w:r w:rsidR="00E0274A" w:rsidRPr="00E0274A">
        <w:rPr>
          <w:rFonts w:ascii="Segoe UI Historic" w:hAnsi="Segoe UI Historic" w:cs="Segoe UI Historic"/>
          <w:sz w:val="24"/>
          <w:szCs w:val="24"/>
        </w:rPr>
        <w:t>“Re-</w:t>
      </w:r>
      <w:proofErr w:type="spellStart"/>
      <w:r w:rsidR="00E0274A" w:rsidRPr="00E0274A">
        <w:rPr>
          <w:rFonts w:ascii="Segoe UI Historic" w:hAnsi="Segoe UI Historic" w:cs="Segoe UI Historic"/>
          <w:sz w:val="24"/>
          <w:szCs w:val="24"/>
        </w:rPr>
        <w:t>Harakhty</w:t>
      </w:r>
      <w:proofErr w:type="spellEnd"/>
      <w:r w:rsidR="00E0274A" w:rsidRPr="00E0274A">
        <w:rPr>
          <w:rFonts w:ascii="Segoe UI Historic" w:hAnsi="Segoe UI Historic" w:cs="Segoe UI Historic"/>
          <w:sz w:val="24"/>
          <w:szCs w:val="24"/>
        </w:rPr>
        <w:t xml:space="preserve"> who rejoices in his horizon in his name of li</w:t>
      </w:r>
      <w:r w:rsidR="00E0274A">
        <w:rPr>
          <w:rFonts w:ascii="Segoe UI Historic" w:hAnsi="Segoe UI Historic" w:cs="Segoe UI Historic"/>
          <w:sz w:val="24"/>
          <w:szCs w:val="24"/>
        </w:rPr>
        <w:t>ght which is in the disc (Aten)</w:t>
      </w:r>
      <w:r w:rsidR="00E0274A" w:rsidRPr="00E0274A">
        <w:rPr>
          <w:rFonts w:ascii="Segoe UI Historic" w:hAnsi="Segoe UI Historic" w:cs="Segoe UI Historic"/>
          <w:sz w:val="24"/>
          <w:szCs w:val="24"/>
        </w:rPr>
        <w:t>”</w:t>
      </w:r>
      <w:r w:rsidR="00E0274A">
        <w:rPr>
          <w:rFonts w:ascii="Segoe UI Historic" w:hAnsi="Segoe UI Historic" w:cs="Segoe UI Historic"/>
          <w:sz w:val="24"/>
          <w:szCs w:val="24"/>
        </w:rPr>
        <w:t>’ (Hoffmeier, 2015: 91),</w:t>
      </w:r>
      <w:r w:rsidR="009358BB">
        <w:rPr>
          <w:rFonts w:ascii="Segoe UI Historic" w:hAnsi="Segoe UI Historic" w:cs="Segoe UI Historic"/>
          <w:sz w:val="24"/>
          <w:szCs w:val="24"/>
        </w:rPr>
        <w:t xml:space="preserve"> within the Karnak complex which was dedicated to Amun</w:t>
      </w:r>
      <w:r w:rsidR="00113C0B">
        <w:rPr>
          <w:rFonts w:ascii="Segoe UI Historic" w:hAnsi="Segoe UI Historic" w:cs="Segoe UI Historic"/>
          <w:sz w:val="24"/>
          <w:szCs w:val="24"/>
        </w:rPr>
        <w:t xml:space="preserve">, before creating the new capital, </w:t>
      </w:r>
      <w:proofErr w:type="spellStart"/>
      <w:r w:rsidR="00113C0B">
        <w:rPr>
          <w:rFonts w:ascii="Segoe UI Historic" w:hAnsi="Segoe UI Historic" w:cs="Segoe UI Historic"/>
          <w:sz w:val="24"/>
          <w:szCs w:val="24"/>
        </w:rPr>
        <w:t>Akhet</w:t>
      </w:r>
      <w:proofErr w:type="spellEnd"/>
      <w:r w:rsidR="00113C0B">
        <w:rPr>
          <w:rFonts w:ascii="Segoe UI Historic" w:hAnsi="Segoe UI Historic" w:cs="Segoe UI Historic"/>
          <w:sz w:val="24"/>
          <w:szCs w:val="24"/>
        </w:rPr>
        <w:t>-Aten (Kemp, 1994: 205).</w:t>
      </w:r>
      <w:r w:rsidR="00E0274A">
        <w:rPr>
          <w:rFonts w:ascii="Segoe UI Historic" w:hAnsi="Segoe UI Historic" w:cs="Segoe UI Historic"/>
          <w:sz w:val="24"/>
          <w:szCs w:val="24"/>
        </w:rPr>
        <w:t xml:space="preserve"> </w:t>
      </w:r>
      <w:r w:rsidR="00E7317D">
        <w:rPr>
          <w:rFonts w:ascii="Segoe UI Historic" w:hAnsi="Segoe UI Historic" w:cs="Segoe UI Historic"/>
          <w:sz w:val="24"/>
          <w:szCs w:val="24"/>
        </w:rPr>
        <w:t xml:space="preserve">This </w:t>
      </w:r>
      <w:r w:rsidR="00477F30">
        <w:rPr>
          <w:rFonts w:ascii="Segoe UI Historic" w:hAnsi="Segoe UI Historic" w:cs="Segoe UI Historic"/>
          <w:sz w:val="24"/>
          <w:szCs w:val="24"/>
        </w:rPr>
        <w:t>has been</w:t>
      </w:r>
      <w:r w:rsidR="00E7317D">
        <w:rPr>
          <w:rFonts w:ascii="Segoe UI Historic" w:hAnsi="Segoe UI Historic" w:cs="Segoe UI Historic"/>
          <w:sz w:val="24"/>
          <w:szCs w:val="24"/>
        </w:rPr>
        <w:t xml:space="preserve"> discussed </w:t>
      </w:r>
      <w:r>
        <w:rPr>
          <w:rFonts w:ascii="Segoe UI Historic" w:hAnsi="Segoe UI Historic" w:cs="Segoe UI Historic"/>
          <w:sz w:val="24"/>
          <w:szCs w:val="24"/>
        </w:rPr>
        <w:t>as</w:t>
      </w:r>
      <w:r w:rsidR="00477F30">
        <w:rPr>
          <w:rFonts w:ascii="Segoe UI Historic" w:hAnsi="Segoe UI Historic" w:cs="Segoe UI Historic"/>
          <w:sz w:val="24"/>
          <w:szCs w:val="24"/>
        </w:rPr>
        <w:t xml:space="preserve"> being</w:t>
      </w:r>
      <w:r>
        <w:rPr>
          <w:rFonts w:ascii="Segoe UI Historic" w:hAnsi="Segoe UI Historic" w:cs="Segoe UI Historic"/>
          <w:sz w:val="24"/>
          <w:szCs w:val="24"/>
        </w:rPr>
        <w:t xml:space="preserve"> the first steps towards a </w:t>
      </w:r>
      <w:r w:rsidR="00E7317D">
        <w:rPr>
          <w:rFonts w:ascii="Segoe UI Historic" w:hAnsi="Segoe UI Historic" w:cs="Segoe UI Historic"/>
          <w:sz w:val="24"/>
          <w:szCs w:val="24"/>
        </w:rPr>
        <w:t>“</w:t>
      </w:r>
      <w:r>
        <w:rPr>
          <w:rFonts w:ascii="Segoe UI Historic" w:hAnsi="Segoe UI Historic" w:cs="Segoe UI Historic"/>
          <w:sz w:val="24"/>
          <w:szCs w:val="24"/>
        </w:rPr>
        <w:t>mono</w:t>
      </w:r>
      <w:r w:rsidR="00E7317D">
        <w:rPr>
          <w:rFonts w:ascii="Segoe UI Historic" w:hAnsi="Segoe UI Historic" w:cs="Segoe UI Historic"/>
          <w:sz w:val="24"/>
          <w:szCs w:val="24"/>
        </w:rPr>
        <w:t>t</w:t>
      </w:r>
      <w:r>
        <w:rPr>
          <w:rFonts w:ascii="Segoe UI Historic" w:hAnsi="Segoe UI Historic" w:cs="Segoe UI Historic"/>
          <w:sz w:val="24"/>
          <w:szCs w:val="24"/>
        </w:rPr>
        <w:t>heistic</w:t>
      </w:r>
      <w:r w:rsidR="00E7317D">
        <w:rPr>
          <w:rFonts w:ascii="Segoe UI Historic" w:hAnsi="Segoe UI Historic" w:cs="Segoe UI Historic"/>
          <w:sz w:val="24"/>
          <w:szCs w:val="24"/>
        </w:rPr>
        <w:t>” religion, as opposed to the previous polytheism. B</w:t>
      </w:r>
      <w:r>
        <w:rPr>
          <w:rFonts w:ascii="Segoe UI Historic" w:hAnsi="Segoe UI Historic" w:cs="Segoe UI Historic"/>
          <w:sz w:val="24"/>
          <w:szCs w:val="24"/>
        </w:rPr>
        <w:t xml:space="preserve">y his fifth regnal </w:t>
      </w:r>
      <w:r>
        <w:rPr>
          <w:rFonts w:ascii="Segoe UI Historic" w:hAnsi="Segoe UI Historic" w:cs="Segoe UI Historic"/>
          <w:sz w:val="24"/>
          <w:szCs w:val="24"/>
        </w:rPr>
        <w:t xml:space="preserve">year </w:t>
      </w:r>
      <w:r w:rsidR="003D08A8">
        <w:rPr>
          <w:rFonts w:ascii="Segoe UI Historic" w:hAnsi="Segoe UI Historic" w:cs="Segoe UI Historic"/>
          <w:sz w:val="24"/>
          <w:szCs w:val="24"/>
        </w:rPr>
        <w:t>he</w:t>
      </w:r>
      <w:r>
        <w:rPr>
          <w:rFonts w:ascii="Segoe UI Historic" w:hAnsi="Segoe UI Historic" w:cs="Segoe UI Historic"/>
          <w:sz w:val="24"/>
          <w:szCs w:val="24"/>
        </w:rPr>
        <w:t xml:space="preserve"> </w:t>
      </w:r>
      <w:r w:rsidR="00693FD4">
        <w:rPr>
          <w:rFonts w:ascii="Segoe UI Historic" w:hAnsi="Segoe UI Historic" w:cs="Segoe UI Historic"/>
          <w:sz w:val="24"/>
          <w:szCs w:val="24"/>
        </w:rPr>
        <w:t xml:space="preserve">had </w:t>
      </w:r>
      <w:r>
        <w:rPr>
          <w:rFonts w:ascii="Segoe UI Historic" w:hAnsi="Segoe UI Historic" w:cs="Segoe UI Historic"/>
          <w:sz w:val="24"/>
          <w:szCs w:val="24"/>
        </w:rPr>
        <w:t xml:space="preserve">changed </w:t>
      </w:r>
      <w:r>
        <w:rPr>
          <w:rFonts w:ascii="Segoe UI Historic" w:hAnsi="Segoe UI Historic" w:cs="Segoe UI Historic"/>
          <w:sz w:val="24"/>
          <w:szCs w:val="24"/>
        </w:rPr>
        <w:t xml:space="preserve">his name </w:t>
      </w:r>
      <w:r w:rsidR="00E7317D">
        <w:rPr>
          <w:rFonts w:ascii="Segoe UI Historic" w:hAnsi="Segoe UI Historic" w:cs="Segoe UI Historic"/>
          <w:sz w:val="24"/>
          <w:szCs w:val="24"/>
        </w:rPr>
        <w:t>from Amenhotep meaning “Amun is satisfied” to Akhenaten meaning “</w:t>
      </w:r>
      <w:r w:rsidR="00D70BBA">
        <w:rPr>
          <w:rFonts w:ascii="Segoe UI Historic" w:hAnsi="Segoe UI Historic" w:cs="Segoe UI Historic"/>
          <w:sz w:val="24"/>
          <w:szCs w:val="24"/>
        </w:rPr>
        <w:t>glory of the sun disc</w:t>
      </w:r>
      <w:r w:rsidR="00E7317D">
        <w:rPr>
          <w:rFonts w:ascii="Segoe UI Historic" w:hAnsi="Segoe UI Historic" w:cs="Segoe UI Historic"/>
          <w:sz w:val="24"/>
          <w:szCs w:val="24"/>
        </w:rPr>
        <w:t>”</w:t>
      </w:r>
      <w:r>
        <w:rPr>
          <w:rFonts w:ascii="Segoe UI Historic" w:hAnsi="Segoe UI Historic" w:cs="Segoe UI Historic"/>
          <w:sz w:val="24"/>
          <w:szCs w:val="24"/>
        </w:rPr>
        <w:t xml:space="preserve"> in dedication to the god Aten</w:t>
      </w:r>
      <w:r w:rsidR="00D70BBA">
        <w:rPr>
          <w:rFonts w:ascii="Segoe UI Historic" w:hAnsi="Segoe UI Historic" w:cs="Segoe UI Historic"/>
          <w:sz w:val="24"/>
          <w:szCs w:val="24"/>
        </w:rPr>
        <w:t xml:space="preserve"> (Shaw and Nicholson, 1995: 20)</w:t>
      </w:r>
      <w:r>
        <w:rPr>
          <w:rFonts w:ascii="Segoe UI Historic" w:hAnsi="Segoe UI Historic" w:cs="Segoe UI Historic"/>
          <w:sz w:val="24"/>
          <w:szCs w:val="24"/>
        </w:rPr>
        <w:t>. He proclaimed himself as the son of Aten</w:t>
      </w:r>
      <w:r w:rsidR="009B2DBD">
        <w:rPr>
          <w:rFonts w:ascii="Segoe UI Historic" w:hAnsi="Segoe UI Historic" w:cs="Segoe UI Historic"/>
          <w:sz w:val="24"/>
          <w:szCs w:val="24"/>
        </w:rPr>
        <w:t xml:space="preserve"> (Williamson, 2015: 7)</w:t>
      </w:r>
      <w:r w:rsidR="008128AD">
        <w:rPr>
          <w:rFonts w:ascii="Segoe UI Historic" w:hAnsi="Segoe UI Historic" w:cs="Segoe UI Historic"/>
          <w:sz w:val="24"/>
          <w:szCs w:val="24"/>
        </w:rPr>
        <w:t>,</w:t>
      </w:r>
      <w:r>
        <w:rPr>
          <w:rFonts w:ascii="Segoe UI Historic" w:hAnsi="Segoe UI Historic" w:cs="Segoe UI Historic"/>
          <w:sz w:val="24"/>
          <w:szCs w:val="24"/>
        </w:rPr>
        <w:t xml:space="preserve"> </w:t>
      </w:r>
      <w:r w:rsidR="008128AD">
        <w:rPr>
          <w:rFonts w:ascii="Segoe UI Historic" w:hAnsi="Segoe UI Historic" w:cs="Segoe UI Historic"/>
          <w:sz w:val="24"/>
          <w:szCs w:val="24"/>
        </w:rPr>
        <w:t>which,</w:t>
      </w:r>
      <w:r>
        <w:rPr>
          <w:rFonts w:ascii="Segoe UI Historic" w:hAnsi="Segoe UI Historic" w:cs="Segoe UI Historic"/>
          <w:sz w:val="24"/>
          <w:szCs w:val="24"/>
        </w:rPr>
        <w:t xml:space="preserve"> A</w:t>
      </w:r>
      <w:r w:rsidR="00E7317D">
        <w:rPr>
          <w:rFonts w:ascii="Segoe UI Historic" w:hAnsi="Segoe UI Historic" w:cs="Segoe UI Historic"/>
          <w:sz w:val="24"/>
          <w:szCs w:val="24"/>
        </w:rPr>
        <w:t>khen</w:t>
      </w:r>
      <w:r>
        <w:rPr>
          <w:rFonts w:ascii="Segoe UI Historic" w:hAnsi="Segoe UI Historic" w:cs="Segoe UI Historic"/>
          <w:sz w:val="24"/>
          <w:szCs w:val="24"/>
        </w:rPr>
        <w:t xml:space="preserve">aten understood, meant that only he could communicate with Aten, give offerings to Aten, and only </w:t>
      </w:r>
      <w:r w:rsidR="00A10B8D">
        <w:rPr>
          <w:rFonts w:ascii="Segoe UI Historic" w:hAnsi="Segoe UI Historic" w:cs="Segoe UI Historic"/>
          <w:sz w:val="24"/>
          <w:szCs w:val="24"/>
        </w:rPr>
        <w:t>the pharaoh</w:t>
      </w:r>
      <w:r>
        <w:rPr>
          <w:rFonts w:ascii="Segoe UI Historic" w:hAnsi="Segoe UI Historic" w:cs="Segoe UI Historic"/>
          <w:sz w:val="24"/>
          <w:szCs w:val="24"/>
        </w:rPr>
        <w:t xml:space="preserve"> was able to allow Aten to live forever as the only</w:t>
      </w:r>
      <w:r w:rsidR="00D70BBA">
        <w:rPr>
          <w:rFonts w:ascii="Segoe UI Historic" w:hAnsi="Segoe UI Historic" w:cs="Segoe UI Historic"/>
          <w:sz w:val="24"/>
          <w:szCs w:val="24"/>
        </w:rPr>
        <w:t xml:space="preserve"> god. M</w:t>
      </w:r>
      <w:r>
        <w:rPr>
          <w:rFonts w:ascii="Segoe UI Historic" w:hAnsi="Segoe UI Historic" w:cs="Segoe UI Historic"/>
          <w:sz w:val="24"/>
          <w:szCs w:val="24"/>
        </w:rPr>
        <w:t>a</w:t>
      </w:r>
      <w:r w:rsidR="00D70BBA">
        <w:rPr>
          <w:rFonts w:ascii="Segoe UI Historic" w:hAnsi="Segoe UI Historic" w:cs="Segoe UI Historic"/>
          <w:sz w:val="24"/>
          <w:szCs w:val="24"/>
        </w:rPr>
        <w:t>ny of these aspects can be seen in the Boundary Stelae</w:t>
      </w:r>
      <w:r w:rsidR="00A10B8D">
        <w:rPr>
          <w:rFonts w:ascii="Segoe UI Historic" w:hAnsi="Segoe UI Historic" w:cs="Segoe UI Historic"/>
          <w:sz w:val="24"/>
          <w:szCs w:val="24"/>
        </w:rPr>
        <w:t xml:space="preserve">, including Aten informing Akhenaten regarding the </w:t>
      </w:r>
      <w:r w:rsidR="008128AD">
        <w:rPr>
          <w:rFonts w:ascii="Segoe UI Historic" w:hAnsi="Segoe UI Historic" w:cs="Segoe UI Historic"/>
          <w:sz w:val="24"/>
          <w:szCs w:val="24"/>
        </w:rPr>
        <w:t>building</w:t>
      </w:r>
      <w:r w:rsidR="00A10B8D">
        <w:rPr>
          <w:rFonts w:ascii="Segoe UI Historic" w:hAnsi="Segoe UI Historic" w:cs="Segoe UI Historic"/>
          <w:sz w:val="24"/>
          <w:szCs w:val="24"/>
        </w:rPr>
        <w:t xml:space="preserve"> of</w:t>
      </w:r>
      <w:r w:rsidR="008128AD">
        <w:rPr>
          <w:rFonts w:ascii="Segoe UI Historic" w:hAnsi="Segoe UI Historic" w:cs="Segoe UI Historic"/>
          <w:sz w:val="24"/>
          <w:szCs w:val="24"/>
        </w:rPr>
        <w:t xml:space="preserve"> </w:t>
      </w:r>
      <w:proofErr w:type="spellStart"/>
      <w:r w:rsidR="008128AD">
        <w:rPr>
          <w:rFonts w:ascii="Segoe UI Historic" w:hAnsi="Segoe UI Historic" w:cs="Segoe UI Historic"/>
          <w:sz w:val="24"/>
          <w:szCs w:val="24"/>
        </w:rPr>
        <w:t>Akhet</w:t>
      </w:r>
      <w:proofErr w:type="spellEnd"/>
      <w:r w:rsidR="008128AD">
        <w:rPr>
          <w:rFonts w:ascii="Segoe UI Historic" w:hAnsi="Segoe UI Historic" w:cs="Segoe UI Historic"/>
          <w:sz w:val="24"/>
          <w:szCs w:val="24"/>
        </w:rPr>
        <w:t>-Aten, “Horizon of the Sun’s Disc” (Kemp, 2012: 17).</w:t>
      </w:r>
    </w:p>
    <w:p w14:paraId="4061F38C" w14:textId="77777777" w:rsidR="007D0389" w:rsidRDefault="007D0389" w:rsidP="00477F30">
      <w:pPr>
        <w:pStyle w:val="NoSpacing"/>
        <w:spacing w:line="360" w:lineRule="auto"/>
        <w:rPr>
          <w:rFonts w:ascii="Segoe UI Historic" w:hAnsi="Segoe UI Historic" w:cs="Segoe UI Historic"/>
          <w:sz w:val="24"/>
          <w:szCs w:val="24"/>
        </w:rPr>
      </w:pPr>
    </w:p>
    <w:p w14:paraId="334E044B" w14:textId="4B22AC36" w:rsidR="009C3C9B" w:rsidRDefault="009C3C9B" w:rsidP="00477F30">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The Boundary Stelae </w:t>
      </w:r>
      <w:r w:rsidR="00E21380">
        <w:rPr>
          <w:rFonts w:ascii="Segoe UI Historic" w:hAnsi="Segoe UI Historic" w:cs="Segoe UI Historic"/>
          <w:sz w:val="24"/>
          <w:szCs w:val="24"/>
        </w:rPr>
        <w:t>were</w:t>
      </w:r>
      <w:r>
        <w:rPr>
          <w:rFonts w:ascii="Segoe UI Historic" w:hAnsi="Segoe UI Historic" w:cs="Segoe UI Historic"/>
          <w:sz w:val="24"/>
          <w:szCs w:val="24"/>
        </w:rPr>
        <w:t xml:space="preserve"> used to mark out the </w:t>
      </w:r>
      <w:r w:rsidR="003D08A8">
        <w:rPr>
          <w:rFonts w:ascii="Segoe UI Historic" w:hAnsi="Segoe UI Historic" w:cs="Segoe UI Historic"/>
          <w:sz w:val="24"/>
          <w:szCs w:val="24"/>
        </w:rPr>
        <w:t>borders</w:t>
      </w:r>
      <w:r>
        <w:rPr>
          <w:rFonts w:ascii="Segoe UI Historic" w:hAnsi="Segoe UI Historic" w:cs="Segoe UI Historic"/>
          <w:sz w:val="24"/>
          <w:szCs w:val="24"/>
        </w:rPr>
        <w:t xml:space="preserve"> of the city, </w:t>
      </w:r>
      <w:proofErr w:type="spellStart"/>
      <w:r>
        <w:rPr>
          <w:rFonts w:ascii="Segoe UI Historic" w:hAnsi="Segoe UI Historic" w:cs="Segoe UI Historic"/>
          <w:sz w:val="24"/>
          <w:szCs w:val="24"/>
        </w:rPr>
        <w:t>Akhet</w:t>
      </w:r>
      <w:proofErr w:type="spellEnd"/>
      <w:r>
        <w:rPr>
          <w:rFonts w:ascii="Segoe UI Historic" w:hAnsi="Segoe UI Historic" w:cs="Segoe UI Historic"/>
          <w:sz w:val="24"/>
          <w:szCs w:val="24"/>
        </w:rPr>
        <w:t xml:space="preserve">-Aten; the city could not develop </w:t>
      </w:r>
      <w:r w:rsidR="00CC25F9">
        <w:rPr>
          <w:rFonts w:ascii="Segoe UI Historic" w:hAnsi="Segoe UI Historic" w:cs="Segoe UI Historic"/>
          <w:sz w:val="24"/>
          <w:szCs w:val="24"/>
        </w:rPr>
        <w:t>beyond</w:t>
      </w:r>
      <w:r>
        <w:rPr>
          <w:rFonts w:ascii="Segoe UI Historic" w:hAnsi="Segoe UI Historic" w:cs="Segoe UI Historic"/>
          <w:sz w:val="24"/>
          <w:szCs w:val="24"/>
        </w:rPr>
        <w:t xml:space="preserve"> the Boundary Stelae, and everything within the city was the possession of Aten (Kemp, 2012: 35).</w:t>
      </w:r>
      <w:r w:rsidR="003D08A8">
        <w:rPr>
          <w:rFonts w:ascii="Segoe UI Historic" w:hAnsi="Segoe UI Historic" w:cs="Segoe UI Historic"/>
          <w:sz w:val="24"/>
          <w:szCs w:val="24"/>
        </w:rPr>
        <w:t xml:space="preserve"> </w:t>
      </w:r>
      <w:r w:rsidR="007D0389">
        <w:rPr>
          <w:rFonts w:ascii="Segoe UI Historic" w:hAnsi="Segoe UI Historic" w:cs="Segoe UI Historic"/>
          <w:sz w:val="24"/>
          <w:szCs w:val="24"/>
        </w:rPr>
        <w:t>These were erected in three sets</w:t>
      </w:r>
      <w:r w:rsidR="00693FD4">
        <w:rPr>
          <w:rFonts w:ascii="Segoe UI Historic" w:hAnsi="Segoe UI Historic" w:cs="Segoe UI Historic"/>
          <w:sz w:val="24"/>
          <w:szCs w:val="24"/>
        </w:rPr>
        <w:t>:</w:t>
      </w:r>
      <w:r w:rsidR="007D0389">
        <w:rPr>
          <w:rFonts w:ascii="Segoe UI Historic" w:hAnsi="Segoe UI Historic" w:cs="Segoe UI Historic"/>
          <w:sz w:val="24"/>
          <w:szCs w:val="24"/>
        </w:rPr>
        <w:t xml:space="preserve"> </w:t>
      </w:r>
      <w:proofErr w:type="gramStart"/>
      <w:r w:rsidR="007D0389">
        <w:rPr>
          <w:rFonts w:ascii="Segoe UI Historic" w:hAnsi="Segoe UI Historic" w:cs="Segoe UI Historic"/>
          <w:sz w:val="24"/>
          <w:szCs w:val="24"/>
        </w:rPr>
        <w:t>the</w:t>
      </w:r>
      <w:proofErr w:type="gramEnd"/>
      <w:r w:rsidR="007D0389">
        <w:rPr>
          <w:rFonts w:ascii="Segoe UI Historic" w:hAnsi="Segoe UI Historic" w:cs="Segoe UI Historic"/>
          <w:sz w:val="24"/>
          <w:szCs w:val="24"/>
        </w:rPr>
        <w:t xml:space="preserve"> Earlier Proclamation dates to the fifth regnal year of Akhenaten</w:t>
      </w:r>
      <w:r w:rsidR="003D08A8">
        <w:rPr>
          <w:rFonts w:ascii="Segoe UI Historic" w:hAnsi="Segoe UI Historic" w:cs="Segoe UI Historic"/>
          <w:sz w:val="24"/>
          <w:szCs w:val="24"/>
        </w:rPr>
        <w:t>, while the Later Proclamation dates to the sixth year</w:t>
      </w:r>
      <w:r w:rsidR="00693FD4">
        <w:rPr>
          <w:rFonts w:ascii="Segoe UI Historic" w:hAnsi="Segoe UI Historic" w:cs="Segoe UI Historic"/>
          <w:sz w:val="24"/>
          <w:szCs w:val="24"/>
        </w:rPr>
        <w:t>,</w:t>
      </w:r>
      <w:r w:rsidR="003D08A8">
        <w:rPr>
          <w:rFonts w:ascii="Segoe UI Historic" w:hAnsi="Segoe UI Historic" w:cs="Segoe UI Historic"/>
          <w:sz w:val="24"/>
          <w:szCs w:val="24"/>
        </w:rPr>
        <w:t xml:space="preserve"> with additions made in the eighth year (Kemp, 2012: 33).</w:t>
      </w:r>
      <w:r>
        <w:rPr>
          <w:rFonts w:ascii="Segoe UI Historic" w:hAnsi="Segoe UI Historic" w:cs="Segoe UI Historic"/>
          <w:sz w:val="24"/>
          <w:szCs w:val="24"/>
        </w:rPr>
        <w:t xml:space="preserve"> For the Earlier Proclamation, one stela (stela X) was placed at the northern-most and one (stela </w:t>
      </w:r>
      <w:r w:rsidR="007D0389">
        <w:rPr>
          <w:rFonts w:ascii="Segoe UI Historic" w:hAnsi="Segoe UI Historic" w:cs="Segoe UI Historic"/>
          <w:sz w:val="24"/>
          <w:szCs w:val="24"/>
        </w:rPr>
        <w:t>M) at the southern-most point. T</w:t>
      </w:r>
      <w:r>
        <w:rPr>
          <w:rFonts w:ascii="Segoe UI Historic" w:hAnsi="Segoe UI Historic" w:cs="Segoe UI Historic"/>
          <w:sz w:val="24"/>
          <w:szCs w:val="24"/>
        </w:rPr>
        <w:t xml:space="preserve">he southern stela was replaced, due to the </w:t>
      </w:r>
      <w:r w:rsidR="007D0389">
        <w:rPr>
          <w:rFonts w:ascii="Segoe UI Historic" w:hAnsi="Segoe UI Historic" w:cs="Segoe UI Historic"/>
          <w:sz w:val="24"/>
          <w:szCs w:val="24"/>
        </w:rPr>
        <w:t>damage of the original stela. It was</w:t>
      </w:r>
      <w:r>
        <w:rPr>
          <w:rFonts w:ascii="Segoe UI Historic" w:hAnsi="Segoe UI Historic" w:cs="Segoe UI Historic"/>
          <w:sz w:val="24"/>
          <w:szCs w:val="24"/>
        </w:rPr>
        <w:t xml:space="preserve"> pl</w:t>
      </w:r>
      <w:r w:rsidR="00E21380">
        <w:rPr>
          <w:rFonts w:ascii="Segoe UI Historic" w:hAnsi="Segoe UI Historic" w:cs="Segoe UI Historic"/>
          <w:sz w:val="24"/>
          <w:szCs w:val="24"/>
        </w:rPr>
        <w:t>aced</w:t>
      </w:r>
      <w:r w:rsidR="007D0389">
        <w:rPr>
          <w:rFonts w:ascii="Segoe UI Historic" w:hAnsi="Segoe UI Historic" w:cs="Segoe UI Historic"/>
          <w:sz w:val="24"/>
          <w:szCs w:val="24"/>
        </w:rPr>
        <w:t xml:space="preserve"> </w:t>
      </w:r>
      <w:r>
        <w:rPr>
          <w:rFonts w:ascii="Segoe UI Historic" w:hAnsi="Segoe UI Historic" w:cs="Segoe UI Historic"/>
          <w:sz w:val="24"/>
          <w:szCs w:val="24"/>
        </w:rPr>
        <w:t>half a kilometre</w:t>
      </w:r>
      <w:r w:rsidR="007D0389">
        <w:rPr>
          <w:rFonts w:ascii="Segoe UI Historic" w:hAnsi="Segoe UI Historic" w:cs="Segoe UI Historic"/>
          <w:sz w:val="24"/>
          <w:szCs w:val="24"/>
        </w:rPr>
        <w:t xml:space="preserve"> south with stela K (Murnane and Siclen, 1993: 11).</w:t>
      </w:r>
      <w:r>
        <w:rPr>
          <w:rFonts w:ascii="Segoe UI Historic" w:hAnsi="Segoe UI Historic" w:cs="Segoe UI Historic"/>
          <w:sz w:val="24"/>
          <w:szCs w:val="24"/>
        </w:rPr>
        <w:t xml:space="preserve"> </w:t>
      </w:r>
      <w:r w:rsidR="007D0389">
        <w:rPr>
          <w:rFonts w:ascii="Segoe UI Historic" w:hAnsi="Segoe UI Historic" w:cs="Segoe UI Historic"/>
          <w:sz w:val="24"/>
          <w:szCs w:val="24"/>
        </w:rPr>
        <w:t xml:space="preserve">This </w:t>
      </w:r>
      <w:r>
        <w:rPr>
          <w:rFonts w:ascii="Segoe UI Historic" w:hAnsi="Segoe UI Historic" w:cs="Segoe UI Historic"/>
          <w:sz w:val="24"/>
          <w:szCs w:val="24"/>
        </w:rPr>
        <w:t>expand</w:t>
      </w:r>
      <w:r w:rsidR="007D0389">
        <w:rPr>
          <w:rFonts w:ascii="Segoe UI Historic" w:hAnsi="Segoe UI Historic" w:cs="Segoe UI Historic"/>
          <w:sz w:val="24"/>
          <w:szCs w:val="24"/>
        </w:rPr>
        <w:t>ed</w:t>
      </w:r>
      <w:r>
        <w:rPr>
          <w:rFonts w:ascii="Segoe UI Historic" w:hAnsi="Segoe UI Historic" w:cs="Segoe UI Historic"/>
          <w:sz w:val="24"/>
          <w:szCs w:val="24"/>
        </w:rPr>
        <w:t xml:space="preserve"> </w:t>
      </w:r>
      <w:r w:rsidR="007D0389">
        <w:rPr>
          <w:rFonts w:ascii="Segoe UI Historic" w:hAnsi="Segoe UI Historic" w:cs="Segoe UI Historic"/>
          <w:sz w:val="24"/>
          <w:szCs w:val="24"/>
        </w:rPr>
        <w:t>the</w:t>
      </w:r>
      <w:r>
        <w:rPr>
          <w:rFonts w:ascii="Segoe UI Historic" w:hAnsi="Segoe UI Historic" w:cs="Segoe UI Historic"/>
          <w:sz w:val="24"/>
          <w:szCs w:val="24"/>
        </w:rPr>
        <w:t xml:space="preserve"> territory</w:t>
      </w:r>
      <w:r w:rsidR="007D0389">
        <w:rPr>
          <w:rFonts w:ascii="Segoe UI Historic" w:hAnsi="Segoe UI Historic" w:cs="Segoe UI Historic"/>
          <w:sz w:val="24"/>
          <w:szCs w:val="24"/>
        </w:rPr>
        <w:t xml:space="preserve"> of </w:t>
      </w:r>
      <w:proofErr w:type="spellStart"/>
      <w:r w:rsidR="007D0389">
        <w:rPr>
          <w:rFonts w:ascii="Segoe UI Historic" w:hAnsi="Segoe UI Historic" w:cs="Segoe UI Historic"/>
          <w:sz w:val="24"/>
          <w:szCs w:val="24"/>
        </w:rPr>
        <w:t>Akhet</w:t>
      </w:r>
      <w:proofErr w:type="spellEnd"/>
      <w:r w:rsidR="007D0389">
        <w:rPr>
          <w:rFonts w:ascii="Segoe UI Historic" w:hAnsi="Segoe UI Historic" w:cs="Segoe UI Historic"/>
          <w:sz w:val="24"/>
          <w:szCs w:val="24"/>
        </w:rPr>
        <w:t>-Aten</w:t>
      </w:r>
      <w:r>
        <w:rPr>
          <w:rFonts w:ascii="Segoe UI Historic" w:hAnsi="Segoe UI Historic" w:cs="Segoe UI Historic"/>
          <w:sz w:val="24"/>
          <w:szCs w:val="24"/>
        </w:rPr>
        <w:t>. With the degradation and substitution of the original stela,</w:t>
      </w:r>
      <w:r w:rsidR="00CC25F9">
        <w:rPr>
          <w:rFonts w:ascii="Segoe UI Historic" w:hAnsi="Segoe UI Historic" w:cs="Segoe UI Historic"/>
          <w:sz w:val="24"/>
          <w:szCs w:val="24"/>
        </w:rPr>
        <w:t xml:space="preserve"> certain</w:t>
      </w:r>
      <w:r>
        <w:rPr>
          <w:rFonts w:ascii="Segoe UI Historic" w:hAnsi="Segoe UI Historic" w:cs="Segoe UI Historic"/>
          <w:sz w:val="24"/>
          <w:szCs w:val="24"/>
        </w:rPr>
        <w:t xml:space="preserve"> information has </w:t>
      </w:r>
      <w:r>
        <w:rPr>
          <w:rFonts w:ascii="Segoe UI Historic" w:hAnsi="Segoe UI Historic" w:cs="Segoe UI Historic"/>
          <w:sz w:val="24"/>
          <w:szCs w:val="24"/>
        </w:rPr>
        <w:lastRenderedPageBreak/>
        <w:t>been lost</w:t>
      </w:r>
      <w:r w:rsidR="00693FD4">
        <w:rPr>
          <w:rFonts w:ascii="Segoe UI Historic" w:hAnsi="Segoe UI Historic" w:cs="Segoe UI Historic"/>
          <w:sz w:val="24"/>
          <w:szCs w:val="24"/>
        </w:rPr>
        <w:t>,</w:t>
      </w:r>
      <w:r>
        <w:rPr>
          <w:rFonts w:ascii="Segoe UI Historic" w:hAnsi="Segoe UI Historic" w:cs="Segoe UI Historic"/>
          <w:sz w:val="24"/>
          <w:szCs w:val="24"/>
        </w:rPr>
        <w:t xml:space="preserve"> </w:t>
      </w:r>
      <w:r w:rsidR="00CC25F9">
        <w:rPr>
          <w:rFonts w:ascii="Segoe UI Historic" w:hAnsi="Segoe UI Historic" w:cs="Segoe UI Historic"/>
          <w:sz w:val="24"/>
          <w:szCs w:val="24"/>
        </w:rPr>
        <w:t>such as what happened</w:t>
      </w:r>
      <w:r w:rsidR="00E21380">
        <w:rPr>
          <w:rFonts w:ascii="Segoe UI Historic" w:hAnsi="Segoe UI Historic" w:cs="Segoe UI Historic"/>
          <w:sz w:val="24"/>
          <w:szCs w:val="24"/>
        </w:rPr>
        <w:t xml:space="preserve"> </w:t>
      </w:r>
      <w:r>
        <w:rPr>
          <w:rFonts w:ascii="Segoe UI Historic" w:hAnsi="Segoe UI Historic" w:cs="Segoe UI Historic"/>
          <w:sz w:val="24"/>
          <w:szCs w:val="24"/>
        </w:rPr>
        <w:t>routine</w:t>
      </w:r>
      <w:r w:rsidR="00CC25F9">
        <w:rPr>
          <w:rFonts w:ascii="Segoe UI Historic" w:hAnsi="Segoe UI Historic" w:cs="Segoe UI Historic"/>
          <w:sz w:val="24"/>
          <w:szCs w:val="24"/>
        </w:rPr>
        <w:t xml:space="preserve">ly </w:t>
      </w:r>
      <w:r>
        <w:rPr>
          <w:rFonts w:ascii="Segoe UI Historic" w:hAnsi="Segoe UI Historic" w:cs="Segoe UI Historic"/>
          <w:sz w:val="24"/>
          <w:szCs w:val="24"/>
        </w:rPr>
        <w:t>within the city</w:t>
      </w:r>
      <w:r w:rsidR="00CC25F9">
        <w:rPr>
          <w:rFonts w:ascii="Segoe UI Historic" w:hAnsi="Segoe UI Historic" w:cs="Segoe UI Historic"/>
          <w:sz w:val="24"/>
          <w:szCs w:val="24"/>
        </w:rPr>
        <w:t xml:space="preserve"> and </w:t>
      </w:r>
      <w:r w:rsidR="00693FD4">
        <w:rPr>
          <w:rFonts w:ascii="Segoe UI Historic" w:hAnsi="Segoe UI Historic" w:cs="Segoe UI Historic"/>
          <w:sz w:val="24"/>
          <w:szCs w:val="24"/>
        </w:rPr>
        <w:t xml:space="preserve">Akhenaten’s </w:t>
      </w:r>
      <w:r>
        <w:rPr>
          <w:rFonts w:ascii="Segoe UI Historic" w:hAnsi="Segoe UI Historic" w:cs="Segoe UI Historic"/>
          <w:sz w:val="24"/>
          <w:szCs w:val="24"/>
        </w:rPr>
        <w:t>actions leading to his ‘revolution’</w:t>
      </w:r>
      <w:r w:rsidR="00CC25F9">
        <w:rPr>
          <w:rFonts w:ascii="Segoe UI Historic" w:hAnsi="Segoe UI Historic" w:cs="Segoe UI Historic"/>
          <w:sz w:val="24"/>
          <w:szCs w:val="24"/>
        </w:rPr>
        <w:t>, as well as his reasons</w:t>
      </w:r>
      <w:r>
        <w:rPr>
          <w:rFonts w:ascii="Segoe UI Historic" w:hAnsi="Segoe UI Historic" w:cs="Segoe UI Historic"/>
          <w:sz w:val="24"/>
          <w:szCs w:val="24"/>
        </w:rPr>
        <w:t xml:space="preserve"> (Murnane, 1995: 73). </w:t>
      </w:r>
    </w:p>
    <w:p w14:paraId="60C7B9DC" w14:textId="22CC3BF0" w:rsidR="009C3C9B" w:rsidRDefault="009C3C9B" w:rsidP="00477F30">
      <w:pPr>
        <w:pStyle w:val="NoSpacing"/>
        <w:spacing w:line="360" w:lineRule="auto"/>
        <w:rPr>
          <w:rFonts w:ascii="Segoe UI Historic" w:hAnsi="Segoe UI Historic" w:cs="Segoe UI Historic"/>
          <w:sz w:val="24"/>
          <w:szCs w:val="24"/>
        </w:rPr>
      </w:pPr>
    </w:p>
    <w:p w14:paraId="10242102" w14:textId="0C35643E" w:rsidR="009C3C9B" w:rsidRDefault="003D08A8" w:rsidP="00477F30">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This E</w:t>
      </w:r>
      <w:r w:rsidR="00CC25F9">
        <w:rPr>
          <w:rFonts w:ascii="Segoe UI Historic" w:hAnsi="Segoe UI Historic" w:cs="Segoe UI Historic"/>
          <w:sz w:val="24"/>
          <w:szCs w:val="24"/>
        </w:rPr>
        <w:t xml:space="preserve">arlier </w:t>
      </w:r>
      <w:r>
        <w:rPr>
          <w:rFonts w:ascii="Segoe UI Historic" w:hAnsi="Segoe UI Historic" w:cs="Segoe UI Historic"/>
          <w:sz w:val="24"/>
          <w:szCs w:val="24"/>
        </w:rPr>
        <w:t>P</w:t>
      </w:r>
      <w:r w:rsidR="00CC25F9">
        <w:rPr>
          <w:rFonts w:ascii="Segoe UI Historic" w:hAnsi="Segoe UI Historic" w:cs="Segoe UI Historic"/>
          <w:sz w:val="24"/>
          <w:szCs w:val="24"/>
        </w:rPr>
        <w:t>roclamation</w:t>
      </w:r>
      <w:r w:rsidR="009C3C9B">
        <w:rPr>
          <w:rFonts w:ascii="Segoe UI Historic" w:hAnsi="Segoe UI Historic" w:cs="Segoe UI Historic"/>
          <w:sz w:val="24"/>
          <w:szCs w:val="24"/>
        </w:rPr>
        <w:t xml:space="preserve"> is split into four sections: Introduction; Initial Appearance and Speech by the King; The Courtiers’ Reply; and The Decree.</w:t>
      </w:r>
      <w:r w:rsidR="009C3C9B" w:rsidRPr="009C3C9B">
        <w:rPr>
          <w:rFonts w:ascii="Segoe UI Historic" w:hAnsi="Segoe UI Historic" w:cs="Segoe UI Historic"/>
          <w:sz w:val="24"/>
          <w:szCs w:val="24"/>
        </w:rPr>
        <w:t xml:space="preserve"> </w:t>
      </w:r>
      <w:r w:rsidR="009C3C9B">
        <w:rPr>
          <w:rFonts w:ascii="Segoe UI Historic" w:hAnsi="Segoe UI Historic" w:cs="Segoe UI Historic"/>
          <w:sz w:val="24"/>
          <w:szCs w:val="24"/>
        </w:rPr>
        <w:t xml:space="preserve">The Introduction focusses on the Pharaoh Akhenaten and his wife Nefertiti, and the titles they held in relation to the god Aten, with mentions of compliments to the “greatness” of Aten, </w:t>
      </w:r>
      <w:r w:rsidR="00693FD4">
        <w:rPr>
          <w:rFonts w:ascii="Segoe UI Historic" w:hAnsi="Segoe UI Historic" w:cs="Segoe UI Historic"/>
          <w:sz w:val="24"/>
          <w:szCs w:val="24"/>
        </w:rPr>
        <w:t xml:space="preserve">- </w:t>
      </w:r>
      <w:r w:rsidR="009C3C9B">
        <w:rPr>
          <w:rFonts w:ascii="Segoe UI Historic" w:hAnsi="Segoe UI Historic" w:cs="Segoe UI Historic"/>
          <w:sz w:val="24"/>
          <w:szCs w:val="24"/>
        </w:rPr>
        <w:t>potentially to keep in his favour</w:t>
      </w:r>
      <w:r w:rsidR="00693FD4">
        <w:rPr>
          <w:rFonts w:ascii="Segoe UI Historic" w:hAnsi="Segoe UI Historic" w:cs="Segoe UI Historic"/>
          <w:sz w:val="24"/>
          <w:szCs w:val="24"/>
        </w:rPr>
        <w:t xml:space="preserve"> -</w:t>
      </w:r>
      <w:r w:rsidR="009C3C9B">
        <w:rPr>
          <w:rFonts w:ascii="Segoe UI Historic" w:hAnsi="Segoe UI Historic" w:cs="Segoe UI Historic"/>
          <w:sz w:val="24"/>
          <w:szCs w:val="24"/>
        </w:rPr>
        <w:t xml:space="preserve"> and show their dedicati</w:t>
      </w:r>
      <w:r w:rsidR="009C3C9B" w:rsidRPr="00E21380">
        <w:rPr>
          <w:rFonts w:ascii="Segoe UI Historic" w:hAnsi="Segoe UI Historic" w:cs="Segoe UI Historic"/>
          <w:sz w:val="24"/>
          <w:szCs w:val="24"/>
        </w:rPr>
        <w:t>on to the god, an</w:t>
      </w:r>
      <w:r w:rsidR="00E21380">
        <w:rPr>
          <w:rFonts w:ascii="Segoe UI Historic" w:hAnsi="Segoe UI Historic" w:cs="Segoe UI Historic"/>
          <w:sz w:val="24"/>
          <w:szCs w:val="24"/>
        </w:rPr>
        <w:t xml:space="preserve">d only </w:t>
      </w:r>
      <w:r w:rsidR="00693FD4">
        <w:rPr>
          <w:rFonts w:ascii="Segoe UI Historic" w:hAnsi="Segoe UI Historic" w:cs="Segoe UI Historic"/>
          <w:sz w:val="24"/>
          <w:szCs w:val="24"/>
        </w:rPr>
        <w:t xml:space="preserve">to </w:t>
      </w:r>
      <w:r w:rsidR="00E21380">
        <w:rPr>
          <w:rFonts w:ascii="Segoe UI Historic" w:hAnsi="Segoe UI Historic" w:cs="Segoe UI Historic"/>
          <w:sz w:val="24"/>
          <w:szCs w:val="24"/>
        </w:rPr>
        <w:t>him. Section two convey</w:t>
      </w:r>
      <w:r w:rsidR="009C3C9B" w:rsidRPr="00E21380">
        <w:rPr>
          <w:rFonts w:ascii="Segoe UI Historic" w:hAnsi="Segoe UI Historic" w:cs="Segoe UI Historic"/>
          <w:sz w:val="24"/>
          <w:szCs w:val="24"/>
        </w:rPr>
        <w:t xml:space="preserve">s the wishes of Aten; that he wanted a monument built </w:t>
      </w:r>
      <w:r w:rsidR="00E21380">
        <w:rPr>
          <w:rFonts w:ascii="Segoe UI Historic" w:hAnsi="Segoe UI Historic" w:cs="Segoe UI Historic"/>
          <w:sz w:val="24"/>
          <w:szCs w:val="24"/>
        </w:rPr>
        <w:t>for</w:t>
      </w:r>
      <w:r w:rsidR="009C3C9B" w:rsidRPr="00E21380">
        <w:rPr>
          <w:rFonts w:ascii="Segoe UI Historic" w:hAnsi="Segoe UI Historic" w:cs="Segoe UI Historic"/>
          <w:sz w:val="24"/>
          <w:szCs w:val="24"/>
        </w:rPr>
        <w:t xml:space="preserve"> his worship, </w:t>
      </w:r>
      <w:r w:rsidR="00FE0BA5" w:rsidRPr="00E21380">
        <w:rPr>
          <w:rFonts w:ascii="Segoe UI Historic" w:hAnsi="Segoe UI Historic" w:cs="Segoe UI Historic"/>
          <w:sz w:val="24"/>
          <w:szCs w:val="24"/>
        </w:rPr>
        <w:t xml:space="preserve">the location </w:t>
      </w:r>
      <w:r w:rsidR="00CC25F9">
        <w:rPr>
          <w:rFonts w:ascii="Segoe UI Historic" w:hAnsi="Segoe UI Historic" w:cs="Segoe UI Historic"/>
          <w:sz w:val="24"/>
          <w:szCs w:val="24"/>
        </w:rPr>
        <w:t xml:space="preserve">in </w:t>
      </w:r>
      <w:r w:rsidR="00FE0BA5" w:rsidRPr="00E21380">
        <w:rPr>
          <w:rFonts w:ascii="Segoe UI Historic" w:hAnsi="Segoe UI Historic" w:cs="Segoe UI Historic"/>
          <w:sz w:val="24"/>
          <w:szCs w:val="24"/>
        </w:rPr>
        <w:t>which</w:t>
      </w:r>
      <w:r w:rsidR="009C3C9B" w:rsidRPr="00E21380">
        <w:rPr>
          <w:rFonts w:ascii="Segoe UI Historic" w:hAnsi="Segoe UI Historic" w:cs="Segoe UI Historic"/>
          <w:sz w:val="24"/>
          <w:szCs w:val="24"/>
        </w:rPr>
        <w:t xml:space="preserve"> he desired it to be, the offerings which Akhenaten was to give to the god, as well as the oath to Aten from Akhenaten that he will fulfil the god’s wishes. The Courtiers’ Reply suggests the acceptance by the people of Egypt of the Pharaoh’s </w:t>
      </w:r>
      <w:r w:rsidR="00FE0BA5" w:rsidRPr="00E21380">
        <w:rPr>
          <w:rFonts w:ascii="Segoe UI Historic" w:hAnsi="Segoe UI Historic" w:cs="Segoe UI Historic"/>
          <w:sz w:val="24"/>
          <w:szCs w:val="24"/>
        </w:rPr>
        <w:t>obligations to the god, and their</w:t>
      </w:r>
      <w:r w:rsidR="00FE0BA5">
        <w:rPr>
          <w:rFonts w:ascii="Segoe UI Historic" w:hAnsi="Segoe UI Historic" w:cs="Segoe UI Historic"/>
          <w:sz w:val="24"/>
          <w:szCs w:val="24"/>
        </w:rPr>
        <w:t xml:space="preserve"> hope in his success. The final section discusses all that Akhenaten will do in order to please the god, to ensure </w:t>
      </w:r>
      <w:proofErr w:type="spellStart"/>
      <w:r w:rsidR="00FE0BA5">
        <w:rPr>
          <w:rFonts w:ascii="Segoe UI Historic" w:hAnsi="Segoe UI Historic" w:cs="Segoe UI Historic"/>
          <w:sz w:val="24"/>
          <w:szCs w:val="24"/>
        </w:rPr>
        <w:t>Akhet</w:t>
      </w:r>
      <w:proofErr w:type="spellEnd"/>
      <w:r w:rsidR="00FE0BA5">
        <w:rPr>
          <w:rFonts w:ascii="Segoe UI Historic" w:hAnsi="Segoe UI Historic" w:cs="Segoe UI Historic"/>
          <w:sz w:val="24"/>
          <w:szCs w:val="24"/>
        </w:rPr>
        <w:t>-Aten’s survival, to guarantee that Aten would be the god that was worshipped in Egyp</w:t>
      </w:r>
      <w:r w:rsidR="00E21380">
        <w:rPr>
          <w:rFonts w:ascii="Segoe UI Historic" w:hAnsi="Segoe UI Historic" w:cs="Segoe UI Historic"/>
          <w:sz w:val="24"/>
          <w:szCs w:val="24"/>
        </w:rPr>
        <w:t>t and to allow the god to exist</w:t>
      </w:r>
      <w:r w:rsidR="00FE0BA5">
        <w:rPr>
          <w:rFonts w:ascii="Segoe UI Historic" w:hAnsi="Segoe UI Historic" w:cs="Segoe UI Historic"/>
          <w:sz w:val="24"/>
          <w:szCs w:val="24"/>
        </w:rPr>
        <w:t xml:space="preserve"> as the only god forever.</w:t>
      </w:r>
    </w:p>
    <w:p w14:paraId="5683B39C" w14:textId="77777777" w:rsidR="00B70BF5" w:rsidRDefault="00B70BF5" w:rsidP="00477F30">
      <w:pPr>
        <w:pStyle w:val="NoSpacing"/>
        <w:spacing w:line="360" w:lineRule="auto"/>
        <w:rPr>
          <w:rFonts w:ascii="Segoe UI Historic" w:hAnsi="Segoe UI Historic" w:cs="Segoe UI Historic"/>
          <w:sz w:val="24"/>
          <w:szCs w:val="24"/>
        </w:rPr>
      </w:pPr>
    </w:p>
    <w:p w14:paraId="43485D8B" w14:textId="550CFE2F" w:rsidR="00561D5F" w:rsidRDefault="00561D5F" w:rsidP="00477F30">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One particularly interesting point is the mention of Akhenaten and Nefertiti’s eldest daughter </w:t>
      </w:r>
      <w:proofErr w:type="spellStart"/>
      <w:r>
        <w:rPr>
          <w:rFonts w:ascii="Segoe UI Historic" w:hAnsi="Segoe UI Historic" w:cs="Segoe UI Historic"/>
          <w:sz w:val="24"/>
          <w:szCs w:val="24"/>
        </w:rPr>
        <w:t>Meritaten</w:t>
      </w:r>
      <w:proofErr w:type="spellEnd"/>
      <w:r w:rsidR="00B55086">
        <w:rPr>
          <w:rFonts w:ascii="Segoe UI Historic" w:hAnsi="Segoe UI Historic" w:cs="Segoe UI Historic"/>
          <w:sz w:val="24"/>
          <w:szCs w:val="24"/>
        </w:rPr>
        <w:t xml:space="preserve"> on the stela</w:t>
      </w:r>
      <w:r>
        <w:rPr>
          <w:rFonts w:ascii="Segoe UI Historic" w:hAnsi="Segoe UI Historic" w:cs="Segoe UI Historic"/>
          <w:sz w:val="24"/>
          <w:szCs w:val="24"/>
        </w:rPr>
        <w:t xml:space="preserve">. She is deemed the heiress </w:t>
      </w:r>
      <w:r w:rsidR="00951B2A">
        <w:rPr>
          <w:rFonts w:ascii="Segoe UI Historic" w:hAnsi="Segoe UI Historic" w:cs="Segoe UI Historic"/>
          <w:sz w:val="24"/>
          <w:szCs w:val="24"/>
        </w:rPr>
        <w:t xml:space="preserve">of her father </w:t>
      </w:r>
      <w:r>
        <w:rPr>
          <w:rFonts w:ascii="Segoe UI Historic" w:hAnsi="Segoe UI Historic" w:cs="Segoe UI Historic"/>
          <w:sz w:val="24"/>
          <w:szCs w:val="24"/>
        </w:rPr>
        <w:t xml:space="preserve">and held the titles “King’s Daughter” and “mistress” of Akhenaten’s household (Kemp, 2012: 14-15). She is one of six daughters by the Pharaoh and his Chief Wife, though is the only child mentioned upon the boundary </w:t>
      </w:r>
      <w:proofErr w:type="gramStart"/>
      <w:r>
        <w:rPr>
          <w:rFonts w:ascii="Segoe UI Historic" w:hAnsi="Segoe UI Historic" w:cs="Segoe UI Historic"/>
          <w:sz w:val="24"/>
          <w:szCs w:val="24"/>
        </w:rPr>
        <w:t>stela, and</w:t>
      </w:r>
      <w:proofErr w:type="gramEnd"/>
      <w:r>
        <w:rPr>
          <w:rFonts w:ascii="Segoe UI Historic" w:hAnsi="Segoe UI Historic" w:cs="Segoe UI Historic"/>
          <w:sz w:val="24"/>
          <w:szCs w:val="24"/>
        </w:rPr>
        <w:t xml:space="preserve"> is seemingly the only one whose importance is reflected in temples and towns. In section four, Akhenaten is decreeing that </w:t>
      </w:r>
      <w:r w:rsidR="00951B2A">
        <w:rPr>
          <w:rFonts w:ascii="Segoe UI Historic" w:hAnsi="Segoe UI Historic" w:cs="Segoe UI Historic"/>
          <w:sz w:val="24"/>
          <w:szCs w:val="24"/>
        </w:rPr>
        <w:t xml:space="preserve">he should be buried in </w:t>
      </w:r>
      <w:proofErr w:type="spellStart"/>
      <w:r w:rsidR="00951B2A">
        <w:rPr>
          <w:rFonts w:ascii="Segoe UI Historic" w:hAnsi="Segoe UI Historic" w:cs="Segoe UI Historic"/>
          <w:sz w:val="24"/>
          <w:szCs w:val="24"/>
        </w:rPr>
        <w:t>Akhet</w:t>
      </w:r>
      <w:proofErr w:type="spellEnd"/>
      <w:r w:rsidR="00951B2A">
        <w:rPr>
          <w:rFonts w:ascii="Segoe UI Historic" w:hAnsi="Segoe UI Historic" w:cs="Segoe UI Historic"/>
          <w:sz w:val="24"/>
          <w:szCs w:val="24"/>
        </w:rPr>
        <w:t>-Aten regardless of where he dies, and passes this decree on to his Chief Wife, and eldest daughter</w:t>
      </w:r>
      <w:r w:rsidR="00E21380">
        <w:rPr>
          <w:rFonts w:ascii="Segoe UI Historic" w:hAnsi="Segoe UI Historic" w:cs="Segoe UI Historic"/>
          <w:sz w:val="24"/>
          <w:szCs w:val="24"/>
        </w:rPr>
        <w:t xml:space="preserve"> (Murnane, 1995: 78)</w:t>
      </w:r>
      <w:r w:rsidR="00B55086">
        <w:rPr>
          <w:rFonts w:ascii="Segoe UI Historic" w:hAnsi="Segoe UI Historic" w:cs="Segoe UI Historic"/>
          <w:sz w:val="24"/>
          <w:szCs w:val="24"/>
        </w:rPr>
        <w:t>. T</w:t>
      </w:r>
      <w:r w:rsidR="00951B2A">
        <w:rPr>
          <w:rFonts w:ascii="Segoe UI Historic" w:hAnsi="Segoe UI Historic" w:cs="Segoe UI Historic"/>
          <w:sz w:val="24"/>
          <w:szCs w:val="24"/>
        </w:rPr>
        <w:t>here is no mention, throughout the</w:t>
      </w:r>
      <w:r w:rsidR="00B55086">
        <w:rPr>
          <w:rFonts w:ascii="Segoe UI Historic" w:hAnsi="Segoe UI Historic" w:cs="Segoe UI Historic"/>
          <w:sz w:val="24"/>
          <w:szCs w:val="24"/>
        </w:rPr>
        <w:t xml:space="preserve"> stela, of his other children with</w:t>
      </w:r>
      <w:r w:rsidR="00951B2A">
        <w:rPr>
          <w:rFonts w:ascii="Segoe UI Historic" w:hAnsi="Segoe UI Historic" w:cs="Segoe UI Historic"/>
          <w:sz w:val="24"/>
          <w:szCs w:val="24"/>
        </w:rPr>
        <w:t xml:space="preserve"> Nefertiti or his secondary wife, mother of Tutankhamun, nor Tutankhamun himself.</w:t>
      </w:r>
      <w:r w:rsidR="00BE6AA5">
        <w:rPr>
          <w:rFonts w:ascii="Segoe UI Historic" w:hAnsi="Segoe UI Historic" w:cs="Segoe UI Historic"/>
          <w:sz w:val="24"/>
          <w:szCs w:val="24"/>
        </w:rPr>
        <w:t xml:space="preserve"> In retrospect, regarding the mentions upon the stela,</w:t>
      </w:r>
      <w:r w:rsidR="00CC25F9">
        <w:rPr>
          <w:rFonts w:ascii="Segoe UI Historic" w:hAnsi="Segoe UI Historic" w:cs="Segoe UI Historic"/>
          <w:sz w:val="24"/>
          <w:szCs w:val="24"/>
        </w:rPr>
        <w:t xml:space="preserve"> there are different ways to interpret this:</w:t>
      </w:r>
      <w:r w:rsidR="00BE6AA5">
        <w:rPr>
          <w:rFonts w:ascii="Segoe UI Historic" w:hAnsi="Segoe UI Historic" w:cs="Segoe UI Historic"/>
          <w:sz w:val="24"/>
          <w:szCs w:val="24"/>
        </w:rPr>
        <w:t xml:space="preserve"> it is p</w:t>
      </w:r>
      <w:r w:rsidR="00B55086">
        <w:rPr>
          <w:rFonts w:ascii="Segoe UI Historic" w:hAnsi="Segoe UI Historic" w:cs="Segoe UI Historic"/>
          <w:sz w:val="24"/>
          <w:szCs w:val="24"/>
        </w:rPr>
        <w:t>ossible</w:t>
      </w:r>
      <w:r w:rsidR="00BE6AA5">
        <w:rPr>
          <w:rFonts w:ascii="Segoe UI Historic" w:hAnsi="Segoe UI Historic" w:cs="Segoe UI Historic"/>
          <w:sz w:val="24"/>
          <w:szCs w:val="24"/>
        </w:rPr>
        <w:t xml:space="preserve"> that </w:t>
      </w:r>
      <w:proofErr w:type="spellStart"/>
      <w:r w:rsidR="00BE6AA5">
        <w:rPr>
          <w:rFonts w:ascii="Segoe UI Historic" w:hAnsi="Segoe UI Historic" w:cs="Segoe UI Historic"/>
          <w:sz w:val="24"/>
          <w:szCs w:val="24"/>
        </w:rPr>
        <w:t>Meritaten</w:t>
      </w:r>
      <w:proofErr w:type="spellEnd"/>
      <w:r w:rsidR="00BE6AA5">
        <w:rPr>
          <w:rFonts w:ascii="Segoe UI Historic" w:hAnsi="Segoe UI Historic" w:cs="Segoe UI Historic"/>
          <w:sz w:val="24"/>
          <w:szCs w:val="24"/>
        </w:rPr>
        <w:t xml:space="preserve"> was the only child born by the time </w:t>
      </w:r>
      <w:proofErr w:type="spellStart"/>
      <w:r w:rsidR="00BE6AA5">
        <w:rPr>
          <w:rFonts w:ascii="Segoe UI Historic" w:hAnsi="Segoe UI Historic" w:cs="Segoe UI Historic"/>
          <w:sz w:val="24"/>
          <w:szCs w:val="24"/>
        </w:rPr>
        <w:t>Akhet</w:t>
      </w:r>
      <w:proofErr w:type="spellEnd"/>
      <w:r w:rsidR="00BE6AA5">
        <w:rPr>
          <w:rFonts w:ascii="Segoe UI Historic" w:hAnsi="Segoe UI Historic" w:cs="Segoe UI Historic"/>
          <w:sz w:val="24"/>
          <w:szCs w:val="24"/>
        </w:rPr>
        <w:t>-Aten and the stela</w:t>
      </w:r>
      <w:r w:rsidR="00D51FA2">
        <w:rPr>
          <w:rFonts w:ascii="Segoe UI Historic" w:hAnsi="Segoe UI Historic" w:cs="Segoe UI Historic"/>
          <w:sz w:val="24"/>
          <w:szCs w:val="24"/>
        </w:rPr>
        <w:t>e</w:t>
      </w:r>
      <w:r w:rsidR="00BE6AA5">
        <w:rPr>
          <w:rFonts w:ascii="Segoe UI Historic" w:hAnsi="Segoe UI Historic" w:cs="Segoe UI Historic"/>
          <w:sz w:val="24"/>
          <w:szCs w:val="24"/>
        </w:rPr>
        <w:t xml:space="preserve"> were </w:t>
      </w:r>
      <w:r w:rsidR="00BE6AA5">
        <w:rPr>
          <w:rFonts w:ascii="Segoe UI Historic" w:hAnsi="Segoe UI Historic" w:cs="Segoe UI Historic"/>
          <w:sz w:val="24"/>
          <w:szCs w:val="24"/>
        </w:rPr>
        <w:lastRenderedPageBreak/>
        <w:t>created</w:t>
      </w:r>
      <w:r w:rsidR="00693FD4">
        <w:rPr>
          <w:rFonts w:ascii="Segoe UI Historic" w:hAnsi="Segoe UI Historic" w:cs="Segoe UI Historic"/>
          <w:sz w:val="24"/>
          <w:szCs w:val="24"/>
        </w:rPr>
        <w:t>,</w:t>
      </w:r>
      <w:r w:rsidR="00BE6AA5">
        <w:rPr>
          <w:rFonts w:ascii="Segoe UI Historic" w:hAnsi="Segoe UI Historic" w:cs="Segoe UI Historic"/>
          <w:sz w:val="24"/>
          <w:szCs w:val="24"/>
        </w:rPr>
        <w:t xml:space="preserve"> </w:t>
      </w:r>
      <w:r w:rsidR="00693FD4">
        <w:rPr>
          <w:rFonts w:ascii="Segoe UI Historic" w:hAnsi="Segoe UI Historic" w:cs="Segoe UI Historic"/>
          <w:sz w:val="24"/>
          <w:szCs w:val="24"/>
        </w:rPr>
        <w:t>al</w:t>
      </w:r>
      <w:r w:rsidR="00BE6AA5">
        <w:rPr>
          <w:rFonts w:ascii="Segoe UI Historic" w:hAnsi="Segoe UI Historic" w:cs="Segoe UI Historic"/>
          <w:sz w:val="24"/>
          <w:szCs w:val="24"/>
        </w:rPr>
        <w:t xml:space="preserve">though </w:t>
      </w:r>
      <w:r w:rsidR="00693FD4">
        <w:rPr>
          <w:rFonts w:ascii="Segoe UI Historic" w:hAnsi="Segoe UI Historic" w:cs="Segoe UI Historic"/>
          <w:sz w:val="24"/>
          <w:szCs w:val="24"/>
        </w:rPr>
        <w:t xml:space="preserve">this </w:t>
      </w:r>
      <w:r w:rsidR="00BE6AA5">
        <w:rPr>
          <w:rFonts w:ascii="Segoe UI Historic" w:hAnsi="Segoe UI Historic" w:cs="Segoe UI Historic"/>
          <w:sz w:val="24"/>
          <w:szCs w:val="24"/>
        </w:rPr>
        <w:t xml:space="preserve">does not allow for an understanding as to why the other sisters are less represented </w:t>
      </w:r>
      <w:r w:rsidR="00B73BEB">
        <w:rPr>
          <w:rFonts w:ascii="Segoe UI Historic" w:hAnsi="Segoe UI Historic" w:cs="Segoe UI Historic"/>
          <w:sz w:val="24"/>
          <w:szCs w:val="24"/>
        </w:rPr>
        <w:t xml:space="preserve">later, </w:t>
      </w:r>
      <w:r w:rsidR="00BE6AA5">
        <w:rPr>
          <w:rFonts w:ascii="Segoe UI Historic" w:hAnsi="Segoe UI Historic" w:cs="Segoe UI Historic"/>
          <w:sz w:val="24"/>
          <w:szCs w:val="24"/>
        </w:rPr>
        <w:t xml:space="preserve">in comparison to </w:t>
      </w:r>
      <w:proofErr w:type="spellStart"/>
      <w:r w:rsidR="00BE6AA5">
        <w:rPr>
          <w:rFonts w:ascii="Segoe UI Historic" w:hAnsi="Segoe UI Historic" w:cs="Segoe UI Historic"/>
          <w:sz w:val="24"/>
          <w:szCs w:val="24"/>
        </w:rPr>
        <w:t>Meritaten</w:t>
      </w:r>
      <w:proofErr w:type="spellEnd"/>
      <w:r w:rsidR="00BE6AA5">
        <w:rPr>
          <w:rFonts w:ascii="Segoe UI Historic" w:hAnsi="Segoe UI Historic" w:cs="Segoe UI Historic"/>
          <w:sz w:val="24"/>
          <w:szCs w:val="24"/>
        </w:rPr>
        <w:t xml:space="preserve">. </w:t>
      </w:r>
      <w:r w:rsidR="00CC25F9">
        <w:rPr>
          <w:rFonts w:ascii="Segoe UI Historic" w:hAnsi="Segoe UI Historic" w:cs="Segoe UI Historic"/>
          <w:sz w:val="24"/>
          <w:szCs w:val="24"/>
        </w:rPr>
        <w:t xml:space="preserve">However, it is also likely that the second, and possibly third, daughter had been born, but were not represented due to being too young, and </w:t>
      </w:r>
      <w:proofErr w:type="spellStart"/>
      <w:r w:rsidR="00CC25F9">
        <w:rPr>
          <w:rFonts w:ascii="Segoe UI Historic" w:hAnsi="Segoe UI Historic" w:cs="Segoe UI Historic"/>
          <w:sz w:val="24"/>
          <w:szCs w:val="24"/>
        </w:rPr>
        <w:t>Meritaten</w:t>
      </w:r>
      <w:proofErr w:type="spellEnd"/>
      <w:r w:rsidR="00CC25F9">
        <w:rPr>
          <w:rFonts w:ascii="Segoe UI Historic" w:hAnsi="Segoe UI Historic" w:cs="Segoe UI Historic"/>
          <w:sz w:val="24"/>
          <w:szCs w:val="24"/>
        </w:rPr>
        <w:t xml:space="preserve"> was used in displaying the next generation.</w:t>
      </w:r>
    </w:p>
    <w:p w14:paraId="653DE461" w14:textId="4E5154CE" w:rsidR="00AC07AC" w:rsidRDefault="00AC07AC" w:rsidP="00477F30">
      <w:pPr>
        <w:pStyle w:val="NoSpacing"/>
        <w:spacing w:line="360" w:lineRule="auto"/>
        <w:rPr>
          <w:rFonts w:ascii="Segoe UI Historic" w:hAnsi="Segoe UI Historic" w:cs="Segoe UI Historic"/>
          <w:sz w:val="24"/>
          <w:szCs w:val="24"/>
        </w:rPr>
      </w:pPr>
    </w:p>
    <w:p w14:paraId="40379693" w14:textId="6E803E18" w:rsidR="003A43DF" w:rsidRDefault="00AC07AC" w:rsidP="00477F30">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Akhenaten’s religious “revolution”, in changing from the myriad of gods and goddesses to just the solar deities as the predominant gods, </w:t>
      </w:r>
      <w:r w:rsidR="00D43D3C">
        <w:rPr>
          <w:rFonts w:ascii="Segoe UI Historic" w:hAnsi="Segoe UI Historic" w:cs="Segoe UI Historic"/>
          <w:sz w:val="24"/>
          <w:szCs w:val="24"/>
        </w:rPr>
        <w:t xml:space="preserve">continued to </w:t>
      </w:r>
      <w:r w:rsidR="00E21380">
        <w:rPr>
          <w:rFonts w:ascii="Segoe UI Historic" w:hAnsi="Segoe UI Historic" w:cs="Segoe UI Historic"/>
          <w:sz w:val="24"/>
          <w:szCs w:val="24"/>
        </w:rPr>
        <w:t>evolve</w:t>
      </w:r>
      <w:r>
        <w:rPr>
          <w:rFonts w:ascii="Segoe UI Historic" w:hAnsi="Segoe UI Historic" w:cs="Segoe UI Historic"/>
          <w:sz w:val="24"/>
          <w:szCs w:val="24"/>
        </w:rPr>
        <w:t xml:space="preserve"> throughout his reign.</w:t>
      </w:r>
      <w:r w:rsidR="00D43D3C">
        <w:rPr>
          <w:rFonts w:ascii="Segoe UI Historic" w:hAnsi="Segoe UI Historic" w:cs="Segoe UI Historic"/>
          <w:sz w:val="24"/>
          <w:szCs w:val="24"/>
        </w:rPr>
        <w:t xml:space="preserve"> </w:t>
      </w:r>
      <w:r w:rsidR="00D36157">
        <w:rPr>
          <w:rFonts w:ascii="Segoe UI Historic" w:hAnsi="Segoe UI Historic" w:cs="Segoe UI Historic"/>
          <w:sz w:val="24"/>
          <w:szCs w:val="24"/>
        </w:rPr>
        <w:t>Cotemporaneous to this stela, Aten was still referred to within the context of Re-</w:t>
      </w:r>
      <w:proofErr w:type="spellStart"/>
      <w:r w:rsidR="00D36157">
        <w:rPr>
          <w:rFonts w:ascii="Segoe UI Historic" w:hAnsi="Segoe UI Historic" w:cs="Segoe UI Historic"/>
          <w:sz w:val="24"/>
          <w:szCs w:val="24"/>
        </w:rPr>
        <w:t>Horakhty</w:t>
      </w:r>
      <w:proofErr w:type="spellEnd"/>
      <w:r w:rsidR="00D36157">
        <w:rPr>
          <w:rFonts w:ascii="Segoe UI Historic" w:hAnsi="Segoe UI Historic" w:cs="Segoe UI Historic"/>
          <w:sz w:val="24"/>
          <w:szCs w:val="24"/>
        </w:rPr>
        <w:t xml:space="preserve">, with the inclusion of </w:t>
      </w:r>
      <w:r w:rsidR="00B278D3">
        <w:rPr>
          <w:rFonts w:ascii="Segoe UI Historic" w:hAnsi="Segoe UI Historic" w:cs="Segoe UI Historic"/>
          <w:sz w:val="24"/>
          <w:szCs w:val="24"/>
        </w:rPr>
        <w:t xml:space="preserve">Maat and </w:t>
      </w:r>
      <w:r w:rsidR="00D36157">
        <w:rPr>
          <w:rFonts w:ascii="Segoe UI Historic" w:hAnsi="Segoe UI Historic" w:cs="Segoe UI Historic"/>
          <w:sz w:val="24"/>
          <w:szCs w:val="24"/>
        </w:rPr>
        <w:t>Shu</w:t>
      </w:r>
      <w:r w:rsidR="00E21380">
        <w:rPr>
          <w:rFonts w:ascii="Segoe UI Historic" w:hAnsi="Segoe UI Historic" w:cs="Segoe UI Historic"/>
          <w:sz w:val="24"/>
          <w:szCs w:val="24"/>
        </w:rPr>
        <w:t>:</w:t>
      </w:r>
      <w:r w:rsidR="00B278D3">
        <w:rPr>
          <w:rFonts w:ascii="Segoe UI Historic" w:hAnsi="Segoe UI Historic" w:cs="Segoe UI Historic"/>
          <w:sz w:val="24"/>
          <w:szCs w:val="24"/>
        </w:rPr>
        <w:t xml:space="preserve"> </w:t>
      </w:r>
      <w:r w:rsidR="00E21380">
        <w:rPr>
          <w:rFonts w:ascii="Segoe UI Historic" w:hAnsi="Segoe UI Historic" w:cs="Segoe UI Historic"/>
          <w:sz w:val="24"/>
          <w:szCs w:val="24"/>
        </w:rPr>
        <w:t>‘</w:t>
      </w:r>
      <w:r w:rsidR="00B278D3">
        <w:rPr>
          <w:rFonts w:ascii="Segoe UI Historic" w:hAnsi="Segoe UI Historic" w:cs="Segoe UI Historic"/>
          <w:sz w:val="24"/>
          <w:szCs w:val="24"/>
        </w:rPr>
        <w:t>long live Re-</w:t>
      </w:r>
      <w:proofErr w:type="spellStart"/>
      <w:r w:rsidR="00B278D3">
        <w:rPr>
          <w:rFonts w:ascii="Segoe UI Historic" w:hAnsi="Segoe UI Historic" w:cs="Segoe UI Historic"/>
          <w:sz w:val="24"/>
          <w:szCs w:val="24"/>
        </w:rPr>
        <w:t>Horakhty</w:t>
      </w:r>
      <w:proofErr w:type="spellEnd"/>
      <w:r w:rsidR="00B278D3">
        <w:rPr>
          <w:rFonts w:ascii="Segoe UI Historic" w:hAnsi="Segoe UI Historic" w:cs="Segoe UI Historic"/>
          <w:sz w:val="24"/>
          <w:szCs w:val="24"/>
        </w:rPr>
        <w:t xml:space="preserve"> who rejoices in the horizon, in his name of Shu who is Aten</w:t>
      </w:r>
      <w:r w:rsidR="00E21380">
        <w:rPr>
          <w:rFonts w:ascii="Segoe UI Historic" w:hAnsi="Segoe UI Historic" w:cs="Segoe UI Historic"/>
          <w:sz w:val="24"/>
          <w:szCs w:val="24"/>
        </w:rPr>
        <w:t>’ (Wilki</w:t>
      </w:r>
      <w:r w:rsidR="00B55086">
        <w:rPr>
          <w:rFonts w:ascii="Segoe UI Historic" w:hAnsi="Segoe UI Historic" w:cs="Segoe UI Historic"/>
          <w:sz w:val="24"/>
          <w:szCs w:val="24"/>
        </w:rPr>
        <w:t>nson, 2003: 239; Wegner, 2017: 33-37</w:t>
      </w:r>
      <w:r w:rsidR="00E21380">
        <w:rPr>
          <w:rFonts w:ascii="Segoe UI Historic" w:hAnsi="Segoe UI Historic" w:cs="Segoe UI Historic"/>
          <w:sz w:val="24"/>
          <w:szCs w:val="24"/>
        </w:rPr>
        <w:t>),</w:t>
      </w:r>
      <w:r w:rsidR="00B278D3">
        <w:rPr>
          <w:rFonts w:ascii="Segoe UI Historic" w:hAnsi="Segoe UI Historic" w:cs="Segoe UI Historic"/>
          <w:sz w:val="24"/>
          <w:szCs w:val="24"/>
        </w:rPr>
        <w:t xml:space="preserve"> while after Akhenaten’s seventh regnal year, Aten is referred</w:t>
      </w:r>
      <w:r w:rsidR="00E21380">
        <w:rPr>
          <w:rFonts w:ascii="Segoe UI Historic" w:hAnsi="Segoe UI Historic" w:cs="Segoe UI Historic"/>
          <w:sz w:val="24"/>
          <w:szCs w:val="24"/>
        </w:rPr>
        <w:t xml:space="preserve"> </w:t>
      </w:r>
      <w:r w:rsidR="00B55086">
        <w:rPr>
          <w:rFonts w:ascii="Segoe UI Historic" w:hAnsi="Segoe UI Historic" w:cs="Segoe UI Historic"/>
          <w:sz w:val="24"/>
          <w:szCs w:val="24"/>
        </w:rPr>
        <w:t xml:space="preserve">to </w:t>
      </w:r>
      <w:r w:rsidR="00E21380">
        <w:rPr>
          <w:rFonts w:ascii="Segoe UI Historic" w:hAnsi="Segoe UI Historic" w:cs="Segoe UI Historic"/>
          <w:sz w:val="24"/>
          <w:szCs w:val="24"/>
        </w:rPr>
        <w:t>only with relation to Ra: ‘</w:t>
      </w:r>
      <w:r w:rsidR="00B278D3">
        <w:rPr>
          <w:rFonts w:ascii="Segoe UI Historic" w:hAnsi="Segoe UI Historic" w:cs="Segoe UI Historic"/>
          <w:sz w:val="24"/>
          <w:szCs w:val="24"/>
        </w:rPr>
        <w:t>long live Re ruler of the Two Horizons who rejoices in the horizon, in his name of Re the father who has come as Aten</w:t>
      </w:r>
      <w:r w:rsidR="00EC3DCF">
        <w:rPr>
          <w:rFonts w:ascii="Segoe UI Historic" w:hAnsi="Segoe UI Historic" w:cs="Segoe UI Historic"/>
          <w:sz w:val="24"/>
          <w:szCs w:val="24"/>
        </w:rPr>
        <w:t>’</w:t>
      </w:r>
      <w:r w:rsidR="00466194">
        <w:rPr>
          <w:rFonts w:ascii="Segoe UI Historic" w:hAnsi="Segoe UI Historic" w:cs="Segoe UI Historic"/>
          <w:sz w:val="24"/>
          <w:szCs w:val="24"/>
        </w:rPr>
        <w:t xml:space="preserve"> (Wilkinson, 2003: 239</w:t>
      </w:r>
      <w:r w:rsidR="00B55086">
        <w:rPr>
          <w:rFonts w:ascii="Segoe UI Historic" w:hAnsi="Segoe UI Historic" w:cs="Segoe UI Historic"/>
          <w:sz w:val="24"/>
          <w:szCs w:val="24"/>
        </w:rPr>
        <w:t>; Wegner, 2017: 33-37</w:t>
      </w:r>
      <w:r w:rsidR="00466194">
        <w:rPr>
          <w:rFonts w:ascii="Segoe UI Historic" w:hAnsi="Segoe UI Historic" w:cs="Segoe UI Historic"/>
          <w:sz w:val="24"/>
          <w:szCs w:val="24"/>
        </w:rPr>
        <w:t>)</w:t>
      </w:r>
      <w:r w:rsidR="00B278D3">
        <w:rPr>
          <w:rFonts w:ascii="Segoe UI Historic" w:hAnsi="Segoe UI Historic" w:cs="Segoe UI Historic"/>
          <w:sz w:val="24"/>
          <w:szCs w:val="24"/>
        </w:rPr>
        <w:t xml:space="preserve">. This would explain the use of the name </w:t>
      </w:r>
      <w:proofErr w:type="spellStart"/>
      <w:r w:rsidR="00B278D3">
        <w:rPr>
          <w:rFonts w:ascii="Segoe UI Historic" w:hAnsi="Segoe UI Historic" w:cs="Segoe UI Historic"/>
          <w:sz w:val="24"/>
          <w:szCs w:val="24"/>
        </w:rPr>
        <w:t>Hor</w:t>
      </w:r>
      <w:proofErr w:type="spellEnd"/>
      <w:r w:rsidR="00B278D3">
        <w:rPr>
          <w:rFonts w:ascii="Segoe UI Historic" w:hAnsi="Segoe UI Historic" w:cs="Segoe UI Historic"/>
          <w:sz w:val="24"/>
          <w:szCs w:val="24"/>
        </w:rPr>
        <w:t xml:space="preserve">-Aten, and </w:t>
      </w:r>
      <w:r w:rsidR="008953CA">
        <w:rPr>
          <w:rFonts w:ascii="Segoe UI Historic" w:hAnsi="Segoe UI Historic" w:cs="Segoe UI Historic"/>
          <w:sz w:val="24"/>
          <w:szCs w:val="24"/>
        </w:rPr>
        <w:t>association to the religious concept of</w:t>
      </w:r>
      <w:r w:rsidR="00B278D3">
        <w:rPr>
          <w:rFonts w:ascii="Segoe UI Historic" w:hAnsi="Segoe UI Historic" w:cs="Segoe UI Historic"/>
          <w:sz w:val="24"/>
          <w:szCs w:val="24"/>
        </w:rPr>
        <w:t xml:space="preserve"> Maat within this early proclamation; at this point in his reign he was still referring to other </w:t>
      </w:r>
      <w:proofErr w:type="gramStart"/>
      <w:r w:rsidR="00B278D3">
        <w:rPr>
          <w:rFonts w:ascii="Segoe UI Historic" w:hAnsi="Segoe UI Historic" w:cs="Segoe UI Historic"/>
          <w:sz w:val="24"/>
          <w:szCs w:val="24"/>
        </w:rPr>
        <w:t>gods, and</w:t>
      </w:r>
      <w:proofErr w:type="gramEnd"/>
      <w:r w:rsidR="00B278D3">
        <w:rPr>
          <w:rFonts w:ascii="Segoe UI Historic" w:hAnsi="Segoe UI Historic" w:cs="Segoe UI Historic"/>
          <w:sz w:val="24"/>
          <w:szCs w:val="24"/>
        </w:rPr>
        <w:t xml:space="preserve"> had not yet completed the establishment of monotheism.</w:t>
      </w:r>
      <w:r w:rsidR="008953CA">
        <w:rPr>
          <w:rFonts w:ascii="Segoe UI Historic" w:hAnsi="Segoe UI Historic" w:cs="Segoe UI Historic"/>
          <w:sz w:val="24"/>
          <w:szCs w:val="24"/>
        </w:rPr>
        <w:t xml:space="preserve"> In the Introduction section, Akhenaten also mentions the “Two Ladies”, </w:t>
      </w:r>
      <w:proofErr w:type="spellStart"/>
      <w:r w:rsidR="008953CA">
        <w:rPr>
          <w:rFonts w:ascii="Segoe UI Historic" w:hAnsi="Segoe UI Historic" w:cs="Segoe UI Historic"/>
          <w:sz w:val="24"/>
          <w:szCs w:val="24"/>
        </w:rPr>
        <w:t>Wadjet</w:t>
      </w:r>
      <w:proofErr w:type="spellEnd"/>
      <w:r w:rsidR="008953CA">
        <w:rPr>
          <w:rFonts w:ascii="Segoe UI Historic" w:hAnsi="Segoe UI Historic" w:cs="Segoe UI Historic"/>
          <w:sz w:val="24"/>
          <w:szCs w:val="24"/>
        </w:rPr>
        <w:t xml:space="preserve"> and </w:t>
      </w:r>
      <w:proofErr w:type="spellStart"/>
      <w:r w:rsidR="008953CA">
        <w:rPr>
          <w:rFonts w:ascii="Segoe UI Historic" w:hAnsi="Segoe UI Historic" w:cs="Segoe UI Historic"/>
          <w:sz w:val="24"/>
          <w:szCs w:val="24"/>
        </w:rPr>
        <w:t>Nekhbet</w:t>
      </w:r>
      <w:proofErr w:type="spellEnd"/>
      <w:r w:rsidR="008953CA">
        <w:rPr>
          <w:rFonts w:ascii="Segoe UI Historic" w:hAnsi="Segoe UI Historic" w:cs="Segoe UI Historic"/>
          <w:sz w:val="24"/>
          <w:szCs w:val="24"/>
        </w:rPr>
        <w:t xml:space="preserve">, neither of which are related to the solar deities, though </w:t>
      </w:r>
      <w:proofErr w:type="spellStart"/>
      <w:r w:rsidR="008953CA">
        <w:rPr>
          <w:rFonts w:ascii="Segoe UI Historic" w:hAnsi="Segoe UI Historic" w:cs="Segoe UI Historic"/>
          <w:sz w:val="24"/>
          <w:szCs w:val="24"/>
        </w:rPr>
        <w:t>Wadjet</w:t>
      </w:r>
      <w:proofErr w:type="spellEnd"/>
      <w:r w:rsidR="008953CA">
        <w:rPr>
          <w:rFonts w:ascii="Segoe UI Historic" w:hAnsi="Segoe UI Historic" w:cs="Segoe UI Historic"/>
          <w:sz w:val="24"/>
          <w:szCs w:val="24"/>
        </w:rPr>
        <w:t>, depicted as a cobra, could be portrayed with a solar dis</w:t>
      </w:r>
      <w:r w:rsidR="00E92EEA">
        <w:rPr>
          <w:rFonts w:ascii="Segoe UI Historic" w:hAnsi="Segoe UI Historic" w:cs="Segoe UI Historic"/>
          <w:sz w:val="24"/>
          <w:szCs w:val="24"/>
        </w:rPr>
        <w:t>k (Wilkinson, 2003: 226-7).</w:t>
      </w:r>
    </w:p>
    <w:p w14:paraId="02DE26F5" w14:textId="1E4B313A" w:rsidR="003A43DF" w:rsidRDefault="003A43DF" w:rsidP="00477F30">
      <w:pPr>
        <w:pStyle w:val="NoSpacing"/>
        <w:spacing w:line="360" w:lineRule="auto"/>
        <w:rPr>
          <w:rFonts w:ascii="Segoe UI Historic" w:hAnsi="Segoe UI Historic" w:cs="Segoe UI Historic"/>
          <w:sz w:val="24"/>
          <w:szCs w:val="24"/>
        </w:rPr>
      </w:pPr>
    </w:p>
    <w:p w14:paraId="3DD03473" w14:textId="352EA9CF" w:rsidR="00E21380" w:rsidRDefault="00E21380" w:rsidP="00477F30">
      <w:pPr>
        <w:pStyle w:val="NoSpacing"/>
        <w:spacing w:line="360" w:lineRule="auto"/>
        <w:rPr>
          <w:rFonts w:ascii="Segoe UI Historic" w:hAnsi="Segoe UI Historic" w:cs="Segoe UI Historic"/>
          <w:sz w:val="24"/>
          <w:szCs w:val="24"/>
        </w:rPr>
      </w:pPr>
      <w:r>
        <w:rPr>
          <w:rFonts w:ascii="Segoe UI Historic" w:hAnsi="Segoe UI Historic" w:cs="Segoe UI Historic"/>
          <w:sz w:val="24"/>
          <w:szCs w:val="24"/>
        </w:rPr>
        <w:t xml:space="preserve">In section four, “The Decree”, Akhenaten states that he will listen only to Aten regarding the placement of </w:t>
      </w:r>
      <w:proofErr w:type="spellStart"/>
      <w:r>
        <w:rPr>
          <w:rFonts w:ascii="Segoe UI Historic" w:hAnsi="Segoe UI Historic" w:cs="Segoe UI Historic"/>
          <w:sz w:val="24"/>
          <w:szCs w:val="24"/>
        </w:rPr>
        <w:t>Akhet</w:t>
      </w:r>
      <w:proofErr w:type="spellEnd"/>
      <w:r>
        <w:rPr>
          <w:rFonts w:ascii="Segoe UI Historic" w:hAnsi="Segoe UI Historic" w:cs="Segoe UI Historic"/>
          <w:sz w:val="24"/>
          <w:szCs w:val="24"/>
        </w:rPr>
        <w:t xml:space="preserve">-Aten; just because someone of high status and regard, even his Chief Wife, says that the city would be better suited elsewhere, he will neither listen nor move the city unless it was the desire of Aten. </w:t>
      </w:r>
      <w:r w:rsidR="00871212">
        <w:rPr>
          <w:rFonts w:ascii="Segoe UI Historic" w:hAnsi="Segoe UI Historic" w:cs="Segoe UI Historic"/>
          <w:sz w:val="24"/>
          <w:szCs w:val="24"/>
        </w:rPr>
        <w:t>Also</w:t>
      </w:r>
      <w:r w:rsidR="00EC3DCF">
        <w:rPr>
          <w:rFonts w:ascii="Segoe UI Historic" w:hAnsi="Segoe UI Historic" w:cs="Segoe UI Historic"/>
          <w:sz w:val="24"/>
          <w:szCs w:val="24"/>
        </w:rPr>
        <w:t>,</w:t>
      </w:r>
      <w:r w:rsidR="00871212">
        <w:rPr>
          <w:rFonts w:ascii="Segoe UI Historic" w:hAnsi="Segoe UI Historic" w:cs="Segoe UI Historic"/>
          <w:sz w:val="24"/>
          <w:szCs w:val="24"/>
        </w:rPr>
        <w:t xml:space="preserve"> within </w:t>
      </w:r>
      <w:r>
        <w:rPr>
          <w:rFonts w:ascii="Segoe UI Historic" w:hAnsi="Segoe UI Historic" w:cs="Segoe UI Historic"/>
          <w:sz w:val="24"/>
          <w:szCs w:val="24"/>
        </w:rPr>
        <w:t xml:space="preserve">this </w:t>
      </w:r>
      <w:r w:rsidR="00871212">
        <w:rPr>
          <w:rFonts w:ascii="Segoe UI Historic" w:hAnsi="Segoe UI Historic" w:cs="Segoe UI Historic"/>
          <w:sz w:val="24"/>
          <w:szCs w:val="24"/>
        </w:rPr>
        <w:t xml:space="preserve">section, Akhenaten states that a cemetery should be built in the mountain at </w:t>
      </w:r>
      <w:proofErr w:type="spellStart"/>
      <w:r w:rsidR="00871212">
        <w:rPr>
          <w:rFonts w:ascii="Segoe UI Historic" w:hAnsi="Segoe UI Historic" w:cs="Segoe UI Historic"/>
          <w:sz w:val="24"/>
          <w:szCs w:val="24"/>
        </w:rPr>
        <w:t>Akhet</w:t>
      </w:r>
      <w:proofErr w:type="spellEnd"/>
      <w:r w:rsidR="00871212">
        <w:rPr>
          <w:rFonts w:ascii="Segoe UI Historic" w:hAnsi="Segoe UI Historic" w:cs="Segoe UI Historic"/>
          <w:sz w:val="24"/>
          <w:szCs w:val="24"/>
        </w:rPr>
        <w:t xml:space="preserve">-Aten for the </w:t>
      </w:r>
      <w:proofErr w:type="spellStart"/>
      <w:r w:rsidR="00871212">
        <w:rPr>
          <w:rFonts w:ascii="Segoe UI Historic" w:hAnsi="Segoe UI Historic" w:cs="Segoe UI Historic"/>
          <w:sz w:val="24"/>
          <w:szCs w:val="24"/>
        </w:rPr>
        <w:t>Mnevis</w:t>
      </w:r>
      <w:proofErr w:type="spellEnd"/>
      <w:r w:rsidR="00871212">
        <w:rPr>
          <w:rFonts w:ascii="Segoe UI Historic" w:hAnsi="Segoe UI Historic" w:cs="Segoe UI Historic"/>
          <w:sz w:val="24"/>
          <w:szCs w:val="24"/>
        </w:rPr>
        <w:t xml:space="preserve"> Bull, which is seen as the animal manifestation of the god Ra. This supports the previous statement by showing that Ra was still important to the </w:t>
      </w:r>
      <w:r w:rsidR="00871212">
        <w:rPr>
          <w:rFonts w:ascii="Segoe UI Historic" w:hAnsi="Segoe UI Historic" w:cs="Segoe UI Historic"/>
          <w:sz w:val="24"/>
          <w:szCs w:val="24"/>
        </w:rPr>
        <w:lastRenderedPageBreak/>
        <w:t>existence of Aten, and Akhenaten was still acknowledging other gods relevant to Aten</w:t>
      </w:r>
      <w:r w:rsidR="00477F30">
        <w:rPr>
          <w:rFonts w:ascii="Segoe UI Historic" w:hAnsi="Segoe UI Historic" w:cs="Segoe UI Historic"/>
          <w:sz w:val="24"/>
          <w:szCs w:val="24"/>
        </w:rPr>
        <w:t>, which suggests that Akhenaten’s perceived “monotheism” is likely more henotheism with Aten as the predominant god that is worshipped</w:t>
      </w:r>
      <w:r w:rsidR="00871212">
        <w:rPr>
          <w:rFonts w:ascii="Segoe UI Historic" w:hAnsi="Segoe UI Historic" w:cs="Segoe UI Historic"/>
          <w:sz w:val="24"/>
          <w:szCs w:val="24"/>
        </w:rPr>
        <w:t xml:space="preserve">. </w:t>
      </w:r>
    </w:p>
    <w:p w14:paraId="7726D333" w14:textId="77777777" w:rsidR="00F27B07" w:rsidRPr="00F27B07" w:rsidRDefault="00F27B07" w:rsidP="00477F30">
      <w:pPr>
        <w:pStyle w:val="NoSpacing"/>
        <w:spacing w:line="360" w:lineRule="auto"/>
        <w:rPr>
          <w:rFonts w:ascii="Segoe UI Historic" w:hAnsi="Segoe UI Historic" w:cs="Segoe UI Historic"/>
          <w:sz w:val="24"/>
          <w:szCs w:val="24"/>
        </w:rPr>
      </w:pPr>
    </w:p>
    <w:p w14:paraId="455BE9DD" w14:textId="77777777" w:rsidR="00B55086" w:rsidRDefault="00B55086" w:rsidP="00477F30">
      <w:pPr>
        <w:spacing w:line="360" w:lineRule="auto"/>
        <w:rPr>
          <w:rFonts w:ascii="Segoe UI Historic" w:hAnsi="Segoe UI Historic" w:cs="Segoe UI Historic"/>
          <w:sz w:val="24"/>
          <w:szCs w:val="24"/>
          <w:u w:val="single"/>
        </w:rPr>
      </w:pPr>
      <w:r>
        <w:rPr>
          <w:rFonts w:ascii="Segoe UI Historic" w:hAnsi="Segoe UI Historic" w:cs="Segoe UI Historic"/>
          <w:sz w:val="24"/>
          <w:szCs w:val="24"/>
          <w:u w:val="single"/>
        </w:rPr>
        <w:br w:type="page"/>
      </w:r>
    </w:p>
    <w:p w14:paraId="6F81EBC7" w14:textId="1E5BDDE2" w:rsidR="00C77B09" w:rsidRPr="00477F30" w:rsidRDefault="002D2352" w:rsidP="00477F30">
      <w:pPr>
        <w:pStyle w:val="NoSpacing"/>
        <w:spacing w:line="360" w:lineRule="auto"/>
        <w:rPr>
          <w:rFonts w:ascii="Segoe UI Historic" w:hAnsi="Segoe UI Historic" w:cs="Segoe UI Historic"/>
          <w:sz w:val="28"/>
          <w:szCs w:val="24"/>
          <w:u w:val="single"/>
        </w:rPr>
      </w:pPr>
      <w:r w:rsidRPr="00477F30">
        <w:rPr>
          <w:rFonts w:ascii="Segoe UI Historic" w:hAnsi="Segoe UI Historic" w:cs="Segoe UI Historic"/>
          <w:sz w:val="28"/>
          <w:szCs w:val="24"/>
          <w:u w:val="single"/>
        </w:rPr>
        <w:lastRenderedPageBreak/>
        <w:t>Bibliography</w:t>
      </w:r>
    </w:p>
    <w:p w14:paraId="79F1CCBE" w14:textId="01F8BC16" w:rsidR="00B55086" w:rsidRPr="00477F30" w:rsidRDefault="00B55086" w:rsidP="00477F30">
      <w:pPr>
        <w:pStyle w:val="NoSpacing"/>
        <w:spacing w:line="360" w:lineRule="auto"/>
        <w:rPr>
          <w:rFonts w:ascii="Segoe UI Historic" w:hAnsi="Segoe UI Historic" w:cs="Segoe UI Historic"/>
          <w:sz w:val="24"/>
          <w:szCs w:val="24"/>
        </w:rPr>
      </w:pPr>
    </w:p>
    <w:p w14:paraId="3E5441F4" w14:textId="1FC0B50C" w:rsidR="00E0274A" w:rsidRPr="00477F30" w:rsidRDefault="00E0274A" w:rsidP="00477F30">
      <w:pPr>
        <w:pStyle w:val="NoSpacing"/>
        <w:spacing w:line="360" w:lineRule="auto"/>
        <w:rPr>
          <w:rFonts w:ascii="Segoe UI Historic" w:hAnsi="Segoe UI Historic" w:cs="Segoe UI Historic"/>
          <w:sz w:val="24"/>
          <w:szCs w:val="24"/>
        </w:rPr>
      </w:pPr>
      <w:r w:rsidRPr="00477F30">
        <w:rPr>
          <w:rFonts w:ascii="Segoe UI Historic" w:hAnsi="Segoe UI Historic" w:cs="Segoe UI Historic"/>
          <w:sz w:val="24"/>
          <w:szCs w:val="24"/>
        </w:rPr>
        <w:t xml:space="preserve">Hoffmeier, J.K., 2015. </w:t>
      </w:r>
      <w:r w:rsidRPr="00477F30">
        <w:rPr>
          <w:rFonts w:ascii="Segoe UI Historic" w:hAnsi="Segoe UI Historic" w:cs="Segoe UI Historic"/>
          <w:i/>
          <w:sz w:val="24"/>
          <w:szCs w:val="24"/>
        </w:rPr>
        <w:t>Akhenaten and the Origins of Monotheism.</w:t>
      </w:r>
      <w:r w:rsidRPr="00477F30">
        <w:rPr>
          <w:rFonts w:ascii="Segoe UI Historic" w:hAnsi="Segoe UI Historic" w:cs="Segoe UI Historic"/>
          <w:sz w:val="24"/>
          <w:szCs w:val="24"/>
        </w:rPr>
        <w:t xml:space="preserve"> Oxford: Oxford University Press.</w:t>
      </w:r>
    </w:p>
    <w:p w14:paraId="462AF03B" w14:textId="0F0D3AEC" w:rsidR="00E0274A" w:rsidRPr="00477F30" w:rsidRDefault="00E0274A" w:rsidP="00477F30">
      <w:pPr>
        <w:pStyle w:val="NoSpacing"/>
        <w:spacing w:line="360" w:lineRule="auto"/>
        <w:rPr>
          <w:rFonts w:ascii="Segoe UI Historic" w:hAnsi="Segoe UI Historic" w:cs="Segoe UI Historic"/>
          <w:sz w:val="24"/>
          <w:szCs w:val="24"/>
        </w:rPr>
      </w:pPr>
    </w:p>
    <w:p w14:paraId="099A1C65" w14:textId="334020E1" w:rsidR="00121FB1" w:rsidRPr="00477F30" w:rsidRDefault="00121FB1" w:rsidP="00477F30">
      <w:pPr>
        <w:pStyle w:val="NoSpacing"/>
        <w:spacing w:line="360" w:lineRule="auto"/>
        <w:rPr>
          <w:rFonts w:ascii="Segoe UI Historic" w:hAnsi="Segoe UI Historic" w:cs="Segoe UI Historic"/>
          <w:sz w:val="24"/>
          <w:szCs w:val="24"/>
        </w:rPr>
      </w:pPr>
      <w:r w:rsidRPr="00477F30">
        <w:rPr>
          <w:rFonts w:ascii="Segoe UI Historic" w:hAnsi="Segoe UI Historic" w:cs="Segoe UI Historic"/>
          <w:sz w:val="24"/>
          <w:szCs w:val="24"/>
        </w:rPr>
        <w:t xml:space="preserve">Kemp, B. 1994. </w:t>
      </w:r>
      <w:r w:rsidRPr="00477F30">
        <w:rPr>
          <w:rFonts w:ascii="Segoe UI Historic" w:hAnsi="Segoe UI Historic" w:cs="Segoe UI Historic"/>
          <w:i/>
          <w:sz w:val="24"/>
          <w:szCs w:val="24"/>
        </w:rPr>
        <w:t>Ancient Egypt: Anatomy of a Civilisation</w:t>
      </w:r>
      <w:r w:rsidRPr="00477F30">
        <w:rPr>
          <w:rFonts w:ascii="Segoe UI Historic" w:hAnsi="Segoe UI Historic" w:cs="Segoe UI Historic"/>
          <w:sz w:val="24"/>
          <w:szCs w:val="24"/>
        </w:rPr>
        <w:t>. London: Routledge.</w:t>
      </w:r>
    </w:p>
    <w:p w14:paraId="71C2AADE" w14:textId="77777777" w:rsidR="00121FB1" w:rsidRPr="00477F30" w:rsidRDefault="00121FB1" w:rsidP="00477F30">
      <w:pPr>
        <w:pStyle w:val="NoSpacing"/>
        <w:spacing w:line="360" w:lineRule="auto"/>
        <w:rPr>
          <w:rFonts w:ascii="Segoe UI Historic" w:hAnsi="Segoe UI Historic" w:cs="Segoe UI Historic"/>
          <w:sz w:val="24"/>
          <w:szCs w:val="24"/>
        </w:rPr>
      </w:pPr>
    </w:p>
    <w:p w14:paraId="08E65A28" w14:textId="2C8809EE" w:rsidR="00012F23" w:rsidRPr="00477F30" w:rsidRDefault="00012F23" w:rsidP="00477F30">
      <w:pPr>
        <w:pStyle w:val="NoSpacing"/>
        <w:spacing w:line="360" w:lineRule="auto"/>
        <w:rPr>
          <w:rFonts w:ascii="Segoe UI Historic" w:hAnsi="Segoe UI Historic" w:cs="Segoe UI Historic"/>
          <w:sz w:val="24"/>
          <w:szCs w:val="24"/>
        </w:rPr>
      </w:pPr>
      <w:r w:rsidRPr="00477F30">
        <w:rPr>
          <w:rFonts w:ascii="Segoe UI Historic" w:hAnsi="Segoe UI Historic" w:cs="Segoe UI Historic"/>
          <w:sz w:val="24"/>
          <w:szCs w:val="24"/>
        </w:rPr>
        <w:t xml:space="preserve">Kemp, B. 2012. </w:t>
      </w:r>
      <w:r w:rsidRPr="00477F30">
        <w:rPr>
          <w:rFonts w:ascii="Segoe UI Historic" w:hAnsi="Segoe UI Historic" w:cs="Segoe UI Historic"/>
          <w:i/>
          <w:sz w:val="24"/>
          <w:szCs w:val="24"/>
        </w:rPr>
        <w:t>The City of Akhenaten and Nefertiti: Amarna and Its People</w:t>
      </w:r>
      <w:r w:rsidRPr="00477F30">
        <w:rPr>
          <w:rFonts w:ascii="Segoe UI Historic" w:hAnsi="Segoe UI Historic" w:cs="Segoe UI Historic"/>
          <w:sz w:val="24"/>
          <w:szCs w:val="24"/>
        </w:rPr>
        <w:t>. London: Thames &amp; Hudson.</w:t>
      </w:r>
    </w:p>
    <w:p w14:paraId="2FBE5489" w14:textId="77777777" w:rsidR="00B55086" w:rsidRPr="00477F30" w:rsidRDefault="00B55086" w:rsidP="00477F30">
      <w:pPr>
        <w:pStyle w:val="NoSpacing"/>
        <w:spacing w:line="360" w:lineRule="auto"/>
        <w:rPr>
          <w:rFonts w:ascii="Segoe UI Historic" w:hAnsi="Segoe UI Historic" w:cs="Segoe UI Historic"/>
          <w:sz w:val="24"/>
          <w:szCs w:val="24"/>
        </w:rPr>
      </w:pPr>
    </w:p>
    <w:p w14:paraId="5C6072A5" w14:textId="3B57BB6F" w:rsidR="00665A75" w:rsidRPr="00477F30" w:rsidRDefault="00665A75" w:rsidP="00477F30">
      <w:pPr>
        <w:pStyle w:val="NoSpacing"/>
        <w:spacing w:line="360" w:lineRule="auto"/>
        <w:rPr>
          <w:rFonts w:ascii="Segoe UI Historic" w:hAnsi="Segoe UI Historic" w:cs="Segoe UI Historic"/>
          <w:sz w:val="24"/>
          <w:szCs w:val="24"/>
        </w:rPr>
      </w:pPr>
      <w:r w:rsidRPr="00477F30">
        <w:rPr>
          <w:rFonts w:ascii="Segoe UI Historic" w:hAnsi="Segoe UI Historic" w:cs="Segoe UI Historic"/>
          <w:sz w:val="24"/>
          <w:szCs w:val="24"/>
        </w:rPr>
        <w:t xml:space="preserve">Murnane, W.J. 1995. </w:t>
      </w:r>
      <w:r w:rsidRPr="00477F30">
        <w:rPr>
          <w:rFonts w:ascii="Segoe UI Historic" w:hAnsi="Segoe UI Historic" w:cs="Segoe UI Historic"/>
          <w:i/>
          <w:sz w:val="24"/>
          <w:szCs w:val="24"/>
        </w:rPr>
        <w:t>Texts from the Amarna Period in Egypt</w:t>
      </w:r>
      <w:r w:rsidRPr="00477F30">
        <w:rPr>
          <w:rFonts w:ascii="Segoe UI Historic" w:hAnsi="Segoe UI Historic" w:cs="Segoe UI Historic"/>
          <w:sz w:val="24"/>
          <w:szCs w:val="24"/>
        </w:rPr>
        <w:t>. Atlanta: Scholars Press</w:t>
      </w:r>
    </w:p>
    <w:p w14:paraId="5069A08D" w14:textId="77777777" w:rsidR="00B55086" w:rsidRPr="00477F30" w:rsidRDefault="00B55086" w:rsidP="00477F30">
      <w:pPr>
        <w:pStyle w:val="NoSpacing"/>
        <w:spacing w:line="360" w:lineRule="auto"/>
        <w:rPr>
          <w:rFonts w:ascii="Segoe UI Historic" w:hAnsi="Segoe UI Historic" w:cs="Segoe UI Historic"/>
          <w:sz w:val="24"/>
          <w:szCs w:val="24"/>
        </w:rPr>
      </w:pPr>
    </w:p>
    <w:p w14:paraId="37D63F4E" w14:textId="7035862F" w:rsidR="002D2352" w:rsidRPr="00477F30" w:rsidRDefault="00832BEE" w:rsidP="00477F30">
      <w:pPr>
        <w:pStyle w:val="NoSpacing"/>
        <w:spacing w:line="360" w:lineRule="auto"/>
        <w:rPr>
          <w:rFonts w:ascii="Segoe UI Historic" w:hAnsi="Segoe UI Historic" w:cs="Segoe UI Historic"/>
          <w:sz w:val="24"/>
          <w:szCs w:val="24"/>
        </w:rPr>
      </w:pPr>
      <w:r w:rsidRPr="00477F30">
        <w:rPr>
          <w:rFonts w:ascii="Segoe UI Historic" w:hAnsi="Segoe UI Historic" w:cs="Segoe UI Historic"/>
          <w:sz w:val="24"/>
          <w:szCs w:val="24"/>
        </w:rPr>
        <w:t>Murnane, W.J</w:t>
      </w:r>
      <w:r w:rsidR="002D2352" w:rsidRPr="00477F30">
        <w:rPr>
          <w:rFonts w:ascii="Segoe UI Historic" w:hAnsi="Segoe UI Historic" w:cs="Segoe UI Historic"/>
          <w:sz w:val="24"/>
          <w:szCs w:val="24"/>
        </w:rPr>
        <w:t xml:space="preserve">. and Van Siclen, C.C. </w:t>
      </w:r>
      <w:r w:rsidR="00B73BEB" w:rsidRPr="00477F30">
        <w:rPr>
          <w:rFonts w:ascii="Segoe UI Historic" w:hAnsi="Segoe UI Historic" w:cs="Segoe UI Historic"/>
          <w:sz w:val="24"/>
          <w:szCs w:val="24"/>
        </w:rPr>
        <w:t>1993</w:t>
      </w:r>
      <w:r w:rsidR="002D2352" w:rsidRPr="00477F30">
        <w:rPr>
          <w:rFonts w:ascii="Segoe UI Historic" w:hAnsi="Segoe UI Historic" w:cs="Segoe UI Historic"/>
          <w:sz w:val="24"/>
          <w:szCs w:val="24"/>
        </w:rPr>
        <w:t xml:space="preserve">. </w:t>
      </w:r>
      <w:r w:rsidR="002D2352" w:rsidRPr="00477F30">
        <w:rPr>
          <w:rFonts w:ascii="Segoe UI Historic" w:hAnsi="Segoe UI Historic" w:cs="Segoe UI Historic"/>
          <w:i/>
          <w:sz w:val="24"/>
          <w:szCs w:val="24"/>
        </w:rPr>
        <w:t>The Boundary Stelae of Akhenaten</w:t>
      </w:r>
      <w:r w:rsidR="002D2352" w:rsidRPr="00477F30">
        <w:rPr>
          <w:rFonts w:ascii="Segoe UI Historic" w:hAnsi="Segoe UI Historic" w:cs="Segoe UI Historic"/>
          <w:sz w:val="24"/>
          <w:szCs w:val="24"/>
        </w:rPr>
        <w:t xml:space="preserve">. </w:t>
      </w:r>
      <w:r w:rsidR="00012F23" w:rsidRPr="00477F30">
        <w:rPr>
          <w:rFonts w:ascii="Segoe UI Historic" w:hAnsi="Segoe UI Historic" w:cs="Segoe UI Historic"/>
          <w:sz w:val="24"/>
          <w:szCs w:val="24"/>
        </w:rPr>
        <w:t xml:space="preserve">New York: </w:t>
      </w:r>
      <w:r w:rsidR="002D2352" w:rsidRPr="00477F30">
        <w:rPr>
          <w:rFonts w:ascii="Segoe UI Historic" w:hAnsi="Segoe UI Historic" w:cs="Segoe UI Historic"/>
          <w:sz w:val="24"/>
          <w:szCs w:val="24"/>
        </w:rPr>
        <w:t>Routledge.</w:t>
      </w:r>
    </w:p>
    <w:p w14:paraId="3C86D32C" w14:textId="3E3A1E9F" w:rsidR="00B55086" w:rsidRPr="00477F30" w:rsidRDefault="00B55086" w:rsidP="00477F30">
      <w:pPr>
        <w:pStyle w:val="NoSpacing"/>
        <w:spacing w:line="360" w:lineRule="auto"/>
        <w:rPr>
          <w:rFonts w:ascii="Segoe UI Historic" w:hAnsi="Segoe UI Historic" w:cs="Segoe UI Historic"/>
          <w:sz w:val="24"/>
          <w:szCs w:val="24"/>
        </w:rPr>
      </w:pPr>
    </w:p>
    <w:p w14:paraId="56B58D28" w14:textId="71E5CA67" w:rsidR="00121FB1" w:rsidRPr="00477F30" w:rsidRDefault="00121FB1" w:rsidP="00477F30">
      <w:pPr>
        <w:pStyle w:val="NoSpacing"/>
        <w:spacing w:line="360" w:lineRule="auto"/>
        <w:rPr>
          <w:rFonts w:ascii="Segoe UI Historic" w:hAnsi="Segoe UI Historic" w:cs="Segoe UI Historic"/>
          <w:sz w:val="24"/>
          <w:szCs w:val="24"/>
        </w:rPr>
      </w:pPr>
      <w:r w:rsidRPr="00477F30">
        <w:rPr>
          <w:rFonts w:ascii="Segoe UI Historic" w:hAnsi="Segoe UI Historic" w:cs="Segoe UI Historic"/>
          <w:sz w:val="24"/>
          <w:szCs w:val="24"/>
        </w:rPr>
        <w:t xml:space="preserve">Shaw, I. and Nicholson, P. 1995. </w:t>
      </w:r>
      <w:r w:rsidRPr="00477F30">
        <w:rPr>
          <w:rFonts w:ascii="Segoe UI Historic" w:hAnsi="Segoe UI Historic" w:cs="Segoe UI Historic"/>
          <w:i/>
          <w:sz w:val="24"/>
          <w:szCs w:val="24"/>
        </w:rPr>
        <w:t>British Museum Dictionary of Ancient Egypt</w:t>
      </w:r>
      <w:r w:rsidRPr="00477F30">
        <w:rPr>
          <w:rFonts w:ascii="Segoe UI Historic" w:hAnsi="Segoe UI Historic" w:cs="Segoe UI Historic"/>
          <w:sz w:val="24"/>
          <w:szCs w:val="24"/>
        </w:rPr>
        <w:t>. London: British Museum Press.</w:t>
      </w:r>
    </w:p>
    <w:p w14:paraId="6F2C6BB0" w14:textId="77777777" w:rsidR="00121FB1" w:rsidRPr="00477F30" w:rsidRDefault="00121FB1" w:rsidP="00477F30">
      <w:pPr>
        <w:pStyle w:val="NoSpacing"/>
        <w:spacing w:line="360" w:lineRule="auto"/>
        <w:rPr>
          <w:rFonts w:ascii="Segoe UI Historic" w:hAnsi="Segoe UI Historic" w:cs="Segoe UI Historic"/>
          <w:sz w:val="24"/>
          <w:szCs w:val="24"/>
        </w:rPr>
      </w:pPr>
    </w:p>
    <w:p w14:paraId="2D26ED6E" w14:textId="386958F7" w:rsidR="47562167" w:rsidRPr="00477F30" w:rsidRDefault="47562167" w:rsidP="00477F30">
      <w:pPr>
        <w:pStyle w:val="NoSpacing"/>
        <w:spacing w:line="360" w:lineRule="auto"/>
        <w:rPr>
          <w:rFonts w:ascii="Segoe UI Historic" w:hAnsi="Segoe UI Historic" w:cs="Segoe UI Historic"/>
          <w:sz w:val="24"/>
          <w:szCs w:val="24"/>
        </w:rPr>
      </w:pPr>
      <w:r w:rsidRPr="00477F30">
        <w:rPr>
          <w:rFonts w:ascii="Segoe UI Historic" w:hAnsi="Segoe UI Historic" w:cs="Segoe UI Historic"/>
          <w:sz w:val="24"/>
          <w:szCs w:val="24"/>
        </w:rPr>
        <w:t xml:space="preserve">Wegner, J. 2017. </w:t>
      </w:r>
      <w:r w:rsidRPr="00477F30">
        <w:rPr>
          <w:rFonts w:ascii="Segoe UI Historic" w:hAnsi="Segoe UI Historic" w:cs="Segoe UI Historic"/>
          <w:i/>
          <w:iCs/>
          <w:sz w:val="24"/>
          <w:szCs w:val="24"/>
        </w:rPr>
        <w:t xml:space="preserve">The Sunshade Chapel of </w:t>
      </w:r>
      <w:proofErr w:type="spellStart"/>
      <w:r w:rsidRPr="00477F30">
        <w:rPr>
          <w:rFonts w:ascii="Segoe UI Historic" w:hAnsi="Segoe UI Historic" w:cs="Segoe UI Historic"/>
          <w:i/>
          <w:iCs/>
          <w:sz w:val="24"/>
          <w:szCs w:val="24"/>
        </w:rPr>
        <w:t>Meritaten</w:t>
      </w:r>
      <w:proofErr w:type="spellEnd"/>
      <w:r w:rsidRPr="00477F30">
        <w:rPr>
          <w:rFonts w:ascii="Segoe UI Historic" w:hAnsi="Segoe UI Historic" w:cs="Segoe UI Historic"/>
          <w:i/>
          <w:iCs/>
          <w:sz w:val="24"/>
          <w:szCs w:val="24"/>
        </w:rPr>
        <w:t xml:space="preserve"> from the House-of-</w:t>
      </w:r>
      <w:proofErr w:type="spellStart"/>
      <w:r w:rsidRPr="00477F30">
        <w:rPr>
          <w:rFonts w:ascii="Segoe UI Historic" w:hAnsi="Segoe UI Historic" w:cs="Segoe UI Historic"/>
          <w:i/>
          <w:iCs/>
          <w:sz w:val="24"/>
          <w:szCs w:val="24"/>
        </w:rPr>
        <w:t>Waenre</w:t>
      </w:r>
      <w:proofErr w:type="spellEnd"/>
      <w:r w:rsidRPr="00477F30">
        <w:rPr>
          <w:rFonts w:ascii="Segoe UI Historic" w:hAnsi="Segoe UI Historic" w:cs="Segoe UI Historic"/>
          <w:i/>
          <w:iCs/>
          <w:sz w:val="24"/>
          <w:szCs w:val="24"/>
        </w:rPr>
        <w:t xml:space="preserve"> of Akhenaten</w:t>
      </w:r>
      <w:r w:rsidRPr="00477F30">
        <w:rPr>
          <w:rFonts w:ascii="Segoe UI Historic" w:hAnsi="Segoe UI Historic" w:cs="Segoe UI Historic"/>
          <w:sz w:val="24"/>
          <w:szCs w:val="24"/>
        </w:rPr>
        <w:t>. Philadelphia: University of Pennsylvania Museum of Archaeology and Anthropology.</w:t>
      </w:r>
    </w:p>
    <w:p w14:paraId="217B7D16" w14:textId="77777777" w:rsidR="00B55086" w:rsidRPr="00477F30" w:rsidRDefault="00B55086" w:rsidP="00477F30">
      <w:pPr>
        <w:pStyle w:val="NoSpacing"/>
        <w:spacing w:line="360" w:lineRule="auto"/>
        <w:rPr>
          <w:rFonts w:ascii="Segoe UI Historic" w:hAnsi="Segoe UI Historic" w:cs="Segoe UI Historic"/>
          <w:sz w:val="24"/>
          <w:szCs w:val="24"/>
        </w:rPr>
      </w:pPr>
    </w:p>
    <w:p w14:paraId="5A86F73E" w14:textId="517570F6" w:rsidR="00665A75" w:rsidRPr="00477F30" w:rsidRDefault="00E92EEA" w:rsidP="00477F30">
      <w:pPr>
        <w:pStyle w:val="NoSpacing"/>
        <w:spacing w:line="360" w:lineRule="auto"/>
        <w:rPr>
          <w:rFonts w:ascii="Segoe UI Historic" w:hAnsi="Segoe UI Historic" w:cs="Segoe UI Historic"/>
          <w:sz w:val="24"/>
          <w:szCs w:val="24"/>
        </w:rPr>
      </w:pPr>
      <w:r w:rsidRPr="00477F30">
        <w:rPr>
          <w:rFonts w:ascii="Segoe UI Historic" w:hAnsi="Segoe UI Historic" w:cs="Segoe UI Historic"/>
          <w:sz w:val="24"/>
          <w:szCs w:val="24"/>
        </w:rPr>
        <w:t xml:space="preserve">Wilkinson, R.H. 2003. </w:t>
      </w:r>
      <w:r w:rsidRPr="00477F30">
        <w:rPr>
          <w:rFonts w:ascii="Segoe UI Historic" w:hAnsi="Segoe UI Historic" w:cs="Segoe UI Historic"/>
          <w:i/>
          <w:sz w:val="24"/>
          <w:szCs w:val="24"/>
        </w:rPr>
        <w:t>The Complete Gods and Goddesses of Ancient Egypt</w:t>
      </w:r>
      <w:r w:rsidRPr="00477F30">
        <w:rPr>
          <w:rFonts w:ascii="Segoe UI Historic" w:hAnsi="Segoe UI Historic" w:cs="Segoe UI Historic"/>
          <w:sz w:val="24"/>
          <w:szCs w:val="24"/>
        </w:rPr>
        <w:t>. London: Thames and Hudson.</w:t>
      </w:r>
    </w:p>
    <w:sectPr w:rsidR="00665A75" w:rsidRPr="00477F3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EB80BE" w14:textId="77777777" w:rsidR="00F64BE2" w:rsidRDefault="00F64BE2" w:rsidP="00693FD4">
      <w:pPr>
        <w:spacing w:after="0" w:line="240" w:lineRule="auto"/>
      </w:pPr>
      <w:r>
        <w:separator/>
      </w:r>
    </w:p>
  </w:endnote>
  <w:endnote w:type="continuationSeparator" w:id="0">
    <w:p w14:paraId="37C439F5" w14:textId="77777777" w:rsidR="00F64BE2" w:rsidRDefault="00F64BE2" w:rsidP="00693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BE9286" w14:textId="77777777" w:rsidR="00693FD4" w:rsidRDefault="00693F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E25C89" w14:textId="77777777" w:rsidR="00693FD4" w:rsidRDefault="00693F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753DD8" w14:textId="77777777" w:rsidR="00693FD4" w:rsidRDefault="00693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444048" w14:textId="77777777" w:rsidR="00F64BE2" w:rsidRDefault="00F64BE2" w:rsidP="00693FD4">
      <w:pPr>
        <w:spacing w:after="0" w:line="240" w:lineRule="auto"/>
      </w:pPr>
      <w:r>
        <w:separator/>
      </w:r>
    </w:p>
  </w:footnote>
  <w:footnote w:type="continuationSeparator" w:id="0">
    <w:p w14:paraId="2F19050F" w14:textId="77777777" w:rsidR="00F64BE2" w:rsidRDefault="00F64BE2" w:rsidP="00693F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F92D8" w14:textId="77777777" w:rsidR="00693FD4" w:rsidRDefault="00693F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D97B43" w14:textId="77777777" w:rsidR="00693FD4" w:rsidRDefault="00693F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906B07" w14:textId="77777777" w:rsidR="00693FD4" w:rsidRDefault="00693F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E35A71C0"/>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AF9"/>
    <w:rsid w:val="00012F23"/>
    <w:rsid w:val="00065A12"/>
    <w:rsid w:val="00093886"/>
    <w:rsid w:val="00113C0B"/>
    <w:rsid w:val="00121FB1"/>
    <w:rsid w:val="001B7CCE"/>
    <w:rsid w:val="001F6598"/>
    <w:rsid w:val="002365D7"/>
    <w:rsid w:val="002559C2"/>
    <w:rsid w:val="002D2352"/>
    <w:rsid w:val="002D6860"/>
    <w:rsid w:val="003267D9"/>
    <w:rsid w:val="003A43DF"/>
    <w:rsid w:val="003D08A8"/>
    <w:rsid w:val="00466194"/>
    <w:rsid w:val="00477F30"/>
    <w:rsid w:val="005015F2"/>
    <w:rsid w:val="005256D0"/>
    <w:rsid w:val="00561D5F"/>
    <w:rsid w:val="00610A1C"/>
    <w:rsid w:val="00665A75"/>
    <w:rsid w:val="00693FD4"/>
    <w:rsid w:val="006C3F0E"/>
    <w:rsid w:val="00723A84"/>
    <w:rsid w:val="007D0389"/>
    <w:rsid w:val="007E6326"/>
    <w:rsid w:val="008128AD"/>
    <w:rsid w:val="00832BEE"/>
    <w:rsid w:val="00871212"/>
    <w:rsid w:val="00875BAC"/>
    <w:rsid w:val="008953CA"/>
    <w:rsid w:val="008A1547"/>
    <w:rsid w:val="009358BB"/>
    <w:rsid w:val="00951B2A"/>
    <w:rsid w:val="009B2DBD"/>
    <w:rsid w:val="009B651D"/>
    <w:rsid w:val="009C3C9B"/>
    <w:rsid w:val="009F562F"/>
    <w:rsid w:val="00A10B8D"/>
    <w:rsid w:val="00AC07AC"/>
    <w:rsid w:val="00AF6ED9"/>
    <w:rsid w:val="00B278D3"/>
    <w:rsid w:val="00B55086"/>
    <w:rsid w:val="00B70BF5"/>
    <w:rsid w:val="00B73BEB"/>
    <w:rsid w:val="00BE6AA5"/>
    <w:rsid w:val="00C77B09"/>
    <w:rsid w:val="00CC25F9"/>
    <w:rsid w:val="00D36157"/>
    <w:rsid w:val="00D43D3C"/>
    <w:rsid w:val="00D51FA2"/>
    <w:rsid w:val="00D62F52"/>
    <w:rsid w:val="00D70BBA"/>
    <w:rsid w:val="00E0274A"/>
    <w:rsid w:val="00E21380"/>
    <w:rsid w:val="00E50D38"/>
    <w:rsid w:val="00E66FD1"/>
    <w:rsid w:val="00E7317D"/>
    <w:rsid w:val="00E92EEA"/>
    <w:rsid w:val="00EC3DCF"/>
    <w:rsid w:val="00EF5AF9"/>
    <w:rsid w:val="00F27B07"/>
    <w:rsid w:val="00F52DD8"/>
    <w:rsid w:val="00F64BE2"/>
    <w:rsid w:val="00FB230A"/>
    <w:rsid w:val="00FE0BA5"/>
    <w:rsid w:val="47562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0E0A49"/>
  <w15:chartTrackingRefBased/>
  <w15:docId w15:val="{0A761737-BF11-4A77-82D0-B03C9EA6E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62F52"/>
    <w:pPr>
      <w:spacing w:after="0" w:line="240" w:lineRule="auto"/>
    </w:pPr>
  </w:style>
  <w:style w:type="paragraph" w:styleId="ListBullet">
    <w:name w:val="List Bullet"/>
    <w:basedOn w:val="Normal"/>
    <w:uiPriority w:val="99"/>
    <w:unhideWhenUsed/>
    <w:rsid w:val="00C77B09"/>
    <w:pPr>
      <w:numPr>
        <w:numId w:val="1"/>
      </w:numPr>
      <w:contextualSpacing/>
    </w:pPr>
  </w:style>
  <w:style w:type="character" w:styleId="CommentReference">
    <w:name w:val="annotation reference"/>
    <w:basedOn w:val="DefaultParagraphFont"/>
    <w:uiPriority w:val="99"/>
    <w:semiHidden/>
    <w:unhideWhenUsed/>
    <w:rsid w:val="00466194"/>
    <w:rPr>
      <w:sz w:val="16"/>
      <w:szCs w:val="16"/>
    </w:rPr>
  </w:style>
  <w:style w:type="paragraph" w:styleId="CommentText">
    <w:name w:val="annotation text"/>
    <w:basedOn w:val="Normal"/>
    <w:link w:val="CommentTextChar"/>
    <w:uiPriority w:val="99"/>
    <w:semiHidden/>
    <w:unhideWhenUsed/>
    <w:rsid w:val="00466194"/>
    <w:pPr>
      <w:spacing w:line="240" w:lineRule="auto"/>
    </w:pPr>
    <w:rPr>
      <w:sz w:val="20"/>
      <w:szCs w:val="20"/>
    </w:rPr>
  </w:style>
  <w:style w:type="character" w:customStyle="1" w:styleId="CommentTextChar">
    <w:name w:val="Comment Text Char"/>
    <w:basedOn w:val="DefaultParagraphFont"/>
    <w:link w:val="CommentText"/>
    <w:uiPriority w:val="99"/>
    <w:semiHidden/>
    <w:rsid w:val="00466194"/>
    <w:rPr>
      <w:sz w:val="20"/>
      <w:szCs w:val="20"/>
    </w:rPr>
  </w:style>
  <w:style w:type="paragraph" w:styleId="CommentSubject">
    <w:name w:val="annotation subject"/>
    <w:basedOn w:val="CommentText"/>
    <w:next w:val="CommentText"/>
    <w:link w:val="CommentSubjectChar"/>
    <w:uiPriority w:val="99"/>
    <w:semiHidden/>
    <w:unhideWhenUsed/>
    <w:rsid w:val="00466194"/>
    <w:rPr>
      <w:b/>
      <w:bCs/>
    </w:rPr>
  </w:style>
  <w:style w:type="character" w:customStyle="1" w:styleId="CommentSubjectChar">
    <w:name w:val="Comment Subject Char"/>
    <w:basedOn w:val="CommentTextChar"/>
    <w:link w:val="CommentSubject"/>
    <w:uiPriority w:val="99"/>
    <w:semiHidden/>
    <w:rsid w:val="00466194"/>
    <w:rPr>
      <w:b/>
      <w:bCs/>
      <w:sz w:val="20"/>
      <w:szCs w:val="20"/>
    </w:rPr>
  </w:style>
  <w:style w:type="paragraph" w:styleId="BalloonText">
    <w:name w:val="Balloon Text"/>
    <w:basedOn w:val="Normal"/>
    <w:link w:val="BalloonTextChar"/>
    <w:uiPriority w:val="99"/>
    <w:semiHidden/>
    <w:unhideWhenUsed/>
    <w:rsid w:val="004661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6194"/>
    <w:rPr>
      <w:rFonts w:ascii="Segoe UI" w:hAnsi="Segoe UI" w:cs="Segoe UI"/>
      <w:sz w:val="18"/>
      <w:szCs w:val="18"/>
    </w:rPr>
  </w:style>
  <w:style w:type="paragraph" w:styleId="Header">
    <w:name w:val="header"/>
    <w:basedOn w:val="Normal"/>
    <w:link w:val="HeaderChar"/>
    <w:uiPriority w:val="99"/>
    <w:unhideWhenUsed/>
    <w:rsid w:val="00693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3FD4"/>
  </w:style>
  <w:style w:type="paragraph" w:styleId="Footer">
    <w:name w:val="footer"/>
    <w:basedOn w:val="Normal"/>
    <w:link w:val="FooterChar"/>
    <w:uiPriority w:val="99"/>
    <w:unhideWhenUsed/>
    <w:rsid w:val="00693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F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422293">
      <w:bodyDiv w:val="1"/>
      <w:marLeft w:val="0"/>
      <w:marRight w:val="0"/>
      <w:marTop w:val="0"/>
      <w:marBottom w:val="0"/>
      <w:divBdr>
        <w:top w:val="none" w:sz="0" w:space="0" w:color="auto"/>
        <w:left w:val="none" w:sz="0" w:space="0" w:color="auto"/>
        <w:bottom w:val="none" w:sz="0" w:space="0" w:color="auto"/>
        <w:right w:val="none" w:sz="0" w:space="0" w:color="auto"/>
      </w:divBdr>
      <w:divsChild>
        <w:div w:id="23137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9060B-7FAA-4BB7-82E5-FC301098C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1113</Words>
  <Characters>6346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Georgie Whittock (1600137)</dc:creator>
  <cp:keywords/>
  <dc:description/>
  <cp:lastModifiedBy>Georgie Whittock (1600137)</cp:lastModifiedBy>
  <cp:revision>3</cp:revision>
  <dcterms:created xsi:type="dcterms:W3CDTF">2019-05-19T18:47:00Z</dcterms:created>
  <dcterms:modified xsi:type="dcterms:W3CDTF">2019-05-19T19:14:00Z</dcterms:modified>
</cp:coreProperties>
</file>