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16382" w14:textId="0DC378DB" w:rsidR="00D94D4A" w:rsidRPr="000159B1" w:rsidRDefault="000159B1" w:rsidP="00D94D4A">
      <w:pPr>
        <w:spacing w:line="360" w:lineRule="auto"/>
        <w:jc w:val="both"/>
        <w:rPr>
          <w:rFonts w:ascii="Arial" w:hAnsi="Arial" w:cs="Arial"/>
          <w:b/>
          <w:bCs/>
          <w:sz w:val="32"/>
          <w:szCs w:val="32"/>
        </w:rPr>
      </w:pPr>
      <w:r w:rsidRPr="000159B1">
        <w:rPr>
          <w:rFonts w:ascii="Arial" w:hAnsi="Arial" w:cs="Arial"/>
          <w:b/>
          <w:bCs/>
          <w:sz w:val="32"/>
          <w:szCs w:val="32"/>
        </w:rPr>
        <w:t>Financial Management for the Hotel Industry</w:t>
      </w:r>
    </w:p>
    <w:p w14:paraId="5C707F98" w14:textId="5F9F7458" w:rsidR="000159B1" w:rsidRPr="000159B1" w:rsidRDefault="000159B1" w:rsidP="00D94D4A">
      <w:pPr>
        <w:spacing w:line="360" w:lineRule="auto"/>
        <w:jc w:val="both"/>
        <w:rPr>
          <w:rFonts w:ascii="Arial" w:hAnsi="Arial" w:cs="Arial"/>
          <w:b/>
          <w:bCs/>
          <w:sz w:val="32"/>
          <w:szCs w:val="32"/>
        </w:rPr>
      </w:pPr>
      <w:r w:rsidRPr="000159B1">
        <w:rPr>
          <w:rFonts w:ascii="Arial" w:hAnsi="Arial" w:cs="Arial"/>
          <w:b/>
          <w:bCs/>
          <w:sz w:val="32"/>
          <w:szCs w:val="32"/>
        </w:rPr>
        <w:t>BMIH5007</w:t>
      </w:r>
      <w:r w:rsidR="008F15E9">
        <w:rPr>
          <w:rFonts w:ascii="Arial" w:hAnsi="Arial" w:cs="Arial"/>
          <w:b/>
          <w:bCs/>
          <w:sz w:val="32"/>
          <w:szCs w:val="32"/>
        </w:rPr>
        <w:t>,</w:t>
      </w:r>
      <w:r w:rsidR="00F66B79">
        <w:rPr>
          <w:rFonts w:ascii="Arial" w:hAnsi="Arial" w:cs="Arial"/>
          <w:b/>
          <w:bCs/>
          <w:sz w:val="32"/>
          <w:szCs w:val="32"/>
        </w:rPr>
        <w:t>BMIH5002</w:t>
      </w:r>
    </w:p>
    <w:p w14:paraId="7B47D26B" w14:textId="77777777" w:rsidR="00D94D4A" w:rsidRDefault="00D94D4A" w:rsidP="00D94D4A">
      <w:pPr>
        <w:spacing w:line="360" w:lineRule="auto"/>
        <w:jc w:val="both"/>
        <w:rPr>
          <w:rFonts w:ascii="Arial" w:hAnsi="Arial" w:cs="Arial"/>
          <w:b/>
          <w:bCs/>
          <w:sz w:val="24"/>
          <w:szCs w:val="24"/>
        </w:rPr>
      </w:pPr>
    </w:p>
    <w:p w14:paraId="3FEA797B" w14:textId="77777777" w:rsidR="00D94D4A" w:rsidRDefault="00D94D4A" w:rsidP="00D94D4A">
      <w:pPr>
        <w:spacing w:line="360" w:lineRule="auto"/>
        <w:jc w:val="both"/>
        <w:rPr>
          <w:rFonts w:ascii="Arial" w:hAnsi="Arial" w:cs="Arial"/>
          <w:b/>
          <w:bCs/>
          <w:sz w:val="24"/>
          <w:szCs w:val="24"/>
        </w:rPr>
      </w:pPr>
    </w:p>
    <w:p w14:paraId="2D149E69" w14:textId="77777777" w:rsidR="00D94D4A" w:rsidRDefault="00D94D4A" w:rsidP="00D94D4A">
      <w:pPr>
        <w:spacing w:line="360" w:lineRule="auto"/>
        <w:jc w:val="both"/>
        <w:rPr>
          <w:rFonts w:ascii="Arial" w:hAnsi="Arial" w:cs="Arial"/>
          <w:b/>
          <w:bCs/>
          <w:sz w:val="24"/>
          <w:szCs w:val="24"/>
        </w:rPr>
      </w:pPr>
    </w:p>
    <w:p w14:paraId="320D29C8" w14:textId="1A2D6121" w:rsidR="00D94D4A" w:rsidRDefault="00F774A1" w:rsidP="00D94D4A">
      <w:pPr>
        <w:spacing w:line="360" w:lineRule="auto"/>
        <w:jc w:val="both"/>
        <w:rPr>
          <w:rFonts w:ascii="Arial" w:hAnsi="Arial" w:cs="Arial"/>
          <w:b/>
          <w:bCs/>
          <w:sz w:val="24"/>
          <w:szCs w:val="24"/>
        </w:rPr>
      </w:pPr>
      <w:r>
        <w:rPr>
          <w:rFonts w:ascii="Arial" w:hAnsi="Arial" w:cs="Arial"/>
          <w:b/>
          <w:bCs/>
          <w:sz w:val="24"/>
          <w:szCs w:val="24"/>
        </w:rPr>
        <w:t>Tutor</w:t>
      </w:r>
      <w:r w:rsidR="00591AE6">
        <w:rPr>
          <w:rFonts w:ascii="Arial" w:hAnsi="Arial" w:cs="Arial"/>
          <w:b/>
          <w:bCs/>
          <w:sz w:val="24"/>
          <w:szCs w:val="24"/>
        </w:rPr>
        <w:t xml:space="preserve">: </w:t>
      </w:r>
      <w:proofErr w:type="spellStart"/>
      <w:r w:rsidR="00591AE6">
        <w:rPr>
          <w:rFonts w:ascii="Arial" w:hAnsi="Arial" w:cs="Arial"/>
          <w:b/>
          <w:bCs/>
          <w:sz w:val="24"/>
          <w:szCs w:val="24"/>
        </w:rPr>
        <w:t>Jaliya</w:t>
      </w:r>
      <w:proofErr w:type="spellEnd"/>
      <w:r w:rsidR="00591AE6">
        <w:rPr>
          <w:rFonts w:ascii="Arial" w:hAnsi="Arial" w:cs="Arial"/>
          <w:b/>
          <w:bCs/>
          <w:sz w:val="24"/>
          <w:szCs w:val="24"/>
        </w:rPr>
        <w:t xml:space="preserve"> de Silva</w:t>
      </w:r>
    </w:p>
    <w:p w14:paraId="7CE4B9A8" w14:textId="665D789C" w:rsidR="00591AE6" w:rsidRDefault="00591AE6" w:rsidP="00D94D4A">
      <w:pPr>
        <w:spacing w:line="360" w:lineRule="auto"/>
        <w:jc w:val="both"/>
        <w:rPr>
          <w:rFonts w:ascii="Arial" w:hAnsi="Arial" w:cs="Arial"/>
          <w:b/>
          <w:bCs/>
          <w:sz w:val="24"/>
          <w:szCs w:val="24"/>
        </w:rPr>
      </w:pPr>
      <w:r>
        <w:rPr>
          <w:rFonts w:ascii="Arial" w:hAnsi="Arial" w:cs="Arial"/>
          <w:b/>
          <w:bCs/>
          <w:sz w:val="24"/>
          <w:szCs w:val="24"/>
        </w:rPr>
        <w:t xml:space="preserve">Student name: Georgiana </w:t>
      </w:r>
      <w:proofErr w:type="spellStart"/>
      <w:r>
        <w:rPr>
          <w:rFonts w:ascii="Arial" w:hAnsi="Arial" w:cs="Arial"/>
          <w:b/>
          <w:bCs/>
          <w:sz w:val="24"/>
          <w:szCs w:val="24"/>
        </w:rPr>
        <w:t>Cucu</w:t>
      </w:r>
      <w:proofErr w:type="spellEnd"/>
    </w:p>
    <w:p w14:paraId="4510ED06" w14:textId="79BB6AB3" w:rsidR="00591AE6" w:rsidRDefault="00591AE6" w:rsidP="00D94D4A">
      <w:pPr>
        <w:spacing w:line="360" w:lineRule="auto"/>
        <w:jc w:val="both"/>
        <w:rPr>
          <w:rFonts w:ascii="Arial" w:hAnsi="Arial" w:cs="Arial"/>
          <w:b/>
          <w:bCs/>
          <w:sz w:val="24"/>
          <w:szCs w:val="24"/>
        </w:rPr>
      </w:pPr>
      <w:r>
        <w:rPr>
          <w:rFonts w:ascii="Arial" w:hAnsi="Arial" w:cs="Arial"/>
          <w:b/>
          <w:bCs/>
          <w:sz w:val="24"/>
          <w:szCs w:val="24"/>
        </w:rPr>
        <w:t xml:space="preserve">Student id: </w:t>
      </w:r>
      <w:r w:rsidR="00F8184A">
        <w:rPr>
          <w:rFonts w:ascii="Arial" w:hAnsi="Arial" w:cs="Arial"/>
          <w:b/>
          <w:bCs/>
          <w:sz w:val="24"/>
          <w:szCs w:val="24"/>
        </w:rPr>
        <w:t>2213957</w:t>
      </w:r>
    </w:p>
    <w:p w14:paraId="6D328ECD" w14:textId="77777777" w:rsidR="00D94D4A" w:rsidRDefault="00D94D4A" w:rsidP="00D94D4A">
      <w:pPr>
        <w:spacing w:line="360" w:lineRule="auto"/>
        <w:jc w:val="both"/>
        <w:rPr>
          <w:rFonts w:ascii="Arial" w:hAnsi="Arial" w:cs="Arial"/>
          <w:b/>
          <w:bCs/>
          <w:sz w:val="24"/>
          <w:szCs w:val="24"/>
        </w:rPr>
      </w:pPr>
    </w:p>
    <w:p w14:paraId="76761052" w14:textId="77777777" w:rsidR="00D94D4A" w:rsidRDefault="00D94D4A" w:rsidP="00D94D4A">
      <w:pPr>
        <w:spacing w:line="360" w:lineRule="auto"/>
        <w:jc w:val="both"/>
        <w:rPr>
          <w:rFonts w:ascii="Arial" w:hAnsi="Arial" w:cs="Arial"/>
          <w:b/>
          <w:bCs/>
          <w:sz w:val="24"/>
          <w:szCs w:val="24"/>
        </w:rPr>
      </w:pPr>
    </w:p>
    <w:p w14:paraId="51369189" w14:textId="77777777" w:rsidR="00D94D4A" w:rsidRDefault="00D94D4A" w:rsidP="00D94D4A">
      <w:pPr>
        <w:spacing w:line="360" w:lineRule="auto"/>
        <w:jc w:val="both"/>
        <w:rPr>
          <w:rFonts w:ascii="Arial" w:hAnsi="Arial" w:cs="Arial"/>
          <w:b/>
          <w:bCs/>
          <w:sz w:val="24"/>
          <w:szCs w:val="24"/>
        </w:rPr>
      </w:pPr>
    </w:p>
    <w:p w14:paraId="25057A10" w14:textId="77777777" w:rsidR="00D94D4A" w:rsidRDefault="00D94D4A" w:rsidP="00D94D4A">
      <w:pPr>
        <w:spacing w:line="360" w:lineRule="auto"/>
        <w:jc w:val="both"/>
        <w:rPr>
          <w:rFonts w:ascii="Arial" w:hAnsi="Arial" w:cs="Arial"/>
          <w:b/>
          <w:bCs/>
          <w:sz w:val="24"/>
          <w:szCs w:val="24"/>
        </w:rPr>
      </w:pPr>
    </w:p>
    <w:p w14:paraId="53B678DE" w14:textId="77777777" w:rsidR="00D94D4A" w:rsidRDefault="00D94D4A" w:rsidP="00D94D4A">
      <w:pPr>
        <w:spacing w:line="360" w:lineRule="auto"/>
        <w:jc w:val="both"/>
        <w:rPr>
          <w:rFonts w:ascii="Arial" w:hAnsi="Arial" w:cs="Arial"/>
          <w:b/>
          <w:bCs/>
          <w:sz w:val="24"/>
          <w:szCs w:val="24"/>
        </w:rPr>
      </w:pPr>
    </w:p>
    <w:p w14:paraId="4D643D3E" w14:textId="77777777" w:rsidR="00D94D4A" w:rsidRDefault="00D94D4A" w:rsidP="00D94D4A">
      <w:pPr>
        <w:spacing w:line="360" w:lineRule="auto"/>
        <w:jc w:val="both"/>
        <w:rPr>
          <w:rFonts w:ascii="Arial" w:hAnsi="Arial" w:cs="Arial"/>
          <w:b/>
          <w:bCs/>
          <w:sz w:val="24"/>
          <w:szCs w:val="24"/>
        </w:rPr>
      </w:pPr>
    </w:p>
    <w:p w14:paraId="0611F9BE" w14:textId="77777777" w:rsidR="00D94D4A" w:rsidRDefault="00D94D4A" w:rsidP="00D94D4A">
      <w:pPr>
        <w:spacing w:line="360" w:lineRule="auto"/>
        <w:jc w:val="both"/>
        <w:rPr>
          <w:rFonts w:ascii="Arial" w:hAnsi="Arial" w:cs="Arial"/>
          <w:b/>
          <w:bCs/>
          <w:sz w:val="24"/>
          <w:szCs w:val="24"/>
        </w:rPr>
      </w:pPr>
    </w:p>
    <w:p w14:paraId="6477A9B7" w14:textId="77777777" w:rsidR="00D94D4A" w:rsidRDefault="00D94D4A" w:rsidP="00D94D4A">
      <w:pPr>
        <w:spacing w:line="360" w:lineRule="auto"/>
        <w:jc w:val="both"/>
        <w:rPr>
          <w:rFonts w:ascii="Arial" w:hAnsi="Arial" w:cs="Arial"/>
          <w:b/>
          <w:bCs/>
          <w:sz w:val="24"/>
          <w:szCs w:val="24"/>
        </w:rPr>
      </w:pPr>
    </w:p>
    <w:p w14:paraId="4632DF4D" w14:textId="77777777" w:rsidR="00D94D4A" w:rsidRDefault="00D94D4A" w:rsidP="00D94D4A">
      <w:pPr>
        <w:spacing w:line="360" w:lineRule="auto"/>
        <w:jc w:val="both"/>
        <w:rPr>
          <w:rFonts w:ascii="Arial" w:hAnsi="Arial" w:cs="Arial"/>
          <w:b/>
          <w:bCs/>
          <w:sz w:val="24"/>
          <w:szCs w:val="24"/>
        </w:rPr>
      </w:pPr>
    </w:p>
    <w:p w14:paraId="21C66EC9" w14:textId="77777777" w:rsidR="00D94D4A" w:rsidRDefault="00D94D4A" w:rsidP="00D94D4A">
      <w:pPr>
        <w:spacing w:line="360" w:lineRule="auto"/>
        <w:jc w:val="both"/>
        <w:rPr>
          <w:rFonts w:ascii="Arial" w:hAnsi="Arial" w:cs="Arial"/>
          <w:b/>
          <w:bCs/>
          <w:sz w:val="24"/>
          <w:szCs w:val="24"/>
        </w:rPr>
      </w:pPr>
    </w:p>
    <w:p w14:paraId="6CE7AA45" w14:textId="77777777" w:rsidR="00D94D4A" w:rsidRDefault="00D94D4A" w:rsidP="00D94D4A">
      <w:pPr>
        <w:spacing w:line="360" w:lineRule="auto"/>
        <w:jc w:val="both"/>
        <w:rPr>
          <w:rFonts w:ascii="Arial" w:hAnsi="Arial" w:cs="Arial"/>
          <w:b/>
          <w:bCs/>
          <w:sz w:val="24"/>
          <w:szCs w:val="24"/>
        </w:rPr>
      </w:pPr>
    </w:p>
    <w:p w14:paraId="46A6630F" w14:textId="77777777" w:rsidR="00D94D4A" w:rsidRDefault="00D94D4A" w:rsidP="00D94D4A">
      <w:pPr>
        <w:spacing w:line="360" w:lineRule="auto"/>
        <w:jc w:val="both"/>
        <w:rPr>
          <w:rFonts w:ascii="Arial" w:hAnsi="Arial" w:cs="Arial"/>
          <w:b/>
          <w:bCs/>
          <w:sz w:val="24"/>
          <w:szCs w:val="24"/>
        </w:rPr>
      </w:pPr>
    </w:p>
    <w:p w14:paraId="5AA2D171" w14:textId="77777777" w:rsidR="00D94D4A" w:rsidRDefault="00D94D4A" w:rsidP="00D94D4A">
      <w:pPr>
        <w:spacing w:line="360" w:lineRule="auto"/>
        <w:jc w:val="both"/>
        <w:rPr>
          <w:rFonts w:ascii="Arial" w:hAnsi="Arial" w:cs="Arial"/>
          <w:b/>
          <w:bCs/>
          <w:sz w:val="24"/>
          <w:szCs w:val="24"/>
        </w:rPr>
      </w:pPr>
    </w:p>
    <w:p w14:paraId="2E4C7812" w14:textId="77777777" w:rsidR="00D94D4A" w:rsidRDefault="00D94D4A" w:rsidP="00D94D4A">
      <w:pPr>
        <w:spacing w:line="360" w:lineRule="auto"/>
        <w:jc w:val="both"/>
        <w:rPr>
          <w:rFonts w:ascii="Arial" w:hAnsi="Arial" w:cs="Arial"/>
          <w:b/>
          <w:bCs/>
          <w:sz w:val="24"/>
          <w:szCs w:val="24"/>
        </w:rPr>
      </w:pPr>
    </w:p>
    <w:p w14:paraId="0876B6B0" w14:textId="77777777" w:rsidR="00D94D4A" w:rsidRDefault="00D94D4A" w:rsidP="00D94D4A">
      <w:pPr>
        <w:spacing w:line="360" w:lineRule="auto"/>
        <w:jc w:val="both"/>
        <w:rPr>
          <w:rFonts w:ascii="Arial" w:hAnsi="Arial" w:cs="Arial"/>
          <w:b/>
          <w:bCs/>
          <w:sz w:val="24"/>
          <w:szCs w:val="24"/>
        </w:rPr>
      </w:pPr>
    </w:p>
    <w:p w14:paraId="5A2370A0" w14:textId="77777777" w:rsidR="00D94D4A" w:rsidRDefault="00D94D4A" w:rsidP="00D94D4A">
      <w:pPr>
        <w:spacing w:line="360" w:lineRule="auto"/>
        <w:jc w:val="both"/>
        <w:rPr>
          <w:rFonts w:ascii="Arial" w:hAnsi="Arial" w:cs="Arial"/>
          <w:b/>
          <w:bCs/>
          <w:sz w:val="24"/>
          <w:szCs w:val="24"/>
        </w:rPr>
      </w:pPr>
    </w:p>
    <w:p w14:paraId="6FC61C9F" w14:textId="77777777" w:rsidR="00D94D4A" w:rsidRDefault="00D94D4A" w:rsidP="00D94D4A">
      <w:pPr>
        <w:spacing w:line="360" w:lineRule="auto"/>
        <w:jc w:val="both"/>
        <w:rPr>
          <w:rFonts w:ascii="Arial" w:hAnsi="Arial" w:cs="Arial"/>
          <w:b/>
          <w:bCs/>
          <w:sz w:val="24"/>
          <w:szCs w:val="24"/>
        </w:rPr>
      </w:pPr>
    </w:p>
    <w:p w14:paraId="5770003C" w14:textId="77777777" w:rsidR="00D94D4A" w:rsidRDefault="00D94D4A" w:rsidP="00D94D4A">
      <w:pPr>
        <w:spacing w:line="360" w:lineRule="auto"/>
        <w:jc w:val="both"/>
        <w:rPr>
          <w:rFonts w:ascii="Arial" w:hAnsi="Arial" w:cs="Arial"/>
          <w:b/>
          <w:bCs/>
          <w:sz w:val="24"/>
          <w:szCs w:val="24"/>
        </w:rPr>
      </w:pPr>
    </w:p>
    <w:p w14:paraId="0A77D127" w14:textId="77777777" w:rsidR="00D94D4A" w:rsidRDefault="00D94D4A" w:rsidP="00D94D4A">
      <w:pPr>
        <w:spacing w:line="360" w:lineRule="auto"/>
        <w:jc w:val="both"/>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813533031"/>
        <w:docPartObj>
          <w:docPartGallery w:val="Table of Contents"/>
          <w:docPartUnique/>
        </w:docPartObj>
      </w:sdtPr>
      <w:sdtEndPr>
        <w:rPr>
          <w:b/>
          <w:bCs/>
          <w:noProof/>
        </w:rPr>
      </w:sdtEndPr>
      <w:sdtContent>
        <w:p w14:paraId="230BD1FF" w14:textId="634CE6CC" w:rsidR="00D94D4A" w:rsidRPr="00D94D4A" w:rsidRDefault="00D94D4A" w:rsidP="00D94D4A">
          <w:pPr>
            <w:pStyle w:val="Titlucuprins"/>
            <w:spacing w:line="360" w:lineRule="auto"/>
            <w:rPr>
              <w:rFonts w:ascii="Arial" w:hAnsi="Arial" w:cs="Arial"/>
              <w:sz w:val="24"/>
              <w:szCs w:val="24"/>
            </w:rPr>
          </w:pPr>
          <w:r w:rsidRPr="00D94D4A">
            <w:rPr>
              <w:rFonts w:ascii="Arial" w:hAnsi="Arial" w:cs="Arial"/>
              <w:sz w:val="24"/>
              <w:szCs w:val="24"/>
            </w:rPr>
            <w:t>Contents</w:t>
          </w:r>
        </w:p>
        <w:p w14:paraId="19F2CBC5" w14:textId="25BC6F24" w:rsidR="00880921" w:rsidRDefault="00D94D4A">
          <w:pPr>
            <w:pStyle w:val="Cuprins1"/>
            <w:tabs>
              <w:tab w:val="right" w:leader="dot" w:pos="9016"/>
            </w:tabs>
            <w:rPr>
              <w:rFonts w:eastAsiaTheme="minorEastAsia"/>
              <w:noProof/>
              <w:sz w:val="24"/>
              <w:szCs w:val="24"/>
              <w:lang w:eastAsia="en-GB"/>
            </w:rPr>
          </w:pPr>
          <w:r w:rsidRPr="00D94D4A">
            <w:rPr>
              <w:rFonts w:ascii="Arial" w:hAnsi="Arial" w:cs="Arial"/>
              <w:sz w:val="24"/>
              <w:szCs w:val="24"/>
            </w:rPr>
            <w:fldChar w:fldCharType="begin"/>
          </w:r>
          <w:r w:rsidRPr="00D94D4A">
            <w:rPr>
              <w:rFonts w:ascii="Arial" w:hAnsi="Arial" w:cs="Arial"/>
              <w:sz w:val="24"/>
              <w:szCs w:val="24"/>
            </w:rPr>
            <w:instrText xml:space="preserve"> TOC \o "1-3" \h \z \u </w:instrText>
          </w:r>
          <w:r w:rsidRPr="00D94D4A">
            <w:rPr>
              <w:rFonts w:ascii="Arial" w:hAnsi="Arial" w:cs="Arial"/>
              <w:sz w:val="24"/>
              <w:szCs w:val="24"/>
            </w:rPr>
            <w:fldChar w:fldCharType="separate"/>
          </w:r>
          <w:hyperlink w:anchor="_Toc160050925" w:history="1">
            <w:r w:rsidR="00880921" w:rsidRPr="006D31DC">
              <w:rPr>
                <w:rStyle w:val="Hyperlink"/>
                <w:noProof/>
              </w:rPr>
              <w:t>Introduction</w:t>
            </w:r>
            <w:r w:rsidR="00880921">
              <w:rPr>
                <w:noProof/>
                <w:webHidden/>
              </w:rPr>
              <w:tab/>
            </w:r>
            <w:r w:rsidR="00880921">
              <w:rPr>
                <w:noProof/>
                <w:webHidden/>
              </w:rPr>
              <w:fldChar w:fldCharType="begin"/>
            </w:r>
            <w:r w:rsidR="00880921">
              <w:rPr>
                <w:noProof/>
                <w:webHidden/>
              </w:rPr>
              <w:instrText xml:space="preserve"> PAGEREF _Toc160050925 \h </w:instrText>
            </w:r>
            <w:r w:rsidR="00880921">
              <w:rPr>
                <w:noProof/>
                <w:webHidden/>
              </w:rPr>
            </w:r>
            <w:r w:rsidR="00880921">
              <w:rPr>
                <w:noProof/>
                <w:webHidden/>
              </w:rPr>
              <w:fldChar w:fldCharType="separate"/>
            </w:r>
            <w:r w:rsidR="00880921">
              <w:rPr>
                <w:noProof/>
                <w:webHidden/>
              </w:rPr>
              <w:t>3</w:t>
            </w:r>
            <w:r w:rsidR="00880921">
              <w:rPr>
                <w:noProof/>
                <w:webHidden/>
              </w:rPr>
              <w:fldChar w:fldCharType="end"/>
            </w:r>
          </w:hyperlink>
        </w:p>
        <w:p w14:paraId="127FF44D" w14:textId="59B852FF" w:rsidR="00880921" w:rsidRDefault="00000000">
          <w:pPr>
            <w:pStyle w:val="Cuprins1"/>
            <w:tabs>
              <w:tab w:val="right" w:leader="dot" w:pos="9016"/>
            </w:tabs>
            <w:rPr>
              <w:rFonts w:eastAsiaTheme="minorEastAsia"/>
              <w:noProof/>
              <w:sz w:val="24"/>
              <w:szCs w:val="24"/>
              <w:lang w:eastAsia="en-GB"/>
            </w:rPr>
          </w:pPr>
          <w:hyperlink w:anchor="_Toc160050926" w:history="1">
            <w:r w:rsidR="00880921" w:rsidRPr="006D31DC">
              <w:rPr>
                <w:rStyle w:val="Hyperlink"/>
                <w:rFonts w:eastAsia="Times New Roman"/>
                <w:noProof/>
              </w:rPr>
              <w:t>Market analysis</w:t>
            </w:r>
            <w:r w:rsidR="00880921">
              <w:rPr>
                <w:noProof/>
                <w:webHidden/>
              </w:rPr>
              <w:tab/>
            </w:r>
            <w:r w:rsidR="00880921">
              <w:rPr>
                <w:noProof/>
                <w:webHidden/>
              </w:rPr>
              <w:fldChar w:fldCharType="begin"/>
            </w:r>
            <w:r w:rsidR="00880921">
              <w:rPr>
                <w:noProof/>
                <w:webHidden/>
              </w:rPr>
              <w:instrText xml:space="preserve"> PAGEREF _Toc160050926 \h </w:instrText>
            </w:r>
            <w:r w:rsidR="00880921">
              <w:rPr>
                <w:noProof/>
                <w:webHidden/>
              </w:rPr>
            </w:r>
            <w:r w:rsidR="00880921">
              <w:rPr>
                <w:noProof/>
                <w:webHidden/>
              </w:rPr>
              <w:fldChar w:fldCharType="separate"/>
            </w:r>
            <w:r w:rsidR="00880921">
              <w:rPr>
                <w:noProof/>
                <w:webHidden/>
              </w:rPr>
              <w:t>3</w:t>
            </w:r>
            <w:r w:rsidR="00880921">
              <w:rPr>
                <w:noProof/>
                <w:webHidden/>
              </w:rPr>
              <w:fldChar w:fldCharType="end"/>
            </w:r>
          </w:hyperlink>
        </w:p>
        <w:p w14:paraId="51CBD622" w14:textId="6D5BB7BF" w:rsidR="00880921" w:rsidRDefault="00000000">
          <w:pPr>
            <w:pStyle w:val="Cuprins1"/>
            <w:tabs>
              <w:tab w:val="right" w:leader="dot" w:pos="9016"/>
            </w:tabs>
            <w:rPr>
              <w:rFonts w:eastAsiaTheme="minorEastAsia"/>
              <w:noProof/>
              <w:sz w:val="24"/>
              <w:szCs w:val="24"/>
              <w:lang w:eastAsia="en-GB"/>
            </w:rPr>
          </w:pPr>
          <w:hyperlink w:anchor="_Toc160050927" w:history="1">
            <w:r w:rsidR="00880921" w:rsidRPr="006D31DC">
              <w:rPr>
                <w:rStyle w:val="Hyperlink"/>
                <w:rFonts w:eastAsia="Times New Roman"/>
                <w:noProof/>
              </w:rPr>
              <w:t>Financial analysis</w:t>
            </w:r>
            <w:r w:rsidR="00880921">
              <w:rPr>
                <w:noProof/>
                <w:webHidden/>
              </w:rPr>
              <w:tab/>
            </w:r>
            <w:r w:rsidR="00880921">
              <w:rPr>
                <w:noProof/>
                <w:webHidden/>
              </w:rPr>
              <w:fldChar w:fldCharType="begin"/>
            </w:r>
            <w:r w:rsidR="00880921">
              <w:rPr>
                <w:noProof/>
                <w:webHidden/>
              </w:rPr>
              <w:instrText xml:space="preserve"> PAGEREF _Toc160050927 \h </w:instrText>
            </w:r>
            <w:r w:rsidR="00880921">
              <w:rPr>
                <w:noProof/>
                <w:webHidden/>
              </w:rPr>
            </w:r>
            <w:r w:rsidR="00880921">
              <w:rPr>
                <w:noProof/>
                <w:webHidden/>
              </w:rPr>
              <w:fldChar w:fldCharType="separate"/>
            </w:r>
            <w:r w:rsidR="00880921">
              <w:rPr>
                <w:noProof/>
                <w:webHidden/>
              </w:rPr>
              <w:t>4</w:t>
            </w:r>
            <w:r w:rsidR="00880921">
              <w:rPr>
                <w:noProof/>
                <w:webHidden/>
              </w:rPr>
              <w:fldChar w:fldCharType="end"/>
            </w:r>
          </w:hyperlink>
        </w:p>
        <w:p w14:paraId="13E2BDFB" w14:textId="4565E6B6" w:rsidR="00880921" w:rsidRDefault="00000000">
          <w:pPr>
            <w:pStyle w:val="Cuprins1"/>
            <w:tabs>
              <w:tab w:val="right" w:leader="dot" w:pos="9016"/>
            </w:tabs>
            <w:rPr>
              <w:rFonts w:eastAsiaTheme="minorEastAsia"/>
              <w:noProof/>
              <w:sz w:val="24"/>
              <w:szCs w:val="24"/>
              <w:lang w:eastAsia="en-GB"/>
            </w:rPr>
          </w:pPr>
          <w:hyperlink w:anchor="_Toc160050928" w:history="1">
            <w:r w:rsidR="00880921" w:rsidRPr="006D31DC">
              <w:rPr>
                <w:rStyle w:val="Hyperlink"/>
                <w:rFonts w:eastAsia="Times New Roman"/>
                <w:noProof/>
              </w:rPr>
              <w:t>Key issues</w:t>
            </w:r>
            <w:r w:rsidR="00880921">
              <w:rPr>
                <w:noProof/>
                <w:webHidden/>
              </w:rPr>
              <w:tab/>
            </w:r>
            <w:r w:rsidR="00880921">
              <w:rPr>
                <w:noProof/>
                <w:webHidden/>
              </w:rPr>
              <w:fldChar w:fldCharType="begin"/>
            </w:r>
            <w:r w:rsidR="00880921">
              <w:rPr>
                <w:noProof/>
                <w:webHidden/>
              </w:rPr>
              <w:instrText xml:space="preserve"> PAGEREF _Toc160050928 \h </w:instrText>
            </w:r>
            <w:r w:rsidR="00880921">
              <w:rPr>
                <w:noProof/>
                <w:webHidden/>
              </w:rPr>
            </w:r>
            <w:r w:rsidR="00880921">
              <w:rPr>
                <w:noProof/>
                <w:webHidden/>
              </w:rPr>
              <w:fldChar w:fldCharType="separate"/>
            </w:r>
            <w:r w:rsidR="00880921">
              <w:rPr>
                <w:noProof/>
                <w:webHidden/>
              </w:rPr>
              <w:t>6</w:t>
            </w:r>
            <w:r w:rsidR="00880921">
              <w:rPr>
                <w:noProof/>
                <w:webHidden/>
              </w:rPr>
              <w:fldChar w:fldCharType="end"/>
            </w:r>
          </w:hyperlink>
        </w:p>
        <w:p w14:paraId="7C9F01AC" w14:textId="65DD8DD2" w:rsidR="00880921" w:rsidRDefault="00000000">
          <w:pPr>
            <w:pStyle w:val="Cuprins1"/>
            <w:tabs>
              <w:tab w:val="right" w:leader="dot" w:pos="9016"/>
            </w:tabs>
            <w:rPr>
              <w:rFonts w:eastAsiaTheme="minorEastAsia"/>
              <w:noProof/>
              <w:sz w:val="24"/>
              <w:szCs w:val="24"/>
              <w:lang w:eastAsia="en-GB"/>
            </w:rPr>
          </w:pPr>
          <w:hyperlink w:anchor="_Toc160050929" w:history="1">
            <w:r w:rsidR="00880921" w:rsidRPr="006D31DC">
              <w:rPr>
                <w:rStyle w:val="Hyperlink"/>
                <w:rFonts w:eastAsia="Times New Roman"/>
                <w:noProof/>
              </w:rPr>
              <w:t>Conclusion</w:t>
            </w:r>
            <w:r w:rsidR="00880921">
              <w:rPr>
                <w:noProof/>
                <w:webHidden/>
              </w:rPr>
              <w:tab/>
            </w:r>
            <w:r w:rsidR="00880921">
              <w:rPr>
                <w:noProof/>
                <w:webHidden/>
              </w:rPr>
              <w:fldChar w:fldCharType="begin"/>
            </w:r>
            <w:r w:rsidR="00880921">
              <w:rPr>
                <w:noProof/>
                <w:webHidden/>
              </w:rPr>
              <w:instrText xml:space="preserve"> PAGEREF _Toc160050929 \h </w:instrText>
            </w:r>
            <w:r w:rsidR="00880921">
              <w:rPr>
                <w:noProof/>
                <w:webHidden/>
              </w:rPr>
            </w:r>
            <w:r w:rsidR="00880921">
              <w:rPr>
                <w:noProof/>
                <w:webHidden/>
              </w:rPr>
              <w:fldChar w:fldCharType="separate"/>
            </w:r>
            <w:r w:rsidR="00880921">
              <w:rPr>
                <w:noProof/>
                <w:webHidden/>
              </w:rPr>
              <w:t>7</w:t>
            </w:r>
            <w:r w:rsidR="00880921">
              <w:rPr>
                <w:noProof/>
                <w:webHidden/>
              </w:rPr>
              <w:fldChar w:fldCharType="end"/>
            </w:r>
          </w:hyperlink>
        </w:p>
        <w:p w14:paraId="7B102C3A" w14:textId="454DC63A" w:rsidR="00880921" w:rsidRDefault="00000000">
          <w:pPr>
            <w:pStyle w:val="Cuprins1"/>
            <w:tabs>
              <w:tab w:val="right" w:leader="dot" w:pos="9016"/>
            </w:tabs>
            <w:rPr>
              <w:rFonts w:eastAsiaTheme="minorEastAsia"/>
              <w:noProof/>
              <w:sz w:val="24"/>
              <w:szCs w:val="24"/>
              <w:lang w:eastAsia="en-GB"/>
            </w:rPr>
          </w:pPr>
          <w:hyperlink w:anchor="_Toc160050930" w:history="1">
            <w:r w:rsidR="00880921" w:rsidRPr="006D31DC">
              <w:rPr>
                <w:rStyle w:val="Hyperlink"/>
                <w:rFonts w:eastAsia="Times New Roman"/>
                <w:noProof/>
              </w:rPr>
              <w:t>Recommendations</w:t>
            </w:r>
            <w:r w:rsidR="00880921">
              <w:rPr>
                <w:noProof/>
                <w:webHidden/>
              </w:rPr>
              <w:tab/>
            </w:r>
            <w:r w:rsidR="00880921">
              <w:rPr>
                <w:noProof/>
                <w:webHidden/>
              </w:rPr>
              <w:fldChar w:fldCharType="begin"/>
            </w:r>
            <w:r w:rsidR="00880921">
              <w:rPr>
                <w:noProof/>
                <w:webHidden/>
              </w:rPr>
              <w:instrText xml:space="preserve"> PAGEREF _Toc160050930 \h </w:instrText>
            </w:r>
            <w:r w:rsidR="00880921">
              <w:rPr>
                <w:noProof/>
                <w:webHidden/>
              </w:rPr>
            </w:r>
            <w:r w:rsidR="00880921">
              <w:rPr>
                <w:noProof/>
                <w:webHidden/>
              </w:rPr>
              <w:fldChar w:fldCharType="separate"/>
            </w:r>
            <w:r w:rsidR="00880921">
              <w:rPr>
                <w:noProof/>
                <w:webHidden/>
              </w:rPr>
              <w:t>7</w:t>
            </w:r>
            <w:r w:rsidR="00880921">
              <w:rPr>
                <w:noProof/>
                <w:webHidden/>
              </w:rPr>
              <w:fldChar w:fldCharType="end"/>
            </w:r>
          </w:hyperlink>
        </w:p>
        <w:p w14:paraId="367D99F1" w14:textId="09516865" w:rsidR="00880921" w:rsidRDefault="00000000">
          <w:pPr>
            <w:pStyle w:val="Cuprins1"/>
            <w:tabs>
              <w:tab w:val="right" w:leader="dot" w:pos="9016"/>
            </w:tabs>
            <w:rPr>
              <w:rFonts w:eastAsiaTheme="minorEastAsia"/>
              <w:noProof/>
              <w:sz w:val="24"/>
              <w:szCs w:val="24"/>
              <w:lang w:eastAsia="en-GB"/>
            </w:rPr>
          </w:pPr>
          <w:hyperlink w:anchor="_Toc160050931" w:history="1">
            <w:r w:rsidR="00880921" w:rsidRPr="006D31DC">
              <w:rPr>
                <w:rStyle w:val="Hyperlink"/>
                <w:rFonts w:eastAsia="Times New Roman"/>
                <w:noProof/>
              </w:rPr>
              <w:t>References</w:t>
            </w:r>
            <w:r w:rsidR="00880921">
              <w:rPr>
                <w:noProof/>
                <w:webHidden/>
              </w:rPr>
              <w:tab/>
            </w:r>
            <w:r w:rsidR="00880921">
              <w:rPr>
                <w:noProof/>
                <w:webHidden/>
              </w:rPr>
              <w:fldChar w:fldCharType="begin"/>
            </w:r>
            <w:r w:rsidR="00880921">
              <w:rPr>
                <w:noProof/>
                <w:webHidden/>
              </w:rPr>
              <w:instrText xml:space="preserve"> PAGEREF _Toc160050931 \h </w:instrText>
            </w:r>
            <w:r w:rsidR="00880921">
              <w:rPr>
                <w:noProof/>
                <w:webHidden/>
              </w:rPr>
            </w:r>
            <w:r w:rsidR="00880921">
              <w:rPr>
                <w:noProof/>
                <w:webHidden/>
              </w:rPr>
              <w:fldChar w:fldCharType="separate"/>
            </w:r>
            <w:r w:rsidR="00880921">
              <w:rPr>
                <w:noProof/>
                <w:webHidden/>
              </w:rPr>
              <w:t>9</w:t>
            </w:r>
            <w:r w:rsidR="00880921">
              <w:rPr>
                <w:noProof/>
                <w:webHidden/>
              </w:rPr>
              <w:fldChar w:fldCharType="end"/>
            </w:r>
          </w:hyperlink>
        </w:p>
        <w:p w14:paraId="1783E50D" w14:textId="0B87898C" w:rsidR="00D94D4A" w:rsidRDefault="00D94D4A" w:rsidP="00D94D4A">
          <w:pPr>
            <w:spacing w:line="360" w:lineRule="auto"/>
          </w:pPr>
          <w:r w:rsidRPr="00D94D4A">
            <w:rPr>
              <w:rFonts w:ascii="Arial" w:hAnsi="Arial" w:cs="Arial"/>
              <w:b/>
              <w:bCs/>
              <w:noProof/>
              <w:sz w:val="24"/>
              <w:szCs w:val="24"/>
            </w:rPr>
            <w:fldChar w:fldCharType="end"/>
          </w:r>
        </w:p>
      </w:sdtContent>
    </w:sdt>
    <w:p w14:paraId="4EC45986" w14:textId="77777777" w:rsidR="00D94D4A" w:rsidRDefault="00D94D4A" w:rsidP="00D94D4A">
      <w:pPr>
        <w:spacing w:line="360" w:lineRule="auto"/>
        <w:jc w:val="both"/>
        <w:rPr>
          <w:rFonts w:ascii="Arial" w:hAnsi="Arial" w:cs="Arial"/>
          <w:b/>
          <w:bCs/>
          <w:sz w:val="24"/>
          <w:szCs w:val="24"/>
        </w:rPr>
      </w:pPr>
    </w:p>
    <w:p w14:paraId="11CAEEA4" w14:textId="77777777" w:rsidR="00D94D4A" w:rsidRDefault="00D94D4A" w:rsidP="00D94D4A">
      <w:pPr>
        <w:spacing w:line="360" w:lineRule="auto"/>
        <w:jc w:val="both"/>
        <w:rPr>
          <w:rFonts w:ascii="Arial" w:hAnsi="Arial" w:cs="Arial"/>
          <w:b/>
          <w:bCs/>
          <w:sz w:val="24"/>
          <w:szCs w:val="24"/>
        </w:rPr>
      </w:pPr>
    </w:p>
    <w:p w14:paraId="5EE63476" w14:textId="77777777" w:rsidR="00D94D4A" w:rsidRDefault="00D94D4A" w:rsidP="00D94D4A">
      <w:pPr>
        <w:spacing w:line="360" w:lineRule="auto"/>
        <w:jc w:val="both"/>
        <w:rPr>
          <w:rFonts w:ascii="Arial" w:hAnsi="Arial" w:cs="Arial"/>
          <w:b/>
          <w:bCs/>
          <w:sz w:val="24"/>
          <w:szCs w:val="24"/>
        </w:rPr>
      </w:pPr>
    </w:p>
    <w:p w14:paraId="4086ADF1" w14:textId="77777777" w:rsidR="00D94D4A" w:rsidRDefault="00D94D4A" w:rsidP="00D94D4A">
      <w:pPr>
        <w:spacing w:line="360" w:lineRule="auto"/>
        <w:jc w:val="both"/>
        <w:rPr>
          <w:rFonts w:ascii="Arial" w:hAnsi="Arial" w:cs="Arial"/>
          <w:b/>
          <w:bCs/>
          <w:sz w:val="24"/>
          <w:szCs w:val="24"/>
        </w:rPr>
      </w:pPr>
    </w:p>
    <w:p w14:paraId="6D6D8252" w14:textId="77777777" w:rsidR="00D94D4A" w:rsidRDefault="00D94D4A" w:rsidP="00D94D4A">
      <w:pPr>
        <w:spacing w:line="360" w:lineRule="auto"/>
        <w:jc w:val="both"/>
        <w:rPr>
          <w:rFonts w:ascii="Arial" w:hAnsi="Arial" w:cs="Arial"/>
          <w:b/>
          <w:bCs/>
          <w:sz w:val="24"/>
          <w:szCs w:val="24"/>
        </w:rPr>
      </w:pPr>
    </w:p>
    <w:p w14:paraId="762D7904" w14:textId="77777777" w:rsidR="00D94D4A" w:rsidRDefault="00D94D4A" w:rsidP="00D94D4A">
      <w:pPr>
        <w:spacing w:line="360" w:lineRule="auto"/>
        <w:jc w:val="both"/>
        <w:rPr>
          <w:rFonts w:ascii="Arial" w:hAnsi="Arial" w:cs="Arial"/>
          <w:b/>
          <w:bCs/>
          <w:sz w:val="24"/>
          <w:szCs w:val="24"/>
        </w:rPr>
      </w:pPr>
    </w:p>
    <w:p w14:paraId="17CFA99B" w14:textId="77777777" w:rsidR="00D94D4A" w:rsidRDefault="00D94D4A" w:rsidP="00D94D4A">
      <w:pPr>
        <w:spacing w:line="360" w:lineRule="auto"/>
        <w:jc w:val="both"/>
        <w:rPr>
          <w:rFonts w:ascii="Arial" w:hAnsi="Arial" w:cs="Arial"/>
          <w:b/>
          <w:bCs/>
          <w:sz w:val="24"/>
          <w:szCs w:val="24"/>
        </w:rPr>
      </w:pPr>
    </w:p>
    <w:p w14:paraId="653F5A4D" w14:textId="77777777" w:rsidR="00D94D4A" w:rsidRDefault="00D94D4A" w:rsidP="00D94D4A">
      <w:pPr>
        <w:spacing w:line="360" w:lineRule="auto"/>
        <w:jc w:val="both"/>
        <w:rPr>
          <w:rFonts w:ascii="Arial" w:hAnsi="Arial" w:cs="Arial"/>
          <w:b/>
          <w:bCs/>
          <w:sz w:val="24"/>
          <w:szCs w:val="24"/>
        </w:rPr>
      </w:pPr>
    </w:p>
    <w:p w14:paraId="7FBDD221" w14:textId="77777777" w:rsidR="00D94D4A" w:rsidRDefault="00D94D4A" w:rsidP="00D94D4A">
      <w:pPr>
        <w:spacing w:line="360" w:lineRule="auto"/>
        <w:jc w:val="both"/>
        <w:rPr>
          <w:rFonts w:ascii="Arial" w:hAnsi="Arial" w:cs="Arial"/>
          <w:b/>
          <w:bCs/>
          <w:sz w:val="24"/>
          <w:szCs w:val="24"/>
        </w:rPr>
      </w:pPr>
    </w:p>
    <w:p w14:paraId="3AA6FDF5" w14:textId="77777777" w:rsidR="00D94D4A" w:rsidRDefault="00D94D4A" w:rsidP="00D94D4A">
      <w:pPr>
        <w:spacing w:line="360" w:lineRule="auto"/>
        <w:jc w:val="both"/>
        <w:rPr>
          <w:rFonts w:ascii="Arial" w:hAnsi="Arial" w:cs="Arial"/>
          <w:b/>
          <w:bCs/>
          <w:sz w:val="24"/>
          <w:szCs w:val="24"/>
        </w:rPr>
      </w:pPr>
    </w:p>
    <w:p w14:paraId="6EB0D971" w14:textId="77777777" w:rsidR="00D94D4A" w:rsidRDefault="00D94D4A" w:rsidP="00D94D4A">
      <w:pPr>
        <w:spacing w:line="360" w:lineRule="auto"/>
        <w:jc w:val="both"/>
        <w:rPr>
          <w:rFonts w:ascii="Arial" w:hAnsi="Arial" w:cs="Arial"/>
          <w:b/>
          <w:bCs/>
          <w:sz w:val="24"/>
          <w:szCs w:val="24"/>
        </w:rPr>
      </w:pPr>
    </w:p>
    <w:p w14:paraId="12291193" w14:textId="77777777" w:rsidR="00D94D4A" w:rsidRDefault="00D94D4A" w:rsidP="00D94D4A">
      <w:pPr>
        <w:spacing w:line="360" w:lineRule="auto"/>
        <w:jc w:val="both"/>
        <w:rPr>
          <w:rFonts w:ascii="Arial" w:hAnsi="Arial" w:cs="Arial"/>
          <w:b/>
          <w:bCs/>
          <w:sz w:val="24"/>
          <w:szCs w:val="24"/>
        </w:rPr>
      </w:pPr>
    </w:p>
    <w:p w14:paraId="5FEBC327" w14:textId="77777777" w:rsidR="00D94D4A" w:rsidRDefault="00D94D4A" w:rsidP="00D94D4A">
      <w:pPr>
        <w:spacing w:line="360" w:lineRule="auto"/>
        <w:jc w:val="both"/>
        <w:rPr>
          <w:rFonts w:ascii="Arial" w:hAnsi="Arial" w:cs="Arial"/>
          <w:b/>
          <w:bCs/>
          <w:sz w:val="24"/>
          <w:szCs w:val="24"/>
        </w:rPr>
      </w:pPr>
    </w:p>
    <w:p w14:paraId="14AFD3E2" w14:textId="77777777" w:rsidR="00D94D4A" w:rsidRDefault="00D94D4A" w:rsidP="00D94D4A">
      <w:pPr>
        <w:spacing w:line="360" w:lineRule="auto"/>
        <w:jc w:val="both"/>
        <w:rPr>
          <w:rFonts w:ascii="Arial" w:hAnsi="Arial" w:cs="Arial"/>
          <w:b/>
          <w:bCs/>
          <w:sz w:val="24"/>
          <w:szCs w:val="24"/>
        </w:rPr>
      </w:pPr>
    </w:p>
    <w:p w14:paraId="5EFCD0B6" w14:textId="77777777" w:rsidR="00D94D4A" w:rsidRDefault="00D94D4A" w:rsidP="00D94D4A">
      <w:pPr>
        <w:spacing w:line="360" w:lineRule="auto"/>
        <w:jc w:val="both"/>
        <w:rPr>
          <w:rFonts w:ascii="Arial" w:hAnsi="Arial" w:cs="Arial"/>
          <w:b/>
          <w:bCs/>
          <w:sz w:val="24"/>
          <w:szCs w:val="24"/>
        </w:rPr>
      </w:pPr>
    </w:p>
    <w:p w14:paraId="5CC1F992" w14:textId="77777777" w:rsidR="00D94D4A" w:rsidRDefault="00D94D4A" w:rsidP="00D94D4A">
      <w:pPr>
        <w:spacing w:line="360" w:lineRule="auto"/>
        <w:jc w:val="both"/>
        <w:rPr>
          <w:rFonts w:ascii="Arial" w:hAnsi="Arial" w:cs="Arial"/>
          <w:b/>
          <w:bCs/>
          <w:sz w:val="24"/>
          <w:szCs w:val="24"/>
        </w:rPr>
      </w:pPr>
    </w:p>
    <w:p w14:paraId="59BE4109" w14:textId="77777777" w:rsidR="00D94D4A" w:rsidRPr="00880921" w:rsidRDefault="00D94D4A" w:rsidP="00D94D4A">
      <w:pPr>
        <w:spacing w:line="360" w:lineRule="auto"/>
        <w:jc w:val="both"/>
        <w:rPr>
          <w:rFonts w:ascii="Arial" w:hAnsi="Arial" w:cs="Arial"/>
          <w:b/>
          <w:bCs/>
          <w:sz w:val="24"/>
          <w:szCs w:val="24"/>
        </w:rPr>
      </w:pPr>
    </w:p>
    <w:p w14:paraId="02EDC4D9" w14:textId="23DFBF65" w:rsidR="009639FC" w:rsidRPr="00880921" w:rsidRDefault="009639FC" w:rsidP="00D94D4A">
      <w:pPr>
        <w:spacing w:line="360" w:lineRule="auto"/>
        <w:jc w:val="both"/>
        <w:rPr>
          <w:rFonts w:ascii="Arial" w:hAnsi="Arial" w:cs="Arial"/>
          <w:b/>
          <w:bCs/>
          <w:sz w:val="24"/>
          <w:szCs w:val="24"/>
        </w:rPr>
      </w:pPr>
      <w:r w:rsidRPr="00880921">
        <w:rPr>
          <w:rFonts w:ascii="Arial" w:hAnsi="Arial" w:cs="Arial"/>
          <w:b/>
          <w:bCs/>
          <w:sz w:val="24"/>
          <w:szCs w:val="24"/>
        </w:rPr>
        <w:t>The Seacrest Lodge</w:t>
      </w:r>
    </w:p>
    <w:p w14:paraId="45668B49" w14:textId="77777777" w:rsidR="009639FC" w:rsidRPr="00880921" w:rsidRDefault="009639FC" w:rsidP="00D94D4A">
      <w:pPr>
        <w:spacing w:line="360" w:lineRule="auto"/>
        <w:jc w:val="both"/>
        <w:rPr>
          <w:rFonts w:ascii="Arial" w:hAnsi="Arial" w:cs="Arial"/>
          <w:b/>
          <w:bCs/>
          <w:sz w:val="24"/>
          <w:szCs w:val="24"/>
        </w:rPr>
      </w:pPr>
    </w:p>
    <w:p w14:paraId="14A4C991" w14:textId="38859956" w:rsidR="009639FC" w:rsidRPr="00880921" w:rsidRDefault="009639FC" w:rsidP="00D94D4A">
      <w:pPr>
        <w:pStyle w:val="EU"/>
        <w:spacing w:line="360" w:lineRule="auto"/>
        <w:rPr>
          <w:color w:val="auto"/>
        </w:rPr>
      </w:pPr>
      <w:bookmarkStart w:id="0" w:name="_Toc160050925"/>
      <w:r w:rsidRPr="00880921">
        <w:rPr>
          <w:color w:val="auto"/>
        </w:rPr>
        <w:t>Introduction</w:t>
      </w:r>
      <w:bookmarkEnd w:id="0"/>
    </w:p>
    <w:p w14:paraId="311D7D1E" w14:textId="77777777" w:rsidR="009639FC" w:rsidRPr="00880921" w:rsidRDefault="009639FC" w:rsidP="00D94D4A">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The Seacrest Lodge, formerly a prominent holiday location on a magnificent coastline, provided tourists with leisure and elegance with its restaurant, bar, and event facilities. It drew a large number of holidaymakers searching for a luxury break because to its tranquil setting and high-quality services. However, the lodge has lately encountered severe issues, such as a drop in revenue, occupancy rates, and client satisfaction. These challenges have prompted questions about the business's long-term stability. The competitive coastal market, which includes numerous newer and more contemporary resorts, as well as altering consumer tastes, have all contributed to the Seacrest Lodge's decline. Customer evaluations have complained about diminishing service quality and obsolete facilities, worsening the problem. The goal of this paper is to evaluate the feasibility of a turnaround plan for the Seacrest Lodge. It intends to examine the lodge's financial performance over the last three years and determine the primary causes of its reduction in profitability. The research aims to provide a thorough recovery plan that will revitalise the lodge's financial health and restore its image as a prime holiday destination while taking into account real-world events and the present economy.</w:t>
      </w:r>
    </w:p>
    <w:p w14:paraId="1D31CE5D" w14:textId="77777777" w:rsidR="009639FC" w:rsidRPr="00880921" w:rsidRDefault="009639FC" w:rsidP="00D94D4A">
      <w:pPr>
        <w:spacing w:line="360" w:lineRule="auto"/>
        <w:jc w:val="both"/>
        <w:rPr>
          <w:rFonts w:ascii="Arial" w:eastAsia="Times New Roman" w:hAnsi="Arial" w:cs="Arial"/>
          <w:kern w:val="0"/>
          <w:sz w:val="24"/>
          <w:szCs w:val="24"/>
          <w:lang w:eastAsia="en-GB"/>
          <w14:ligatures w14:val="none"/>
        </w:rPr>
      </w:pPr>
    </w:p>
    <w:p w14:paraId="14FE5422" w14:textId="7858409F" w:rsidR="009639FC" w:rsidRPr="00880921" w:rsidRDefault="009639FC" w:rsidP="00D94D4A">
      <w:pPr>
        <w:pStyle w:val="EU"/>
        <w:spacing w:line="360" w:lineRule="auto"/>
        <w:rPr>
          <w:rFonts w:eastAsia="Times New Roman"/>
          <w:color w:val="auto"/>
        </w:rPr>
      </w:pPr>
      <w:bookmarkStart w:id="1" w:name="_Toc160050926"/>
      <w:r w:rsidRPr="00880921">
        <w:rPr>
          <w:rFonts w:eastAsia="Times New Roman"/>
          <w:color w:val="auto"/>
        </w:rPr>
        <w:t>Market analysis</w:t>
      </w:r>
      <w:bookmarkEnd w:id="1"/>
      <w:r w:rsidRPr="00880921">
        <w:rPr>
          <w:rFonts w:eastAsia="Times New Roman"/>
          <w:color w:val="auto"/>
        </w:rPr>
        <w:t xml:space="preserve"> </w:t>
      </w:r>
    </w:p>
    <w:p w14:paraId="2673C934" w14:textId="652F7788" w:rsidR="00137856" w:rsidRPr="00880921" w:rsidRDefault="00137856" w:rsidP="00D94D4A">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Modern resorts are rapidly dominating the seaside resort industry, presenting considerable challenges to older sites like the Seacrest Lodge. These modern resorts respond to today's traveller tastes for facilities and services, making it critical for older institutions to innovate and refresh their offers. The change in consumer preferences for personalised and unique experiences necessitates a reevaluation of resort services and physical facilities to line with principles such as sustainability, wellness, and local cultural participation (</w:t>
      </w:r>
      <w:r w:rsidR="000159B1" w:rsidRPr="00880921">
        <w:rPr>
          <w:rFonts w:ascii="Arial" w:eastAsia="Times New Roman" w:hAnsi="Arial" w:cs="Arial"/>
          <w:kern w:val="0"/>
          <w:sz w:val="24"/>
          <w:szCs w:val="24"/>
          <w:lang w:eastAsia="en-GB"/>
          <w14:ligatures w14:val="none"/>
        </w:rPr>
        <w:t>Steele and Jarratt, 2019</w:t>
      </w:r>
      <w:r w:rsidRPr="00880921">
        <w:rPr>
          <w:rFonts w:ascii="Arial" w:eastAsia="Times New Roman" w:hAnsi="Arial" w:cs="Arial"/>
          <w:kern w:val="0"/>
          <w:sz w:val="24"/>
          <w:szCs w:val="24"/>
          <w:lang w:eastAsia="en-GB"/>
          <w14:ligatures w14:val="none"/>
        </w:rPr>
        <w:t xml:space="preserve">). Customer feedback at the Seacrest Lodge identified diminishing service quality and outmoded facilities as essential areas </w:t>
      </w:r>
      <w:r w:rsidRPr="00880921">
        <w:rPr>
          <w:rFonts w:ascii="Arial" w:eastAsia="Times New Roman" w:hAnsi="Arial" w:cs="Arial"/>
          <w:kern w:val="0"/>
          <w:sz w:val="24"/>
          <w:szCs w:val="24"/>
          <w:lang w:eastAsia="en-GB"/>
          <w14:ligatures w14:val="none"/>
        </w:rPr>
        <w:lastRenderedPageBreak/>
        <w:t>for improvement. To satisfy the expectations of eco-conscious travellers, the lodge must prioritise staff training, facility upgrades, and the implementation of sustainable practices.  AccorHotels' research on the effect of corporate social responsibility efforts on guest happiness and company success demonstrates that sustainability is more than just an ethical requirement in today's competitive climate. Such initiatives have been shown to improve guest satisfaction, increase hotel profitability, and strengthen customer loyalty, especially among key business-to-business (BtoB) clients</w:t>
      </w:r>
      <w:r w:rsidR="000159B1" w:rsidRPr="00880921">
        <w:rPr>
          <w:rFonts w:ascii="Arial" w:eastAsia="Times New Roman" w:hAnsi="Arial" w:cs="Arial"/>
          <w:kern w:val="0"/>
          <w:sz w:val="24"/>
          <w:szCs w:val="24"/>
          <w:lang w:eastAsia="en-GB"/>
          <w14:ligatures w14:val="none"/>
        </w:rPr>
        <w:t xml:space="preserve"> (Accor, 2018).</w:t>
      </w:r>
      <w:r w:rsidRPr="00880921">
        <w:rPr>
          <w:rFonts w:ascii="Arial" w:eastAsia="Times New Roman" w:hAnsi="Arial" w:cs="Arial"/>
          <w:kern w:val="0"/>
          <w:sz w:val="24"/>
          <w:szCs w:val="24"/>
          <w:lang w:eastAsia="en-GB"/>
          <w14:ligatures w14:val="none"/>
        </w:rPr>
        <w:t xml:space="preserve"> Luxury hotels are adapting to match changing client demands by using a number of creative methods focused on personalisation, sustainability, technology integration, and wellness. Personalisation has become the basis, with hotels providing customised experiences to make visitors feel appreciated, ranging from bespoke spa treatments to meal plans, as well as using technology to personalise room access and services. Sustainability is another key issue, with customers increasingly looking for hotels that reflect their environmental beliefs</w:t>
      </w:r>
      <w:r w:rsidR="000159B1" w:rsidRPr="00880921">
        <w:rPr>
          <w:rFonts w:ascii="Arial" w:eastAsia="Times New Roman" w:hAnsi="Arial" w:cs="Arial"/>
          <w:kern w:val="0"/>
          <w:sz w:val="24"/>
          <w:szCs w:val="24"/>
          <w:lang w:eastAsia="en-GB"/>
          <w14:ligatures w14:val="none"/>
        </w:rPr>
        <w:t xml:space="preserve"> (McKinsey and Company, 2023). </w:t>
      </w:r>
      <w:r w:rsidRPr="00880921">
        <w:rPr>
          <w:rFonts w:ascii="Arial" w:eastAsia="Times New Roman" w:hAnsi="Arial" w:cs="Arial"/>
          <w:kern w:val="0"/>
          <w:sz w:val="24"/>
          <w:szCs w:val="24"/>
          <w:lang w:eastAsia="en-GB"/>
          <w14:ligatures w14:val="none"/>
        </w:rPr>
        <w:t>Luxury hotels are reacting by integrating sustainable practices such as renewable energy use and trash reduction, as well as supporting local sustainability efforts. The importance of technology in improving the guest experience cannot be emphasised, with high-speed internet access and smart TVs becoming the norm. Furthermore, visitors have responded favourably to the use of service robots in jobs like as room service deliveries, providing a distinctive aspect to their stay (</w:t>
      </w:r>
      <w:r w:rsidR="000159B1" w:rsidRPr="00880921">
        <w:rPr>
          <w:rFonts w:ascii="Arial" w:eastAsia="Times New Roman" w:hAnsi="Arial" w:cs="Arial"/>
          <w:kern w:val="0"/>
          <w:sz w:val="24"/>
          <w:szCs w:val="24"/>
          <w:lang w:eastAsia="en-GB"/>
          <w14:ligatures w14:val="none"/>
        </w:rPr>
        <w:t>Mariani, 2020</w:t>
      </w:r>
      <w:r w:rsidRPr="00880921">
        <w:rPr>
          <w:rFonts w:ascii="Arial" w:eastAsia="Times New Roman" w:hAnsi="Arial" w:cs="Arial"/>
          <w:kern w:val="0"/>
          <w:sz w:val="24"/>
          <w:szCs w:val="24"/>
          <w:lang w:eastAsia="en-GB"/>
          <w14:ligatures w14:val="none"/>
        </w:rPr>
        <w:t>). Wellness trends are also influencing the hotel business, as clients seek amenities that promote their physical and mental well, such as fitness centres, yoga courses, and wellness retreats (</w:t>
      </w:r>
      <w:r w:rsidR="00E575A6" w:rsidRPr="00880921">
        <w:rPr>
          <w:rFonts w:ascii="Arial" w:eastAsia="Times New Roman" w:hAnsi="Arial" w:cs="Arial"/>
          <w:kern w:val="0"/>
          <w:sz w:val="24"/>
          <w:szCs w:val="24"/>
          <w:lang w:eastAsia="en-GB"/>
          <w14:ligatures w14:val="none"/>
        </w:rPr>
        <w:t>Saul</w:t>
      </w:r>
      <w:r w:rsidRPr="00880921">
        <w:rPr>
          <w:rFonts w:ascii="Arial" w:eastAsia="Times New Roman" w:hAnsi="Arial" w:cs="Arial"/>
          <w:kern w:val="0"/>
          <w:sz w:val="24"/>
          <w:szCs w:val="24"/>
          <w:lang w:eastAsia="en-GB"/>
          <w14:ligatures w14:val="none"/>
        </w:rPr>
        <w:t xml:space="preserve">, 2023). In the context of </w:t>
      </w:r>
      <w:r w:rsidR="00E575A6" w:rsidRPr="00880921">
        <w:rPr>
          <w:rFonts w:ascii="Arial" w:eastAsia="Times New Roman" w:hAnsi="Arial" w:cs="Arial"/>
          <w:kern w:val="0"/>
          <w:sz w:val="24"/>
          <w:szCs w:val="24"/>
          <w:lang w:eastAsia="en-GB"/>
          <w14:ligatures w14:val="none"/>
        </w:rPr>
        <w:t>coastal luxury</w:t>
      </w:r>
      <w:r w:rsidRPr="00880921">
        <w:rPr>
          <w:rFonts w:ascii="Arial" w:eastAsia="Times New Roman" w:hAnsi="Arial" w:cs="Arial"/>
          <w:kern w:val="0"/>
          <w:sz w:val="24"/>
          <w:szCs w:val="24"/>
          <w:lang w:eastAsia="en-GB"/>
          <w14:ligatures w14:val="none"/>
        </w:rPr>
        <w:t xml:space="preserve"> hotels, these changes are critical for staying competitive and appealing to a new generation of visitors that value not just luxury but also sustainability, technology, and personalised experiences. As these trends emerge, luxury hotels must remain versatile and responsive to suit the changing needs of their customers.</w:t>
      </w:r>
    </w:p>
    <w:p w14:paraId="652E33C9" w14:textId="77777777" w:rsidR="003A407A" w:rsidRPr="00880921" w:rsidRDefault="003A407A" w:rsidP="00D94D4A">
      <w:pPr>
        <w:spacing w:line="360" w:lineRule="auto"/>
        <w:jc w:val="both"/>
        <w:rPr>
          <w:rFonts w:ascii="Arial" w:eastAsia="Times New Roman" w:hAnsi="Arial" w:cs="Arial"/>
          <w:kern w:val="0"/>
          <w:sz w:val="24"/>
          <w:szCs w:val="24"/>
          <w:lang w:eastAsia="en-GB"/>
          <w14:ligatures w14:val="none"/>
        </w:rPr>
      </w:pPr>
    </w:p>
    <w:p w14:paraId="37247164" w14:textId="6CB3FF6E" w:rsidR="00137856" w:rsidRPr="00880921" w:rsidRDefault="00137856" w:rsidP="00D94D4A">
      <w:pPr>
        <w:pStyle w:val="EU"/>
        <w:spacing w:line="360" w:lineRule="auto"/>
        <w:rPr>
          <w:rFonts w:eastAsia="Times New Roman"/>
          <w:color w:val="auto"/>
        </w:rPr>
      </w:pPr>
      <w:bookmarkStart w:id="2" w:name="_Toc160050927"/>
      <w:r w:rsidRPr="00880921">
        <w:rPr>
          <w:rFonts w:eastAsia="Times New Roman"/>
          <w:color w:val="auto"/>
        </w:rPr>
        <w:t>Financial analysis</w:t>
      </w:r>
      <w:bookmarkEnd w:id="2"/>
      <w:r w:rsidRPr="00880921">
        <w:rPr>
          <w:rFonts w:eastAsia="Times New Roman"/>
          <w:color w:val="auto"/>
        </w:rPr>
        <w:t xml:space="preserve"> </w:t>
      </w:r>
    </w:p>
    <w:p w14:paraId="59F6C680" w14:textId="4B1265B2" w:rsidR="005D17D8" w:rsidRPr="00880921" w:rsidRDefault="005D17D8" w:rsidP="00D94D4A">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The financial assessment of the Seacrest Lodge from 2021 to 2023 reveals a story of diminishing performance in the face of a demanding operational and competitive environment. The lodge's income has consistently decreased, from £1,200,000 in 2021 to £950,000 in 2023. In financial terms, revenue refers to the entire money </w:t>
      </w:r>
      <w:r w:rsidRPr="00880921">
        <w:rPr>
          <w:rFonts w:ascii="Arial" w:eastAsia="Times New Roman" w:hAnsi="Arial" w:cs="Arial"/>
          <w:kern w:val="0"/>
          <w:sz w:val="24"/>
          <w:szCs w:val="24"/>
          <w:lang w:eastAsia="en-GB"/>
          <w14:ligatures w14:val="none"/>
        </w:rPr>
        <w:lastRenderedPageBreak/>
        <w:t>earned by routine company activities. This pattern points to possible difficulties such as decreased demand, increasing competition, or alterations in customer tastes that might harm its market position</w:t>
      </w:r>
      <w:r w:rsidR="00E575A6" w:rsidRPr="00880921">
        <w:rPr>
          <w:rFonts w:ascii="Arial" w:eastAsia="Times New Roman" w:hAnsi="Arial" w:cs="Arial"/>
          <w:kern w:val="0"/>
          <w:sz w:val="24"/>
          <w:szCs w:val="24"/>
          <w:lang w:eastAsia="en-GB"/>
          <w14:ligatures w14:val="none"/>
        </w:rPr>
        <w:t xml:space="preserve"> (Drury, 2021).</w:t>
      </w:r>
      <w:r w:rsidRPr="00880921">
        <w:rPr>
          <w:rFonts w:ascii="Arial" w:eastAsia="Times New Roman" w:hAnsi="Arial" w:cs="Arial"/>
          <w:kern w:val="0"/>
          <w:sz w:val="24"/>
          <w:szCs w:val="24"/>
          <w:lang w:eastAsia="en-GB"/>
          <w14:ligatures w14:val="none"/>
        </w:rPr>
        <w:t xml:space="preserve"> Concurrently, operational expenditures, which relate to the costs connected with maintaining a business's everyday operations, increased from £900,000 in 2021 to £1,100,000 in 2023, despite the fall in revenue. This shows inadequacies in cost management or an increase in operating expenditures that the lodge did not balance with income creation</w:t>
      </w:r>
      <w:r w:rsidR="00E575A6" w:rsidRPr="00880921">
        <w:rPr>
          <w:rFonts w:ascii="Arial" w:eastAsia="Times New Roman" w:hAnsi="Arial" w:cs="Arial"/>
          <w:kern w:val="0"/>
          <w:sz w:val="24"/>
          <w:szCs w:val="24"/>
          <w:lang w:eastAsia="en-GB"/>
          <w14:ligatures w14:val="none"/>
        </w:rPr>
        <w:t xml:space="preserve"> (</w:t>
      </w:r>
      <w:proofErr w:type="spellStart"/>
      <w:r w:rsidR="00E575A6" w:rsidRPr="00880921">
        <w:rPr>
          <w:rFonts w:ascii="Arial" w:eastAsia="Times New Roman" w:hAnsi="Arial" w:cs="Arial"/>
          <w:kern w:val="0"/>
          <w:sz w:val="24"/>
          <w:szCs w:val="24"/>
          <w:lang w:eastAsia="en-GB"/>
          <w14:ligatures w14:val="none"/>
        </w:rPr>
        <w:t>Guilding</w:t>
      </w:r>
      <w:proofErr w:type="spellEnd"/>
      <w:r w:rsidR="00E575A6" w:rsidRPr="00880921">
        <w:rPr>
          <w:rFonts w:ascii="Arial" w:eastAsia="Times New Roman" w:hAnsi="Arial" w:cs="Arial"/>
          <w:kern w:val="0"/>
          <w:sz w:val="24"/>
          <w:szCs w:val="24"/>
          <w:lang w:eastAsia="en-GB"/>
          <w14:ligatures w14:val="none"/>
        </w:rPr>
        <w:t>, 2014).</w:t>
      </w:r>
      <w:r w:rsidRPr="00880921">
        <w:rPr>
          <w:rFonts w:ascii="Arial" w:eastAsia="Times New Roman" w:hAnsi="Arial" w:cs="Arial"/>
          <w:kern w:val="0"/>
          <w:sz w:val="24"/>
          <w:szCs w:val="24"/>
          <w:lang w:eastAsia="en-GB"/>
          <w14:ligatures w14:val="none"/>
        </w:rPr>
        <w:t xml:space="preserve"> This era also saw a troubling change in net income, from a profit of £300,000 in 2021 to a loss of £150,000 in 2023. Net income is a company's net profits after deducting all expenditures from sales, emphasising the lodge's failing financial condition and the need to sustain profitability in a competitive climate (</w:t>
      </w:r>
      <w:r w:rsidR="00E575A6" w:rsidRPr="00880921">
        <w:rPr>
          <w:rFonts w:ascii="Arial" w:eastAsia="Times New Roman" w:hAnsi="Arial" w:cs="Arial"/>
          <w:kern w:val="0"/>
          <w:sz w:val="24"/>
          <w:szCs w:val="24"/>
          <w:lang w:eastAsia="en-GB"/>
          <w14:ligatures w14:val="none"/>
        </w:rPr>
        <w:t>Attrill and McLaney, 2021</w:t>
      </w:r>
      <w:r w:rsidRPr="00880921">
        <w:rPr>
          <w:rFonts w:ascii="Arial" w:eastAsia="Times New Roman" w:hAnsi="Arial" w:cs="Arial"/>
          <w:kern w:val="0"/>
          <w:sz w:val="24"/>
          <w:szCs w:val="24"/>
          <w:lang w:eastAsia="en-GB"/>
          <w14:ligatures w14:val="none"/>
        </w:rPr>
        <w:t>). The lodge's financial sheet reflects these operating issues. A significant decrease in cash and equivalents from £100,000 in 2021 to £20,000 in 2023 poses liquidity worries, which may limit the lodge's capacity to satisfy short-term commitments or invest in required renovations</w:t>
      </w:r>
      <w:r w:rsidR="00E575A6" w:rsidRPr="00880921">
        <w:rPr>
          <w:rFonts w:ascii="Arial" w:eastAsia="Times New Roman" w:hAnsi="Arial" w:cs="Arial"/>
          <w:kern w:val="0"/>
          <w:sz w:val="24"/>
          <w:szCs w:val="24"/>
          <w:lang w:eastAsia="en-GB"/>
          <w14:ligatures w14:val="none"/>
        </w:rPr>
        <w:t xml:space="preserve"> as suggested by Seal (2019).</w:t>
      </w:r>
      <w:r w:rsidRPr="00880921">
        <w:rPr>
          <w:rFonts w:ascii="Arial" w:eastAsia="Times New Roman" w:hAnsi="Arial" w:cs="Arial"/>
          <w:kern w:val="0"/>
          <w:sz w:val="24"/>
          <w:szCs w:val="24"/>
          <w:lang w:eastAsia="en-GB"/>
          <w14:ligatures w14:val="none"/>
        </w:rPr>
        <w:t xml:space="preserve"> Furthermore, accounts receivable decreased from £50,000 in 2021 to £30,000 in 2023, which might indicate a tightening of credit conditions or a drop in credit sales in an attempt to improve cash flow. Accounts receivable are funds owing to a corporation by its customers for products or services provided on credit (</w:t>
      </w:r>
      <w:r w:rsidR="00E575A6" w:rsidRPr="00880921">
        <w:rPr>
          <w:rFonts w:ascii="Arial" w:eastAsia="Times New Roman" w:hAnsi="Arial" w:cs="Arial"/>
          <w:kern w:val="0"/>
          <w:sz w:val="24"/>
          <w:szCs w:val="24"/>
          <w:lang w:eastAsia="en-GB"/>
          <w14:ligatures w14:val="none"/>
        </w:rPr>
        <w:t>Attrill and McLaney, 2021</w:t>
      </w:r>
      <w:r w:rsidRPr="00880921">
        <w:rPr>
          <w:rFonts w:ascii="Arial" w:eastAsia="Times New Roman" w:hAnsi="Arial" w:cs="Arial"/>
          <w:kern w:val="0"/>
          <w:sz w:val="24"/>
          <w:szCs w:val="24"/>
          <w:lang w:eastAsia="en-GB"/>
          <w14:ligatures w14:val="none"/>
        </w:rPr>
        <w:t xml:space="preserve">). The value of property and equipment also fell from £2,000,000 in 2021 to £1,800,000 in 2023, most likely due to asset depreciation or disposals, reflecting attempts to liquidate assets for cash or a </w:t>
      </w:r>
      <w:r w:rsidR="00E575A6" w:rsidRPr="00880921">
        <w:rPr>
          <w:rFonts w:ascii="Arial" w:eastAsia="Times New Roman" w:hAnsi="Arial" w:cs="Arial"/>
          <w:kern w:val="0"/>
          <w:sz w:val="24"/>
          <w:szCs w:val="24"/>
          <w:lang w:eastAsia="en-GB"/>
          <w14:ligatures w14:val="none"/>
        </w:rPr>
        <w:t>revaluation</w:t>
      </w:r>
      <w:r w:rsidRPr="00880921">
        <w:rPr>
          <w:rFonts w:ascii="Arial" w:eastAsia="Times New Roman" w:hAnsi="Arial" w:cs="Arial"/>
          <w:kern w:val="0"/>
          <w:sz w:val="24"/>
          <w:szCs w:val="24"/>
          <w:lang w:eastAsia="en-GB"/>
          <w14:ligatures w14:val="none"/>
        </w:rPr>
        <w:t xml:space="preserve"> of their utility in light of the operational downturn. Liabilities rose somewhat, but equity fell significantly from £620,000 in 2021 to £300,000 in 2023, indicating a greater dependence on debt financing or the withdrawal of stock. This raises questions about the lodge's financial health and long-term viability</w:t>
      </w:r>
      <w:r w:rsidR="00E575A6" w:rsidRPr="00880921">
        <w:rPr>
          <w:rFonts w:ascii="Arial" w:eastAsia="Times New Roman" w:hAnsi="Arial" w:cs="Arial"/>
          <w:kern w:val="0"/>
          <w:sz w:val="24"/>
          <w:szCs w:val="24"/>
          <w:lang w:eastAsia="en-GB"/>
          <w14:ligatures w14:val="none"/>
        </w:rPr>
        <w:t xml:space="preserve"> as suggested by Sea, Garrison, and Noreen (2008). </w:t>
      </w:r>
      <w:r w:rsidRPr="00880921">
        <w:rPr>
          <w:rFonts w:ascii="Arial" w:eastAsia="Times New Roman" w:hAnsi="Arial" w:cs="Arial"/>
          <w:kern w:val="0"/>
          <w:sz w:val="24"/>
          <w:szCs w:val="24"/>
          <w:lang w:eastAsia="en-GB"/>
          <w14:ligatures w14:val="none"/>
        </w:rPr>
        <w:t>The lodge's performance measurements, such as the average room rate (ARR) and occupancy rate, reveal the full scope of its operating issues. A decrease in ARR from £260 in 2021 to £210 in 2023, combined with a drop in occupancy rate from 65% to 50%, indicates pricing pressures and decreased market demand, reducing revenue and signalling the need for strategic reevaluation to improve competitiveness and market appeal. When viewed through the lens of industry standards and financial parameters such as the debt-to-equity ratio, current ratio, and net profit margin, the lodge's performance shows tremendous opportunity for improvement</w:t>
      </w:r>
      <w:r w:rsidR="00E575A6" w:rsidRPr="00880921">
        <w:rPr>
          <w:rFonts w:ascii="Arial" w:eastAsia="Times New Roman" w:hAnsi="Arial" w:cs="Arial"/>
          <w:kern w:val="0"/>
          <w:sz w:val="24"/>
          <w:szCs w:val="24"/>
          <w:lang w:eastAsia="en-GB"/>
          <w14:ligatures w14:val="none"/>
        </w:rPr>
        <w:t xml:space="preserve"> (Drury, 2021).</w:t>
      </w:r>
      <w:r w:rsidRPr="00880921">
        <w:rPr>
          <w:rFonts w:ascii="Arial" w:eastAsia="Times New Roman" w:hAnsi="Arial" w:cs="Arial"/>
          <w:kern w:val="0"/>
          <w:sz w:val="24"/>
          <w:szCs w:val="24"/>
          <w:lang w:eastAsia="en-GB"/>
          <w14:ligatures w14:val="none"/>
        </w:rPr>
        <w:t xml:space="preserve"> These statistics, which are critical for evaluating a </w:t>
      </w:r>
      <w:r w:rsidRPr="00880921">
        <w:rPr>
          <w:rFonts w:ascii="Arial" w:eastAsia="Times New Roman" w:hAnsi="Arial" w:cs="Arial"/>
          <w:kern w:val="0"/>
          <w:sz w:val="24"/>
          <w:szCs w:val="24"/>
          <w:lang w:eastAsia="en-GB"/>
          <w14:ligatures w14:val="none"/>
        </w:rPr>
        <w:lastRenderedPageBreak/>
        <w:t>company's financial stability and operational efficiency, would most certainly indicate the Seacrest Lodge's unfavourable situation in comparison to its counterparts, emphasising the need for a complete turnaround plan. To summarise, the Seacrest Lodge's financial and operational deterioration from 2021 to 2023 underscores the critical need for strategic action. Addressing cost inefficiencies, reevaluating pricing and service offerings, and maybe repositioning in the market might all be critical steps towards realigning the lodge with customer expectations and industry standards</w:t>
      </w:r>
      <w:r w:rsidR="00880921" w:rsidRPr="00880921">
        <w:rPr>
          <w:rFonts w:ascii="Arial" w:eastAsia="Times New Roman" w:hAnsi="Arial" w:cs="Arial"/>
          <w:kern w:val="0"/>
          <w:sz w:val="24"/>
          <w:szCs w:val="24"/>
          <w:lang w:eastAsia="en-GB"/>
          <w14:ligatures w14:val="none"/>
        </w:rPr>
        <w:t>.</w:t>
      </w:r>
    </w:p>
    <w:p w14:paraId="00E2AF45" w14:textId="77777777" w:rsidR="00561626" w:rsidRPr="00880921" w:rsidRDefault="00561626" w:rsidP="00D94D4A">
      <w:pPr>
        <w:spacing w:line="360" w:lineRule="auto"/>
        <w:jc w:val="both"/>
        <w:rPr>
          <w:rFonts w:ascii="Arial" w:eastAsia="Times New Roman" w:hAnsi="Arial" w:cs="Arial"/>
          <w:kern w:val="0"/>
          <w:sz w:val="24"/>
          <w:szCs w:val="24"/>
          <w:lang w:eastAsia="en-GB"/>
          <w14:ligatures w14:val="none"/>
        </w:rPr>
      </w:pPr>
    </w:p>
    <w:p w14:paraId="7B6CF7B4" w14:textId="4AA609F4" w:rsidR="00561626" w:rsidRPr="00880921" w:rsidRDefault="00561626" w:rsidP="00D94D4A">
      <w:pPr>
        <w:pStyle w:val="EU"/>
        <w:spacing w:line="360" w:lineRule="auto"/>
        <w:rPr>
          <w:rFonts w:eastAsia="Times New Roman"/>
          <w:color w:val="auto"/>
        </w:rPr>
      </w:pPr>
      <w:bookmarkStart w:id="3" w:name="_Toc160050928"/>
      <w:r w:rsidRPr="00880921">
        <w:rPr>
          <w:rFonts w:eastAsia="Times New Roman"/>
          <w:color w:val="auto"/>
        </w:rPr>
        <w:t>Key issues</w:t>
      </w:r>
      <w:bookmarkEnd w:id="3"/>
    </w:p>
    <w:p w14:paraId="64801B5F" w14:textId="77777777" w:rsidR="005D17D8" w:rsidRPr="00880921" w:rsidRDefault="005D17D8" w:rsidP="00D94D4A">
      <w:pPr>
        <w:spacing w:line="360" w:lineRule="auto"/>
        <w:jc w:val="both"/>
        <w:rPr>
          <w:rFonts w:ascii="Arial" w:eastAsia="Times New Roman" w:hAnsi="Arial" w:cs="Arial"/>
          <w:kern w:val="0"/>
          <w:sz w:val="24"/>
          <w:szCs w:val="24"/>
          <w:lang w:eastAsia="en-GB"/>
          <w14:ligatures w14:val="none"/>
        </w:rPr>
      </w:pPr>
    </w:p>
    <w:p w14:paraId="5B7C6656" w14:textId="77962DB0" w:rsidR="00561626" w:rsidRPr="00880921" w:rsidRDefault="00561626" w:rsidP="00D94D4A">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Based on the market and financial analysis , the Seacrest Lodge is facing a number of internal and external issues that are leading to its downfall. Externally, the lodge is dealing with the fast rise of contemporary resorts in the coastal resort business. These new businesses serve to the needs of modern travellers for improved amenities and services, leaving older places like Seacrest Lodge at a disadvantage </w:t>
      </w:r>
      <w:r w:rsidR="00E575A6" w:rsidRPr="00880921">
        <w:rPr>
          <w:rFonts w:ascii="Arial" w:eastAsia="Times New Roman" w:hAnsi="Arial" w:cs="Arial"/>
          <w:kern w:val="0"/>
          <w:sz w:val="24"/>
          <w:szCs w:val="24"/>
          <w:lang w:eastAsia="en-GB"/>
          <w14:ligatures w14:val="none"/>
        </w:rPr>
        <w:t>(Drury, 2021</w:t>
      </w:r>
      <w:r w:rsidRPr="00880921">
        <w:rPr>
          <w:rFonts w:ascii="Arial" w:eastAsia="Times New Roman" w:hAnsi="Arial" w:cs="Arial"/>
          <w:kern w:val="0"/>
          <w:sz w:val="24"/>
          <w:szCs w:val="24"/>
          <w:lang w:eastAsia="en-GB"/>
          <w14:ligatures w14:val="none"/>
        </w:rPr>
        <w:t>). The evolving customer desires for personalised and unique experiences need a rethinking of the lodge's service and facilities offerings. The focus on sustainability, health, and interaction with local cultures marks a change in customer demand that the lodge has yet to completely embrace (</w:t>
      </w:r>
      <w:r w:rsidR="00E575A6" w:rsidRPr="00880921">
        <w:rPr>
          <w:rFonts w:ascii="Arial" w:eastAsia="Times New Roman" w:hAnsi="Arial" w:cs="Arial"/>
          <w:kern w:val="0"/>
          <w:sz w:val="24"/>
          <w:szCs w:val="24"/>
          <w:lang w:eastAsia="en-GB"/>
          <w14:ligatures w14:val="none"/>
        </w:rPr>
        <w:t>McKinsey and Company, 2023</w:t>
      </w:r>
      <w:r w:rsidRPr="00880921">
        <w:rPr>
          <w:rFonts w:ascii="Arial" w:eastAsia="Times New Roman" w:hAnsi="Arial" w:cs="Arial"/>
          <w:kern w:val="0"/>
          <w:sz w:val="24"/>
          <w:szCs w:val="24"/>
          <w:lang w:eastAsia="en-GB"/>
          <w14:ligatures w14:val="none"/>
        </w:rPr>
        <w:t>). Internally, the resort suffers from operational inefficiencies and diminishing service quality, as seen by client comments indicating obsolete facilities. The financial study from 2021 to 2023 shows a troubling pattern of declining revenue and growing operating expenditures, resulting in a negative net income by 2023. This suggests not simply a decrease in profitability, but also a lack of efficient cost-cutting methods</w:t>
      </w:r>
      <w:r w:rsidR="00E575A6" w:rsidRPr="00880921">
        <w:rPr>
          <w:rFonts w:ascii="Arial" w:eastAsia="Times New Roman" w:hAnsi="Arial" w:cs="Arial"/>
          <w:kern w:val="0"/>
          <w:sz w:val="24"/>
          <w:szCs w:val="24"/>
          <w:lang w:eastAsia="en-GB"/>
          <w14:ligatures w14:val="none"/>
        </w:rPr>
        <w:t xml:space="preserve"> as highlighted by Attrill and McLaney (2021).</w:t>
      </w:r>
      <w:r w:rsidRPr="00880921">
        <w:rPr>
          <w:rFonts w:ascii="Arial" w:eastAsia="Times New Roman" w:hAnsi="Arial" w:cs="Arial"/>
          <w:kern w:val="0"/>
          <w:sz w:val="24"/>
          <w:szCs w:val="24"/>
          <w:lang w:eastAsia="en-GB"/>
          <w14:ligatures w14:val="none"/>
        </w:rPr>
        <w:t xml:space="preserve"> The lodge's liquidity issues, as demonstrated by a considerable fall in cash and equivalents as well as a decline in accounts receivable, highlight the financial mismanagement threatening its operating sustainability. Real-world events, including economic downturns and health crises like as the COVID-19 epidemic, have compounded the lodge's issues, influencing the larger hospitality sector's demand dynamics and operating standards (</w:t>
      </w:r>
      <w:r w:rsidR="00880921" w:rsidRPr="00880921">
        <w:rPr>
          <w:rFonts w:ascii="Arial" w:eastAsia="Times New Roman" w:hAnsi="Arial" w:cs="Arial"/>
          <w:kern w:val="0"/>
          <w:sz w:val="24"/>
          <w:szCs w:val="24"/>
          <w:lang w:eastAsia="en-GB"/>
          <w14:ligatures w14:val="none"/>
        </w:rPr>
        <w:t>Drury,2021</w:t>
      </w:r>
      <w:r w:rsidRPr="00880921">
        <w:rPr>
          <w:rFonts w:ascii="Arial" w:eastAsia="Times New Roman" w:hAnsi="Arial" w:cs="Arial"/>
          <w:kern w:val="0"/>
          <w:sz w:val="24"/>
          <w:szCs w:val="24"/>
          <w:lang w:eastAsia="en-GB"/>
          <w14:ligatures w14:val="none"/>
        </w:rPr>
        <w:t>). These occurrences have highlighted the necessity of flexibility and adaptation in the hospitality sector, which the Seacrest Lodge has failed to display. Accor</w:t>
      </w:r>
      <w:r w:rsidR="00880921" w:rsidRPr="00880921">
        <w:rPr>
          <w:rFonts w:ascii="Arial" w:eastAsia="Times New Roman" w:hAnsi="Arial" w:cs="Arial"/>
          <w:kern w:val="0"/>
          <w:sz w:val="24"/>
          <w:szCs w:val="24"/>
          <w:lang w:eastAsia="en-GB"/>
          <w14:ligatures w14:val="none"/>
        </w:rPr>
        <w:t xml:space="preserve"> (2021)</w:t>
      </w:r>
      <w:r w:rsidRPr="00880921">
        <w:rPr>
          <w:rFonts w:ascii="Arial" w:eastAsia="Times New Roman" w:hAnsi="Arial" w:cs="Arial"/>
          <w:kern w:val="0"/>
          <w:sz w:val="24"/>
          <w:szCs w:val="24"/>
          <w:lang w:eastAsia="en-GB"/>
          <w14:ligatures w14:val="none"/>
        </w:rPr>
        <w:t xml:space="preserve"> research on corporate </w:t>
      </w:r>
      <w:r w:rsidRPr="00880921">
        <w:rPr>
          <w:rFonts w:ascii="Arial" w:eastAsia="Times New Roman" w:hAnsi="Arial" w:cs="Arial"/>
          <w:kern w:val="0"/>
          <w:sz w:val="24"/>
          <w:szCs w:val="24"/>
          <w:lang w:eastAsia="en-GB"/>
          <w14:ligatures w14:val="none"/>
        </w:rPr>
        <w:lastRenderedPageBreak/>
        <w:t>social responsibility</w:t>
      </w:r>
      <w:r w:rsidR="00880921" w:rsidRPr="00880921">
        <w:rPr>
          <w:rFonts w:ascii="Arial" w:eastAsia="Times New Roman" w:hAnsi="Arial" w:cs="Arial"/>
          <w:kern w:val="0"/>
          <w:sz w:val="24"/>
          <w:szCs w:val="24"/>
          <w:lang w:eastAsia="en-GB"/>
          <w14:ligatures w14:val="none"/>
        </w:rPr>
        <w:t xml:space="preserve"> </w:t>
      </w:r>
      <w:r w:rsidRPr="00880921">
        <w:rPr>
          <w:rFonts w:ascii="Arial" w:eastAsia="Times New Roman" w:hAnsi="Arial" w:cs="Arial"/>
          <w:kern w:val="0"/>
          <w:sz w:val="24"/>
          <w:szCs w:val="24"/>
          <w:lang w:eastAsia="en-GB"/>
          <w14:ligatures w14:val="none"/>
        </w:rPr>
        <w:t>activities emphasises the competitive advantage and financial advantages that sustainable practices may provide to hospitality organisations. These findings indicate that incorporating sustainability into the lodge's operations could improve not only guest satisfaction, but also profitability and customer loyalty, particularly among key business-to-business clients.</w:t>
      </w:r>
    </w:p>
    <w:p w14:paraId="7C0E7482" w14:textId="77777777" w:rsidR="00D94D4A" w:rsidRPr="00880921" w:rsidRDefault="00D94D4A" w:rsidP="00D94D4A">
      <w:pPr>
        <w:spacing w:line="360" w:lineRule="auto"/>
        <w:jc w:val="both"/>
        <w:rPr>
          <w:rFonts w:ascii="Arial" w:eastAsia="Times New Roman" w:hAnsi="Arial" w:cs="Arial"/>
          <w:kern w:val="0"/>
          <w:sz w:val="24"/>
          <w:szCs w:val="24"/>
          <w:lang w:eastAsia="en-GB"/>
          <w14:ligatures w14:val="none"/>
        </w:rPr>
      </w:pPr>
    </w:p>
    <w:p w14:paraId="67D2C014" w14:textId="53BBBBDC" w:rsidR="00D94D4A" w:rsidRPr="00880921" w:rsidRDefault="00D94D4A" w:rsidP="00D94D4A">
      <w:pPr>
        <w:pStyle w:val="EU"/>
        <w:spacing w:line="360" w:lineRule="auto"/>
        <w:rPr>
          <w:rFonts w:eastAsia="Times New Roman"/>
          <w:color w:val="auto"/>
        </w:rPr>
      </w:pPr>
      <w:bookmarkStart w:id="4" w:name="_Toc160050929"/>
      <w:r w:rsidRPr="00880921">
        <w:rPr>
          <w:rFonts w:eastAsia="Times New Roman"/>
          <w:color w:val="auto"/>
        </w:rPr>
        <w:t>Conclusion</w:t>
      </w:r>
      <w:bookmarkEnd w:id="4"/>
    </w:p>
    <w:p w14:paraId="2DA94761" w14:textId="54ABB4C3" w:rsidR="00D94D4A" w:rsidRPr="00880921" w:rsidRDefault="00D94D4A" w:rsidP="00D94D4A">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In conclusion, the review of the Seacrest Lodge's operational and financial performance over the last three years reveals a crucial crossroads for the institution. The lodge's falling income, profitability, and customer happiness, along with a competitive and dynamic coastal market, highlight the need for a strategic revamp. To solve these difficulties, the lodge must prioritise operational efficiency, improve service quality, and incorporate environmentally friendly methods into its business model. Embracing innovation and integrating with current customer desires for personalised and ecologically responsible experiences are critical milestones. A planned turnaround approach, based on market trends and financial diagnostics, will be critical in rebranding the Seacrest Lodge as a top holiday destination. The successful application of these strategies promises not only to revive the lodge's financial performance but also to restore its reputation, assuring its resilience and sustained attractiveness in a changing hospitality market.</w:t>
      </w:r>
    </w:p>
    <w:p w14:paraId="1DA3FDE5" w14:textId="5224168D" w:rsidR="00561626" w:rsidRPr="00880921" w:rsidRDefault="00561626" w:rsidP="00D94D4A">
      <w:pPr>
        <w:spacing w:line="360" w:lineRule="auto"/>
        <w:jc w:val="both"/>
        <w:rPr>
          <w:rFonts w:ascii="Arial" w:eastAsia="Times New Roman" w:hAnsi="Arial" w:cs="Arial"/>
          <w:kern w:val="0"/>
          <w:sz w:val="24"/>
          <w:szCs w:val="24"/>
          <w:lang w:eastAsia="en-GB"/>
          <w14:ligatures w14:val="none"/>
        </w:rPr>
      </w:pPr>
    </w:p>
    <w:p w14:paraId="1545B248" w14:textId="74DAB4CE" w:rsidR="00561626" w:rsidRPr="00880921" w:rsidRDefault="00561626" w:rsidP="00D94D4A">
      <w:pPr>
        <w:pStyle w:val="EU"/>
        <w:spacing w:line="360" w:lineRule="auto"/>
        <w:rPr>
          <w:rFonts w:eastAsia="Times New Roman"/>
          <w:color w:val="auto"/>
        </w:rPr>
      </w:pPr>
      <w:bookmarkStart w:id="5" w:name="_Toc160050930"/>
      <w:r w:rsidRPr="00880921">
        <w:rPr>
          <w:rFonts w:eastAsia="Times New Roman"/>
          <w:color w:val="auto"/>
        </w:rPr>
        <w:t>Recommendations</w:t>
      </w:r>
      <w:bookmarkEnd w:id="5"/>
      <w:r w:rsidRPr="00880921">
        <w:rPr>
          <w:rFonts w:eastAsia="Times New Roman"/>
          <w:color w:val="auto"/>
        </w:rPr>
        <w:t xml:space="preserve"> </w:t>
      </w:r>
    </w:p>
    <w:p w14:paraId="59772325" w14:textId="357169C4" w:rsidR="00561626" w:rsidRPr="00880921" w:rsidRDefault="00561626" w:rsidP="00D94D4A">
      <w:pPr>
        <w:pStyle w:val="Listparagraf"/>
        <w:numPr>
          <w:ilvl w:val="0"/>
          <w:numId w:val="1"/>
        </w:numPr>
        <w:spacing w:after="24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To revitalise the Seacrest Lodge and restore its standing as a top holiday resort, a properly planned turnaround strategy is required. This strategy should include both urgent interventions and long-term development strategies that are carefully intended to improve the lodge's operations, marketing, customer service, and facilities. Furthermore, funding mechanisms must be reevaluated in order to properly support these projects</w:t>
      </w:r>
      <w:r w:rsidR="00880921" w:rsidRPr="00880921">
        <w:rPr>
          <w:rFonts w:ascii="Arial" w:eastAsia="Times New Roman" w:hAnsi="Arial" w:cs="Arial"/>
          <w:kern w:val="0"/>
          <w:sz w:val="24"/>
          <w:szCs w:val="24"/>
          <w:lang w:eastAsia="en-GB"/>
          <w14:ligatures w14:val="none"/>
        </w:rPr>
        <w:t xml:space="preserve"> (Tranter, Stuart-Hill, and Parker, 2014).</w:t>
      </w:r>
    </w:p>
    <w:p w14:paraId="79430AE4" w14:textId="66E93CFD" w:rsidR="00561626" w:rsidRPr="00880921" w:rsidRDefault="00561626" w:rsidP="00D94D4A">
      <w:pPr>
        <w:pStyle w:val="Listparagraf"/>
        <w:numPr>
          <w:ilvl w:val="0"/>
          <w:numId w:val="1"/>
        </w:numPr>
        <w:spacing w:after="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In the near term, improving service quality and facilities is critical. Immediate action, such as upgrading old facilities and launching thorough staff training programmes, is required to meet and surpass contemporary travellers' </w:t>
      </w:r>
      <w:r w:rsidRPr="00880921">
        <w:rPr>
          <w:rFonts w:ascii="Arial" w:eastAsia="Times New Roman" w:hAnsi="Arial" w:cs="Arial"/>
          <w:kern w:val="0"/>
          <w:sz w:val="24"/>
          <w:szCs w:val="24"/>
          <w:lang w:eastAsia="en-GB"/>
          <w14:ligatures w14:val="none"/>
        </w:rPr>
        <w:lastRenderedPageBreak/>
        <w:t>expectations for personalised and unique experiences</w:t>
      </w:r>
      <w:r w:rsidR="00880921" w:rsidRPr="00880921">
        <w:rPr>
          <w:rFonts w:ascii="Arial" w:eastAsia="Times New Roman" w:hAnsi="Arial" w:cs="Arial"/>
          <w:kern w:val="0"/>
          <w:sz w:val="24"/>
          <w:szCs w:val="24"/>
          <w:lang w:eastAsia="en-GB"/>
          <w14:ligatures w14:val="none"/>
        </w:rPr>
        <w:t xml:space="preserve"> (Walker, 2021).</w:t>
      </w:r>
      <w:r w:rsidRPr="00880921">
        <w:rPr>
          <w:rFonts w:ascii="Arial" w:eastAsia="Times New Roman" w:hAnsi="Arial" w:cs="Arial"/>
          <w:kern w:val="0"/>
          <w:sz w:val="24"/>
          <w:szCs w:val="24"/>
          <w:lang w:eastAsia="en-GB"/>
          <w14:ligatures w14:val="none"/>
        </w:rPr>
        <w:t xml:space="preserve"> Concurrently, a new marketing plan is necessary to properly rebrand the Seacrest Lodge brand. This plan should use digital channels to showcase the lodge's distinguishing features, such as its gorgeous setting and dedication to sustainability, health, and cultural immersion, in order to attract eco-conscious and experience-seeking travellers.</w:t>
      </w:r>
    </w:p>
    <w:p w14:paraId="7E8DCDA5" w14:textId="210FD906" w:rsidR="00561626" w:rsidRPr="00880921" w:rsidRDefault="00561626" w:rsidP="00D94D4A">
      <w:pPr>
        <w:pStyle w:val="Listparagraf"/>
        <w:numPr>
          <w:ilvl w:val="0"/>
          <w:numId w:val="1"/>
        </w:numPr>
        <w:spacing w:after="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Financial restructuring is also important at this phase, with a focus on optimising operational expenditures to improve the lodge's financial health. This might involve renegotiating with suppliers, reducing non-essential expenditure, and looking at debt restructuring options to improve liquidity and ease financial stress</w:t>
      </w:r>
      <w:r w:rsidR="00880921" w:rsidRPr="00880921">
        <w:rPr>
          <w:rFonts w:ascii="Arial" w:eastAsia="Times New Roman" w:hAnsi="Arial" w:cs="Arial"/>
          <w:kern w:val="0"/>
          <w:sz w:val="24"/>
          <w:szCs w:val="24"/>
          <w:lang w:eastAsia="en-GB"/>
          <w14:ligatures w14:val="none"/>
        </w:rPr>
        <w:t xml:space="preserve"> as indicated by Drury (2021).</w:t>
      </w:r>
    </w:p>
    <w:p w14:paraId="46FD74F7" w14:textId="29DE22D1" w:rsidR="00D94D4A" w:rsidRPr="00880921" w:rsidRDefault="00D94D4A" w:rsidP="00D94D4A">
      <w:pPr>
        <w:pStyle w:val="Listparagraf"/>
        <w:numPr>
          <w:ilvl w:val="0"/>
          <w:numId w:val="1"/>
        </w:numPr>
        <w:spacing w:after="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For long-term sustainability, incorporating innovative hospitality trends may attract new consumer categories and open up new income streams. Drawing inspiration from industry giants like as AccorHotels, the Seacrest Lodge may use </w:t>
      </w:r>
      <w:r w:rsidR="00880921" w:rsidRPr="00880921">
        <w:rPr>
          <w:rFonts w:ascii="Arial" w:eastAsia="Times New Roman" w:hAnsi="Arial" w:cs="Arial"/>
          <w:kern w:val="0"/>
          <w:sz w:val="24"/>
          <w:szCs w:val="24"/>
          <w:lang w:eastAsia="en-GB"/>
          <w14:ligatures w14:val="none"/>
        </w:rPr>
        <w:t>innovative</w:t>
      </w:r>
      <w:r w:rsidRPr="00880921">
        <w:rPr>
          <w:rFonts w:ascii="Arial" w:eastAsia="Times New Roman" w:hAnsi="Arial" w:cs="Arial"/>
          <w:kern w:val="0"/>
          <w:sz w:val="24"/>
          <w:szCs w:val="24"/>
          <w:lang w:eastAsia="en-GB"/>
          <w14:ligatures w14:val="none"/>
        </w:rPr>
        <w:t xml:space="preserve"> trends such as sleep-enhancement programmes, wellness retreats, and the use of service robots to improve the guest experience. Using smart technology in guest rooms personalises the experience, increasing the lodge's attractiveness</w:t>
      </w:r>
      <w:r w:rsidR="00880921" w:rsidRPr="00880921">
        <w:rPr>
          <w:rFonts w:ascii="Arial" w:eastAsia="Times New Roman" w:hAnsi="Arial" w:cs="Arial"/>
          <w:kern w:val="0"/>
          <w:sz w:val="24"/>
          <w:szCs w:val="24"/>
          <w:lang w:eastAsia="en-GB"/>
          <w14:ligatures w14:val="none"/>
        </w:rPr>
        <w:t xml:space="preserve"> (Walker, 2021).</w:t>
      </w:r>
    </w:p>
    <w:p w14:paraId="0FE6BDB8" w14:textId="53CAC41C" w:rsidR="00D94D4A" w:rsidRPr="00880921" w:rsidRDefault="00D94D4A" w:rsidP="00D94D4A">
      <w:pPr>
        <w:pStyle w:val="Listparagraf"/>
        <w:numPr>
          <w:ilvl w:val="0"/>
          <w:numId w:val="1"/>
        </w:numPr>
        <w:spacing w:after="24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Emphasising environmental activities will have a substantial influence on guest happiness and loyalty, replicating AccorHotels' success with their CSR efforts. Adopting eco-friendly procedures, reducing waste, and supporting local ecosystems may help the resort stand out in a competitive environment</w:t>
      </w:r>
      <w:r w:rsidR="00880921" w:rsidRPr="00880921">
        <w:rPr>
          <w:rFonts w:ascii="Arial" w:eastAsia="Times New Roman" w:hAnsi="Arial" w:cs="Arial"/>
          <w:kern w:val="0"/>
          <w:sz w:val="24"/>
          <w:szCs w:val="24"/>
          <w:lang w:eastAsia="en-GB"/>
          <w14:ligatures w14:val="none"/>
        </w:rPr>
        <w:t xml:space="preserve"> (McKinsey and Company, 2023).</w:t>
      </w:r>
    </w:p>
    <w:p w14:paraId="0A5E0468" w14:textId="27788632" w:rsidR="00D94D4A" w:rsidRPr="00880921" w:rsidRDefault="00D94D4A" w:rsidP="00D94D4A">
      <w:pPr>
        <w:pStyle w:val="Listparagraf"/>
        <w:numPr>
          <w:ilvl w:val="0"/>
          <w:numId w:val="1"/>
        </w:numPr>
        <w:spacing w:after="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Expanding service options to include local culinary experiences, themed events, and adventure packages takes use of the lodge's seaside location, improving the visitor experience and increasing income</w:t>
      </w:r>
      <w:r w:rsidR="00880921" w:rsidRPr="00880921">
        <w:rPr>
          <w:rFonts w:ascii="Arial" w:eastAsia="Times New Roman" w:hAnsi="Arial" w:cs="Arial"/>
          <w:kern w:val="0"/>
          <w:sz w:val="24"/>
          <w:szCs w:val="24"/>
          <w:lang w:eastAsia="en-GB"/>
          <w14:ligatures w14:val="none"/>
        </w:rPr>
        <w:t xml:space="preserve"> (Jagels, 2007).</w:t>
      </w:r>
      <w:r w:rsidRPr="00880921">
        <w:rPr>
          <w:rFonts w:ascii="Arial" w:eastAsia="Times New Roman" w:hAnsi="Arial" w:cs="Arial"/>
          <w:kern w:val="0"/>
          <w:sz w:val="24"/>
          <w:szCs w:val="24"/>
          <w:lang w:eastAsia="en-GB"/>
          <w14:ligatures w14:val="none"/>
        </w:rPr>
        <w:t xml:space="preserve"> Strategic partnerships with local businesses and tourism boards can provide guests with authentic local experiences, while collaborations with technology companies to introduce solutions such as virtual concierge services or app-based room customisation can help the lodge cement its reputation as an innovative destination.</w:t>
      </w:r>
    </w:p>
    <w:p w14:paraId="4D539450" w14:textId="744457D8" w:rsidR="00D94D4A" w:rsidRPr="00880921" w:rsidRDefault="00D94D4A" w:rsidP="00D94D4A">
      <w:pPr>
        <w:pStyle w:val="Listparagraf"/>
        <w:numPr>
          <w:ilvl w:val="0"/>
          <w:numId w:val="1"/>
        </w:numPr>
        <w:spacing w:after="240"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Investing in technology to simplify operations and increase visitor happiness is critical. Implementing technologies that automate procedures and gather </w:t>
      </w:r>
      <w:r w:rsidRPr="00880921">
        <w:rPr>
          <w:rFonts w:ascii="Arial" w:eastAsia="Times New Roman" w:hAnsi="Arial" w:cs="Arial"/>
          <w:kern w:val="0"/>
          <w:sz w:val="24"/>
          <w:szCs w:val="24"/>
          <w:lang w:eastAsia="en-GB"/>
          <w14:ligatures w14:val="none"/>
        </w:rPr>
        <w:lastRenderedPageBreak/>
        <w:t>information about guest preferences enables more focused marketing and service customisation</w:t>
      </w:r>
      <w:r w:rsidR="00880921" w:rsidRPr="00880921">
        <w:rPr>
          <w:rFonts w:ascii="Arial" w:eastAsia="Times New Roman" w:hAnsi="Arial" w:cs="Arial"/>
          <w:kern w:val="0"/>
          <w:sz w:val="24"/>
          <w:szCs w:val="24"/>
          <w:lang w:eastAsia="en-GB"/>
          <w14:ligatures w14:val="none"/>
        </w:rPr>
        <w:t xml:space="preserve"> (McKinsey and company, 2023). </w:t>
      </w:r>
    </w:p>
    <w:p w14:paraId="5D0052A9"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79D9647C"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6CF1A568"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39619B5E"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34C0EA82"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2D36606C"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07B458E4"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480C125F"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635DDE54"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31688681"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285BE8BA"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226DDD41"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537C1B92"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724C3170"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6D42E27D"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6F80AB2F"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05B4CC1B"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146B0477"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0360DDD1" w14:textId="77777777" w:rsid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7C9FBCA1" w14:textId="77777777" w:rsidR="00880921" w:rsidRPr="00880921" w:rsidRDefault="00880921" w:rsidP="00880921">
      <w:pPr>
        <w:spacing w:after="240" w:line="360" w:lineRule="auto"/>
        <w:jc w:val="both"/>
        <w:rPr>
          <w:rFonts w:ascii="Arial" w:eastAsia="Times New Roman" w:hAnsi="Arial" w:cs="Arial"/>
          <w:kern w:val="0"/>
          <w:sz w:val="24"/>
          <w:szCs w:val="24"/>
          <w:lang w:eastAsia="en-GB"/>
          <w14:ligatures w14:val="none"/>
        </w:rPr>
      </w:pPr>
    </w:p>
    <w:p w14:paraId="08524302" w14:textId="15B41D2A" w:rsidR="00561626" w:rsidRPr="00880921" w:rsidRDefault="000159B1" w:rsidP="00880921">
      <w:pPr>
        <w:pStyle w:val="EU"/>
        <w:rPr>
          <w:rFonts w:eastAsia="Times New Roman"/>
          <w:color w:val="auto"/>
        </w:rPr>
      </w:pPr>
      <w:bookmarkStart w:id="6" w:name="_Toc160050931"/>
      <w:r w:rsidRPr="00880921">
        <w:rPr>
          <w:rFonts w:eastAsia="Times New Roman"/>
          <w:color w:val="auto"/>
        </w:rPr>
        <w:lastRenderedPageBreak/>
        <w:t>References</w:t>
      </w:r>
      <w:bookmarkEnd w:id="6"/>
    </w:p>
    <w:p w14:paraId="6DB039C3" w14:textId="77777777" w:rsidR="000159B1" w:rsidRPr="00880921" w:rsidRDefault="000159B1" w:rsidP="00880921">
      <w:pPr>
        <w:pStyle w:val="Listparagraf"/>
        <w:spacing w:line="360" w:lineRule="auto"/>
        <w:jc w:val="both"/>
        <w:rPr>
          <w:rFonts w:ascii="Arial" w:eastAsia="Times New Roman" w:hAnsi="Arial" w:cs="Arial"/>
          <w:kern w:val="0"/>
          <w:sz w:val="24"/>
          <w:szCs w:val="24"/>
          <w:lang w:eastAsia="en-GB"/>
          <w14:ligatures w14:val="none"/>
        </w:rPr>
      </w:pPr>
    </w:p>
    <w:p w14:paraId="7D081C6E" w14:textId="77777777" w:rsidR="000159B1" w:rsidRPr="00880921" w:rsidRDefault="000159B1" w:rsidP="00880921">
      <w:pPr>
        <w:pStyle w:val="Listparagraf"/>
        <w:spacing w:line="360" w:lineRule="auto"/>
        <w:jc w:val="both"/>
        <w:rPr>
          <w:rFonts w:ascii="Arial" w:eastAsia="Times New Roman" w:hAnsi="Arial" w:cs="Arial"/>
          <w:kern w:val="0"/>
          <w:sz w:val="24"/>
          <w:szCs w:val="24"/>
          <w:lang w:eastAsia="en-GB"/>
          <w14:ligatures w14:val="none"/>
        </w:rPr>
      </w:pPr>
    </w:p>
    <w:p w14:paraId="744480B4" w14:textId="21E3539C" w:rsidR="000159B1" w:rsidRPr="00880921" w:rsidRDefault="000159B1" w:rsidP="00880921">
      <w:pPr>
        <w:pStyle w:val="NormalWeb"/>
        <w:spacing w:before="0" w:beforeAutospacing="0" w:after="0" w:afterAutospacing="0" w:line="360" w:lineRule="auto"/>
        <w:jc w:val="both"/>
        <w:rPr>
          <w:rFonts w:ascii="Arial" w:hAnsi="Arial" w:cs="Arial"/>
        </w:rPr>
      </w:pPr>
      <w:r w:rsidRPr="00880921">
        <w:rPr>
          <w:rFonts w:ascii="Arial" w:hAnsi="Arial" w:cs="Arial"/>
        </w:rPr>
        <w:t xml:space="preserve">Accor (2018). AccorHotels Shares Two Studies on Corporate Social Responsibility (CSR) and its Effect on Guest Satisfaction and Business Performance. [online] Accor – Newsroom | North, Central America &amp; Caribbean. Available at: </w:t>
      </w:r>
      <w:hyperlink r:id="rId7" w:history="1">
        <w:r w:rsidRPr="00880921">
          <w:rPr>
            <w:rStyle w:val="Hyperlink"/>
            <w:rFonts w:ascii="Arial" w:hAnsi="Arial" w:cs="Arial"/>
            <w:color w:val="auto"/>
          </w:rPr>
          <w:t>https://press.accor.com/americas/5710-2/?lang=en</w:t>
        </w:r>
      </w:hyperlink>
      <w:r w:rsidRPr="00880921">
        <w:rPr>
          <w:rFonts w:ascii="Arial" w:hAnsi="Arial" w:cs="Arial"/>
        </w:rPr>
        <w:t>.</w:t>
      </w:r>
    </w:p>
    <w:p w14:paraId="6860AC3B"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52BF957A" w14:textId="55307048" w:rsidR="00E575A6" w:rsidRPr="00880921" w:rsidRDefault="00E575A6" w:rsidP="00880921">
      <w:pPr>
        <w:pStyle w:val="NormalWeb"/>
        <w:spacing w:before="0" w:beforeAutospacing="0" w:after="0" w:afterAutospacing="0" w:line="360" w:lineRule="auto"/>
        <w:jc w:val="both"/>
        <w:rPr>
          <w:rFonts w:ascii="Arial" w:hAnsi="Arial" w:cs="Arial"/>
        </w:rPr>
      </w:pPr>
      <w:proofErr w:type="spellStart"/>
      <w:r w:rsidRPr="00880921">
        <w:rPr>
          <w:rFonts w:ascii="Arial" w:hAnsi="Arial" w:cs="Arial"/>
        </w:rPr>
        <w:t>Atrill</w:t>
      </w:r>
      <w:proofErr w:type="spellEnd"/>
      <w:r w:rsidRPr="00880921">
        <w:rPr>
          <w:rFonts w:ascii="Arial" w:hAnsi="Arial" w:cs="Arial"/>
        </w:rPr>
        <w:t xml:space="preserve"> P, </w:t>
      </w:r>
      <w:proofErr w:type="spellStart"/>
      <w:r w:rsidRPr="00880921">
        <w:rPr>
          <w:rFonts w:ascii="Arial" w:hAnsi="Arial" w:cs="Arial"/>
        </w:rPr>
        <w:t>McLaney</w:t>
      </w:r>
      <w:proofErr w:type="spellEnd"/>
      <w:r w:rsidRPr="00880921">
        <w:rPr>
          <w:rFonts w:ascii="Arial" w:hAnsi="Arial" w:cs="Arial"/>
        </w:rPr>
        <w:t xml:space="preserve"> E (2021) Management Accounting for Decision Makers, FT Prentice Hall</w:t>
      </w:r>
    </w:p>
    <w:p w14:paraId="22AB474D"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321672FC" w14:textId="4FFB2614" w:rsidR="00E575A6" w:rsidRPr="00880921" w:rsidRDefault="00E575A6" w:rsidP="00880921">
      <w:pPr>
        <w:pStyle w:val="NormalWeb"/>
        <w:spacing w:before="0" w:beforeAutospacing="0" w:after="0" w:afterAutospacing="0" w:line="360" w:lineRule="auto"/>
        <w:jc w:val="both"/>
        <w:rPr>
          <w:rFonts w:ascii="Arial" w:hAnsi="Arial" w:cs="Arial"/>
        </w:rPr>
      </w:pPr>
      <w:r w:rsidRPr="00880921">
        <w:rPr>
          <w:rFonts w:ascii="Arial" w:hAnsi="Arial" w:cs="Arial"/>
        </w:rPr>
        <w:t>Drury C (2021) (11th Ed) Management and Cost Accounting, London, Prentice Hall</w:t>
      </w:r>
    </w:p>
    <w:p w14:paraId="425E9AEB"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79F58A2C" w14:textId="01892294" w:rsidR="00E575A6" w:rsidRPr="00880921" w:rsidRDefault="00E575A6" w:rsidP="00880921">
      <w:pPr>
        <w:pStyle w:val="NormalWeb"/>
        <w:spacing w:before="0" w:beforeAutospacing="0" w:after="0" w:afterAutospacing="0" w:line="360" w:lineRule="auto"/>
        <w:jc w:val="both"/>
        <w:rPr>
          <w:rFonts w:ascii="Arial" w:hAnsi="Arial" w:cs="Arial"/>
        </w:rPr>
      </w:pPr>
      <w:proofErr w:type="spellStart"/>
      <w:r w:rsidRPr="00880921">
        <w:rPr>
          <w:rFonts w:ascii="Arial" w:hAnsi="Arial" w:cs="Arial"/>
        </w:rPr>
        <w:t>Guilding,C</w:t>
      </w:r>
      <w:proofErr w:type="spellEnd"/>
      <w:r w:rsidRPr="00880921">
        <w:rPr>
          <w:rFonts w:ascii="Arial" w:hAnsi="Arial" w:cs="Arial"/>
        </w:rPr>
        <w:t>.(2014) (3rd Edition) Accounting Essentials for Hospitality Managers, London, Routledge</w:t>
      </w:r>
    </w:p>
    <w:p w14:paraId="68696D89" w14:textId="77777777" w:rsidR="00880921" w:rsidRPr="00880921" w:rsidRDefault="00880921" w:rsidP="00880921">
      <w:pPr>
        <w:pStyle w:val="NormalWeb"/>
        <w:spacing w:before="0" w:beforeAutospacing="0" w:after="0" w:afterAutospacing="0" w:line="360" w:lineRule="auto"/>
        <w:jc w:val="both"/>
        <w:rPr>
          <w:rFonts w:ascii="Arial" w:hAnsi="Arial" w:cs="Arial"/>
        </w:rPr>
      </w:pPr>
    </w:p>
    <w:p w14:paraId="0F2BF5DD" w14:textId="2AC3DA18" w:rsidR="00880921" w:rsidRPr="00880921" w:rsidRDefault="00880921" w:rsidP="00880921">
      <w:pPr>
        <w:pStyle w:val="NormalWeb"/>
        <w:spacing w:before="0" w:beforeAutospacing="0" w:after="0" w:afterAutospacing="0" w:line="360" w:lineRule="auto"/>
        <w:jc w:val="both"/>
        <w:rPr>
          <w:rFonts w:ascii="Arial" w:hAnsi="Arial" w:cs="Arial"/>
        </w:rPr>
      </w:pPr>
      <w:proofErr w:type="spellStart"/>
      <w:r w:rsidRPr="00880921">
        <w:rPr>
          <w:rFonts w:ascii="Arial" w:hAnsi="Arial" w:cs="Arial"/>
        </w:rPr>
        <w:t>Jagels,M</w:t>
      </w:r>
      <w:proofErr w:type="spellEnd"/>
      <w:r w:rsidRPr="00880921">
        <w:rPr>
          <w:rFonts w:ascii="Arial" w:hAnsi="Arial" w:cs="Arial"/>
        </w:rPr>
        <w:t>. (2007) Hospitality Management Accounting, London, Wiley</w:t>
      </w:r>
    </w:p>
    <w:p w14:paraId="284CFC63" w14:textId="77777777" w:rsidR="000159B1" w:rsidRPr="00880921" w:rsidRDefault="000159B1" w:rsidP="00880921">
      <w:pPr>
        <w:pStyle w:val="NormalWeb"/>
        <w:spacing w:before="0" w:beforeAutospacing="0" w:after="0" w:afterAutospacing="0" w:line="360" w:lineRule="auto"/>
        <w:jc w:val="both"/>
        <w:rPr>
          <w:rFonts w:ascii="Arial" w:hAnsi="Arial" w:cs="Arial"/>
        </w:rPr>
      </w:pPr>
    </w:p>
    <w:p w14:paraId="204BAC7C" w14:textId="33DF76E4" w:rsidR="000159B1" w:rsidRPr="00880921" w:rsidRDefault="000159B1" w:rsidP="00880921">
      <w:pPr>
        <w:pStyle w:val="NormalWeb"/>
        <w:spacing w:before="0" w:beforeAutospacing="0" w:after="0" w:afterAutospacing="0" w:line="360" w:lineRule="auto"/>
        <w:jc w:val="both"/>
        <w:rPr>
          <w:rFonts w:ascii="Arial" w:hAnsi="Arial" w:cs="Arial"/>
        </w:rPr>
      </w:pPr>
      <w:r w:rsidRPr="00880921">
        <w:rPr>
          <w:rFonts w:ascii="Arial" w:hAnsi="Arial" w:cs="Arial"/>
        </w:rPr>
        <w:t>Mariani, J. (2020). How Sustainability Has Become A Marketing Necessity In Luxury Hotels. [online] Forbes. Available at: https://www.forbes.com/sites/johnmariani/2022/07/19/how-sustainability-has-become-a-marketing-necessity-in-luxury-hotels/?sh=65c84cd5306d [Accessed 8 Feb. 2024].</w:t>
      </w:r>
    </w:p>
    <w:p w14:paraId="62D6E1DC" w14:textId="77777777" w:rsidR="000159B1" w:rsidRPr="00880921" w:rsidRDefault="000159B1" w:rsidP="00880921">
      <w:pPr>
        <w:spacing w:line="360" w:lineRule="auto"/>
        <w:jc w:val="both"/>
        <w:rPr>
          <w:rFonts w:ascii="Arial" w:eastAsia="Times New Roman" w:hAnsi="Arial" w:cs="Arial"/>
          <w:kern w:val="0"/>
          <w:sz w:val="24"/>
          <w:szCs w:val="24"/>
          <w:lang w:eastAsia="en-GB"/>
          <w14:ligatures w14:val="none"/>
        </w:rPr>
      </w:pPr>
    </w:p>
    <w:p w14:paraId="12121AF9" w14:textId="3B578902" w:rsidR="000159B1" w:rsidRPr="00880921" w:rsidRDefault="000159B1" w:rsidP="00880921">
      <w:pPr>
        <w:pStyle w:val="NormalWeb"/>
        <w:spacing w:before="0" w:beforeAutospacing="0" w:after="0" w:afterAutospacing="0" w:line="360" w:lineRule="auto"/>
        <w:jc w:val="both"/>
        <w:rPr>
          <w:rFonts w:ascii="Arial" w:hAnsi="Arial" w:cs="Arial"/>
        </w:rPr>
      </w:pPr>
      <w:r w:rsidRPr="00880921">
        <w:rPr>
          <w:rFonts w:ascii="Arial" w:hAnsi="Arial" w:cs="Arial"/>
        </w:rPr>
        <w:t xml:space="preserve">McKinsey and Company (2023). The future of hotels: Customized experiences, sustainable practices.  Available at: </w:t>
      </w:r>
      <w:hyperlink r:id="rId8" w:history="1">
        <w:r w:rsidRPr="00880921">
          <w:rPr>
            <w:rStyle w:val="Hyperlink"/>
            <w:rFonts w:ascii="Arial" w:hAnsi="Arial" w:cs="Arial"/>
            <w:color w:val="auto"/>
          </w:rPr>
          <w:t>https://www.mckinsey.com/~/media/mckinsey/featured%20insights/the%20next%20normal/the%20future%20of%20hotels/the-future-of-hotels-customized-experiences-sustainable-practices-final.pdf</w:t>
        </w:r>
      </w:hyperlink>
      <w:r w:rsidRPr="00880921">
        <w:rPr>
          <w:rFonts w:ascii="Arial" w:hAnsi="Arial" w:cs="Arial"/>
        </w:rPr>
        <w:t>.</w:t>
      </w:r>
    </w:p>
    <w:p w14:paraId="543ECAF8"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1E9B5ABE" w14:textId="780AF046" w:rsidR="00E575A6" w:rsidRPr="00880921" w:rsidRDefault="00E575A6" w:rsidP="00880921">
      <w:pPr>
        <w:pStyle w:val="NormalWeb"/>
        <w:spacing w:before="0" w:beforeAutospacing="0" w:after="0" w:afterAutospacing="0" w:line="360" w:lineRule="auto"/>
        <w:jc w:val="both"/>
        <w:rPr>
          <w:rFonts w:ascii="Arial" w:hAnsi="Arial" w:cs="Arial"/>
        </w:rPr>
      </w:pPr>
      <w:r w:rsidRPr="00880921">
        <w:rPr>
          <w:rFonts w:ascii="Arial" w:hAnsi="Arial" w:cs="Arial"/>
        </w:rPr>
        <w:t xml:space="preserve">Saul, L. (2023). Hospitality Trends: Wellness and wellbeing. [online] hospitalityinsights.ehl.edu. Available at: </w:t>
      </w:r>
      <w:hyperlink r:id="rId9" w:history="1">
        <w:r w:rsidRPr="00880921">
          <w:rPr>
            <w:rStyle w:val="Hyperlink"/>
            <w:rFonts w:ascii="Arial" w:hAnsi="Arial" w:cs="Arial"/>
            <w:color w:val="auto"/>
          </w:rPr>
          <w:t>https://hospitalityinsights.ehl.edu/hospitality-trends-wellness-and-wellbeing</w:t>
        </w:r>
      </w:hyperlink>
      <w:r w:rsidRPr="00880921">
        <w:rPr>
          <w:rFonts w:ascii="Arial" w:hAnsi="Arial" w:cs="Arial"/>
        </w:rPr>
        <w:t>.</w:t>
      </w:r>
    </w:p>
    <w:p w14:paraId="43F3422D"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1C564E57" w14:textId="17A64632" w:rsidR="00E575A6" w:rsidRPr="00880921" w:rsidRDefault="00E575A6" w:rsidP="00880921">
      <w:pPr>
        <w:pStyle w:val="NormalWeb"/>
        <w:spacing w:before="0" w:beforeAutospacing="0" w:after="0" w:afterAutospacing="0" w:line="360" w:lineRule="auto"/>
        <w:jc w:val="both"/>
        <w:rPr>
          <w:rFonts w:ascii="Arial" w:hAnsi="Arial" w:cs="Arial"/>
        </w:rPr>
      </w:pPr>
      <w:r w:rsidRPr="00880921">
        <w:rPr>
          <w:rFonts w:ascii="Arial" w:hAnsi="Arial" w:cs="Arial"/>
        </w:rPr>
        <w:t>Seal W (2019) (6th Ed) Management Accounting, London, McGraw Hill</w:t>
      </w:r>
    </w:p>
    <w:p w14:paraId="2E82A4EC" w14:textId="77777777" w:rsidR="00E575A6" w:rsidRPr="00880921" w:rsidRDefault="00E575A6" w:rsidP="00880921">
      <w:pPr>
        <w:pStyle w:val="NormalWeb"/>
        <w:spacing w:before="0" w:beforeAutospacing="0" w:after="0" w:afterAutospacing="0" w:line="360" w:lineRule="auto"/>
        <w:jc w:val="both"/>
        <w:rPr>
          <w:rFonts w:ascii="Arial" w:hAnsi="Arial" w:cs="Arial"/>
        </w:rPr>
      </w:pPr>
    </w:p>
    <w:p w14:paraId="779A1685" w14:textId="1F3503EE" w:rsidR="00E575A6" w:rsidRPr="00880921" w:rsidRDefault="00E575A6" w:rsidP="00880921">
      <w:pPr>
        <w:pStyle w:val="NormalWeb"/>
        <w:spacing w:before="0" w:beforeAutospacing="0" w:after="0" w:afterAutospacing="0" w:line="360" w:lineRule="auto"/>
        <w:jc w:val="both"/>
        <w:rPr>
          <w:rFonts w:ascii="Arial" w:hAnsi="Arial" w:cs="Arial"/>
        </w:rPr>
      </w:pPr>
      <w:r w:rsidRPr="00880921">
        <w:rPr>
          <w:rFonts w:ascii="Arial" w:hAnsi="Arial" w:cs="Arial"/>
        </w:rPr>
        <w:t>Seal W, Garrison RH, Noreen E (2008) Management Accounting, McGraw Hill</w:t>
      </w:r>
    </w:p>
    <w:p w14:paraId="3F6564CB" w14:textId="77777777" w:rsidR="000159B1" w:rsidRPr="00880921" w:rsidRDefault="000159B1" w:rsidP="00880921">
      <w:pPr>
        <w:pStyle w:val="NormalWeb"/>
        <w:spacing w:before="0" w:beforeAutospacing="0" w:after="0" w:afterAutospacing="0" w:line="360" w:lineRule="auto"/>
        <w:jc w:val="both"/>
        <w:rPr>
          <w:rFonts w:ascii="Arial" w:hAnsi="Arial" w:cs="Arial"/>
        </w:rPr>
      </w:pPr>
    </w:p>
    <w:p w14:paraId="0C016349" w14:textId="2927DBA9" w:rsidR="000159B1" w:rsidRPr="00880921" w:rsidRDefault="000159B1" w:rsidP="00880921">
      <w:pPr>
        <w:spacing w:line="360" w:lineRule="auto"/>
        <w:jc w:val="both"/>
        <w:rPr>
          <w:rFonts w:ascii="Arial" w:eastAsia="Times New Roman" w:hAnsi="Arial" w:cs="Arial"/>
          <w:kern w:val="0"/>
          <w:sz w:val="24"/>
          <w:szCs w:val="24"/>
          <w:lang w:eastAsia="en-GB"/>
          <w14:ligatures w14:val="none"/>
        </w:rPr>
      </w:pPr>
      <w:r w:rsidRPr="00880921">
        <w:rPr>
          <w:rFonts w:ascii="Arial" w:eastAsia="Times New Roman" w:hAnsi="Arial" w:cs="Arial"/>
          <w:kern w:val="0"/>
          <w:sz w:val="24"/>
          <w:szCs w:val="24"/>
          <w:lang w:eastAsia="en-GB"/>
          <w14:ligatures w14:val="none"/>
        </w:rPr>
        <w:t xml:space="preserve">Steele, J. and Jarratt, D., 2019. The Seaside Resort, Nostalgia and Restoration. In: Practising Place: Creative and Critical Reflections on Place. Sunderland: Art Editions North. Available at: </w:t>
      </w:r>
      <w:hyperlink r:id="rId10" w:history="1">
        <w:r w:rsidR="00880921" w:rsidRPr="00880921">
          <w:rPr>
            <w:rStyle w:val="Hyperlink"/>
            <w:rFonts w:ascii="Arial" w:eastAsia="Times New Roman" w:hAnsi="Arial" w:cs="Arial"/>
            <w:color w:val="auto"/>
            <w:kern w:val="0"/>
            <w:sz w:val="24"/>
            <w:szCs w:val="24"/>
            <w:lang w:eastAsia="en-GB"/>
            <w14:ligatures w14:val="none"/>
          </w:rPr>
          <w:t>https://www.researchgate.net/publication/331791276_The_Seaside_Resort_Nostalgia_and_Restoration</w:t>
        </w:r>
      </w:hyperlink>
    </w:p>
    <w:p w14:paraId="05A8C467" w14:textId="0615C778" w:rsidR="00561626" w:rsidRPr="00880921" w:rsidRDefault="00880921" w:rsidP="00880921">
      <w:pPr>
        <w:spacing w:line="360" w:lineRule="auto"/>
        <w:jc w:val="both"/>
        <w:rPr>
          <w:rFonts w:ascii="Arial" w:eastAsia="Times New Roman" w:hAnsi="Arial" w:cs="Arial"/>
          <w:kern w:val="0"/>
          <w:sz w:val="24"/>
          <w:szCs w:val="24"/>
          <w:lang w:eastAsia="en-GB"/>
          <w14:ligatures w14:val="none"/>
        </w:rPr>
      </w:pPr>
      <w:proofErr w:type="spellStart"/>
      <w:r w:rsidRPr="00880921">
        <w:rPr>
          <w:rFonts w:ascii="Arial" w:hAnsi="Arial" w:cs="Arial"/>
          <w:sz w:val="24"/>
          <w:szCs w:val="24"/>
        </w:rPr>
        <w:t>Tranter,K</w:t>
      </w:r>
      <w:proofErr w:type="spellEnd"/>
      <w:r w:rsidRPr="00880921">
        <w:rPr>
          <w:rFonts w:ascii="Arial" w:hAnsi="Arial" w:cs="Arial"/>
          <w:sz w:val="24"/>
          <w:szCs w:val="24"/>
        </w:rPr>
        <w:t>. Stuart-Hill,T. Parker,J. (2014) Introduction to Revenue Management for the Hospitality Industry, London, Pearson</w:t>
      </w:r>
    </w:p>
    <w:p w14:paraId="7FF824B8" w14:textId="2C46764B" w:rsidR="00561626" w:rsidRPr="00880921" w:rsidRDefault="00880921" w:rsidP="00880921">
      <w:pPr>
        <w:spacing w:after="0" w:line="360" w:lineRule="auto"/>
        <w:jc w:val="both"/>
        <w:rPr>
          <w:rFonts w:ascii="Arial" w:eastAsia="Times New Roman" w:hAnsi="Arial" w:cs="Arial"/>
          <w:kern w:val="0"/>
          <w:sz w:val="24"/>
          <w:szCs w:val="24"/>
          <w:lang w:eastAsia="en-GB"/>
          <w14:ligatures w14:val="none"/>
        </w:rPr>
      </w:pPr>
      <w:r w:rsidRPr="00880921">
        <w:rPr>
          <w:rFonts w:ascii="Arial" w:hAnsi="Arial" w:cs="Arial"/>
          <w:sz w:val="24"/>
          <w:szCs w:val="24"/>
        </w:rPr>
        <w:t>Walker J (2021) Introduction to Hospitality, Harlow, Pearson</w:t>
      </w:r>
    </w:p>
    <w:p w14:paraId="1CBC0838" w14:textId="77777777" w:rsidR="005D17D8" w:rsidRPr="00880921" w:rsidRDefault="005D17D8" w:rsidP="00880921">
      <w:pPr>
        <w:spacing w:line="360" w:lineRule="auto"/>
        <w:jc w:val="both"/>
        <w:rPr>
          <w:rFonts w:ascii="Arial" w:eastAsia="Times New Roman" w:hAnsi="Arial" w:cs="Arial"/>
          <w:kern w:val="0"/>
          <w:sz w:val="24"/>
          <w:szCs w:val="24"/>
          <w:lang w:eastAsia="en-GB"/>
          <w14:ligatures w14:val="none"/>
        </w:rPr>
      </w:pPr>
    </w:p>
    <w:p w14:paraId="30655D62" w14:textId="6B2A0E77" w:rsidR="005D17D8" w:rsidRPr="00880921" w:rsidRDefault="005D17D8" w:rsidP="00880921">
      <w:pPr>
        <w:spacing w:line="360" w:lineRule="auto"/>
        <w:jc w:val="both"/>
        <w:rPr>
          <w:rFonts w:ascii="Arial" w:eastAsia="Times New Roman" w:hAnsi="Arial" w:cs="Arial"/>
          <w:kern w:val="0"/>
          <w:sz w:val="24"/>
          <w:szCs w:val="24"/>
          <w:lang w:eastAsia="en-GB"/>
          <w14:ligatures w14:val="none"/>
        </w:rPr>
      </w:pPr>
    </w:p>
    <w:p w14:paraId="64FA70EC" w14:textId="3BBC4A20" w:rsidR="005D17D8" w:rsidRPr="00880921" w:rsidRDefault="005D17D8" w:rsidP="00880921">
      <w:pPr>
        <w:spacing w:line="360" w:lineRule="auto"/>
        <w:jc w:val="both"/>
        <w:rPr>
          <w:rFonts w:ascii="Arial" w:eastAsia="Times New Roman" w:hAnsi="Arial" w:cs="Arial"/>
          <w:kern w:val="0"/>
          <w:sz w:val="24"/>
          <w:szCs w:val="24"/>
          <w:lang w:eastAsia="en-GB"/>
          <w14:ligatures w14:val="none"/>
        </w:rPr>
      </w:pPr>
    </w:p>
    <w:p w14:paraId="012D0536" w14:textId="76CAEE77" w:rsidR="005D17D8" w:rsidRPr="00880921" w:rsidRDefault="005D17D8" w:rsidP="00880921">
      <w:pPr>
        <w:spacing w:line="360" w:lineRule="auto"/>
        <w:jc w:val="both"/>
        <w:rPr>
          <w:rFonts w:ascii="Arial" w:eastAsia="Times New Roman" w:hAnsi="Arial" w:cs="Arial"/>
          <w:kern w:val="0"/>
          <w:sz w:val="24"/>
          <w:szCs w:val="24"/>
          <w:lang w:eastAsia="en-GB"/>
          <w14:ligatures w14:val="none"/>
        </w:rPr>
      </w:pPr>
    </w:p>
    <w:p w14:paraId="4F79ED1E" w14:textId="372D9CEB" w:rsidR="005D17D8" w:rsidRPr="00880921" w:rsidRDefault="005D17D8" w:rsidP="00880921">
      <w:pPr>
        <w:spacing w:line="360" w:lineRule="auto"/>
        <w:jc w:val="both"/>
        <w:rPr>
          <w:rFonts w:ascii="Arial" w:eastAsia="Times New Roman" w:hAnsi="Arial" w:cs="Arial"/>
          <w:kern w:val="0"/>
          <w:sz w:val="24"/>
          <w:szCs w:val="24"/>
          <w:lang w:eastAsia="en-GB"/>
          <w14:ligatures w14:val="none"/>
        </w:rPr>
      </w:pPr>
    </w:p>
    <w:p w14:paraId="6132A4F0" w14:textId="138A6EAB" w:rsidR="00137856" w:rsidRPr="00880921" w:rsidRDefault="00137856" w:rsidP="00880921">
      <w:pPr>
        <w:spacing w:line="360" w:lineRule="auto"/>
        <w:jc w:val="both"/>
        <w:rPr>
          <w:rFonts w:ascii="Arial" w:eastAsia="Times New Roman" w:hAnsi="Arial" w:cs="Arial"/>
          <w:kern w:val="0"/>
          <w:sz w:val="24"/>
          <w:szCs w:val="24"/>
          <w:lang w:eastAsia="en-GB"/>
          <w14:ligatures w14:val="none"/>
        </w:rPr>
      </w:pPr>
    </w:p>
    <w:p w14:paraId="5336B9A8" w14:textId="6EEE6E77" w:rsidR="00137856" w:rsidRPr="00880921" w:rsidRDefault="00137856" w:rsidP="00880921">
      <w:pPr>
        <w:spacing w:line="360" w:lineRule="auto"/>
        <w:jc w:val="both"/>
        <w:rPr>
          <w:rFonts w:ascii="Arial" w:eastAsia="Times New Roman" w:hAnsi="Arial" w:cs="Arial"/>
          <w:kern w:val="0"/>
          <w:sz w:val="24"/>
          <w:szCs w:val="24"/>
          <w:lang w:eastAsia="en-GB"/>
          <w14:ligatures w14:val="none"/>
        </w:rPr>
      </w:pPr>
    </w:p>
    <w:p w14:paraId="1BFF4EE7" w14:textId="757D42D6" w:rsidR="00137856" w:rsidRPr="00880921" w:rsidRDefault="00137856" w:rsidP="00880921">
      <w:pPr>
        <w:spacing w:line="360" w:lineRule="auto"/>
        <w:jc w:val="both"/>
        <w:rPr>
          <w:rFonts w:ascii="Arial" w:eastAsia="Times New Roman" w:hAnsi="Arial" w:cs="Arial"/>
          <w:kern w:val="0"/>
          <w:sz w:val="24"/>
          <w:szCs w:val="24"/>
          <w:lang w:eastAsia="en-GB"/>
          <w14:ligatures w14:val="none"/>
        </w:rPr>
      </w:pPr>
    </w:p>
    <w:p w14:paraId="280DDB42" w14:textId="2C82B3E9" w:rsidR="00137856" w:rsidRPr="00880921" w:rsidRDefault="00137856" w:rsidP="00880921">
      <w:pPr>
        <w:spacing w:after="0" w:line="360" w:lineRule="auto"/>
        <w:jc w:val="both"/>
        <w:rPr>
          <w:rFonts w:ascii="Arial" w:eastAsia="Times New Roman" w:hAnsi="Arial" w:cs="Arial"/>
          <w:kern w:val="0"/>
          <w:sz w:val="24"/>
          <w:szCs w:val="24"/>
          <w:lang w:eastAsia="en-GB"/>
          <w14:ligatures w14:val="none"/>
        </w:rPr>
      </w:pPr>
    </w:p>
    <w:p w14:paraId="69531DF5" w14:textId="77777777" w:rsidR="009639FC" w:rsidRPr="00880921" w:rsidRDefault="009639FC" w:rsidP="00880921">
      <w:pPr>
        <w:spacing w:line="360" w:lineRule="auto"/>
        <w:jc w:val="both"/>
        <w:rPr>
          <w:rFonts w:ascii="Arial" w:hAnsi="Arial" w:cs="Arial"/>
          <w:sz w:val="24"/>
          <w:szCs w:val="24"/>
          <w:lang w:eastAsia="en-GB"/>
        </w:rPr>
      </w:pPr>
    </w:p>
    <w:sectPr w:rsidR="009639FC" w:rsidRPr="0088092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7930" w14:textId="77777777" w:rsidR="002F7229" w:rsidRDefault="002F7229" w:rsidP="003C1328">
      <w:pPr>
        <w:spacing w:after="0" w:line="240" w:lineRule="auto"/>
      </w:pPr>
      <w:r>
        <w:separator/>
      </w:r>
    </w:p>
  </w:endnote>
  <w:endnote w:type="continuationSeparator" w:id="0">
    <w:p w14:paraId="7D3DAC69" w14:textId="77777777" w:rsidR="002F7229" w:rsidRDefault="002F7229" w:rsidP="003C1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533343"/>
      <w:docPartObj>
        <w:docPartGallery w:val="Page Numbers (Bottom of Page)"/>
        <w:docPartUnique/>
      </w:docPartObj>
    </w:sdtPr>
    <w:sdtEndPr>
      <w:rPr>
        <w:noProof/>
      </w:rPr>
    </w:sdtEndPr>
    <w:sdtContent>
      <w:p w14:paraId="21BC3CE7" w14:textId="3C9CE404" w:rsidR="003C1328" w:rsidRDefault="003C1328">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4EEBD8AD" w14:textId="77777777" w:rsidR="003C1328" w:rsidRDefault="003C13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4D5DC" w14:textId="77777777" w:rsidR="002F7229" w:rsidRDefault="002F7229" w:rsidP="003C1328">
      <w:pPr>
        <w:spacing w:after="0" w:line="240" w:lineRule="auto"/>
      </w:pPr>
      <w:r>
        <w:separator/>
      </w:r>
    </w:p>
  </w:footnote>
  <w:footnote w:type="continuationSeparator" w:id="0">
    <w:p w14:paraId="0FCAC6BC" w14:textId="77777777" w:rsidR="002F7229" w:rsidRDefault="002F7229" w:rsidP="003C1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855FE"/>
    <w:multiLevelType w:val="hybridMultilevel"/>
    <w:tmpl w:val="9884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2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328"/>
    <w:rsid w:val="000159B1"/>
    <w:rsid w:val="00137856"/>
    <w:rsid w:val="002F7229"/>
    <w:rsid w:val="003A407A"/>
    <w:rsid w:val="003C1328"/>
    <w:rsid w:val="00523AEF"/>
    <w:rsid w:val="00561626"/>
    <w:rsid w:val="00591AE6"/>
    <w:rsid w:val="005D17D8"/>
    <w:rsid w:val="007B0CC3"/>
    <w:rsid w:val="00880921"/>
    <w:rsid w:val="008F15E9"/>
    <w:rsid w:val="008F55F8"/>
    <w:rsid w:val="009639FC"/>
    <w:rsid w:val="00B151A8"/>
    <w:rsid w:val="00C82D1F"/>
    <w:rsid w:val="00D94D4A"/>
    <w:rsid w:val="00E575A6"/>
    <w:rsid w:val="00F66B79"/>
    <w:rsid w:val="00F774A1"/>
    <w:rsid w:val="00F81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6335"/>
  <w15:chartTrackingRefBased/>
  <w15:docId w15:val="{FE52ABE0-2423-4395-8425-5CCDED7E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semiHidden/>
    <w:unhideWhenUsed/>
    <w:qFormat/>
    <w:rsid w:val="003C1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3C132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3C132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3C132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3C132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C132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C132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C132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semiHidden/>
    <w:rsid w:val="003C132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3C132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3C132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3C132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3C132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C132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C132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C1328"/>
    <w:rPr>
      <w:rFonts w:eastAsiaTheme="majorEastAsia" w:cstheme="majorBidi"/>
      <w:color w:val="272727" w:themeColor="text1" w:themeTint="D8"/>
    </w:rPr>
  </w:style>
  <w:style w:type="paragraph" w:styleId="Titlu">
    <w:name w:val="Title"/>
    <w:basedOn w:val="Normal"/>
    <w:next w:val="Normal"/>
    <w:link w:val="TitluCaracter"/>
    <w:uiPriority w:val="10"/>
    <w:qFormat/>
    <w:rsid w:val="003C1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C132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C132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C132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C132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C1328"/>
    <w:rPr>
      <w:i/>
      <w:iCs/>
      <w:color w:val="404040" w:themeColor="text1" w:themeTint="BF"/>
    </w:rPr>
  </w:style>
  <w:style w:type="paragraph" w:styleId="Listparagraf">
    <w:name w:val="List Paragraph"/>
    <w:basedOn w:val="Normal"/>
    <w:uiPriority w:val="34"/>
    <w:qFormat/>
    <w:rsid w:val="003C1328"/>
    <w:pPr>
      <w:ind w:left="720"/>
      <w:contextualSpacing/>
    </w:pPr>
  </w:style>
  <w:style w:type="character" w:styleId="Accentuareintens">
    <w:name w:val="Intense Emphasis"/>
    <w:basedOn w:val="Fontdeparagrafimplicit"/>
    <w:uiPriority w:val="21"/>
    <w:qFormat/>
    <w:rsid w:val="003C1328"/>
    <w:rPr>
      <w:i/>
      <w:iCs/>
      <w:color w:val="0F4761" w:themeColor="accent1" w:themeShade="BF"/>
    </w:rPr>
  </w:style>
  <w:style w:type="paragraph" w:styleId="Citatintens">
    <w:name w:val="Intense Quote"/>
    <w:basedOn w:val="Normal"/>
    <w:next w:val="Normal"/>
    <w:link w:val="CitatintensCaracter"/>
    <w:uiPriority w:val="30"/>
    <w:qFormat/>
    <w:rsid w:val="003C1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3C1328"/>
    <w:rPr>
      <w:i/>
      <w:iCs/>
      <w:color w:val="0F4761" w:themeColor="accent1" w:themeShade="BF"/>
    </w:rPr>
  </w:style>
  <w:style w:type="character" w:styleId="Referireintens">
    <w:name w:val="Intense Reference"/>
    <w:basedOn w:val="Fontdeparagrafimplicit"/>
    <w:uiPriority w:val="32"/>
    <w:qFormat/>
    <w:rsid w:val="003C1328"/>
    <w:rPr>
      <w:b/>
      <w:bCs/>
      <w:smallCaps/>
      <w:color w:val="0F4761" w:themeColor="accent1" w:themeShade="BF"/>
      <w:spacing w:val="5"/>
    </w:rPr>
  </w:style>
  <w:style w:type="paragraph" w:styleId="Antet">
    <w:name w:val="header"/>
    <w:basedOn w:val="Normal"/>
    <w:link w:val="AntetCaracter"/>
    <w:uiPriority w:val="99"/>
    <w:unhideWhenUsed/>
    <w:rsid w:val="003C132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C1328"/>
  </w:style>
  <w:style w:type="paragraph" w:styleId="Subsol">
    <w:name w:val="footer"/>
    <w:basedOn w:val="Normal"/>
    <w:link w:val="SubsolCaracter"/>
    <w:uiPriority w:val="99"/>
    <w:unhideWhenUsed/>
    <w:rsid w:val="003C132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C1328"/>
  </w:style>
  <w:style w:type="paragraph" w:styleId="Titlucuprins">
    <w:name w:val="TOC Heading"/>
    <w:basedOn w:val="Titlu1"/>
    <w:next w:val="Normal"/>
    <w:uiPriority w:val="39"/>
    <w:unhideWhenUsed/>
    <w:qFormat/>
    <w:rsid w:val="00D94D4A"/>
    <w:pPr>
      <w:outlineLvl w:val="9"/>
    </w:pPr>
    <w:rPr>
      <w:kern w:val="0"/>
      <w:lang w:val="en-US"/>
      <w14:ligatures w14:val="none"/>
    </w:rPr>
  </w:style>
  <w:style w:type="paragraph" w:styleId="Cuprins1">
    <w:name w:val="toc 1"/>
    <w:basedOn w:val="Normal"/>
    <w:next w:val="Normal"/>
    <w:autoRedefine/>
    <w:uiPriority w:val="39"/>
    <w:unhideWhenUsed/>
    <w:rsid w:val="00D94D4A"/>
    <w:pPr>
      <w:spacing w:after="100"/>
    </w:pPr>
  </w:style>
  <w:style w:type="character" w:styleId="Hyperlink">
    <w:name w:val="Hyperlink"/>
    <w:basedOn w:val="Fontdeparagrafimplicit"/>
    <w:uiPriority w:val="99"/>
    <w:unhideWhenUsed/>
    <w:rsid w:val="00D94D4A"/>
    <w:rPr>
      <w:color w:val="467886" w:themeColor="hyperlink"/>
      <w:u w:val="single"/>
    </w:rPr>
  </w:style>
  <w:style w:type="paragraph" w:styleId="NormalWeb">
    <w:name w:val="Normal (Web)"/>
    <w:basedOn w:val="Normal"/>
    <w:uiPriority w:val="99"/>
    <w:unhideWhenUsed/>
    <w:rsid w:val="000159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MeniuneNerezolvat">
    <w:name w:val="Unresolved Mention"/>
    <w:basedOn w:val="Fontdeparagrafimplicit"/>
    <w:uiPriority w:val="99"/>
    <w:semiHidden/>
    <w:unhideWhenUsed/>
    <w:rsid w:val="000159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48138">
      <w:bodyDiv w:val="1"/>
      <w:marLeft w:val="0"/>
      <w:marRight w:val="0"/>
      <w:marTop w:val="0"/>
      <w:marBottom w:val="0"/>
      <w:divBdr>
        <w:top w:val="none" w:sz="0" w:space="0" w:color="auto"/>
        <w:left w:val="none" w:sz="0" w:space="0" w:color="auto"/>
        <w:bottom w:val="none" w:sz="0" w:space="0" w:color="auto"/>
        <w:right w:val="none" w:sz="0" w:space="0" w:color="auto"/>
      </w:divBdr>
    </w:div>
    <w:div w:id="221723387">
      <w:bodyDiv w:val="1"/>
      <w:marLeft w:val="0"/>
      <w:marRight w:val="0"/>
      <w:marTop w:val="0"/>
      <w:marBottom w:val="0"/>
      <w:divBdr>
        <w:top w:val="none" w:sz="0" w:space="0" w:color="auto"/>
        <w:left w:val="none" w:sz="0" w:space="0" w:color="auto"/>
        <w:bottom w:val="none" w:sz="0" w:space="0" w:color="auto"/>
        <w:right w:val="none" w:sz="0" w:space="0" w:color="auto"/>
      </w:divBdr>
    </w:div>
    <w:div w:id="228927471">
      <w:bodyDiv w:val="1"/>
      <w:marLeft w:val="0"/>
      <w:marRight w:val="0"/>
      <w:marTop w:val="0"/>
      <w:marBottom w:val="0"/>
      <w:divBdr>
        <w:top w:val="none" w:sz="0" w:space="0" w:color="auto"/>
        <w:left w:val="none" w:sz="0" w:space="0" w:color="auto"/>
        <w:bottom w:val="none" w:sz="0" w:space="0" w:color="auto"/>
        <w:right w:val="none" w:sz="0" w:space="0" w:color="auto"/>
      </w:divBdr>
    </w:div>
    <w:div w:id="229388736">
      <w:bodyDiv w:val="1"/>
      <w:marLeft w:val="0"/>
      <w:marRight w:val="0"/>
      <w:marTop w:val="0"/>
      <w:marBottom w:val="0"/>
      <w:divBdr>
        <w:top w:val="none" w:sz="0" w:space="0" w:color="auto"/>
        <w:left w:val="none" w:sz="0" w:space="0" w:color="auto"/>
        <w:bottom w:val="none" w:sz="0" w:space="0" w:color="auto"/>
        <w:right w:val="none" w:sz="0" w:space="0" w:color="auto"/>
      </w:divBdr>
    </w:div>
    <w:div w:id="333805382">
      <w:bodyDiv w:val="1"/>
      <w:marLeft w:val="0"/>
      <w:marRight w:val="0"/>
      <w:marTop w:val="0"/>
      <w:marBottom w:val="0"/>
      <w:divBdr>
        <w:top w:val="none" w:sz="0" w:space="0" w:color="auto"/>
        <w:left w:val="none" w:sz="0" w:space="0" w:color="auto"/>
        <w:bottom w:val="none" w:sz="0" w:space="0" w:color="auto"/>
        <w:right w:val="none" w:sz="0" w:space="0" w:color="auto"/>
      </w:divBdr>
    </w:div>
    <w:div w:id="351952747">
      <w:bodyDiv w:val="1"/>
      <w:marLeft w:val="0"/>
      <w:marRight w:val="0"/>
      <w:marTop w:val="0"/>
      <w:marBottom w:val="0"/>
      <w:divBdr>
        <w:top w:val="none" w:sz="0" w:space="0" w:color="auto"/>
        <w:left w:val="none" w:sz="0" w:space="0" w:color="auto"/>
        <w:bottom w:val="none" w:sz="0" w:space="0" w:color="auto"/>
        <w:right w:val="none" w:sz="0" w:space="0" w:color="auto"/>
      </w:divBdr>
    </w:div>
    <w:div w:id="394469607">
      <w:bodyDiv w:val="1"/>
      <w:marLeft w:val="0"/>
      <w:marRight w:val="0"/>
      <w:marTop w:val="0"/>
      <w:marBottom w:val="0"/>
      <w:divBdr>
        <w:top w:val="none" w:sz="0" w:space="0" w:color="auto"/>
        <w:left w:val="none" w:sz="0" w:space="0" w:color="auto"/>
        <w:bottom w:val="none" w:sz="0" w:space="0" w:color="auto"/>
        <w:right w:val="none" w:sz="0" w:space="0" w:color="auto"/>
      </w:divBdr>
    </w:div>
    <w:div w:id="596061451">
      <w:bodyDiv w:val="1"/>
      <w:marLeft w:val="0"/>
      <w:marRight w:val="0"/>
      <w:marTop w:val="0"/>
      <w:marBottom w:val="0"/>
      <w:divBdr>
        <w:top w:val="none" w:sz="0" w:space="0" w:color="auto"/>
        <w:left w:val="none" w:sz="0" w:space="0" w:color="auto"/>
        <w:bottom w:val="none" w:sz="0" w:space="0" w:color="auto"/>
        <w:right w:val="none" w:sz="0" w:space="0" w:color="auto"/>
      </w:divBdr>
    </w:div>
    <w:div w:id="671491637">
      <w:bodyDiv w:val="1"/>
      <w:marLeft w:val="0"/>
      <w:marRight w:val="0"/>
      <w:marTop w:val="0"/>
      <w:marBottom w:val="0"/>
      <w:divBdr>
        <w:top w:val="none" w:sz="0" w:space="0" w:color="auto"/>
        <w:left w:val="none" w:sz="0" w:space="0" w:color="auto"/>
        <w:bottom w:val="none" w:sz="0" w:space="0" w:color="auto"/>
        <w:right w:val="none" w:sz="0" w:space="0" w:color="auto"/>
      </w:divBdr>
    </w:div>
    <w:div w:id="688679280">
      <w:bodyDiv w:val="1"/>
      <w:marLeft w:val="0"/>
      <w:marRight w:val="0"/>
      <w:marTop w:val="0"/>
      <w:marBottom w:val="0"/>
      <w:divBdr>
        <w:top w:val="none" w:sz="0" w:space="0" w:color="auto"/>
        <w:left w:val="none" w:sz="0" w:space="0" w:color="auto"/>
        <w:bottom w:val="none" w:sz="0" w:space="0" w:color="auto"/>
        <w:right w:val="none" w:sz="0" w:space="0" w:color="auto"/>
      </w:divBdr>
    </w:div>
    <w:div w:id="743723740">
      <w:bodyDiv w:val="1"/>
      <w:marLeft w:val="0"/>
      <w:marRight w:val="0"/>
      <w:marTop w:val="0"/>
      <w:marBottom w:val="0"/>
      <w:divBdr>
        <w:top w:val="none" w:sz="0" w:space="0" w:color="auto"/>
        <w:left w:val="none" w:sz="0" w:space="0" w:color="auto"/>
        <w:bottom w:val="none" w:sz="0" w:space="0" w:color="auto"/>
        <w:right w:val="none" w:sz="0" w:space="0" w:color="auto"/>
      </w:divBdr>
    </w:div>
    <w:div w:id="747849861">
      <w:bodyDiv w:val="1"/>
      <w:marLeft w:val="0"/>
      <w:marRight w:val="0"/>
      <w:marTop w:val="0"/>
      <w:marBottom w:val="0"/>
      <w:divBdr>
        <w:top w:val="none" w:sz="0" w:space="0" w:color="auto"/>
        <w:left w:val="none" w:sz="0" w:space="0" w:color="auto"/>
        <w:bottom w:val="none" w:sz="0" w:space="0" w:color="auto"/>
        <w:right w:val="none" w:sz="0" w:space="0" w:color="auto"/>
      </w:divBdr>
    </w:div>
    <w:div w:id="844901897">
      <w:bodyDiv w:val="1"/>
      <w:marLeft w:val="0"/>
      <w:marRight w:val="0"/>
      <w:marTop w:val="0"/>
      <w:marBottom w:val="0"/>
      <w:divBdr>
        <w:top w:val="none" w:sz="0" w:space="0" w:color="auto"/>
        <w:left w:val="none" w:sz="0" w:space="0" w:color="auto"/>
        <w:bottom w:val="none" w:sz="0" w:space="0" w:color="auto"/>
        <w:right w:val="none" w:sz="0" w:space="0" w:color="auto"/>
      </w:divBdr>
    </w:div>
    <w:div w:id="930939910">
      <w:bodyDiv w:val="1"/>
      <w:marLeft w:val="0"/>
      <w:marRight w:val="0"/>
      <w:marTop w:val="0"/>
      <w:marBottom w:val="0"/>
      <w:divBdr>
        <w:top w:val="none" w:sz="0" w:space="0" w:color="auto"/>
        <w:left w:val="none" w:sz="0" w:space="0" w:color="auto"/>
        <w:bottom w:val="none" w:sz="0" w:space="0" w:color="auto"/>
        <w:right w:val="none" w:sz="0" w:space="0" w:color="auto"/>
      </w:divBdr>
    </w:div>
    <w:div w:id="1141389116">
      <w:bodyDiv w:val="1"/>
      <w:marLeft w:val="0"/>
      <w:marRight w:val="0"/>
      <w:marTop w:val="0"/>
      <w:marBottom w:val="0"/>
      <w:divBdr>
        <w:top w:val="none" w:sz="0" w:space="0" w:color="auto"/>
        <w:left w:val="none" w:sz="0" w:space="0" w:color="auto"/>
        <w:bottom w:val="none" w:sz="0" w:space="0" w:color="auto"/>
        <w:right w:val="none" w:sz="0" w:space="0" w:color="auto"/>
      </w:divBdr>
    </w:div>
    <w:div w:id="1147697890">
      <w:bodyDiv w:val="1"/>
      <w:marLeft w:val="0"/>
      <w:marRight w:val="0"/>
      <w:marTop w:val="0"/>
      <w:marBottom w:val="0"/>
      <w:divBdr>
        <w:top w:val="none" w:sz="0" w:space="0" w:color="auto"/>
        <w:left w:val="none" w:sz="0" w:space="0" w:color="auto"/>
        <w:bottom w:val="none" w:sz="0" w:space="0" w:color="auto"/>
        <w:right w:val="none" w:sz="0" w:space="0" w:color="auto"/>
      </w:divBdr>
    </w:div>
    <w:div w:id="1227423845">
      <w:bodyDiv w:val="1"/>
      <w:marLeft w:val="0"/>
      <w:marRight w:val="0"/>
      <w:marTop w:val="0"/>
      <w:marBottom w:val="0"/>
      <w:divBdr>
        <w:top w:val="none" w:sz="0" w:space="0" w:color="auto"/>
        <w:left w:val="none" w:sz="0" w:space="0" w:color="auto"/>
        <w:bottom w:val="none" w:sz="0" w:space="0" w:color="auto"/>
        <w:right w:val="none" w:sz="0" w:space="0" w:color="auto"/>
      </w:divBdr>
    </w:div>
    <w:div w:id="1309438483">
      <w:bodyDiv w:val="1"/>
      <w:marLeft w:val="0"/>
      <w:marRight w:val="0"/>
      <w:marTop w:val="0"/>
      <w:marBottom w:val="0"/>
      <w:divBdr>
        <w:top w:val="none" w:sz="0" w:space="0" w:color="auto"/>
        <w:left w:val="none" w:sz="0" w:space="0" w:color="auto"/>
        <w:bottom w:val="none" w:sz="0" w:space="0" w:color="auto"/>
        <w:right w:val="none" w:sz="0" w:space="0" w:color="auto"/>
      </w:divBdr>
    </w:div>
    <w:div w:id="1310207906">
      <w:bodyDiv w:val="1"/>
      <w:marLeft w:val="0"/>
      <w:marRight w:val="0"/>
      <w:marTop w:val="0"/>
      <w:marBottom w:val="0"/>
      <w:divBdr>
        <w:top w:val="none" w:sz="0" w:space="0" w:color="auto"/>
        <w:left w:val="none" w:sz="0" w:space="0" w:color="auto"/>
        <w:bottom w:val="none" w:sz="0" w:space="0" w:color="auto"/>
        <w:right w:val="none" w:sz="0" w:space="0" w:color="auto"/>
      </w:divBdr>
    </w:div>
    <w:div w:id="1339188081">
      <w:bodyDiv w:val="1"/>
      <w:marLeft w:val="0"/>
      <w:marRight w:val="0"/>
      <w:marTop w:val="0"/>
      <w:marBottom w:val="0"/>
      <w:divBdr>
        <w:top w:val="none" w:sz="0" w:space="0" w:color="auto"/>
        <w:left w:val="none" w:sz="0" w:space="0" w:color="auto"/>
        <w:bottom w:val="none" w:sz="0" w:space="0" w:color="auto"/>
        <w:right w:val="none" w:sz="0" w:space="0" w:color="auto"/>
      </w:divBdr>
    </w:div>
    <w:div w:id="1404259677">
      <w:bodyDiv w:val="1"/>
      <w:marLeft w:val="0"/>
      <w:marRight w:val="0"/>
      <w:marTop w:val="0"/>
      <w:marBottom w:val="0"/>
      <w:divBdr>
        <w:top w:val="none" w:sz="0" w:space="0" w:color="auto"/>
        <w:left w:val="none" w:sz="0" w:space="0" w:color="auto"/>
        <w:bottom w:val="none" w:sz="0" w:space="0" w:color="auto"/>
        <w:right w:val="none" w:sz="0" w:space="0" w:color="auto"/>
      </w:divBdr>
    </w:div>
    <w:div w:id="1419715668">
      <w:bodyDiv w:val="1"/>
      <w:marLeft w:val="0"/>
      <w:marRight w:val="0"/>
      <w:marTop w:val="0"/>
      <w:marBottom w:val="0"/>
      <w:divBdr>
        <w:top w:val="none" w:sz="0" w:space="0" w:color="auto"/>
        <w:left w:val="none" w:sz="0" w:space="0" w:color="auto"/>
        <w:bottom w:val="none" w:sz="0" w:space="0" w:color="auto"/>
        <w:right w:val="none" w:sz="0" w:space="0" w:color="auto"/>
      </w:divBdr>
    </w:div>
    <w:div w:id="1465006956">
      <w:bodyDiv w:val="1"/>
      <w:marLeft w:val="0"/>
      <w:marRight w:val="0"/>
      <w:marTop w:val="0"/>
      <w:marBottom w:val="0"/>
      <w:divBdr>
        <w:top w:val="none" w:sz="0" w:space="0" w:color="auto"/>
        <w:left w:val="none" w:sz="0" w:space="0" w:color="auto"/>
        <w:bottom w:val="none" w:sz="0" w:space="0" w:color="auto"/>
        <w:right w:val="none" w:sz="0" w:space="0" w:color="auto"/>
      </w:divBdr>
    </w:div>
    <w:div w:id="1762796690">
      <w:bodyDiv w:val="1"/>
      <w:marLeft w:val="0"/>
      <w:marRight w:val="0"/>
      <w:marTop w:val="0"/>
      <w:marBottom w:val="0"/>
      <w:divBdr>
        <w:top w:val="none" w:sz="0" w:space="0" w:color="auto"/>
        <w:left w:val="none" w:sz="0" w:space="0" w:color="auto"/>
        <w:bottom w:val="none" w:sz="0" w:space="0" w:color="auto"/>
        <w:right w:val="none" w:sz="0" w:space="0" w:color="auto"/>
      </w:divBdr>
    </w:div>
    <w:div w:id="1855413032">
      <w:bodyDiv w:val="1"/>
      <w:marLeft w:val="0"/>
      <w:marRight w:val="0"/>
      <w:marTop w:val="0"/>
      <w:marBottom w:val="0"/>
      <w:divBdr>
        <w:top w:val="none" w:sz="0" w:space="0" w:color="auto"/>
        <w:left w:val="none" w:sz="0" w:space="0" w:color="auto"/>
        <w:bottom w:val="none" w:sz="0" w:space="0" w:color="auto"/>
        <w:right w:val="none" w:sz="0" w:space="0" w:color="auto"/>
      </w:divBdr>
    </w:div>
    <w:div w:id="1883786807">
      <w:bodyDiv w:val="1"/>
      <w:marLeft w:val="0"/>
      <w:marRight w:val="0"/>
      <w:marTop w:val="0"/>
      <w:marBottom w:val="0"/>
      <w:divBdr>
        <w:top w:val="none" w:sz="0" w:space="0" w:color="auto"/>
        <w:left w:val="none" w:sz="0" w:space="0" w:color="auto"/>
        <w:bottom w:val="none" w:sz="0" w:space="0" w:color="auto"/>
        <w:right w:val="none" w:sz="0" w:space="0" w:color="auto"/>
      </w:divBdr>
    </w:div>
    <w:div w:id="1908032654">
      <w:bodyDiv w:val="1"/>
      <w:marLeft w:val="0"/>
      <w:marRight w:val="0"/>
      <w:marTop w:val="0"/>
      <w:marBottom w:val="0"/>
      <w:divBdr>
        <w:top w:val="none" w:sz="0" w:space="0" w:color="auto"/>
        <w:left w:val="none" w:sz="0" w:space="0" w:color="auto"/>
        <w:bottom w:val="none" w:sz="0" w:space="0" w:color="auto"/>
        <w:right w:val="none" w:sz="0" w:space="0" w:color="auto"/>
      </w:divBdr>
    </w:div>
    <w:div w:id="1923492487">
      <w:bodyDiv w:val="1"/>
      <w:marLeft w:val="0"/>
      <w:marRight w:val="0"/>
      <w:marTop w:val="0"/>
      <w:marBottom w:val="0"/>
      <w:divBdr>
        <w:top w:val="none" w:sz="0" w:space="0" w:color="auto"/>
        <w:left w:val="none" w:sz="0" w:space="0" w:color="auto"/>
        <w:bottom w:val="none" w:sz="0" w:space="0" w:color="auto"/>
        <w:right w:val="none" w:sz="0" w:space="0" w:color="auto"/>
      </w:divBdr>
    </w:div>
    <w:div w:id="1932547458">
      <w:bodyDiv w:val="1"/>
      <w:marLeft w:val="0"/>
      <w:marRight w:val="0"/>
      <w:marTop w:val="0"/>
      <w:marBottom w:val="0"/>
      <w:divBdr>
        <w:top w:val="none" w:sz="0" w:space="0" w:color="auto"/>
        <w:left w:val="none" w:sz="0" w:space="0" w:color="auto"/>
        <w:bottom w:val="none" w:sz="0" w:space="0" w:color="auto"/>
        <w:right w:val="none" w:sz="0" w:space="0" w:color="auto"/>
      </w:divBdr>
    </w:div>
    <w:div w:id="1933052332">
      <w:bodyDiv w:val="1"/>
      <w:marLeft w:val="0"/>
      <w:marRight w:val="0"/>
      <w:marTop w:val="0"/>
      <w:marBottom w:val="0"/>
      <w:divBdr>
        <w:top w:val="none" w:sz="0" w:space="0" w:color="auto"/>
        <w:left w:val="none" w:sz="0" w:space="0" w:color="auto"/>
        <w:bottom w:val="none" w:sz="0" w:space="0" w:color="auto"/>
        <w:right w:val="none" w:sz="0" w:space="0" w:color="auto"/>
      </w:divBdr>
    </w:div>
    <w:div w:id="1955823017">
      <w:bodyDiv w:val="1"/>
      <w:marLeft w:val="0"/>
      <w:marRight w:val="0"/>
      <w:marTop w:val="0"/>
      <w:marBottom w:val="0"/>
      <w:divBdr>
        <w:top w:val="none" w:sz="0" w:space="0" w:color="auto"/>
        <w:left w:val="none" w:sz="0" w:space="0" w:color="auto"/>
        <w:bottom w:val="none" w:sz="0" w:space="0" w:color="auto"/>
        <w:right w:val="none" w:sz="0" w:space="0" w:color="auto"/>
      </w:divBdr>
    </w:div>
    <w:div w:id="212993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media/mckinsey/featured%20insights/the%20next%20normal/the%20future%20of%20hotels/the-future-of-hotels-customized-experiences-sustainable-practices-fina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ess.accor.com/americas/5710-2/?lang=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esearchgate.net/publication/331791276_The_Seaside_Resort_Nostalgia_and_Restoration" TargetMode="External"/><Relationship Id="rId4" Type="http://schemas.openxmlformats.org/officeDocument/2006/relationships/webSettings" Target="webSettings.xml"/><Relationship Id="rId9" Type="http://schemas.openxmlformats.org/officeDocument/2006/relationships/hyperlink" Target="https://hospitalityinsights.ehl.edu/hospitality-trends-wellness-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11</Pages>
  <Words>2615</Words>
  <Characters>15169</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Market analysis </vt:lpstr>
      <vt:lpstr>Financial analysis </vt:lpstr>
      <vt:lpstr>Key issues</vt:lpstr>
      <vt:lpstr>Conclusion</vt:lpstr>
      <vt:lpstr>Recommendations </vt:lpstr>
    </vt:vector>
  </TitlesOfParts>
  <Company/>
  <LinksUpToDate>false</LinksUpToDate>
  <CharactersWithSpaces>17749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10</cp:revision>
  <dcterms:created xsi:type="dcterms:W3CDTF">2024-02-28T17:03:00Z</dcterms:created>
  <dcterms:modified xsi:type="dcterms:W3CDTF">2024-02-29T08:42:00Z</dcterms:modified>
</cp:coreProperties>
</file>