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39A8" w:rsidRPr="00215A4D" w:rsidRDefault="004D39A8" w:rsidP="004D39A8">
      <w:pPr>
        <w:spacing w:after="0" w:line="240" w:lineRule="auto"/>
        <w:ind w:left="-180" w:right="-334"/>
        <w:rPr>
          <w:rFonts w:ascii="Trebuchet MS" w:eastAsia="SimSun" w:hAnsi="Trebuchet MS" w:cs="Tahoma"/>
          <w:color w:val="000000"/>
          <w:sz w:val="24"/>
          <w:szCs w:val="24"/>
          <w:lang w:eastAsia="zh-CN"/>
        </w:rPr>
      </w:pPr>
      <w:r w:rsidRPr="00215A4D">
        <w:rPr>
          <w:rFonts w:ascii="Georgia" w:eastAsia="SimSun" w:hAnsi="Georgia"/>
          <w:noProof/>
          <w:color w:val="000000"/>
          <w:sz w:val="21"/>
          <w:szCs w:val="21"/>
          <w:lang w:eastAsia="en-GB"/>
        </w:rPr>
        <w:drawing>
          <wp:inline distT="0" distB="0" distL="0" distR="0" wp14:anchorId="124D0E19" wp14:editId="3122922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4D39A8" w:rsidRPr="00215A4D" w:rsidRDefault="004D39A8" w:rsidP="004D39A8">
      <w:pPr>
        <w:keepNext/>
        <w:spacing w:before="240" w:after="60" w:line="240" w:lineRule="auto"/>
        <w:jc w:val="center"/>
        <w:outlineLvl w:val="0"/>
        <w:rPr>
          <w:rFonts w:ascii="Arial" w:eastAsia="SimSun" w:hAnsi="Arial" w:cs="Arial"/>
          <w:b/>
          <w:bCs/>
          <w:kern w:val="32"/>
          <w:sz w:val="32"/>
          <w:szCs w:val="32"/>
          <w:lang w:val="cy-GB" w:eastAsia="zh-CN"/>
        </w:rPr>
      </w:pPr>
      <w:r w:rsidRPr="00215A4D">
        <w:rPr>
          <w:rFonts w:ascii="Arial" w:eastAsia="SimSun" w:hAnsi="Arial" w:cs="Arial"/>
          <w:b/>
          <w:bCs/>
          <w:kern w:val="32"/>
          <w:sz w:val="32"/>
          <w:szCs w:val="32"/>
          <w:lang w:val="cy-GB" w:eastAsia="zh-CN"/>
        </w:rPr>
        <w:t>Undergraduate assignment feedback form</w:t>
      </w:r>
    </w:p>
    <w:p w:rsidR="004D39A8" w:rsidRPr="00215A4D" w:rsidRDefault="004D39A8" w:rsidP="004D39A8">
      <w:pPr>
        <w:spacing w:after="0" w:line="240" w:lineRule="auto"/>
        <w:jc w:val="center"/>
        <w:rPr>
          <w:rFonts w:ascii="Arial" w:eastAsia="SimSun" w:hAnsi="Arial" w:cs="Arial"/>
          <w:b/>
          <w:sz w:val="24"/>
          <w:szCs w:val="24"/>
          <w:lang w:val="cy-GB" w:eastAsia="zh-CN"/>
        </w:rPr>
      </w:pPr>
      <w:r w:rsidRPr="00215A4D">
        <w:rPr>
          <w:rFonts w:ascii="Arial" w:eastAsia="SimSun" w:hAnsi="Arial" w:cs="Arial"/>
          <w:b/>
          <w:sz w:val="24"/>
          <w:szCs w:val="24"/>
          <w:lang w:val="cy-GB" w:eastAsia="zh-CN"/>
        </w:rPr>
        <w:t>(to be completed by marker)</w:t>
      </w:r>
    </w:p>
    <w:p w:rsidR="004D39A8" w:rsidRPr="00215A4D" w:rsidRDefault="004D39A8" w:rsidP="004D39A8">
      <w:pPr>
        <w:spacing w:after="0" w:line="240" w:lineRule="auto"/>
        <w:jc w:val="center"/>
        <w:rPr>
          <w:rFonts w:ascii="Arial" w:eastAsia="SimSun" w:hAnsi="Arial" w:cs="Arial"/>
          <w:b/>
          <w:sz w:val="24"/>
          <w:szCs w:val="24"/>
          <w:lang w:val="cy-GB" w:eastAsia="zh-CN"/>
        </w:rPr>
      </w:pPr>
    </w:p>
    <w:p w:rsidR="004D39A8" w:rsidRPr="00215A4D" w:rsidRDefault="004D39A8" w:rsidP="004D39A8">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D39A8" w:rsidRPr="00215A4D" w:rsidTr="00A4338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4D39A8" w:rsidRPr="00215A4D" w:rsidRDefault="004D39A8" w:rsidP="00A4338E">
            <w:pPr>
              <w:spacing w:after="0" w:line="240" w:lineRule="auto"/>
              <w:ind w:right="34"/>
              <w:rPr>
                <w:rFonts w:eastAsia="SimSun" w:cs="Tahoma"/>
                <w:i/>
                <w:color w:val="000000"/>
                <w:sz w:val="24"/>
                <w:szCs w:val="24"/>
                <w:lang w:eastAsia="zh-CN"/>
              </w:rPr>
            </w:pPr>
            <w:r w:rsidRPr="00215A4D">
              <w:rPr>
                <w:rFonts w:eastAsia="SimSun" w:cs="Tahoma"/>
                <w:i/>
                <w:color w:val="000000"/>
                <w:sz w:val="24"/>
                <w:szCs w:val="24"/>
                <w:lang w:eastAsia="zh-CN"/>
              </w:rPr>
              <w:t>Student Name:</w:t>
            </w:r>
          </w:p>
          <w:p w:rsidR="004D39A8" w:rsidRPr="00DD5B6F" w:rsidRDefault="004D39A8" w:rsidP="00A4338E">
            <w:pPr>
              <w:spacing w:after="0" w:line="240" w:lineRule="auto"/>
              <w:ind w:right="34"/>
              <w:rPr>
                <w:rFonts w:eastAsia="SimSun" w:cs="Tahoma"/>
                <w:color w:val="000000"/>
                <w:sz w:val="24"/>
                <w:szCs w:val="24"/>
                <w:lang w:eastAsia="zh-CN"/>
              </w:rPr>
            </w:pPr>
            <w:r w:rsidRPr="00DD5B6F">
              <w:rPr>
                <w:rFonts w:eastAsia="SimSun" w:cs="Tahoma"/>
                <w:color w:val="000000"/>
                <w:sz w:val="24"/>
                <w:szCs w:val="24"/>
                <w:lang w:eastAsia="zh-CN"/>
              </w:rPr>
              <w:t>Molly Elizabeth Gough</w:t>
            </w:r>
          </w:p>
        </w:tc>
      </w:tr>
      <w:tr w:rsidR="004D39A8" w:rsidRPr="00215A4D" w:rsidTr="00A4338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4D39A8" w:rsidRPr="001B7AF1" w:rsidRDefault="004D39A8" w:rsidP="00A4338E">
            <w:pPr>
              <w:spacing w:after="0" w:line="240" w:lineRule="auto"/>
              <w:ind w:right="34"/>
              <w:rPr>
                <w:rFonts w:eastAsia="SimSun" w:cs="Tahoma"/>
                <w:color w:val="000000"/>
                <w:sz w:val="24"/>
                <w:szCs w:val="24"/>
                <w:lang w:eastAsia="zh-CN"/>
              </w:rPr>
            </w:pPr>
            <w:r w:rsidRPr="00215A4D">
              <w:rPr>
                <w:rFonts w:eastAsia="SimSun" w:cs="Tahoma"/>
                <w:i/>
                <w:color w:val="000000"/>
                <w:sz w:val="24"/>
                <w:szCs w:val="24"/>
                <w:lang w:eastAsia="zh-CN"/>
              </w:rPr>
              <w:t xml:space="preserve">Module title: </w:t>
            </w:r>
            <w:r>
              <w:rPr>
                <w:rFonts w:eastAsia="SimSun" w:cs="Tahoma"/>
                <w:color w:val="000000"/>
                <w:sz w:val="24"/>
                <w:szCs w:val="24"/>
                <w:lang w:eastAsia="zh-CN"/>
              </w:rPr>
              <w:t>CLCS6015</w:t>
            </w:r>
          </w:p>
        </w:tc>
        <w:tc>
          <w:tcPr>
            <w:tcW w:w="3967" w:type="dxa"/>
            <w:gridSpan w:val="2"/>
            <w:tcBorders>
              <w:top w:val="single" w:sz="4" w:space="0" w:color="auto"/>
              <w:left w:val="single" w:sz="4" w:space="0" w:color="auto"/>
              <w:bottom w:val="single" w:sz="4" w:space="0" w:color="auto"/>
              <w:right w:val="single" w:sz="4" w:space="0" w:color="auto"/>
            </w:tcBorders>
            <w:vAlign w:val="center"/>
          </w:tcPr>
          <w:p w:rsidR="004D39A8" w:rsidRPr="00215A4D" w:rsidRDefault="004D39A8" w:rsidP="00A4338E">
            <w:pPr>
              <w:spacing w:after="0" w:line="240" w:lineRule="auto"/>
              <w:ind w:right="34"/>
              <w:rPr>
                <w:rFonts w:eastAsia="SimSun" w:cs="Tahoma"/>
                <w:i/>
                <w:color w:val="000000"/>
                <w:sz w:val="24"/>
                <w:szCs w:val="24"/>
                <w:lang w:eastAsia="zh-CN"/>
              </w:rPr>
            </w:pPr>
            <w:r w:rsidRPr="00215A4D">
              <w:rPr>
                <w:rFonts w:eastAsia="SimSun" w:cs="Tahoma"/>
                <w:i/>
                <w:color w:val="000000"/>
                <w:sz w:val="24"/>
                <w:szCs w:val="24"/>
                <w:lang w:eastAsia="zh-CN"/>
              </w:rPr>
              <w:t>Student number:</w:t>
            </w:r>
            <w:r w:rsidRPr="00DD5B6F">
              <w:rPr>
                <w:rFonts w:eastAsia="SimSun" w:cs="Tahoma"/>
                <w:color w:val="000000"/>
                <w:sz w:val="24"/>
                <w:szCs w:val="24"/>
                <w:lang w:eastAsia="zh-CN"/>
              </w:rPr>
              <w:t>1501009</w:t>
            </w:r>
          </w:p>
        </w:tc>
      </w:tr>
      <w:tr w:rsidR="004D39A8" w:rsidRPr="00215A4D" w:rsidTr="00A4338E">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4D39A8" w:rsidRPr="00215A4D" w:rsidRDefault="004D39A8" w:rsidP="00A4338E">
            <w:pPr>
              <w:spacing w:after="0" w:line="240" w:lineRule="auto"/>
              <w:rPr>
                <w:rFonts w:eastAsia="SimSun" w:cs="Tahoma"/>
                <w:i/>
                <w:color w:val="000000"/>
                <w:sz w:val="24"/>
                <w:szCs w:val="24"/>
                <w:lang w:eastAsia="zh-CN"/>
              </w:rPr>
            </w:pPr>
            <w:r w:rsidRPr="00215A4D">
              <w:rPr>
                <w:rFonts w:eastAsia="SimSun" w:cs="Tahoma"/>
                <w:i/>
                <w:color w:val="000000"/>
                <w:sz w:val="24"/>
                <w:szCs w:val="24"/>
                <w:lang w:eastAsia="zh-CN"/>
              </w:rPr>
              <w:t>For completion by marker:</w:t>
            </w: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r w:rsidRPr="00215A4D">
              <w:rPr>
                <w:rFonts w:eastAsia="SimSun" w:cs="Tahoma"/>
                <w:i/>
                <w:color w:val="000000"/>
                <w:sz w:val="24"/>
                <w:szCs w:val="24"/>
                <w:lang w:eastAsia="zh-CN"/>
              </w:rPr>
              <w:t>Comments:</w:t>
            </w: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p w:rsidR="004D39A8" w:rsidRPr="00215A4D" w:rsidRDefault="004D39A8" w:rsidP="00A4338E">
            <w:pPr>
              <w:spacing w:before="100" w:beforeAutospacing="1" w:after="100" w:afterAutospacing="1" w:line="240" w:lineRule="auto"/>
              <w:rPr>
                <w:rFonts w:eastAsia="SimSun" w:cs="Tahoma"/>
                <w:i/>
                <w:color w:val="000000"/>
                <w:sz w:val="24"/>
                <w:szCs w:val="24"/>
                <w:lang w:eastAsia="zh-CN"/>
              </w:rPr>
            </w:pPr>
          </w:p>
        </w:tc>
      </w:tr>
      <w:tr w:rsidR="004D39A8" w:rsidRPr="00215A4D" w:rsidTr="00A4338E">
        <w:trPr>
          <w:trHeight w:val="492"/>
        </w:trPr>
        <w:tc>
          <w:tcPr>
            <w:tcW w:w="6768" w:type="dxa"/>
            <w:gridSpan w:val="2"/>
            <w:tcBorders>
              <w:top w:val="single" w:sz="4" w:space="0" w:color="auto"/>
            </w:tcBorders>
            <w:vAlign w:val="center"/>
          </w:tcPr>
          <w:p w:rsidR="004D39A8" w:rsidRPr="00215A4D" w:rsidRDefault="004D39A8" w:rsidP="00A4338E">
            <w:pPr>
              <w:spacing w:before="100" w:beforeAutospacing="1" w:after="100" w:afterAutospacing="1"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Marker’s signature:</w:t>
            </w:r>
          </w:p>
        </w:tc>
        <w:tc>
          <w:tcPr>
            <w:tcW w:w="1987" w:type="dxa"/>
            <w:tcBorders>
              <w:top w:val="single" w:sz="4" w:space="0" w:color="auto"/>
            </w:tcBorders>
            <w:vAlign w:val="center"/>
          </w:tcPr>
          <w:p w:rsidR="004D39A8" w:rsidRPr="00215A4D" w:rsidRDefault="004D39A8" w:rsidP="00A4338E">
            <w:pPr>
              <w:spacing w:before="100" w:beforeAutospacing="1" w:after="0" w:afterAutospacing="1"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Date:</w:t>
            </w:r>
          </w:p>
        </w:tc>
      </w:tr>
      <w:tr w:rsidR="004D39A8" w:rsidRPr="00215A4D" w:rsidTr="00A4338E">
        <w:tc>
          <w:tcPr>
            <w:tcW w:w="8755" w:type="dxa"/>
            <w:gridSpan w:val="3"/>
            <w:vAlign w:val="center"/>
          </w:tcPr>
          <w:p w:rsidR="004D39A8" w:rsidRPr="00215A4D" w:rsidRDefault="004D39A8" w:rsidP="00A4338E">
            <w:pPr>
              <w:spacing w:after="0" w:line="240" w:lineRule="auto"/>
              <w:ind w:left="142" w:right="34"/>
              <w:rPr>
                <w:rFonts w:eastAsia="SimSun" w:cs="Tahoma"/>
                <w:i/>
                <w:color w:val="000000"/>
                <w:sz w:val="24"/>
                <w:szCs w:val="24"/>
                <w:lang w:eastAsia="zh-CN"/>
              </w:rPr>
            </w:pPr>
            <w:r w:rsidRPr="00215A4D">
              <w:rPr>
                <w:rFonts w:eastAsia="SimSun" w:cs="Tahoma"/>
                <w:i/>
                <w:color w:val="000000"/>
                <w:sz w:val="24"/>
                <w:szCs w:val="24"/>
                <w:lang w:eastAsia="zh-CN"/>
              </w:rPr>
              <w:t xml:space="preserve">Provisional mark: </w:t>
            </w:r>
          </w:p>
          <w:p w:rsidR="004D39A8" w:rsidRPr="00215A4D" w:rsidRDefault="004D39A8" w:rsidP="00A4338E">
            <w:pPr>
              <w:spacing w:after="0" w:line="240" w:lineRule="auto"/>
              <w:ind w:left="142" w:right="34"/>
              <w:rPr>
                <w:rFonts w:eastAsia="SimSun" w:cs="Tahoma"/>
                <w:i/>
                <w:color w:val="000000"/>
                <w:sz w:val="24"/>
                <w:szCs w:val="24"/>
                <w:lang w:eastAsia="zh-CN"/>
              </w:rPr>
            </w:pPr>
            <w:r w:rsidRPr="00215A4D">
              <w:rPr>
                <w:rFonts w:eastAsia="SimSun" w:cs="Tahoma"/>
                <w:b/>
                <w:i/>
                <w:color w:val="000000"/>
                <w:sz w:val="24"/>
                <w:szCs w:val="24"/>
                <w:lang w:eastAsia="zh-CN"/>
              </w:rPr>
              <w:t>NB.</w:t>
            </w:r>
            <w:r w:rsidRPr="00215A4D">
              <w:rPr>
                <w:rFonts w:eastAsia="SimSun" w:cs="Tahoma"/>
                <w:i/>
                <w:color w:val="000000"/>
                <w:sz w:val="24"/>
                <w:szCs w:val="24"/>
                <w:lang w:eastAsia="zh-CN"/>
              </w:rPr>
              <w:t xml:space="preserve">  All marks are provisional until confirmed by the final examination board. </w:t>
            </w:r>
          </w:p>
        </w:tc>
      </w:tr>
    </w:tbl>
    <w:p w:rsidR="004D39A8" w:rsidRDefault="004D39A8"/>
    <w:p w:rsidR="004D39A8" w:rsidRDefault="004D39A8"/>
    <w:p w:rsidR="004D39A8" w:rsidRPr="00C45655" w:rsidRDefault="004D39A8" w:rsidP="004D39A8">
      <w:pPr>
        <w:jc w:val="center"/>
        <w:rPr>
          <w:rFonts w:ascii="Times New Roman" w:hAnsi="Times New Roman" w:cs="Times New Roman"/>
          <w:caps/>
          <w:sz w:val="24"/>
          <w:szCs w:val="24"/>
          <w:u w:val="single"/>
        </w:rPr>
      </w:pPr>
      <w:r w:rsidRPr="00C45655">
        <w:rPr>
          <w:rFonts w:ascii="Times New Roman" w:hAnsi="Times New Roman" w:cs="Times New Roman"/>
          <w:caps/>
          <w:sz w:val="24"/>
          <w:szCs w:val="24"/>
          <w:u w:val="single"/>
        </w:rPr>
        <w:lastRenderedPageBreak/>
        <w:t>Ancient representations of India often include large numbers of monstrous and fantastical creatures. With reference to one ancient source, what impact does this have on the representation of the country?</w:t>
      </w:r>
    </w:p>
    <w:p w:rsidR="004D39A8" w:rsidRDefault="004D39A8" w:rsidP="004D39A8">
      <w:pPr>
        <w:rPr>
          <w:rFonts w:ascii="Times New Roman" w:hAnsi="Times New Roman" w:cs="Times New Roman"/>
          <w:caps/>
          <w:sz w:val="24"/>
          <w:szCs w:val="24"/>
        </w:rPr>
      </w:pPr>
    </w:p>
    <w:p w:rsidR="00162D7C" w:rsidRPr="00162D7C" w:rsidRDefault="00162D7C" w:rsidP="00413328">
      <w:pPr>
        <w:spacing w:line="480" w:lineRule="auto"/>
        <w:rPr>
          <w:rFonts w:ascii="Times New Roman" w:hAnsi="Times New Roman" w:cs="Times New Roman"/>
          <w:sz w:val="24"/>
          <w:szCs w:val="24"/>
        </w:rPr>
      </w:pPr>
      <w:r>
        <w:rPr>
          <w:rFonts w:ascii="Times New Roman" w:hAnsi="Times New Roman" w:cs="Times New Roman"/>
          <w:sz w:val="24"/>
          <w:szCs w:val="24"/>
        </w:rPr>
        <w:t>Megasthenes was writing</w:t>
      </w:r>
      <w:r w:rsidR="00C87A04">
        <w:rPr>
          <w:rFonts w:ascii="Times New Roman" w:hAnsi="Times New Roman" w:cs="Times New Roman"/>
          <w:sz w:val="24"/>
          <w:szCs w:val="24"/>
        </w:rPr>
        <w:t xml:space="preserve"> his </w:t>
      </w:r>
      <w:r w:rsidR="00C87A04">
        <w:rPr>
          <w:rFonts w:ascii="Times New Roman" w:hAnsi="Times New Roman" w:cs="Times New Roman"/>
          <w:i/>
          <w:sz w:val="24"/>
          <w:szCs w:val="24"/>
        </w:rPr>
        <w:t>Indika</w:t>
      </w:r>
      <w:r>
        <w:rPr>
          <w:rFonts w:ascii="Times New Roman" w:hAnsi="Times New Roman" w:cs="Times New Roman"/>
          <w:sz w:val="24"/>
          <w:szCs w:val="24"/>
        </w:rPr>
        <w:t xml:space="preserve"> in the fourth century BC, when he was an ambassador to the court of India.</w:t>
      </w:r>
      <w:r w:rsidR="00FD6C1B">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His work only survives in fragments from other authors, but his writings on India remain as important as the predecessor he followed on from. </w:t>
      </w:r>
      <w:r w:rsidR="00A4338E">
        <w:rPr>
          <w:rFonts w:ascii="Times New Roman" w:hAnsi="Times New Roman" w:cs="Times New Roman"/>
          <w:sz w:val="24"/>
          <w:szCs w:val="24"/>
        </w:rPr>
        <w:t xml:space="preserve">Megasthenes’ works on India shaped the way the ancient world thinks and views the place, in the terms of the monstrous and fantastical. </w:t>
      </w:r>
    </w:p>
    <w:p w:rsidR="00162D7C" w:rsidRDefault="00162D7C" w:rsidP="00413328">
      <w:pPr>
        <w:spacing w:line="480" w:lineRule="auto"/>
        <w:rPr>
          <w:rFonts w:ascii="Times New Roman" w:hAnsi="Times New Roman" w:cs="Times New Roman"/>
          <w:caps/>
          <w:sz w:val="24"/>
          <w:szCs w:val="24"/>
          <w:u w:val="single"/>
        </w:rPr>
      </w:pPr>
    </w:p>
    <w:p w:rsidR="00162D7C" w:rsidRDefault="00C87A04" w:rsidP="00413328">
      <w:pPr>
        <w:spacing w:line="480" w:lineRule="auto"/>
        <w:rPr>
          <w:rFonts w:ascii="Times New Roman" w:hAnsi="Times New Roman" w:cs="Times New Roman"/>
          <w:sz w:val="24"/>
          <w:szCs w:val="24"/>
        </w:rPr>
      </w:pPr>
      <w:r>
        <w:rPr>
          <w:rFonts w:ascii="Times New Roman" w:hAnsi="Times New Roman" w:cs="Times New Roman"/>
          <w:sz w:val="24"/>
          <w:szCs w:val="24"/>
        </w:rPr>
        <w:t xml:space="preserve">Because India was situated in the East, it was presented as ‘other’ and ‘strange’ in many of the texts written about it. The Greek authors believed </w:t>
      </w:r>
      <w:r w:rsidR="0062495E">
        <w:rPr>
          <w:rFonts w:ascii="Times New Roman" w:hAnsi="Times New Roman" w:cs="Times New Roman"/>
          <w:sz w:val="24"/>
          <w:szCs w:val="24"/>
        </w:rPr>
        <w:t xml:space="preserve">India to be on the periphery of their world, and so they believed there were monstrous beings existing in that space. A reason for this was because India was hard to reach, which is reflected in the spaces in which modern monsters exist, as many modern authors place them where humans cannot easily reach. India was the perfect place to place their monsters and monstrous beings because of the country’s ‘strange’ customs and culture. </w:t>
      </w:r>
      <w:r w:rsidR="007E48D3">
        <w:rPr>
          <w:rFonts w:ascii="Times New Roman" w:hAnsi="Times New Roman" w:cs="Times New Roman"/>
          <w:sz w:val="24"/>
          <w:szCs w:val="24"/>
        </w:rPr>
        <w:t xml:space="preserve">However, because the view of the ancient world was changing as they travelled further out </w:t>
      </w:r>
      <w:r w:rsidR="00D02017">
        <w:rPr>
          <w:rFonts w:ascii="Times New Roman" w:hAnsi="Times New Roman" w:cs="Times New Roman"/>
          <w:sz w:val="24"/>
          <w:szCs w:val="24"/>
        </w:rPr>
        <w:t xml:space="preserve">and thus expanded the boundaries, the spaces were the monsters were placed also had to change. In this respect, compared to the monsters of Hesiod or of Homer, Megasthenes’ monstrous beings in the </w:t>
      </w:r>
      <w:r w:rsidR="00D02017">
        <w:rPr>
          <w:rFonts w:ascii="Times New Roman" w:hAnsi="Times New Roman" w:cs="Times New Roman"/>
          <w:i/>
          <w:sz w:val="24"/>
          <w:szCs w:val="24"/>
        </w:rPr>
        <w:t>Indika</w:t>
      </w:r>
      <w:r w:rsidR="00D02017">
        <w:rPr>
          <w:rFonts w:ascii="Times New Roman" w:hAnsi="Times New Roman" w:cs="Times New Roman"/>
          <w:sz w:val="24"/>
          <w:szCs w:val="24"/>
        </w:rPr>
        <w:t xml:space="preserve"> are not all that monstrous especially to the modern reader.</w:t>
      </w:r>
      <w:r w:rsidR="0070475D">
        <w:rPr>
          <w:rStyle w:val="FootnoteReference"/>
          <w:rFonts w:ascii="Times New Roman" w:hAnsi="Times New Roman" w:cs="Times New Roman"/>
          <w:sz w:val="24"/>
          <w:szCs w:val="24"/>
        </w:rPr>
        <w:footnoteReference w:id="2"/>
      </w:r>
      <w:r w:rsidR="00D02017">
        <w:rPr>
          <w:rFonts w:ascii="Times New Roman" w:hAnsi="Times New Roman" w:cs="Times New Roman"/>
          <w:sz w:val="24"/>
          <w:szCs w:val="24"/>
        </w:rPr>
        <w:t xml:space="preserve"> But to the ancient world, the idea that the monstrous creatures existed in almost harmony and were used as part of the Indians society was concept they could not accept because of the space India itself occupied. </w:t>
      </w:r>
    </w:p>
    <w:p w:rsidR="00162D7C" w:rsidRDefault="0078336B" w:rsidP="0041332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use of monsters in Indian society is shown </w:t>
      </w:r>
      <w:r w:rsidR="0067049D">
        <w:rPr>
          <w:rFonts w:ascii="Times New Roman" w:hAnsi="Times New Roman" w:cs="Times New Roman"/>
          <w:sz w:val="24"/>
          <w:szCs w:val="24"/>
        </w:rPr>
        <w:t>primarily in the protection of precious metals and stones, especially in Megasthenes</w:t>
      </w:r>
      <w:r w:rsidR="00FD6C1B">
        <w:rPr>
          <w:rFonts w:ascii="Times New Roman" w:hAnsi="Times New Roman" w:cs="Times New Roman"/>
          <w:sz w:val="24"/>
          <w:szCs w:val="24"/>
        </w:rPr>
        <w:t xml:space="preserve"> where he reverts back to the original tale</w:t>
      </w:r>
      <w:r w:rsidR="0067049D">
        <w:rPr>
          <w:rFonts w:ascii="Times New Roman" w:hAnsi="Times New Roman" w:cs="Times New Roman"/>
          <w:sz w:val="24"/>
          <w:szCs w:val="24"/>
        </w:rPr>
        <w:t>.</w:t>
      </w:r>
      <w:r w:rsidR="00FD6C1B">
        <w:rPr>
          <w:rStyle w:val="FootnoteReference"/>
          <w:rFonts w:ascii="Times New Roman" w:hAnsi="Times New Roman" w:cs="Times New Roman"/>
          <w:sz w:val="24"/>
          <w:szCs w:val="24"/>
        </w:rPr>
        <w:footnoteReference w:id="3"/>
      </w:r>
      <w:r w:rsidR="0067049D">
        <w:rPr>
          <w:rFonts w:ascii="Times New Roman" w:hAnsi="Times New Roman" w:cs="Times New Roman"/>
          <w:sz w:val="24"/>
          <w:szCs w:val="24"/>
        </w:rPr>
        <w:t xml:space="preserve"> The ants which dig up gold are a recurring motif in works about India.</w:t>
      </w:r>
      <w:r w:rsidR="00413328">
        <w:rPr>
          <w:rStyle w:val="FootnoteReference"/>
          <w:rFonts w:ascii="Times New Roman" w:hAnsi="Times New Roman" w:cs="Times New Roman"/>
          <w:sz w:val="24"/>
          <w:szCs w:val="24"/>
        </w:rPr>
        <w:footnoteReference w:id="4"/>
      </w:r>
      <w:r w:rsidR="0067049D">
        <w:rPr>
          <w:rFonts w:ascii="Times New Roman" w:hAnsi="Times New Roman" w:cs="Times New Roman"/>
          <w:sz w:val="24"/>
          <w:szCs w:val="24"/>
        </w:rPr>
        <w:t xml:space="preserve"> Herodotus writes about them</w:t>
      </w:r>
      <w:r w:rsidR="009C571F">
        <w:rPr>
          <w:rFonts w:ascii="Times New Roman" w:hAnsi="Times New Roman" w:cs="Times New Roman"/>
          <w:sz w:val="24"/>
          <w:szCs w:val="24"/>
        </w:rPr>
        <w:t xml:space="preserve"> in his </w:t>
      </w:r>
      <w:r w:rsidR="009C571F">
        <w:rPr>
          <w:rFonts w:ascii="Times New Roman" w:hAnsi="Times New Roman" w:cs="Times New Roman"/>
          <w:i/>
          <w:sz w:val="24"/>
          <w:szCs w:val="24"/>
        </w:rPr>
        <w:t>Histories.</w:t>
      </w:r>
      <w:r w:rsidR="00413328">
        <w:rPr>
          <w:rStyle w:val="FootnoteReference"/>
          <w:rFonts w:ascii="Times New Roman" w:hAnsi="Times New Roman" w:cs="Times New Roman"/>
          <w:i/>
          <w:sz w:val="24"/>
          <w:szCs w:val="24"/>
        </w:rPr>
        <w:footnoteReference w:id="5"/>
      </w:r>
      <w:r w:rsidR="009C571F">
        <w:rPr>
          <w:rFonts w:ascii="Times New Roman" w:hAnsi="Times New Roman" w:cs="Times New Roman"/>
          <w:i/>
          <w:sz w:val="24"/>
          <w:szCs w:val="24"/>
        </w:rPr>
        <w:t xml:space="preserve"> </w:t>
      </w:r>
      <w:r w:rsidR="0067049D">
        <w:rPr>
          <w:rFonts w:ascii="Times New Roman" w:hAnsi="Times New Roman" w:cs="Times New Roman"/>
          <w:sz w:val="24"/>
          <w:szCs w:val="24"/>
        </w:rPr>
        <w:t xml:space="preserve">Describing them as larger than foxes, </w:t>
      </w:r>
      <w:r w:rsidR="009C571F">
        <w:rPr>
          <w:rFonts w:ascii="Times New Roman" w:hAnsi="Times New Roman" w:cs="Times New Roman"/>
          <w:sz w:val="24"/>
          <w:szCs w:val="24"/>
        </w:rPr>
        <w:t xml:space="preserve">Megasthenes’ </w:t>
      </w:r>
      <w:r w:rsidR="0067049D">
        <w:rPr>
          <w:rFonts w:ascii="Times New Roman" w:hAnsi="Times New Roman" w:cs="Times New Roman"/>
          <w:sz w:val="24"/>
          <w:szCs w:val="24"/>
        </w:rPr>
        <w:t>fragment tells the reader how the ants dig up the gold and then protect it.</w:t>
      </w:r>
      <w:r w:rsidR="00EE358A">
        <w:rPr>
          <w:rStyle w:val="FootnoteReference"/>
          <w:rFonts w:ascii="Times New Roman" w:hAnsi="Times New Roman" w:cs="Times New Roman"/>
          <w:sz w:val="24"/>
          <w:szCs w:val="24"/>
        </w:rPr>
        <w:footnoteReference w:id="6"/>
      </w:r>
      <w:r w:rsidR="0067049D">
        <w:rPr>
          <w:rFonts w:ascii="Times New Roman" w:hAnsi="Times New Roman" w:cs="Times New Roman"/>
          <w:sz w:val="24"/>
          <w:szCs w:val="24"/>
        </w:rPr>
        <w:t xml:space="preserve"> </w:t>
      </w:r>
      <w:r w:rsidR="00EE358A">
        <w:rPr>
          <w:rFonts w:ascii="Times New Roman" w:hAnsi="Times New Roman" w:cs="Times New Roman"/>
          <w:sz w:val="24"/>
          <w:szCs w:val="24"/>
        </w:rPr>
        <w:t xml:space="preserve">By adding a monster creature to the protection of </w:t>
      </w:r>
      <w:r w:rsidR="00CE6149">
        <w:rPr>
          <w:rFonts w:ascii="Times New Roman" w:hAnsi="Times New Roman" w:cs="Times New Roman"/>
          <w:sz w:val="24"/>
          <w:szCs w:val="24"/>
        </w:rPr>
        <w:t>precious metals, India becomes dangerous. There is no way to get to the gold without fighting of these monstrous ants, and the stories surrounding these ants keep people away from taking the gold from India to sell on around the ancient world.</w:t>
      </w:r>
      <w:r w:rsidR="0070475D">
        <w:rPr>
          <w:rStyle w:val="FootnoteReference"/>
          <w:rFonts w:ascii="Times New Roman" w:hAnsi="Times New Roman" w:cs="Times New Roman"/>
          <w:sz w:val="24"/>
          <w:szCs w:val="24"/>
        </w:rPr>
        <w:footnoteReference w:id="7"/>
      </w:r>
      <w:r w:rsidR="009C571F">
        <w:rPr>
          <w:rFonts w:ascii="Times New Roman" w:hAnsi="Times New Roman" w:cs="Times New Roman"/>
          <w:sz w:val="24"/>
          <w:szCs w:val="24"/>
        </w:rPr>
        <w:t xml:space="preserve"> The giant ants, because they are common insects, they become monstrous as they are a size they should not be.</w:t>
      </w:r>
      <w:r w:rsidR="0031145C">
        <w:rPr>
          <w:rStyle w:val="FootnoteReference"/>
          <w:rFonts w:ascii="Times New Roman" w:hAnsi="Times New Roman" w:cs="Times New Roman"/>
          <w:sz w:val="24"/>
          <w:szCs w:val="24"/>
        </w:rPr>
        <w:footnoteReference w:id="8"/>
      </w:r>
      <w:r w:rsidR="009C571F">
        <w:rPr>
          <w:rFonts w:ascii="Times New Roman" w:hAnsi="Times New Roman" w:cs="Times New Roman"/>
          <w:sz w:val="24"/>
          <w:szCs w:val="24"/>
        </w:rPr>
        <w:t xml:space="preserve"> </w:t>
      </w:r>
      <w:r w:rsidR="008A58FB">
        <w:rPr>
          <w:rFonts w:ascii="Times New Roman" w:hAnsi="Times New Roman" w:cs="Times New Roman"/>
          <w:sz w:val="24"/>
          <w:szCs w:val="24"/>
        </w:rPr>
        <w:t>This is a common theme in monstrous stories. Things become monstrous because they have more body parts than they should have, or they are a bigger size than they should be, or they exist in a space they should not.</w:t>
      </w:r>
      <w:r w:rsidR="0070475D">
        <w:rPr>
          <w:rStyle w:val="FootnoteReference"/>
          <w:rFonts w:ascii="Times New Roman" w:hAnsi="Times New Roman" w:cs="Times New Roman"/>
          <w:sz w:val="24"/>
          <w:szCs w:val="24"/>
        </w:rPr>
        <w:footnoteReference w:id="9"/>
      </w:r>
    </w:p>
    <w:p w:rsidR="00162D7C" w:rsidRDefault="008B00DE" w:rsidP="00413328">
      <w:pPr>
        <w:spacing w:line="480" w:lineRule="auto"/>
        <w:rPr>
          <w:rFonts w:ascii="Times New Roman" w:hAnsi="Times New Roman" w:cs="Times New Roman"/>
          <w:sz w:val="24"/>
          <w:szCs w:val="24"/>
        </w:rPr>
      </w:pPr>
      <w:r>
        <w:rPr>
          <w:rFonts w:ascii="Times New Roman" w:hAnsi="Times New Roman" w:cs="Times New Roman"/>
          <w:sz w:val="24"/>
          <w:szCs w:val="24"/>
        </w:rPr>
        <w:t>What the ancient world, in particular Greece, failed to recognise was that places had different cultures from them</w:t>
      </w:r>
      <w:r w:rsidR="00036876">
        <w:rPr>
          <w:rFonts w:ascii="Times New Roman" w:hAnsi="Times New Roman" w:cs="Times New Roman"/>
          <w:sz w:val="24"/>
          <w:szCs w:val="24"/>
        </w:rPr>
        <w:t>. The further a culture was from the centre (which was Greece), the stranger, or the more other, that culture was. This is applied to India on a rather large scale. While Megasthenes offers a better insight to the court of India, he still manages to place Greek expectations on to these people.</w:t>
      </w:r>
      <w:r w:rsidR="00ED5461">
        <w:rPr>
          <w:rStyle w:val="FootnoteReference"/>
          <w:rFonts w:ascii="Times New Roman" w:hAnsi="Times New Roman" w:cs="Times New Roman"/>
          <w:sz w:val="24"/>
          <w:szCs w:val="24"/>
        </w:rPr>
        <w:footnoteReference w:id="10"/>
      </w:r>
      <w:r w:rsidR="00036876">
        <w:rPr>
          <w:rFonts w:ascii="Times New Roman" w:hAnsi="Times New Roman" w:cs="Times New Roman"/>
          <w:sz w:val="24"/>
          <w:szCs w:val="24"/>
        </w:rPr>
        <w:t xml:space="preserve"> This becomes problematic when looking at his fragments because he still sees things as strange and other, and in light of the times, barbarian. </w:t>
      </w:r>
      <w:r w:rsidR="008B7032">
        <w:rPr>
          <w:rFonts w:ascii="Times New Roman" w:hAnsi="Times New Roman" w:cs="Times New Roman"/>
          <w:sz w:val="24"/>
          <w:szCs w:val="24"/>
        </w:rPr>
        <w:t>Megasthenes</w:t>
      </w:r>
      <w:r w:rsidR="00036876">
        <w:rPr>
          <w:rFonts w:ascii="Times New Roman" w:hAnsi="Times New Roman" w:cs="Times New Roman"/>
          <w:sz w:val="24"/>
          <w:szCs w:val="24"/>
        </w:rPr>
        <w:t xml:space="preserve"> is not writing his work as a documentary of that country, but as a biased commentary.</w:t>
      </w:r>
      <w:r w:rsidR="0070475D">
        <w:rPr>
          <w:rStyle w:val="FootnoteReference"/>
          <w:rFonts w:ascii="Times New Roman" w:hAnsi="Times New Roman" w:cs="Times New Roman"/>
          <w:sz w:val="24"/>
          <w:szCs w:val="24"/>
        </w:rPr>
        <w:footnoteReference w:id="11"/>
      </w:r>
      <w:r w:rsidR="00036876">
        <w:rPr>
          <w:rFonts w:ascii="Times New Roman" w:hAnsi="Times New Roman" w:cs="Times New Roman"/>
          <w:sz w:val="24"/>
          <w:szCs w:val="24"/>
        </w:rPr>
        <w:t xml:space="preserve"> </w:t>
      </w:r>
      <w:r w:rsidR="008B7032">
        <w:rPr>
          <w:rFonts w:ascii="Times New Roman" w:hAnsi="Times New Roman" w:cs="Times New Roman"/>
          <w:sz w:val="24"/>
          <w:szCs w:val="24"/>
        </w:rPr>
        <w:t xml:space="preserve">This is the same for many of the historians of the time, and is why </w:t>
      </w:r>
      <w:r w:rsidR="008B7032">
        <w:rPr>
          <w:rFonts w:ascii="Times New Roman" w:hAnsi="Times New Roman" w:cs="Times New Roman"/>
          <w:sz w:val="24"/>
          <w:szCs w:val="24"/>
        </w:rPr>
        <w:lastRenderedPageBreak/>
        <w:t>Herodotus is slander</w:t>
      </w:r>
      <w:r w:rsidR="00413328">
        <w:rPr>
          <w:rFonts w:ascii="Times New Roman" w:hAnsi="Times New Roman" w:cs="Times New Roman"/>
          <w:sz w:val="24"/>
          <w:szCs w:val="24"/>
        </w:rPr>
        <w:t>ed</w:t>
      </w:r>
      <w:r w:rsidR="008B7032">
        <w:rPr>
          <w:rFonts w:ascii="Times New Roman" w:hAnsi="Times New Roman" w:cs="Times New Roman"/>
          <w:sz w:val="24"/>
          <w:szCs w:val="24"/>
        </w:rPr>
        <w:t xml:space="preserve"> for his own </w:t>
      </w:r>
      <w:r w:rsidR="008B7032">
        <w:rPr>
          <w:rFonts w:ascii="Times New Roman" w:hAnsi="Times New Roman" w:cs="Times New Roman"/>
          <w:i/>
          <w:sz w:val="24"/>
          <w:szCs w:val="24"/>
        </w:rPr>
        <w:t xml:space="preserve">Histories </w:t>
      </w:r>
      <w:r w:rsidR="008B7032">
        <w:rPr>
          <w:rFonts w:ascii="Times New Roman" w:hAnsi="Times New Roman" w:cs="Times New Roman"/>
          <w:sz w:val="24"/>
          <w:szCs w:val="24"/>
        </w:rPr>
        <w:t xml:space="preserve">because they are not </w:t>
      </w:r>
      <w:r w:rsidR="0070475D">
        <w:rPr>
          <w:rFonts w:ascii="Times New Roman" w:hAnsi="Times New Roman" w:cs="Times New Roman"/>
          <w:sz w:val="24"/>
          <w:szCs w:val="24"/>
        </w:rPr>
        <w:t>accurate,</w:t>
      </w:r>
      <w:r w:rsidR="008B7032">
        <w:rPr>
          <w:rFonts w:ascii="Times New Roman" w:hAnsi="Times New Roman" w:cs="Times New Roman"/>
          <w:sz w:val="24"/>
          <w:szCs w:val="24"/>
        </w:rPr>
        <w:t xml:space="preserve"> and he tells the histor</w:t>
      </w:r>
      <w:r w:rsidR="0070475D">
        <w:rPr>
          <w:rFonts w:ascii="Times New Roman" w:hAnsi="Times New Roman" w:cs="Times New Roman"/>
          <w:sz w:val="24"/>
          <w:szCs w:val="24"/>
        </w:rPr>
        <w:t>ies</w:t>
      </w:r>
      <w:r w:rsidR="008B7032">
        <w:rPr>
          <w:rFonts w:ascii="Times New Roman" w:hAnsi="Times New Roman" w:cs="Times New Roman"/>
          <w:sz w:val="24"/>
          <w:szCs w:val="24"/>
        </w:rPr>
        <w:t xml:space="preserve"> as if it was a story.</w:t>
      </w:r>
      <w:r w:rsidR="00413328">
        <w:rPr>
          <w:rStyle w:val="FootnoteReference"/>
          <w:rFonts w:ascii="Times New Roman" w:hAnsi="Times New Roman" w:cs="Times New Roman"/>
          <w:sz w:val="24"/>
          <w:szCs w:val="24"/>
        </w:rPr>
        <w:footnoteReference w:id="12"/>
      </w:r>
      <w:r w:rsidR="008B7032">
        <w:rPr>
          <w:rFonts w:ascii="Times New Roman" w:hAnsi="Times New Roman" w:cs="Times New Roman"/>
          <w:sz w:val="24"/>
          <w:szCs w:val="24"/>
        </w:rPr>
        <w:t xml:space="preserve"> </w:t>
      </w:r>
      <w:r w:rsidR="00413328">
        <w:rPr>
          <w:rFonts w:ascii="Times New Roman" w:hAnsi="Times New Roman" w:cs="Times New Roman"/>
          <w:sz w:val="24"/>
          <w:szCs w:val="24"/>
        </w:rPr>
        <w:t>The impact of the representation of India is that it seems dangerous because of the monsters ingrained in to their society.</w:t>
      </w:r>
      <w:r w:rsidR="0070475D">
        <w:rPr>
          <w:rStyle w:val="FootnoteReference"/>
          <w:rFonts w:ascii="Times New Roman" w:hAnsi="Times New Roman" w:cs="Times New Roman"/>
          <w:sz w:val="24"/>
          <w:szCs w:val="24"/>
        </w:rPr>
        <w:footnoteReference w:id="13"/>
      </w:r>
      <w:r w:rsidR="00413328">
        <w:rPr>
          <w:rFonts w:ascii="Times New Roman" w:hAnsi="Times New Roman" w:cs="Times New Roman"/>
          <w:sz w:val="24"/>
          <w:szCs w:val="24"/>
        </w:rPr>
        <w:t xml:space="preserve"> </w:t>
      </w:r>
    </w:p>
    <w:p w:rsidR="00413328" w:rsidRDefault="00413328" w:rsidP="00413328">
      <w:pPr>
        <w:spacing w:line="480" w:lineRule="auto"/>
        <w:rPr>
          <w:rFonts w:ascii="Times New Roman" w:hAnsi="Times New Roman" w:cs="Times New Roman"/>
          <w:caps/>
          <w:sz w:val="24"/>
          <w:szCs w:val="24"/>
          <w:u w:val="single"/>
        </w:rPr>
      </w:pPr>
    </w:p>
    <w:p w:rsidR="00BC1A30" w:rsidRDefault="00A53049" w:rsidP="00413328">
      <w:pPr>
        <w:spacing w:line="480" w:lineRule="auto"/>
        <w:rPr>
          <w:rFonts w:ascii="Times New Roman" w:hAnsi="Times New Roman" w:cs="Times New Roman"/>
          <w:sz w:val="24"/>
          <w:szCs w:val="24"/>
        </w:rPr>
      </w:pPr>
      <w:r>
        <w:rPr>
          <w:rFonts w:ascii="Times New Roman" w:hAnsi="Times New Roman" w:cs="Times New Roman"/>
          <w:sz w:val="24"/>
          <w:szCs w:val="24"/>
        </w:rPr>
        <w:t>The monstrous people in India grow in numbers in Megasthenes in comparison to the works of Ctesias, whom Megasthenes used as a source. It is not just monstrous creatures who are used to portray India as a strange place in Megasthenes; it is people who have something slightly off about them. Compared to Ctesias, Megasthenes pushes these people to the periphery of India, further out than they already are in a country at the edge of the ancient world.</w:t>
      </w:r>
      <w:r w:rsidR="003F7BD5">
        <w:rPr>
          <w:rFonts w:ascii="Times New Roman" w:hAnsi="Times New Roman" w:cs="Times New Roman"/>
          <w:sz w:val="24"/>
          <w:szCs w:val="24"/>
        </w:rPr>
        <w:t xml:space="preserve"> </w:t>
      </w:r>
      <w:r w:rsidR="00D235A6">
        <w:rPr>
          <w:rFonts w:ascii="Times New Roman" w:hAnsi="Times New Roman" w:cs="Times New Roman"/>
          <w:sz w:val="24"/>
          <w:szCs w:val="24"/>
        </w:rPr>
        <w:t xml:space="preserve">There is no mention in Megasthenes of these monstrous people being integrated in to society, despite the uses Ctesias finds for them in his </w:t>
      </w:r>
      <w:r w:rsidR="00D235A6">
        <w:rPr>
          <w:rFonts w:ascii="Times New Roman" w:hAnsi="Times New Roman" w:cs="Times New Roman"/>
          <w:i/>
          <w:sz w:val="24"/>
          <w:szCs w:val="24"/>
        </w:rPr>
        <w:t>Indika.</w:t>
      </w:r>
      <w:r w:rsidR="00D235A6">
        <w:rPr>
          <w:rFonts w:ascii="Times New Roman" w:hAnsi="Times New Roman" w:cs="Times New Roman"/>
          <w:sz w:val="24"/>
          <w:szCs w:val="24"/>
        </w:rPr>
        <w:t xml:space="preserve"> </w:t>
      </w:r>
      <w:r w:rsidR="000D7308">
        <w:rPr>
          <w:rFonts w:ascii="Times New Roman" w:hAnsi="Times New Roman" w:cs="Times New Roman"/>
          <w:sz w:val="24"/>
          <w:szCs w:val="24"/>
        </w:rPr>
        <w:t>Such people are the Cynocephali, who were men with dog-heads.</w:t>
      </w:r>
      <w:r w:rsidR="000D7308">
        <w:rPr>
          <w:rStyle w:val="FootnoteReference"/>
          <w:rFonts w:ascii="Times New Roman" w:hAnsi="Times New Roman" w:cs="Times New Roman"/>
          <w:sz w:val="24"/>
          <w:szCs w:val="24"/>
        </w:rPr>
        <w:footnoteReference w:id="14"/>
      </w:r>
      <w:r w:rsidR="000D7308">
        <w:rPr>
          <w:rFonts w:ascii="Times New Roman" w:hAnsi="Times New Roman" w:cs="Times New Roman"/>
          <w:sz w:val="24"/>
          <w:szCs w:val="24"/>
        </w:rPr>
        <w:t xml:space="preserve"> These men are favoured somewhat by the king in Ctesias, but in Megasthenes, there is no mention of this.</w:t>
      </w:r>
      <w:r w:rsidR="0070475D">
        <w:rPr>
          <w:rStyle w:val="FootnoteReference"/>
          <w:rFonts w:ascii="Times New Roman" w:hAnsi="Times New Roman" w:cs="Times New Roman"/>
          <w:sz w:val="24"/>
          <w:szCs w:val="24"/>
        </w:rPr>
        <w:footnoteReference w:id="15"/>
      </w:r>
      <w:r w:rsidR="000D7308">
        <w:rPr>
          <w:rFonts w:ascii="Times New Roman" w:hAnsi="Times New Roman" w:cs="Times New Roman"/>
          <w:sz w:val="24"/>
          <w:szCs w:val="24"/>
        </w:rPr>
        <w:t xml:space="preserve"> Perhaps it is because of the changing ideas and times that Megasthenes thought it best to exclude that part of Ctesias, as he could not have the ‘other’ being favoured by any sort of royalty. This furthers the idea that the ‘other’ is wrong and cannot be seen outside the periphery zone where they belong. </w:t>
      </w:r>
      <w:r w:rsidR="000076B6">
        <w:rPr>
          <w:rFonts w:ascii="Times New Roman" w:hAnsi="Times New Roman" w:cs="Times New Roman"/>
          <w:sz w:val="24"/>
          <w:szCs w:val="24"/>
        </w:rPr>
        <w:t xml:space="preserve">It becomes problematic when looking at the impact the ancient sources had on the representation of India. Many people would not have been able to afford to travel, unless they were merchants or part of the army, and hearing these stories from Megasthenes’ works would not have made their beliefs about the Eastern periphery any better. </w:t>
      </w:r>
      <w:r w:rsidR="00A1009A">
        <w:rPr>
          <w:rFonts w:ascii="Times New Roman" w:hAnsi="Times New Roman" w:cs="Times New Roman"/>
          <w:sz w:val="24"/>
          <w:szCs w:val="24"/>
        </w:rPr>
        <w:t xml:space="preserve">But despite Megasthenes changing details, he still makes the Cynocephali more monstrous than they are previously thought to be. </w:t>
      </w:r>
      <w:r w:rsidR="009B6146">
        <w:rPr>
          <w:rFonts w:ascii="Times New Roman" w:hAnsi="Times New Roman" w:cs="Times New Roman"/>
          <w:sz w:val="24"/>
          <w:szCs w:val="24"/>
        </w:rPr>
        <w:t xml:space="preserve">But it is not just their appearance. Megasthenes describes the </w:t>
      </w:r>
      <w:r w:rsidR="009B6146">
        <w:rPr>
          <w:rFonts w:ascii="Times New Roman" w:hAnsi="Times New Roman" w:cs="Times New Roman"/>
          <w:sz w:val="24"/>
          <w:szCs w:val="24"/>
        </w:rPr>
        <w:lastRenderedPageBreak/>
        <w:t>Cynocephali as not being able to communicate with human beings, because they bark and make dog noises.</w:t>
      </w:r>
      <w:r w:rsidR="009B6146">
        <w:rPr>
          <w:rStyle w:val="FootnoteReference"/>
          <w:rFonts w:ascii="Times New Roman" w:hAnsi="Times New Roman" w:cs="Times New Roman"/>
          <w:sz w:val="24"/>
          <w:szCs w:val="24"/>
        </w:rPr>
        <w:footnoteReference w:id="16"/>
      </w:r>
      <w:r w:rsidR="00432700">
        <w:rPr>
          <w:rFonts w:ascii="Times New Roman" w:hAnsi="Times New Roman" w:cs="Times New Roman"/>
          <w:sz w:val="24"/>
          <w:szCs w:val="24"/>
        </w:rPr>
        <w:t xml:space="preserve"> There is no mention of this in Ctesias. Being unable to communicate is a common motif often given to the enemies of the gods, seen in Hesiod’s </w:t>
      </w:r>
      <w:r w:rsidR="00432700">
        <w:rPr>
          <w:rFonts w:ascii="Times New Roman" w:hAnsi="Times New Roman" w:cs="Times New Roman"/>
          <w:i/>
          <w:sz w:val="24"/>
          <w:szCs w:val="24"/>
        </w:rPr>
        <w:t>Theogony</w:t>
      </w:r>
      <w:r w:rsidR="00432700" w:rsidRPr="00432700">
        <w:rPr>
          <w:rFonts w:ascii="Times New Roman" w:hAnsi="Times New Roman" w:cs="Times New Roman"/>
          <w:sz w:val="24"/>
          <w:szCs w:val="24"/>
        </w:rPr>
        <w:t>.</w:t>
      </w:r>
      <w:r w:rsidR="00432700" w:rsidRPr="00432700">
        <w:rPr>
          <w:rStyle w:val="FootnoteReference"/>
          <w:rFonts w:ascii="Times New Roman" w:hAnsi="Times New Roman" w:cs="Times New Roman"/>
          <w:sz w:val="24"/>
          <w:szCs w:val="24"/>
        </w:rPr>
        <w:footnoteReference w:id="17"/>
      </w:r>
      <w:r w:rsidR="00432700">
        <w:rPr>
          <w:rFonts w:ascii="Times New Roman" w:hAnsi="Times New Roman" w:cs="Times New Roman"/>
          <w:sz w:val="24"/>
          <w:szCs w:val="24"/>
        </w:rPr>
        <w:t xml:space="preserve"> Typhoeus cannot communicate with the divine and is therefore shunned from that sphere of being. Similarly, the Cynocephali cannot communicate with humans and therefore, according to Megasthenes, deserve to be shunned to the outermost part of India.</w:t>
      </w:r>
      <w:r w:rsidR="00432700">
        <w:rPr>
          <w:rStyle w:val="FootnoteReference"/>
          <w:rFonts w:ascii="Times New Roman" w:hAnsi="Times New Roman" w:cs="Times New Roman"/>
          <w:sz w:val="24"/>
          <w:szCs w:val="24"/>
        </w:rPr>
        <w:footnoteReference w:id="18"/>
      </w:r>
      <w:r w:rsidR="00FD6C1B">
        <w:rPr>
          <w:rFonts w:ascii="Times New Roman" w:hAnsi="Times New Roman" w:cs="Times New Roman"/>
          <w:sz w:val="24"/>
          <w:szCs w:val="24"/>
        </w:rPr>
        <w:t xml:space="preserve"> These people become more monstrous in Megasthenes – there is no detail about their lives in comparison to Ctesias, who explains nearly all of their day-to-day lives. The lack of communication and understanding means Megasthenes does not dwell on these people any longer than he has to.</w:t>
      </w:r>
      <w:r w:rsidR="004536A4">
        <w:rPr>
          <w:rStyle w:val="FootnoteReference"/>
          <w:rFonts w:ascii="Times New Roman" w:hAnsi="Times New Roman" w:cs="Times New Roman"/>
          <w:sz w:val="24"/>
          <w:szCs w:val="24"/>
        </w:rPr>
        <w:footnoteReference w:id="19"/>
      </w:r>
      <w:r w:rsidR="00FD6C1B">
        <w:rPr>
          <w:rFonts w:ascii="Times New Roman" w:hAnsi="Times New Roman" w:cs="Times New Roman"/>
          <w:sz w:val="24"/>
          <w:szCs w:val="24"/>
        </w:rPr>
        <w:t xml:space="preserve"> There appears to be a common theme in this, as there may be more monstrous people in his works compared to Ctesias but there is a significant lack of detail. Megasthenes does not see these people as human beings and this translates through his work. The impact of his bias makes sure that India is seen as a place of strangers and ‘other-ness’ because of the integration of monstrous creatures with human beings</w:t>
      </w:r>
      <w:r w:rsidR="00A31B71">
        <w:rPr>
          <w:rFonts w:ascii="Times New Roman" w:hAnsi="Times New Roman" w:cs="Times New Roman"/>
          <w:sz w:val="24"/>
          <w:szCs w:val="24"/>
        </w:rPr>
        <w:t>, particularly in Ctesias.</w:t>
      </w:r>
      <w:r w:rsidR="00A31B71">
        <w:rPr>
          <w:rStyle w:val="FootnoteReference"/>
          <w:rFonts w:ascii="Times New Roman" w:hAnsi="Times New Roman" w:cs="Times New Roman"/>
          <w:sz w:val="24"/>
          <w:szCs w:val="24"/>
        </w:rPr>
        <w:footnoteReference w:id="20"/>
      </w:r>
      <w:r w:rsidR="00FD6C1B">
        <w:rPr>
          <w:rFonts w:ascii="Times New Roman" w:hAnsi="Times New Roman" w:cs="Times New Roman"/>
          <w:sz w:val="24"/>
          <w:szCs w:val="24"/>
        </w:rPr>
        <w:t xml:space="preserve"> </w:t>
      </w:r>
    </w:p>
    <w:p w:rsidR="00A31B71" w:rsidRDefault="00A31B71" w:rsidP="00413328">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possible that the </w:t>
      </w:r>
      <w:r w:rsidR="007C463C">
        <w:rPr>
          <w:rFonts w:ascii="Times New Roman" w:hAnsi="Times New Roman" w:cs="Times New Roman"/>
          <w:sz w:val="24"/>
          <w:szCs w:val="24"/>
        </w:rPr>
        <w:t xml:space="preserve">monstrous people exist outside the caste system, which seems to imply that a system such as the one that exists today in India, except with </w:t>
      </w:r>
      <w:r w:rsidR="003570F3">
        <w:rPr>
          <w:rFonts w:ascii="Times New Roman" w:hAnsi="Times New Roman" w:cs="Times New Roman"/>
          <w:sz w:val="24"/>
          <w:szCs w:val="24"/>
        </w:rPr>
        <w:t>four</w:t>
      </w:r>
      <w:r w:rsidR="007C463C">
        <w:rPr>
          <w:rFonts w:ascii="Times New Roman" w:hAnsi="Times New Roman" w:cs="Times New Roman"/>
          <w:sz w:val="24"/>
          <w:szCs w:val="24"/>
        </w:rPr>
        <w:t xml:space="preserve"> castes</w:t>
      </w:r>
      <w:r w:rsidR="003570F3">
        <w:rPr>
          <w:rFonts w:ascii="Times New Roman" w:hAnsi="Times New Roman" w:cs="Times New Roman"/>
          <w:sz w:val="24"/>
          <w:szCs w:val="24"/>
        </w:rPr>
        <w:t xml:space="preserve"> and the ‘untouchables’</w:t>
      </w:r>
      <w:r w:rsidR="007C463C">
        <w:rPr>
          <w:rFonts w:ascii="Times New Roman" w:hAnsi="Times New Roman" w:cs="Times New Roman"/>
          <w:sz w:val="24"/>
          <w:szCs w:val="24"/>
        </w:rPr>
        <w:t>.</w:t>
      </w:r>
      <w:r w:rsidR="00CF7FB3">
        <w:rPr>
          <w:rStyle w:val="FootnoteReference"/>
          <w:rFonts w:ascii="Times New Roman" w:hAnsi="Times New Roman" w:cs="Times New Roman"/>
          <w:sz w:val="24"/>
          <w:szCs w:val="24"/>
        </w:rPr>
        <w:footnoteReference w:id="21"/>
      </w:r>
      <w:r w:rsidR="007C463C">
        <w:rPr>
          <w:rFonts w:ascii="Times New Roman" w:hAnsi="Times New Roman" w:cs="Times New Roman"/>
          <w:sz w:val="24"/>
          <w:szCs w:val="24"/>
        </w:rPr>
        <w:t xml:space="preserve"> </w:t>
      </w:r>
      <w:r w:rsidR="00CF7FB3">
        <w:rPr>
          <w:rFonts w:ascii="Times New Roman" w:hAnsi="Times New Roman" w:cs="Times New Roman"/>
          <w:sz w:val="24"/>
          <w:szCs w:val="24"/>
        </w:rPr>
        <w:t>The existence of the monstrous creatures outside this caste system</w:t>
      </w:r>
      <w:r w:rsidR="008D7920">
        <w:rPr>
          <w:rFonts w:ascii="Times New Roman" w:hAnsi="Times New Roman" w:cs="Times New Roman"/>
          <w:sz w:val="24"/>
          <w:szCs w:val="24"/>
        </w:rPr>
        <w:t xml:space="preserve"> that Megasthenes introduces</w:t>
      </w:r>
      <w:r w:rsidR="00CF7FB3">
        <w:rPr>
          <w:rFonts w:ascii="Times New Roman" w:hAnsi="Times New Roman" w:cs="Times New Roman"/>
          <w:sz w:val="24"/>
          <w:szCs w:val="24"/>
        </w:rPr>
        <w:t xml:space="preserve"> seems to liken the monsters to what becomes the ‘untouchables’.</w:t>
      </w:r>
      <w:r w:rsidR="00CF7FB3">
        <w:rPr>
          <w:rStyle w:val="FootnoteReference"/>
          <w:rFonts w:ascii="Times New Roman" w:hAnsi="Times New Roman" w:cs="Times New Roman"/>
          <w:sz w:val="24"/>
          <w:szCs w:val="24"/>
        </w:rPr>
        <w:footnoteReference w:id="22"/>
      </w:r>
      <w:r w:rsidR="00CF7FB3">
        <w:rPr>
          <w:rFonts w:ascii="Times New Roman" w:hAnsi="Times New Roman" w:cs="Times New Roman"/>
          <w:sz w:val="24"/>
          <w:szCs w:val="24"/>
        </w:rPr>
        <w:t xml:space="preserve"> </w:t>
      </w:r>
      <w:r w:rsidR="008D7920">
        <w:rPr>
          <w:rFonts w:ascii="Times New Roman" w:hAnsi="Times New Roman" w:cs="Times New Roman"/>
          <w:sz w:val="24"/>
          <w:szCs w:val="24"/>
        </w:rPr>
        <w:t>Megasthenes lists the jobs of the people in the seven castes but there is no mention of any of his monstrous people that he has introduced to the people of Greece.</w:t>
      </w:r>
      <w:r w:rsidR="008D7920">
        <w:rPr>
          <w:rStyle w:val="FootnoteReference"/>
          <w:rFonts w:ascii="Times New Roman" w:hAnsi="Times New Roman" w:cs="Times New Roman"/>
          <w:sz w:val="24"/>
          <w:szCs w:val="24"/>
        </w:rPr>
        <w:footnoteReference w:id="23"/>
      </w:r>
      <w:r w:rsidR="008D7920">
        <w:rPr>
          <w:rFonts w:ascii="Times New Roman" w:hAnsi="Times New Roman" w:cs="Times New Roman"/>
          <w:sz w:val="24"/>
          <w:szCs w:val="24"/>
        </w:rPr>
        <w:t xml:space="preserve"> The monstrous people to Megasthenes are not important enough to have a job or enough to be mentioned in his </w:t>
      </w:r>
      <w:r w:rsidR="008D7920">
        <w:rPr>
          <w:rFonts w:ascii="Times New Roman" w:hAnsi="Times New Roman" w:cs="Times New Roman"/>
          <w:sz w:val="24"/>
          <w:szCs w:val="24"/>
        </w:rPr>
        <w:lastRenderedPageBreak/>
        <w:t xml:space="preserve">seven tiered caste system. The term “dog-eaters” has been used to describe a lower caste of Indian society, which has been linked to Ctesias’ </w:t>
      </w:r>
      <w:r w:rsidR="00F714D3" w:rsidRPr="00F714D3">
        <w:rPr>
          <w:rFonts w:ascii="Times New Roman" w:hAnsi="Times New Roman" w:cs="Times New Roman"/>
          <w:i/>
          <w:sz w:val="24"/>
          <w:szCs w:val="24"/>
        </w:rPr>
        <w:t>Cynocephali</w:t>
      </w:r>
      <w:r w:rsidR="00F714D3">
        <w:rPr>
          <w:rFonts w:ascii="Times New Roman" w:hAnsi="Times New Roman" w:cs="Times New Roman"/>
          <w:sz w:val="24"/>
          <w:szCs w:val="24"/>
        </w:rPr>
        <w:t xml:space="preserve">. The offensive term which has been given to the lower classes does not reflect the positive report Ctesias gave his </w:t>
      </w:r>
      <w:r w:rsidR="00F714D3">
        <w:rPr>
          <w:rFonts w:ascii="Times New Roman" w:hAnsi="Times New Roman" w:cs="Times New Roman"/>
          <w:i/>
          <w:sz w:val="24"/>
          <w:szCs w:val="24"/>
        </w:rPr>
        <w:t>Cynocephali</w:t>
      </w:r>
      <w:r w:rsidR="00F714D3" w:rsidRPr="003570F3">
        <w:rPr>
          <w:rFonts w:ascii="Times New Roman" w:hAnsi="Times New Roman" w:cs="Times New Roman"/>
          <w:sz w:val="24"/>
          <w:szCs w:val="24"/>
        </w:rPr>
        <w:t>.</w:t>
      </w:r>
      <w:r w:rsidR="003570F3" w:rsidRPr="003570F3">
        <w:rPr>
          <w:rStyle w:val="FootnoteReference"/>
          <w:rFonts w:ascii="Times New Roman" w:hAnsi="Times New Roman" w:cs="Times New Roman"/>
          <w:sz w:val="24"/>
          <w:szCs w:val="24"/>
        </w:rPr>
        <w:footnoteReference w:id="24"/>
      </w:r>
      <w:r w:rsidR="003570F3">
        <w:rPr>
          <w:rFonts w:ascii="Times New Roman" w:hAnsi="Times New Roman" w:cs="Times New Roman"/>
          <w:sz w:val="24"/>
          <w:szCs w:val="24"/>
        </w:rPr>
        <w:t xml:space="preserve"> The impact of Megasthenes’ exclusion is something of a mystery. While it makes the monstrous creatures seem as though they do not belong, there is also the exclusion of women and the poor and sick. Either Megasthenes purposely left them out or he assumed they were not important enough to be mentioned in his caste system. When looking at the rest of Megasthenes’ fragments, it is more than likely he purposefully left them out. The reflection on today’s society from Megasthenes seems like nothing has changed from two-thousand plus years ago. The comparison of his </w:t>
      </w:r>
      <w:r w:rsidR="0070475D">
        <w:rPr>
          <w:rFonts w:ascii="Times New Roman" w:hAnsi="Times New Roman" w:cs="Times New Roman"/>
          <w:sz w:val="24"/>
          <w:szCs w:val="24"/>
        </w:rPr>
        <w:t>seven-caste</w:t>
      </w:r>
      <w:r w:rsidR="003570F3">
        <w:rPr>
          <w:rFonts w:ascii="Times New Roman" w:hAnsi="Times New Roman" w:cs="Times New Roman"/>
          <w:sz w:val="24"/>
          <w:szCs w:val="24"/>
        </w:rPr>
        <w:t xml:space="preserve"> system, excluding all his monstrous people, with today’s four caste system, excluding all the people who are not seen as worthy or clean by Indian society, is striking because it shows how people’s prejudices have not changed. Megasthenes’ impact on </w:t>
      </w:r>
      <w:r w:rsidR="003F7BD5">
        <w:rPr>
          <w:rFonts w:ascii="Times New Roman" w:hAnsi="Times New Roman" w:cs="Times New Roman"/>
          <w:sz w:val="24"/>
          <w:szCs w:val="24"/>
        </w:rPr>
        <w:t>the representation of this country is pronounced in that people still hold the same prejudgments that people in the ancient world held</w:t>
      </w:r>
      <w:r w:rsidR="0085248A">
        <w:rPr>
          <w:rFonts w:ascii="Times New Roman" w:hAnsi="Times New Roman" w:cs="Times New Roman"/>
          <w:sz w:val="24"/>
          <w:szCs w:val="24"/>
        </w:rPr>
        <w:t xml:space="preserve"> (even though it is unlikely to be primarily because of Megasthenes)</w:t>
      </w:r>
      <w:r w:rsidR="003F7BD5">
        <w:rPr>
          <w:rFonts w:ascii="Times New Roman" w:hAnsi="Times New Roman" w:cs="Times New Roman"/>
          <w:sz w:val="24"/>
          <w:szCs w:val="24"/>
        </w:rPr>
        <w:t xml:space="preserve"> – people who are different in culture, religion, and politics, are to be shunned. </w:t>
      </w:r>
      <w:r w:rsidR="0011166B">
        <w:rPr>
          <w:rFonts w:ascii="Times New Roman" w:hAnsi="Times New Roman" w:cs="Times New Roman"/>
          <w:sz w:val="24"/>
          <w:szCs w:val="24"/>
        </w:rPr>
        <w:t xml:space="preserve">The monstrous people of Megasthenes’ India are on the same level of the ‘untouchables’ of modern India. </w:t>
      </w:r>
    </w:p>
    <w:p w:rsidR="0011166B" w:rsidRDefault="0011166B" w:rsidP="00413328">
      <w:pPr>
        <w:spacing w:line="480" w:lineRule="auto"/>
        <w:rPr>
          <w:rFonts w:ascii="Times New Roman" w:hAnsi="Times New Roman" w:cs="Times New Roman"/>
          <w:sz w:val="24"/>
          <w:szCs w:val="24"/>
        </w:rPr>
      </w:pPr>
    </w:p>
    <w:p w:rsidR="00A53049" w:rsidRPr="00BC1A30" w:rsidRDefault="0011166B" w:rsidP="00413328">
      <w:pPr>
        <w:spacing w:line="480" w:lineRule="auto"/>
        <w:rPr>
          <w:rFonts w:ascii="Times New Roman" w:hAnsi="Times New Roman" w:cs="Times New Roman"/>
          <w:sz w:val="24"/>
          <w:szCs w:val="24"/>
        </w:rPr>
      </w:pPr>
      <w:r>
        <w:rPr>
          <w:rFonts w:ascii="Times New Roman" w:hAnsi="Times New Roman" w:cs="Times New Roman"/>
          <w:sz w:val="24"/>
          <w:szCs w:val="24"/>
        </w:rPr>
        <w:t>Megasthenes’ impact on the representation of India is problematic as he places Greek ideals on to the existence of Indian people.</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Because Greece was seen as normal, in the sense that the further away from the centre (Greece) a place was, the more strange or other it was. This is extremely true of India, where in Ctesias there is the inclusion of monstrous creatures and people in their society. This inclusion means India cannot be perfect and normal like Greece, </w:t>
      </w:r>
      <w:r>
        <w:rPr>
          <w:rFonts w:ascii="Times New Roman" w:hAnsi="Times New Roman" w:cs="Times New Roman"/>
          <w:sz w:val="24"/>
          <w:szCs w:val="24"/>
        </w:rPr>
        <w:lastRenderedPageBreak/>
        <w:t xml:space="preserve">and furthermore, there is also the fact it exists in the East, which the Greeks considered to be the lands of strangeness and ‘other-ness’. The Greeks believed that all monstrous creatures should be shunned or destroyed because of their lack of imperfection and that they do not look like the anthropomorphic divine. It is the divine who created the categories to establish law and order out of the chaos and because the creatures cannot fit into those categories, they need to be destroyed. This idea </w:t>
      </w:r>
      <w:r w:rsidR="005B0764">
        <w:rPr>
          <w:rFonts w:ascii="Times New Roman" w:hAnsi="Times New Roman" w:cs="Times New Roman"/>
          <w:sz w:val="24"/>
          <w:szCs w:val="24"/>
        </w:rPr>
        <w:t xml:space="preserve">ruins the representation of India since it is all Greek propaganda which the Indians cannot thrive under because they have a different society, culture, religion, and laws. The Indians have their own social identities which are lost and ruined by the Greek ideals because of cultural differences. </w:t>
      </w:r>
      <w:r w:rsidR="00A53049">
        <w:rPr>
          <w:rFonts w:ascii="Times New Roman" w:hAnsi="Times New Roman" w:cs="Times New Roman"/>
          <w:sz w:val="24"/>
          <w:szCs w:val="24"/>
        </w:rPr>
        <w:t>Megasthenes’ portrayal of India and its monstrous and fantastical creatures is not favourable.</w:t>
      </w:r>
      <w:r w:rsidR="003E30E6">
        <w:rPr>
          <w:rStyle w:val="FootnoteReference"/>
          <w:rFonts w:ascii="Times New Roman" w:hAnsi="Times New Roman" w:cs="Times New Roman"/>
          <w:sz w:val="24"/>
          <w:szCs w:val="24"/>
        </w:rPr>
        <w:footnoteReference w:id="26"/>
      </w:r>
      <w:r w:rsidR="00A53049">
        <w:rPr>
          <w:rFonts w:ascii="Times New Roman" w:hAnsi="Times New Roman" w:cs="Times New Roman"/>
          <w:sz w:val="24"/>
          <w:szCs w:val="24"/>
        </w:rPr>
        <w:t xml:space="preserve"> It takes something that Ctesias has </w:t>
      </w:r>
      <w:r w:rsidR="00B737F9">
        <w:rPr>
          <w:rFonts w:ascii="Times New Roman" w:hAnsi="Times New Roman" w:cs="Times New Roman"/>
          <w:sz w:val="24"/>
          <w:szCs w:val="24"/>
        </w:rPr>
        <w:t>presented to the ancient world – a place where monstrous beings and humans can live and work together in society – and turns it upside down. Because of the changing times and the occurrence of the Persian wars, this changed people’s perception of other cultures and other societies, and this prejudice continued until the adaption and adoption that spread the Roman Empire.</w:t>
      </w:r>
      <w:r w:rsidR="000A6D46">
        <w:rPr>
          <w:rStyle w:val="FootnoteReference"/>
          <w:rFonts w:ascii="Times New Roman" w:hAnsi="Times New Roman" w:cs="Times New Roman"/>
          <w:sz w:val="24"/>
          <w:szCs w:val="24"/>
        </w:rPr>
        <w:footnoteReference w:id="27"/>
      </w:r>
      <w:r w:rsidR="00B737F9">
        <w:rPr>
          <w:rFonts w:ascii="Times New Roman" w:hAnsi="Times New Roman" w:cs="Times New Roman"/>
          <w:sz w:val="24"/>
          <w:szCs w:val="24"/>
        </w:rPr>
        <w:t xml:space="preserve"> </w:t>
      </w:r>
    </w:p>
    <w:p w:rsidR="00162D7C" w:rsidRPr="007C463C" w:rsidRDefault="00162D7C" w:rsidP="004D39A8">
      <w:pPr>
        <w:rPr>
          <w:rFonts w:ascii="Times New Roman" w:hAnsi="Times New Roman" w:cs="Times New Roman"/>
          <w:sz w:val="24"/>
          <w:szCs w:val="24"/>
        </w:rPr>
      </w:pPr>
    </w:p>
    <w:p w:rsidR="007C463C" w:rsidRPr="007C463C" w:rsidRDefault="007C463C" w:rsidP="004D39A8">
      <w:pPr>
        <w:rPr>
          <w:rFonts w:ascii="Times New Roman" w:hAnsi="Times New Roman" w:cs="Times New Roman"/>
          <w:sz w:val="24"/>
          <w:szCs w:val="24"/>
        </w:rPr>
      </w:pPr>
    </w:p>
    <w:p w:rsidR="007C463C" w:rsidRPr="007C463C" w:rsidRDefault="007C463C" w:rsidP="004D39A8">
      <w:pPr>
        <w:rPr>
          <w:rFonts w:ascii="Times New Roman" w:hAnsi="Times New Roman" w:cs="Times New Roman"/>
          <w:sz w:val="24"/>
          <w:szCs w:val="24"/>
        </w:rPr>
      </w:pPr>
    </w:p>
    <w:p w:rsidR="007C463C" w:rsidRPr="007C463C" w:rsidRDefault="007C463C" w:rsidP="004D39A8">
      <w:pPr>
        <w:rPr>
          <w:rFonts w:ascii="Times New Roman" w:hAnsi="Times New Roman" w:cs="Times New Roman"/>
          <w:sz w:val="24"/>
          <w:szCs w:val="24"/>
        </w:rPr>
      </w:pPr>
    </w:p>
    <w:p w:rsidR="007C463C" w:rsidRPr="007C463C" w:rsidRDefault="007C463C" w:rsidP="004D39A8">
      <w:pPr>
        <w:rPr>
          <w:rFonts w:ascii="Times New Roman" w:hAnsi="Times New Roman" w:cs="Times New Roman"/>
          <w:sz w:val="24"/>
          <w:szCs w:val="24"/>
        </w:rPr>
      </w:pPr>
    </w:p>
    <w:p w:rsidR="007C463C" w:rsidRPr="007C463C" w:rsidRDefault="007C463C" w:rsidP="004D39A8">
      <w:pPr>
        <w:rPr>
          <w:rFonts w:ascii="Times New Roman" w:hAnsi="Times New Roman" w:cs="Times New Roman"/>
          <w:sz w:val="24"/>
          <w:szCs w:val="24"/>
        </w:rPr>
      </w:pPr>
    </w:p>
    <w:p w:rsidR="007C463C" w:rsidRPr="007C463C" w:rsidRDefault="007C463C" w:rsidP="004D39A8">
      <w:pPr>
        <w:rPr>
          <w:rFonts w:ascii="Times New Roman" w:hAnsi="Times New Roman" w:cs="Times New Roman"/>
          <w:sz w:val="24"/>
          <w:szCs w:val="24"/>
        </w:rPr>
      </w:pPr>
    </w:p>
    <w:p w:rsidR="007C463C" w:rsidRPr="007C463C" w:rsidRDefault="007C463C" w:rsidP="004D39A8">
      <w:pPr>
        <w:rPr>
          <w:rFonts w:ascii="Times New Roman" w:hAnsi="Times New Roman" w:cs="Times New Roman"/>
          <w:caps/>
          <w:sz w:val="24"/>
          <w:szCs w:val="24"/>
        </w:rPr>
      </w:pPr>
    </w:p>
    <w:p w:rsidR="00D37F73" w:rsidRDefault="00D37F73" w:rsidP="004D39A8">
      <w:pPr>
        <w:rPr>
          <w:rFonts w:ascii="Times New Roman" w:hAnsi="Times New Roman" w:cs="Times New Roman"/>
          <w:caps/>
          <w:sz w:val="24"/>
          <w:szCs w:val="24"/>
          <w:u w:val="single"/>
        </w:rPr>
      </w:pPr>
    </w:p>
    <w:p w:rsidR="00D37F73" w:rsidRDefault="00D37F73" w:rsidP="004D39A8">
      <w:pPr>
        <w:rPr>
          <w:rFonts w:ascii="Times New Roman" w:hAnsi="Times New Roman" w:cs="Times New Roman"/>
          <w:caps/>
          <w:sz w:val="24"/>
          <w:szCs w:val="24"/>
          <w:u w:val="single"/>
        </w:rPr>
      </w:pPr>
    </w:p>
    <w:p w:rsidR="00B75E01" w:rsidRDefault="007C463C" w:rsidP="004D39A8">
      <w:pPr>
        <w:rPr>
          <w:rFonts w:ascii="Times New Roman" w:hAnsi="Times New Roman" w:cs="Times New Roman"/>
          <w:sz w:val="24"/>
          <w:szCs w:val="24"/>
        </w:rPr>
      </w:pPr>
      <w:r w:rsidRPr="007C463C">
        <w:rPr>
          <w:rFonts w:ascii="Times New Roman" w:hAnsi="Times New Roman" w:cs="Times New Roman"/>
          <w:caps/>
          <w:sz w:val="24"/>
          <w:szCs w:val="24"/>
          <w:u w:val="single"/>
        </w:rPr>
        <w:lastRenderedPageBreak/>
        <w:t>WORD COUNT</w:t>
      </w:r>
      <w:r>
        <w:rPr>
          <w:rFonts w:ascii="Times New Roman" w:hAnsi="Times New Roman" w:cs="Times New Roman"/>
          <w:caps/>
          <w:sz w:val="24"/>
          <w:szCs w:val="24"/>
        </w:rPr>
        <w:t>: 1</w:t>
      </w:r>
      <w:r w:rsidR="00FB4713">
        <w:rPr>
          <w:rFonts w:ascii="Times New Roman" w:hAnsi="Times New Roman" w:cs="Times New Roman"/>
          <w:caps/>
          <w:sz w:val="24"/>
          <w:szCs w:val="24"/>
        </w:rPr>
        <w:t>817</w:t>
      </w:r>
      <w:r>
        <w:rPr>
          <w:rFonts w:ascii="Times New Roman" w:hAnsi="Times New Roman" w:cs="Times New Roman"/>
          <w:caps/>
          <w:sz w:val="24"/>
          <w:szCs w:val="24"/>
        </w:rPr>
        <w:t xml:space="preserve">, </w:t>
      </w:r>
      <w:r>
        <w:rPr>
          <w:rFonts w:ascii="Times New Roman" w:hAnsi="Times New Roman" w:cs="Times New Roman"/>
          <w:sz w:val="24"/>
          <w:szCs w:val="24"/>
        </w:rPr>
        <w:t>including footnotes</w:t>
      </w:r>
    </w:p>
    <w:p w:rsidR="00606422" w:rsidRPr="00B75E01" w:rsidRDefault="00606422" w:rsidP="004D39A8">
      <w:pPr>
        <w:rPr>
          <w:rFonts w:ascii="Times New Roman" w:hAnsi="Times New Roman" w:cs="Times New Roman"/>
          <w:sz w:val="24"/>
          <w:szCs w:val="24"/>
        </w:rPr>
      </w:pPr>
      <w:r w:rsidRPr="00606422">
        <w:rPr>
          <w:rFonts w:ascii="Times New Roman" w:hAnsi="Times New Roman" w:cs="Times New Roman"/>
          <w:caps/>
          <w:sz w:val="24"/>
          <w:szCs w:val="24"/>
          <w:u w:val="single"/>
        </w:rPr>
        <w:t>BibLiography:</w:t>
      </w:r>
    </w:p>
    <w:p w:rsidR="00606422" w:rsidRPr="00606422" w:rsidRDefault="00606422" w:rsidP="004D39A8">
      <w:pPr>
        <w:rPr>
          <w:rFonts w:ascii="Times New Roman" w:hAnsi="Times New Roman" w:cs="Times New Roman"/>
          <w:caps/>
          <w:sz w:val="24"/>
          <w:szCs w:val="24"/>
          <w:u w:val="single"/>
        </w:rPr>
      </w:pPr>
      <w:r w:rsidRPr="00606422">
        <w:rPr>
          <w:rFonts w:ascii="Times New Roman" w:hAnsi="Times New Roman" w:cs="Times New Roman"/>
          <w:caps/>
          <w:sz w:val="24"/>
          <w:szCs w:val="24"/>
          <w:u w:val="single"/>
        </w:rPr>
        <w:t>ANCient sources:</w:t>
      </w:r>
    </w:p>
    <w:p w:rsidR="00162D7C" w:rsidRDefault="00162D7C" w:rsidP="004D39A8">
      <w:pPr>
        <w:rPr>
          <w:rFonts w:ascii="Times New Roman" w:hAnsi="Times New Roman" w:cs="Times New Roman"/>
          <w:sz w:val="24"/>
          <w:szCs w:val="24"/>
        </w:rPr>
      </w:pPr>
      <w:r>
        <w:rPr>
          <w:rFonts w:ascii="Times New Roman" w:hAnsi="Times New Roman" w:cs="Times New Roman"/>
          <w:sz w:val="24"/>
          <w:szCs w:val="24"/>
        </w:rPr>
        <w:t xml:space="preserve">Ctesias. </w:t>
      </w:r>
      <w:r>
        <w:rPr>
          <w:rFonts w:ascii="Times New Roman" w:hAnsi="Times New Roman" w:cs="Times New Roman"/>
          <w:i/>
          <w:sz w:val="24"/>
          <w:szCs w:val="24"/>
        </w:rPr>
        <w:t xml:space="preserve">Indika. </w:t>
      </w:r>
      <w:r>
        <w:rPr>
          <w:rFonts w:ascii="Times New Roman" w:hAnsi="Times New Roman" w:cs="Times New Roman"/>
          <w:sz w:val="24"/>
          <w:szCs w:val="24"/>
        </w:rPr>
        <w:t xml:space="preserve">A. Nichols (trans.). 2008. Florida: University of Florida. </w:t>
      </w:r>
    </w:p>
    <w:p w:rsidR="008A58FB" w:rsidRDefault="00E41F5C" w:rsidP="004D39A8">
      <w:pPr>
        <w:rPr>
          <w:rFonts w:ascii="Times New Roman" w:hAnsi="Times New Roman" w:cs="Times New Roman"/>
          <w:sz w:val="24"/>
          <w:szCs w:val="24"/>
        </w:rPr>
      </w:pPr>
      <w:r w:rsidRPr="00E41F5C">
        <w:rPr>
          <w:rFonts w:ascii="Times New Roman" w:hAnsi="Times New Roman" w:cs="Times New Roman"/>
          <w:sz w:val="24"/>
          <w:szCs w:val="24"/>
        </w:rPr>
        <w:t xml:space="preserve">Herodotus. </w:t>
      </w:r>
      <w:r w:rsidRPr="00E41F5C">
        <w:rPr>
          <w:rFonts w:ascii="Times New Roman" w:hAnsi="Times New Roman" w:cs="Times New Roman"/>
          <w:i/>
          <w:sz w:val="24"/>
          <w:szCs w:val="24"/>
        </w:rPr>
        <w:t>The Histories.</w:t>
      </w:r>
      <w:r w:rsidRPr="00E41F5C">
        <w:rPr>
          <w:rFonts w:ascii="Times New Roman" w:hAnsi="Times New Roman" w:cs="Times New Roman"/>
          <w:sz w:val="24"/>
          <w:szCs w:val="24"/>
        </w:rPr>
        <w:t xml:space="preserve"> A. de Selincourt (trans). 1954. London: Penguin Books Ltd</w:t>
      </w:r>
    </w:p>
    <w:p w:rsidR="00432700" w:rsidRPr="00432700" w:rsidRDefault="00432700" w:rsidP="00432700">
      <w:pPr>
        <w:spacing w:after="240" w:line="276" w:lineRule="auto"/>
        <w:ind w:left="426" w:hanging="454"/>
        <w:rPr>
          <w:rFonts w:ascii="Times New Roman" w:hAnsi="Times New Roman"/>
          <w:sz w:val="24"/>
          <w:szCs w:val="24"/>
        </w:rPr>
      </w:pPr>
      <w:r>
        <w:rPr>
          <w:rFonts w:ascii="Times New Roman" w:hAnsi="Times New Roman"/>
          <w:sz w:val="24"/>
          <w:szCs w:val="24"/>
        </w:rPr>
        <w:t xml:space="preserve">Hesiod. </w:t>
      </w:r>
      <w:r>
        <w:rPr>
          <w:rFonts w:ascii="Times New Roman" w:hAnsi="Times New Roman"/>
          <w:i/>
          <w:sz w:val="24"/>
          <w:szCs w:val="24"/>
        </w:rPr>
        <w:t xml:space="preserve">Theogony. </w:t>
      </w:r>
      <w:r>
        <w:rPr>
          <w:rFonts w:ascii="Times New Roman" w:hAnsi="Times New Roman"/>
          <w:sz w:val="24"/>
          <w:szCs w:val="24"/>
        </w:rPr>
        <w:t>D. Wender (trans.). 1973. London: Penguin Classics</w:t>
      </w:r>
    </w:p>
    <w:p w:rsidR="00606422" w:rsidRDefault="00606422" w:rsidP="004D39A8">
      <w:pPr>
        <w:rPr>
          <w:rFonts w:ascii="Times New Roman" w:hAnsi="Times New Roman" w:cs="Times New Roman"/>
          <w:sz w:val="24"/>
          <w:szCs w:val="24"/>
        </w:rPr>
      </w:pPr>
      <w:r>
        <w:rPr>
          <w:rFonts w:ascii="Times New Roman" w:hAnsi="Times New Roman" w:cs="Times New Roman"/>
          <w:sz w:val="24"/>
          <w:szCs w:val="24"/>
        </w:rPr>
        <w:t>Megasthenes</w:t>
      </w:r>
      <w:r w:rsidR="00162D7C">
        <w:rPr>
          <w:rFonts w:ascii="Times New Roman" w:hAnsi="Times New Roman" w:cs="Times New Roman"/>
          <w:sz w:val="24"/>
          <w:szCs w:val="24"/>
        </w:rPr>
        <w:t xml:space="preserve">. </w:t>
      </w:r>
      <w:r w:rsidR="00162D7C">
        <w:rPr>
          <w:rFonts w:ascii="Times New Roman" w:hAnsi="Times New Roman" w:cs="Times New Roman"/>
          <w:i/>
          <w:sz w:val="24"/>
          <w:szCs w:val="24"/>
        </w:rPr>
        <w:t xml:space="preserve">Indika. </w:t>
      </w:r>
      <w:r w:rsidR="00162D7C">
        <w:rPr>
          <w:rFonts w:ascii="Times New Roman" w:hAnsi="Times New Roman" w:cs="Times New Roman"/>
          <w:sz w:val="24"/>
          <w:szCs w:val="24"/>
        </w:rPr>
        <w:t xml:space="preserve">J. W. McCrindle (trans.). 1877. </w:t>
      </w:r>
      <w:r w:rsidR="003F7BD5">
        <w:rPr>
          <w:rFonts w:ascii="Times New Roman" w:hAnsi="Times New Roman" w:cs="Times New Roman"/>
          <w:sz w:val="24"/>
          <w:szCs w:val="24"/>
        </w:rPr>
        <w:t xml:space="preserve">Calcutta: Thacker, Spink, &amp; Co. </w:t>
      </w:r>
    </w:p>
    <w:p w:rsidR="00432700" w:rsidRPr="00162D7C" w:rsidRDefault="00432700" w:rsidP="004D39A8">
      <w:pPr>
        <w:rPr>
          <w:rFonts w:ascii="Times New Roman" w:hAnsi="Times New Roman" w:cs="Times New Roman"/>
          <w:sz w:val="24"/>
          <w:szCs w:val="24"/>
        </w:rPr>
      </w:pPr>
    </w:p>
    <w:p w:rsidR="00606422" w:rsidRDefault="00606422" w:rsidP="004D39A8">
      <w:pPr>
        <w:rPr>
          <w:rFonts w:ascii="Times New Roman" w:hAnsi="Times New Roman" w:cs="Times New Roman"/>
          <w:caps/>
          <w:sz w:val="24"/>
          <w:szCs w:val="24"/>
        </w:rPr>
      </w:pPr>
      <w:r w:rsidRPr="00606422">
        <w:rPr>
          <w:rFonts w:ascii="Times New Roman" w:hAnsi="Times New Roman" w:cs="Times New Roman"/>
          <w:caps/>
          <w:sz w:val="24"/>
          <w:szCs w:val="24"/>
          <w:u w:val="single"/>
        </w:rPr>
        <w:t>Modern scholarship:</w:t>
      </w:r>
      <w:r>
        <w:rPr>
          <w:rFonts w:ascii="Times New Roman" w:hAnsi="Times New Roman" w:cs="Times New Roman"/>
          <w:caps/>
          <w:sz w:val="24"/>
          <w:szCs w:val="24"/>
        </w:rPr>
        <w:t xml:space="preserve"> </w:t>
      </w:r>
    </w:p>
    <w:p w:rsidR="00D0765D" w:rsidRPr="00ED5461" w:rsidRDefault="00D0765D" w:rsidP="00606422">
      <w:pPr>
        <w:ind w:left="397" w:hanging="397"/>
        <w:rPr>
          <w:rFonts w:ascii="Times New Roman" w:hAnsi="Times New Roman" w:cs="Times New Roman"/>
          <w:sz w:val="24"/>
          <w:szCs w:val="24"/>
        </w:rPr>
      </w:pPr>
      <w:r>
        <w:rPr>
          <w:rFonts w:ascii="Times New Roman" w:hAnsi="Times New Roman" w:cs="Times New Roman"/>
          <w:sz w:val="24"/>
          <w:szCs w:val="24"/>
        </w:rPr>
        <w:t xml:space="preserve">Barber, G. L. and Sacks, K. S. 2005. </w:t>
      </w:r>
      <w:r w:rsidR="00ED5461">
        <w:rPr>
          <w:rFonts w:ascii="Times New Roman" w:hAnsi="Times New Roman" w:cs="Times New Roman"/>
          <w:sz w:val="24"/>
          <w:szCs w:val="24"/>
        </w:rPr>
        <w:t xml:space="preserve">‘Megasthenes’ in S. Hornblower and A. Spawforth (eds.). </w:t>
      </w:r>
      <w:r w:rsidR="00ED5461">
        <w:rPr>
          <w:rFonts w:ascii="Times New Roman" w:hAnsi="Times New Roman" w:cs="Times New Roman"/>
          <w:i/>
          <w:sz w:val="24"/>
          <w:szCs w:val="24"/>
        </w:rPr>
        <w:t xml:space="preserve">The Oxford Classical Dictionary </w:t>
      </w:r>
      <w:r w:rsidR="00ED5461">
        <w:rPr>
          <w:rFonts w:ascii="Times New Roman" w:hAnsi="Times New Roman" w:cs="Times New Roman"/>
          <w:sz w:val="24"/>
          <w:szCs w:val="24"/>
        </w:rPr>
        <w:t xml:space="preserve">(3 rev. ed.). Oxford: Oxford University Press. </w:t>
      </w:r>
    </w:p>
    <w:p w:rsidR="00606422" w:rsidRPr="00606422" w:rsidRDefault="00606422" w:rsidP="00606422">
      <w:pPr>
        <w:ind w:left="397" w:hanging="397"/>
        <w:rPr>
          <w:rFonts w:ascii="Times New Roman" w:hAnsi="Times New Roman" w:cs="Times New Roman"/>
          <w:sz w:val="24"/>
          <w:szCs w:val="24"/>
        </w:rPr>
      </w:pPr>
      <w:r>
        <w:rPr>
          <w:rFonts w:ascii="Times New Roman" w:hAnsi="Times New Roman" w:cs="Times New Roman"/>
          <w:sz w:val="24"/>
          <w:szCs w:val="24"/>
        </w:rPr>
        <w:t xml:space="preserve">Bosworth, A. B. 1996. ‘The Historical Setting of Megasthenes’ Indica’. </w:t>
      </w:r>
      <w:r>
        <w:rPr>
          <w:rFonts w:ascii="Times New Roman" w:hAnsi="Times New Roman" w:cs="Times New Roman"/>
          <w:i/>
          <w:sz w:val="24"/>
          <w:szCs w:val="24"/>
        </w:rPr>
        <w:t xml:space="preserve">Classical Philology. </w:t>
      </w:r>
      <w:r>
        <w:rPr>
          <w:rFonts w:ascii="Times New Roman" w:hAnsi="Times New Roman" w:cs="Times New Roman"/>
          <w:sz w:val="24"/>
          <w:szCs w:val="24"/>
        </w:rPr>
        <w:t xml:space="preserve">91, 2. 113-127. </w:t>
      </w:r>
    </w:p>
    <w:p w:rsidR="00606422" w:rsidRDefault="00606422" w:rsidP="00606422">
      <w:pPr>
        <w:ind w:left="397" w:hanging="397"/>
        <w:rPr>
          <w:rFonts w:ascii="Times New Roman" w:hAnsi="Times New Roman" w:cs="Times New Roman"/>
          <w:sz w:val="24"/>
          <w:szCs w:val="24"/>
        </w:rPr>
      </w:pPr>
      <w:r>
        <w:rPr>
          <w:rFonts w:ascii="Times New Roman" w:hAnsi="Times New Roman" w:cs="Times New Roman"/>
          <w:sz w:val="24"/>
          <w:szCs w:val="24"/>
        </w:rPr>
        <w:t xml:space="preserve">Brown, T. S. 1955. ‘The Reliability of Megasthenes’. </w:t>
      </w:r>
      <w:r>
        <w:rPr>
          <w:rFonts w:ascii="Times New Roman" w:hAnsi="Times New Roman" w:cs="Times New Roman"/>
          <w:i/>
          <w:sz w:val="24"/>
          <w:szCs w:val="24"/>
        </w:rPr>
        <w:t xml:space="preserve">The American Journal of Philology. </w:t>
      </w:r>
      <w:r>
        <w:rPr>
          <w:rFonts w:ascii="Times New Roman" w:hAnsi="Times New Roman" w:cs="Times New Roman"/>
          <w:sz w:val="24"/>
          <w:szCs w:val="24"/>
        </w:rPr>
        <w:t xml:space="preserve">76, 1. 18-33. </w:t>
      </w:r>
    </w:p>
    <w:p w:rsidR="00432700" w:rsidRPr="00432700" w:rsidRDefault="00432700" w:rsidP="00606422">
      <w:pPr>
        <w:ind w:left="397" w:hanging="397"/>
        <w:rPr>
          <w:rFonts w:ascii="Times New Roman" w:hAnsi="Times New Roman" w:cs="Times New Roman"/>
          <w:sz w:val="24"/>
          <w:szCs w:val="24"/>
        </w:rPr>
      </w:pPr>
      <w:r>
        <w:rPr>
          <w:rFonts w:ascii="Times New Roman" w:hAnsi="Times New Roman" w:cs="Times New Roman"/>
          <w:sz w:val="24"/>
          <w:szCs w:val="24"/>
        </w:rPr>
        <w:t xml:space="preserve">Brown, T. S. 1957. ‘The Merits and Weaknesses of Megasthenes’. </w:t>
      </w:r>
      <w:r>
        <w:rPr>
          <w:rFonts w:ascii="Times New Roman" w:hAnsi="Times New Roman" w:cs="Times New Roman"/>
          <w:i/>
          <w:sz w:val="24"/>
          <w:szCs w:val="24"/>
        </w:rPr>
        <w:t xml:space="preserve">Classical Association of Canada. </w:t>
      </w:r>
      <w:r>
        <w:rPr>
          <w:rFonts w:ascii="Times New Roman" w:hAnsi="Times New Roman" w:cs="Times New Roman"/>
          <w:sz w:val="24"/>
          <w:szCs w:val="24"/>
        </w:rPr>
        <w:t xml:space="preserve">11, 1. 12-24. </w:t>
      </w:r>
    </w:p>
    <w:p w:rsidR="00D0765D" w:rsidRPr="00D0765D" w:rsidRDefault="000A6D46" w:rsidP="00D0765D">
      <w:pPr>
        <w:spacing w:after="200" w:line="276" w:lineRule="auto"/>
        <w:ind w:left="397" w:hanging="397"/>
        <w:rPr>
          <w:rFonts w:ascii="Times New Roman" w:hAnsi="Times New Roman" w:cs="Times New Roman"/>
          <w:sz w:val="24"/>
          <w:szCs w:val="24"/>
        </w:rPr>
      </w:pPr>
      <w:r w:rsidRPr="000A6D46">
        <w:rPr>
          <w:rFonts w:ascii="Times New Roman" w:hAnsi="Times New Roman" w:cs="Times New Roman"/>
          <w:sz w:val="24"/>
          <w:szCs w:val="24"/>
        </w:rPr>
        <w:t xml:space="preserve">Hornblower, S. 2014. 'Greece, prehistory and history of' in S. Hornblower, A. Spawforth and E. Eidinow (ed.). </w:t>
      </w:r>
      <w:r w:rsidRPr="000A6D46">
        <w:rPr>
          <w:rFonts w:ascii="Times New Roman" w:hAnsi="Times New Roman" w:cs="Times New Roman"/>
          <w:i/>
          <w:sz w:val="24"/>
          <w:szCs w:val="24"/>
        </w:rPr>
        <w:t>The Oxford Companion to Classical Civilization</w:t>
      </w:r>
      <w:r w:rsidRPr="000A6D46">
        <w:rPr>
          <w:rFonts w:ascii="Times New Roman" w:hAnsi="Times New Roman" w:cs="Times New Roman"/>
          <w:sz w:val="24"/>
          <w:szCs w:val="24"/>
        </w:rPr>
        <w:t xml:space="preserve"> (2 ed.). Oxford: Oxford University Press.</w:t>
      </w:r>
    </w:p>
    <w:p w:rsidR="00606422" w:rsidRDefault="00606422" w:rsidP="00606422">
      <w:pPr>
        <w:ind w:left="397" w:hanging="397"/>
        <w:rPr>
          <w:rFonts w:ascii="Times New Roman" w:hAnsi="Times New Roman" w:cs="Times New Roman"/>
          <w:sz w:val="24"/>
          <w:szCs w:val="24"/>
        </w:rPr>
      </w:pPr>
      <w:r>
        <w:rPr>
          <w:rFonts w:ascii="Times New Roman" w:hAnsi="Times New Roman" w:cs="Times New Roman"/>
          <w:sz w:val="24"/>
          <w:szCs w:val="24"/>
        </w:rPr>
        <w:t xml:space="preserve">Majumdar, R. C. 1958. ‘The Indika of Megasthenes’. </w:t>
      </w:r>
      <w:r w:rsidRPr="00606422">
        <w:rPr>
          <w:rFonts w:ascii="Times New Roman" w:hAnsi="Times New Roman" w:cs="Times New Roman"/>
          <w:i/>
          <w:sz w:val="24"/>
          <w:szCs w:val="24"/>
        </w:rPr>
        <w:t>Journal of the American Oriental Society.</w:t>
      </w:r>
      <w:r>
        <w:rPr>
          <w:rFonts w:ascii="Times New Roman" w:hAnsi="Times New Roman" w:cs="Times New Roman"/>
          <w:sz w:val="24"/>
          <w:szCs w:val="24"/>
        </w:rPr>
        <w:t xml:space="preserve"> 78, 4. 273-276. </w:t>
      </w:r>
    </w:p>
    <w:p w:rsidR="00606422" w:rsidRPr="00606422" w:rsidRDefault="00606422" w:rsidP="00606422">
      <w:pPr>
        <w:ind w:left="397" w:hanging="397"/>
        <w:rPr>
          <w:rFonts w:ascii="Times New Roman" w:hAnsi="Times New Roman" w:cs="Times New Roman"/>
          <w:sz w:val="24"/>
          <w:szCs w:val="24"/>
        </w:rPr>
      </w:pPr>
    </w:p>
    <w:sectPr w:rsidR="00606422" w:rsidRPr="0060642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5479" w:rsidRDefault="00E75479" w:rsidP="00EE358A">
      <w:pPr>
        <w:spacing w:after="0" w:line="240" w:lineRule="auto"/>
      </w:pPr>
      <w:r>
        <w:separator/>
      </w:r>
    </w:p>
  </w:endnote>
  <w:endnote w:type="continuationSeparator" w:id="0">
    <w:p w:rsidR="00E75479" w:rsidRDefault="00E75479" w:rsidP="00EE3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1127134"/>
      <w:docPartObj>
        <w:docPartGallery w:val="Page Numbers (Bottom of Page)"/>
        <w:docPartUnique/>
      </w:docPartObj>
    </w:sdtPr>
    <w:sdtEndPr>
      <w:rPr>
        <w:noProof/>
      </w:rPr>
    </w:sdtEndPr>
    <w:sdtContent>
      <w:p w:rsidR="003C77A9" w:rsidRDefault="003C77A9">
        <w:pPr>
          <w:pStyle w:val="Footer"/>
          <w:jc w:val="right"/>
        </w:pPr>
        <w:r>
          <w:fldChar w:fldCharType="begin"/>
        </w:r>
        <w:r>
          <w:instrText xml:space="preserve"> PAGE   \* MERGEFORMAT </w:instrText>
        </w:r>
        <w:r>
          <w:fldChar w:fldCharType="separate"/>
        </w:r>
        <w:r w:rsidR="0070475D">
          <w:rPr>
            <w:noProof/>
          </w:rPr>
          <w:t>7</w:t>
        </w:r>
        <w:r>
          <w:rPr>
            <w:noProof/>
          </w:rPr>
          <w:fldChar w:fldCharType="end"/>
        </w:r>
      </w:p>
    </w:sdtContent>
  </w:sdt>
  <w:p w:rsidR="003C77A9" w:rsidRDefault="003C77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5479" w:rsidRDefault="00E75479" w:rsidP="00EE358A">
      <w:pPr>
        <w:spacing w:after="0" w:line="240" w:lineRule="auto"/>
      </w:pPr>
      <w:r>
        <w:separator/>
      </w:r>
    </w:p>
  </w:footnote>
  <w:footnote w:type="continuationSeparator" w:id="0">
    <w:p w:rsidR="00E75479" w:rsidRDefault="00E75479" w:rsidP="00EE358A">
      <w:pPr>
        <w:spacing w:after="0" w:line="240" w:lineRule="auto"/>
      </w:pPr>
      <w:r>
        <w:continuationSeparator/>
      </w:r>
    </w:p>
  </w:footnote>
  <w:footnote w:id="1">
    <w:p w:rsidR="00FD6C1B" w:rsidRPr="0070475D" w:rsidRDefault="00FD6C1B">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Brown. 1957: 15</w:t>
      </w:r>
    </w:p>
  </w:footnote>
  <w:footnote w:id="2">
    <w:p w:rsidR="0070475D" w:rsidRPr="0070475D" w:rsidRDefault="0070475D">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Hes. </w:t>
      </w:r>
      <w:r w:rsidRPr="0070475D">
        <w:rPr>
          <w:rFonts w:ascii="Times New Roman" w:hAnsi="Times New Roman" w:cs="Times New Roman"/>
          <w:i/>
        </w:rPr>
        <w:t xml:space="preserve">Theo. </w:t>
      </w:r>
      <w:r w:rsidRPr="0070475D">
        <w:rPr>
          <w:rFonts w:ascii="Times New Roman" w:hAnsi="Times New Roman" w:cs="Times New Roman"/>
        </w:rPr>
        <w:t>831-835</w:t>
      </w:r>
    </w:p>
  </w:footnote>
  <w:footnote w:id="3">
    <w:p w:rsidR="00FD6C1B" w:rsidRPr="0070475D" w:rsidRDefault="00FD6C1B">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Brown. 1955: 29</w:t>
      </w:r>
    </w:p>
  </w:footnote>
  <w:footnote w:id="4">
    <w:p w:rsidR="00413328" w:rsidRPr="0070475D" w:rsidRDefault="00413328">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Mega. Frag. XXXIV – XL.</w:t>
      </w:r>
    </w:p>
  </w:footnote>
  <w:footnote w:id="5">
    <w:p w:rsidR="00413328" w:rsidRPr="0070475D" w:rsidRDefault="00413328">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Hero. </w:t>
      </w:r>
      <w:r w:rsidRPr="0070475D">
        <w:rPr>
          <w:rFonts w:ascii="Times New Roman" w:hAnsi="Times New Roman" w:cs="Times New Roman"/>
          <w:i/>
        </w:rPr>
        <w:t xml:space="preserve">His. </w:t>
      </w:r>
      <w:r w:rsidRPr="0070475D">
        <w:rPr>
          <w:rFonts w:ascii="Times New Roman" w:hAnsi="Times New Roman" w:cs="Times New Roman"/>
        </w:rPr>
        <w:t>3.102</w:t>
      </w:r>
    </w:p>
  </w:footnote>
  <w:footnote w:id="6">
    <w:p w:rsidR="00EE358A" w:rsidRPr="0070475D" w:rsidRDefault="00EE358A">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w:t>
      </w:r>
      <w:r w:rsidR="00CE6149" w:rsidRPr="0070475D">
        <w:rPr>
          <w:rFonts w:ascii="Times New Roman" w:hAnsi="Times New Roman" w:cs="Times New Roman"/>
        </w:rPr>
        <w:t>Mega. Frag. XXXIV – XL.</w:t>
      </w:r>
    </w:p>
  </w:footnote>
  <w:footnote w:id="7">
    <w:p w:rsidR="0070475D" w:rsidRPr="0070475D" w:rsidRDefault="0070475D">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Mega. Frag. XXXIV – XL.</w:t>
      </w:r>
    </w:p>
  </w:footnote>
  <w:footnote w:id="8">
    <w:p w:rsidR="0031145C" w:rsidRPr="0070475D" w:rsidRDefault="0031145C">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Mega. Frag. XXXIV – XL.</w:t>
      </w:r>
    </w:p>
  </w:footnote>
  <w:footnote w:id="9">
    <w:p w:rsidR="0070475D" w:rsidRPr="0070475D" w:rsidRDefault="0070475D">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w:t>
      </w:r>
      <w:r w:rsidRPr="0070475D">
        <w:rPr>
          <w:rFonts w:ascii="Times New Roman" w:hAnsi="Times New Roman" w:cs="Times New Roman"/>
        </w:rPr>
        <w:t>Mega. Frag. XXXIV – XL</w:t>
      </w:r>
      <w:r w:rsidRPr="0070475D">
        <w:rPr>
          <w:rFonts w:ascii="Times New Roman" w:hAnsi="Times New Roman" w:cs="Times New Roman"/>
        </w:rPr>
        <w:t>.</w:t>
      </w:r>
    </w:p>
  </w:footnote>
  <w:footnote w:id="10">
    <w:p w:rsidR="00ED5461" w:rsidRPr="0070475D" w:rsidRDefault="00ED5461">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Barber and Sacks. 2005.</w:t>
      </w:r>
    </w:p>
  </w:footnote>
  <w:footnote w:id="11">
    <w:p w:rsidR="0070475D" w:rsidRPr="0070475D" w:rsidRDefault="0070475D">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Brown. 1957: 12</w:t>
      </w:r>
    </w:p>
  </w:footnote>
  <w:footnote w:id="12">
    <w:p w:rsidR="00413328" w:rsidRPr="0070475D" w:rsidRDefault="00413328">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Her.</w:t>
      </w:r>
      <w:r w:rsidR="003F7BD5" w:rsidRPr="0070475D">
        <w:rPr>
          <w:rFonts w:ascii="Times New Roman" w:hAnsi="Times New Roman" w:cs="Times New Roman"/>
        </w:rPr>
        <w:t xml:space="preserve"> </w:t>
      </w:r>
      <w:r w:rsidRPr="0070475D">
        <w:rPr>
          <w:rFonts w:ascii="Times New Roman" w:hAnsi="Times New Roman" w:cs="Times New Roman"/>
          <w:i/>
        </w:rPr>
        <w:t xml:space="preserve">His. </w:t>
      </w:r>
      <w:r w:rsidRPr="0070475D">
        <w:rPr>
          <w:rFonts w:ascii="Times New Roman" w:hAnsi="Times New Roman" w:cs="Times New Roman"/>
        </w:rPr>
        <w:t>7.152.3</w:t>
      </w:r>
    </w:p>
  </w:footnote>
  <w:footnote w:id="13">
    <w:p w:rsidR="0070475D" w:rsidRPr="0070475D" w:rsidRDefault="0070475D">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Examples include Ctes. Frag 40-42; Mega. Frag. XXXIV- XL; Frag. XXX</w:t>
      </w:r>
    </w:p>
  </w:footnote>
  <w:footnote w:id="14">
    <w:p w:rsidR="000D7308" w:rsidRPr="0070475D" w:rsidRDefault="000D7308">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Ctes. Frag. 40-42; Mega. Frag. XXX</w:t>
      </w:r>
    </w:p>
  </w:footnote>
  <w:footnote w:id="15">
    <w:p w:rsidR="0070475D" w:rsidRDefault="0070475D">
      <w:pPr>
        <w:pStyle w:val="FootnoteText"/>
      </w:pPr>
      <w:r>
        <w:rPr>
          <w:rStyle w:val="FootnoteReference"/>
        </w:rPr>
        <w:footnoteRef/>
      </w:r>
      <w:r>
        <w:t xml:space="preserve"> Ctes. Frag. 40-42</w:t>
      </w:r>
      <w:bookmarkStart w:id="0" w:name="_GoBack"/>
      <w:bookmarkEnd w:id="0"/>
    </w:p>
  </w:footnote>
  <w:footnote w:id="16">
    <w:p w:rsidR="009B6146" w:rsidRPr="0070475D" w:rsidRDefault="009B6146">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Mega. Frag. </w:t>
      </w:r>
      <w:r w:rsidR="00432700" w:rsidRPr="0070475D">
        <w:rPr>
          <w:rFonts w:ascii="Times New Roman" w:hAnsi="Times New Roman" w:cs="Times New Roman"/>
        </w:rPr>
        <w:t>XXX</w:t>
      </w:r>
    </w:p>
  </w:footnote>
  <w:footnote w:id="17">
    <w:p w:rsidR="00432700" w:rsidRPr="0070475D" w:rsidRDefault="00432700">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Hes. </w:t>
      </w:r>
      <w:r w:rsidRPr="0070475D">
        <w:rPr>
          <w:rFonts w:ascii="Times New Roman" w:hAnsi="Times New Roman" w:cs="Times New Roman"/>
          <w:i/>
        </w:rPr>
        <w:t>Theo.</w:t>
      </w:r>
      <w:r w:rsidRPr="0070475D">
        <w:rPr>
          <w:rFonts w:ascii="Times New Roman" w:hAnsi="Times New Roman" w:cs="Times New Roman"/>
        </w:rPr>
        <w:t xml:space="preserve"> 831-835</w:t>
      </w:r>
    </w:p>
  </w:footnote>
  <w:footnote w:id="18">
    <w:p w:rsidR="00432700" w:rsidRPr="0070475D" w:rsidRDefault="00432700">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Mega. Frag. XXX.</w:t>
      </w:r>
    </w:p>
  </w:footnote>
  <w:footnote w:id="19">
    <w:p w:rsidR="004536A4" w:rsidRPr="0070475D" w:rsidRDefault="004536A4">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Mega. Frag. XXX</w:t>
      </w:r>
    </w:p>
  </w:footnote>
  <w:footnote w:id="20">
    <w:p w:rsidR="00A31B71" w:rsidRPr="0070475D" w:rsidRDefault="00A31B71">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Ctes. Frag. 40-42 (where the Cynocephali interact with the King)</w:t>
      </w:r>
    </w:p>
  </w:footnote>
  <w:footnote w:id="21">
    <w:p w:rsidR="00CF7FB3" w:rsidRPr="0070475D" w:rsidRDefault="00CF7FB3">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Mega. Frag. 40-41</w:t>
      </w:r>
    </w:p>
  </w:footnote>
  <w:footnote w:id="22">
    <w:p w:rsidR="00CF7FB3" w:rsidRPr="0070475D" w:rsidRDefault="00CF7FB3">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Bosworth. 1996: 124</w:t>
      </w:r>
    </w:p>
  </w:footnote>
  <w:footnote w:id="23">
    <w:p w:rsidR="008D7920" w:rsidRPr="0070475D" w:rsidRDefault="008D7920">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Mega. Frag. 40-41</w:t>
      </w:r>
    </w:p>
  </w:footnote>
  <w:footnote w:id="24">
    <w:p w:rsidR="003570F3" w:rsidRPr="0070475D" w:rsidRDefault="003570F3">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Nichols. 2008: 214</w:t>
      </w:r>
    </w:p>
  </w:footnote>
  <w:footnote w:id="25">
    <w:p w:rsidR="0011166B" w:rsidRPr="0070475D" w:rsidRDefault="0011166B">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Barber and Sacks. 2005.</w:t>
      </w:r>
    </w:p>
  </w:footnote>
  <w:footnote w:id="26">
    <w:p w:rsidR="003E30E6" w:rsidRPr="0070475D" w:rsidRDefault="003E30E6">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w:t>
      </w:r>
      <w:r w:rsidR="00ED5461" w:rsidRPr="0070475D">
        <w:rPr>
          <w:rFonts w:ascii="Times New Roman" w:hAnsi="Times New Roman" w:cs="Times New Roman"/>
        </w:rPr>
        <w:t>Barber and Sacks. 2005.</w:t>
      </w:r>
    </w:p>
  </w:footnote>
  <w:footnote w:id="27">
    <w:p w:rsidR="000A6D46" w:rsidRPr="0070475D" w:rsidRDefault="000A6D46">
      <w:pPr>
        <w:pStyle w:val="FootnoteText"/>
        <w:rPr>
          <w:rFonts w:ascii="Times New Roman" w:hAnsi="Times New Roman" w:cs="Times New Roman"/>
        </w:rPr>
      </w:pPr>
      <w:r w:rsidRPr="0070475D">
        <w:rPr>
          <w:rStyle w:val="FootnoteReference"/>
          <w:rFonts w:ascii="Times New Roman" w:hAnsi="Times New Roman" w:cs="Times New Roman"/>
        </w:rPr>
        <w:footnoteRef/>
      </w:r>
      <w:r w:rsidRPr="0070475D">
        <w:rPr>
          <w:rFonts w:ascii="Times New Roman" w:hAnsi="Times New Roman" w:cs="Times New Roman"/>
        </w:rPr>
        <w:t xml:space="preserve"> Hornblower. 2014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9A8"/>
    <w:rsid w:val="000076B6"/>
    <w:rsid w:val="00036876"/>
    <w:rsid w:val="000A6D46"/>
    <w:rsid w:val="000D7308"/>
    <w:rsid w:val="000F3D11"/>
    <w:rsid w:val="00110502"/>
    <w:rsid w:val="0011166B"/>
    <w:rsid w:val="00162D7C"/>
    <w:rsid w:val="00216F07"/>
    <w:rsid w:val="00275DEF"/>
    <w:rsid w:val="0031145C"/>
    <w:rsid w:val="003570F3"/>
    <w:rsid w:val="003B05F7"/>
    <w:rsid w:val="003C77A9"/>
    <w:rsid w:val="003E30E6"/>
    <w:rsid w:val="003F7BD5"/>
    <w:rsid w:val="00413328"/>
    <w:rsid w:val="00432700"/>
    <w:rsid w:val="004536A4"/>
    <w:rsid w:val="004D39A8"/>
    <w:rsid w:val="004F5FA3"/>
    <w:rsid w:val="005B0764"/>
    <w:rsid w:val="00606422"/>
    <w:rsid w:val="0062495E"/>
    <w:rsid w:val="0064441A"/>
    <w:rsid w:val="0067049D"/>
    <w:rsid w:val="0070475D"/>
    <w:rsid w:val="0078336B"/>
    <w:rsid w:val="007C463C"/>
    <w:rsid w:val="007E48D3"/>
    <w:rsid w:val="0085248A"/>
    <w:rsid w:val="008A58FB"/>
    <w:rsid w:val="008B00DE"/>
    <w:rsid w:val="008B7032"/>
    <w:rsid w:val="008D7920"/>
    <w:rsid w:val="00924623"/>
    <w:rsid w:val="00937202"/>
    <w:rsid w:val="009B6146"/>
    <w:rsid w:val="009C571F"/>
    <w:rsid w:val="00A1009A"/>
    <w:rsid w:val="00A25A41"/>
    <w:rsid w:val="00A31B71"/>
    <w:rsid w:val="00A4338E"/>
    <w:rsid w:val="00A53049"/>
    <w:rsid w:val="00B737F9"/>
    <w:rsid w:val="00B75E01"/>
    <w:rsid w:val="00B84A17"/>
    <w:rsid w:val="00BC1A30"/>
    <w:rsid w:val="00C373FE"/>
    <w:rsid w:val="00C45655"/>
    <w:rsid w:val="00C87A04"/>
    <w:rsid w:val="00CE6149"/>
    <w:rsid w:val="00CF7FB3"/>
    <w:rsid w:val="00D02017"/>
    <w:rsid w:val="00D0765D"/>
    <w:rsid w:val="00D235A6"/>
    <w:rsid w:val="00D37F73"/>
    <w:rsid w:val="00E41F5C"/>
    <w:rsid w:val="00E75479"/>
    <w:rsid w:val="00ED5461"/>
    <w:rsid w:val="00EE358A"/>
    <w:rsid w:val="00F714D3"/>
    <w:rsid w:val="00FB4713"/>
    <w:rsid w:val="00FD6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427B5"/>
  <w15:chartTrackingRefBased/>
  <w15:docId w15:val="{0265E684-E5E9-4C68-9D9E-51E76BEFD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39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D39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EE35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358A"/>
    <w:rPr>
      <w:sz w:val="20"/>
      <w:szCs w:val="20"/>
    </w:rPr>
  </w:style>
  <w:style w:type="character" w:styleId="FootnoteReference">
    <w:name w:val="footnote reference"/>
    <w:basedOn w:val="DefaultParagraphFont"/>
    <w:uiPriority w:val="99"/>
    <w:semiHidden/>
    <w:unhideWhenUsed/>
    <w:rsid w:val="00EE358A"/>
    <w:rPr>
      <w:vertAlign w:val="superscript"/>
    </w:rPr>
  </w:style>
  <w:style w:type="paragraph" w:styleId="Header">
    <w:name w:val="header"/>
    <w:basedOn w:val="Normal"/>
    <w:link w:val="HeaderChar"/>
    <w:uiPriority w:val="99"/>
    <w:unhideWhenUsed/>
    <w:rsid w:val="003C7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7A9"/>
  </w:style>
  <w:style w:type="paragraph" w:styleId="Footer">
    <w:name w:val="footer"/>
    <w:basedOn w:val="Normal"/>
    <w:link w:val="FooterChar"/>
    <w:uiPriority w:val="99"/>
    <w:unhideWhenUsed/>
    <w:rsid w:val="003C7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9709B2-54C4-4330-A0A4-52036D55B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1801</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Gough</dc:creator>
  <cp:keywords/>
  <dc:description/>
  <cp:lastModifiedBy>Molly Gough</cp:lastModifiedBy>
  <cp:revision>4</cp:revision>
  <dcterms:created xsi:type="dcterms:W3CDTF">2018-01-19T14:38:00Z</dcterms:created>
  <dcterms:modified xsi:type="dcterms:W3CDTF">2018-01-19T14:45:00Z</dcterms:modified>
</cp:coreProperties>
</file>