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86CFC7" w14:textId="4750E919" w:rsidR="003277A5" w:rsidRPr="003277A5" w:rsidRDefault="003277A5">
      <w:pPr>
        <w:rPr>
          <w:u w:val="single"/>
        </w:rPr>
      </w:pPr>
      <w:r w:rsidRPr="003277A5">
        <w:rPr>
          <w:u w:val="single"/>
        </w:rPr>
        <w:t xml:space="preserve">In what ways can examples of generic engagement illuminate Ovid’s </w:t>
      </w:r>
      <w:r w:rsidRPr="003277A5">
        <w:rPr>
          <w:i/>
          <w:u w:val="single"/>
        </w:rPr>
        <w:t>Metamorphoses</w:t>
      </w:r>
      <w:r w:rsidRPr="003277A5">
        <w:rPr>
          <w:u w:val="single"/>
        </w:rPr>
        <w:t>?</w:t>
      </w:r>
    </w:p>
    <w:p w14:paraId="1600F9E3" w14:textId="40A4C488" w:rsidR="00A1136E" w:rsidRDefault="00305CD4">
      <w:pPr>
        <w:rPr>
          <w:i/>
        </w:rPr>
      </w:pPr>
      <w:r>
        <w:t xml:space="preserve">Ovid’s </w:t>
      </w:r>
      <w:r>
        <w:rPr>
          <w:i/>
        </w:rPr>
        <w:t>Metamorphoses</w:t>
      </w:r>
      <w:r>
        <w:t xml:space="preserve"> is categorised as an epic poem</w:t>
      </w:r>
      <w:r w:rsidR="00BB5E2E">
        <w:t xml:space="preserve"> with the content beginning with creation spanning to Ovid’s own time</w:t>
      </w:r>
      <w:r>
        <w:t>, however in the 20</w:t>
      </w:r>
      <w:r w:rsidRPr="00305CD4">
        <w:rPr>
          <w:vertAlign w:val="superscript"/>
        </w:rPr>
        <w:t>th</w:t>
      </w:r>
      <w:r>
        <w:t xml:space="preserve"> century it begin to have this label criticised</w:t>
      </w:r>
      <w:r>
        <w:rPr>
          <w:rStyle w:val="FootnoteReference"/>
        </w:rPr>
        <w:footnoteReference w:id="1"/>
      </w:r>
      <w:r>
        <w:t xml:space="preserve">. </w:t>
      </w:r>
      <w:r w:rsidR="002A66B0">
        <w:t>Hughes argues that</w:t>
      </w:r>
      <w:r w:rsidR="00BC60FB">
        <w:t xml:space="preserve"> the work may resemble epic, in terms of metre and length, but that aside it is not a work of epic and others find that Ovid’s wit is not appropriate for the epic genre</w:t>
      </w:r>
      <w:r w:rsidR="00BC60FB">
        <w:rPr>
          <w:rStyle w:val="FootnoteReference"/>
        </w:rPr>
        <w:footnoteReference w:id="2"/>
      </w:r>
      <w:r w:rsidR="00BC60FB">
        <w:t xml:space="preserve">. Ovid does appear to be playing with genre, there </w:t>
      </w:r>
      <w:r w:rsidR="00C16485">
        <w:t>is arguably references to elegy</w:t>
      </w:r>
      <w:r w:rsidR="00BC60FB">
        <w:t xml:space="preserve">, pastoral and tragedy in the </w:t>
      </w:r>
      <w:r w:rsidR="00BC60FB">
        <w:rPr>
          <w:i/>
        </w:rPr>
        <w:t>Metamorphoses.</w:t>
      </w:r>
      <w:r w:rsidR="00BC60FB">
        <w:t xml:space="preserve"> </w:t>
      </w:r>
      <w:r w:rsidR="00E8794C">
        <w:t>This paper will look at these examples of Ovid engaging with genre outside of epic within</w:t>
      </w:r>
      <w:r w:rsidR="00BC60FB">
        <w:t xml:space="preserve"> </w:t>
      </w:r>
      <w:r w:rsidR="00E8794C">
        <w:t xml:space="preserve">the </w:t>
      </w:r>
      <w:r w:rsidR="00E8794C">
        <w:rPr>
          <w:i/>
        </w:rPr>
        <w:t>Metamorphoses,</w:t>
      </w:r>
      <w:r w:rsidR="00E8794C">
        <w:t xml:space="preserve"> to reason that by doing this there is better understanding to be gained about what Ovid is trying to achieve with this work</w:t>
      </w:r>
      <w:r w:rsidR="00F72AE3">
        <w:t xml:space="preserve"> and what genre</w:t>
      </w:r>
      <w:r w:rsidR="00C16485" w:rsidRPr="00C16485">
        <w:t xml:space="preserve"> </w:t>
      </w:r>
      <w:r w:rsidR="00C16485">
        <w:t>if not epic</w:t>
      </w:r>
      <w:r w:rsidR="00E8794C">
        <w:t>.</w:t>
      </w:r>
      <w:r w:rsidR="00E8794C">
        <w:rPr>
          <w:i/>
        </w:rPr>
        <w:t xml:space="preserve"> </w:t>
      </w:r>
    </w:p>
    <w:p w14:paraId="2A3DB5A8" w14:textId="3AF92AC6" w:rsidR="00E2641F" w:rsidRDefault="005F08DF">
      <w:r>
        <w:t xml:space="preserve">As we learn from Ovid’s </w:t>
      </w:r>
      <w:proofErr w:type="spellStart"/>
      <w:r>
        <w:rPr>
          <w:i/>
        </w:rPr>
        <w:t>Amores</w:t>
      </w:r>
      <w:proofErr w:type="spellEnd"/>
      <w:r>
        <w:rPr>
          <w:rStyle w:val="FootnoteReference"/>
          <w:i/>
        </w:rPr>
        <w:footnoteReference w:id="3"/>
      </w:r>
      <w:r>
        <w:t xml:space="preserve"> that he always intended to write an epic and the </w:t>
      </w:r>
      <w:r>
        <w:rPr>
          <w:i/>
        </w:rPr>
        <w:t>Metamorphoses</w:t>
      </w:r>
      <w:r>
        <w:t xml:space="preserve"> as previously mentioned had mainly categorised as such due to the metre and length. Other characteristics about the work that allows it to be labelled as such is, as </w:t>
      </w:r>
      <w:r w:rsidRPr="005F08DF">
        <w:t>von Albrecht</w:t>
      </w:r>
      <w:r>
        <w:t xml:space="preserve"> claims, the diction and tone of Ovid’s passages as they are distinctively epic</w:t>
      </w:r>
      <w:r>
        <w:rPr>
          <w:rStyle w:val="FootnoteReference"/>
        </w:rPr>
        <w:footnoteReference w:id="4"/>
      </w:r>
      <w:r>
        <w:t>. Von Albrecht compares</w:t>
      </w:r>
      <w:r>
        <w:rPr>
          <w:rStyle w:val="FootnoteReference"/>
        </w:rPr>
        <w:footnoteReference w:id="5"/>
      </w:r>
      <w:r>
        <w:t xml:space="preserve"> Ovid’s line ‘m</w:t>
      </w:r>
      <w:r w:rsidRPr="005F08DF">
        <w:t>y mind moves me</w:t>
      </w:r>
      <w:r>
        <w:t>’</w:t>
      </w:r>
      <w:r>
        <w:rPr>
          <w:rStyle w:val="FootnoteReference"/>
        </w:rPr>
        <w:footnoteReference w:id="6"/>
      </w:r>
      <w:r>
        <w:t xml:space="preserve"> to the Homeric line ‘</w:t>
      </w:r>
      <w:r w:rsidRPr="005F08DF">
        <w:t>wherever his mind urges</w:t>
      </w:r>
      <w:r>
        <w:t>’</w:t>
      </w:r>
      <w:r>
        <w:rPr>
          <w:rStyle w:val="FootnoteReference"/>
        </w:rPr>
        <w:footnoteReference w:id="7"/>
      </w:r>
      <w:r w:rsidR="00E2641F">
        <w:t>, which Keith agrees is a signal of Ovid showing debt to Homer and therefore evidence that this is a work of the epic genre</w:t>
      </w:r>
      <w:r w:rsidR="00E2641F">
        <w:rPr>
          <w:rStyle w:val="FootnoteReference"/>
        </w:rPr>
        <w:footnoteReference w:id="8"/>
      </w:r>
      <w:r w:rsidR="00E2641F">
        <w:t xml:space="preserve">. Keith and </w:t>
      </w:r>
      <w:proofErr w:type="spellStart"/>
      <w:r w:rsidR="00E2641F">
        <w:t>Heinze</w:t>
      </w:r>
      <w:proofErr w:type="spellEnd"/>
      <w:r w:rsidR="00E2641F">
        <w:t xml:space="preserve"> also agree that </w:t>
      </w:r>
      <w:r w:rsidR="00E2641F">
        <w:rPr>
          <w:i/>
        </w:rPr>
        <w:t xml:space="preserve">Metamorphoses </w:t>
      </w:r>
      <w:r w:rsidR="00E2641F">
        <w:t>is in fact consistently aligned with the epic genre</w:t>
      </w:r>
      <w:r w:rsidR="00E40991">
        <w:t xml:space="preserve"> and cannot be classed as anything else</w:t>
      </w:r>
      <w:r w:rsidR="00E2641F">
        <w:rPr>
          <w:rStyle w:val="FootnoteReference"/>
        </w:rPr>
        <w:footnoteReference w:id="9"/>
      </w:r>
      <w:r w:rsidR="00E2641F">
        <w:t>.</w:t>
      </w:r>
    </w:p>
    <w:p w14:paraId="1AE64077" w14:textId="583A7EAF" w:rsidR="005F08DF" w:rsidRDefault="00F81418">
      <w:r>
        <w:t>Newlands however disagrees, highlighting that th</w:t>
      </w:r>
      <w:r w:rsidR="001C5412">
        <w:t>ere is no unified plot following</w:t>
      </w:r>
      <w:r>
        <w:t xml:space="preserve"> a designated hero or set of heroes</w:t>
      </w:r>
      <w:r>
        <w:rPr>
          <w:rStyle w:val="FootnoteReference"/>
        </w:rPr>
        <w:footnoteReference w:id="10"/>
      </w:r>
      <w:r>
        <w:t>,</w:t>
      </w:r>
      <w:r w:rsidR="00E2641F">
        <w:t xml:space="preserve"> </w:t>
      </w:r>
      <w:r>
        <w:t xml:space="preserve">as we see from the first four lines of </w:t>
      </w:r>
      <w:r>
        <w:rPr>
          <w:i/>
        </w:rPr>
        <w:t>Metamorphoses</w:t>
      </w:r>
      <w:r>
        <w:t xml:space="preserve">, unlike epics such as </w:t>
      </w:r>
      <w:r>
        <w:rPr>
          <w:i/>
        </w:rPr>
        <w:t>The Iliad</w:t>
      </w:r>
      <w:r>
        <w:rPr>
          <w:rStyle w:val="FootnoteReference"/>
          <w:i/>
        </w:rPr>
        <w:footnoteReference w:id="11"/>
      </w:r>
      <w:r>
        <w:rPr>
          <w:i/>
        </w:rPr>
        <w:t xml:space="preserve">, </w:t>
      </w:r>
      <w:r>
        <w:t>there is no mention of heroes or warfare</w:t>
      </w:r>
      <w:r>
        <w:rPr>
          <w:rStyle w:val="FootnoteReference"/>
        </w:rPr>
        <w:footnoteReference w:id="12"/>
      </w:r>
      <w:r>
        <w:t xml:space="preserve"> instead there is only mention of change</w:t>
      </w:r>
      <w:r>
        <w:rPr>
          <w:rStyle w:val="FootnoteReference"/>
        </w:rPr>
        <w:footnoteReference w:id="13"/>
      </w:r>
      <w:r>
        <w:t xml:space="preserve">. </w:t>
      </w:r>
      <w:r w:rsidR="00AD018D">
        <w:t>Perhaps the biggest sign of this change is not only how Ovid handles subjects of epic choosing to focus on the lesser characters of the stories</w:t>
      </w:r>
      <w:r w:rsidR="00AD018D">
        <w:rPr>
          <w:rStyle w:val="FootnoteReference"/>
        </w:rPr>
        <w:footnoteReference w:id="14"/>
      </w:r>
      <w:r w:rsidR="00AD018D">
        <w:t xml:space="preserve"> but more importantly the dismissal Ovid has for epic heroes. Ovid sets up Apollo as a typical epic hero</w:t>
      </w:r>
      <w:r w:rsidR="00AD018D">
        <w:rPr>
          <w:rStyle w:val="FootnoteReference"/>
        </w:rPr>
        <w:footnoteReference w:id="15"/>
      </w:r>
      <w:r w:rsidR="00AD018D">
        <w:t xml:space="preserve"> and then has Cupid undermine this by transforming him into an elegiac lover</w:t>
      </w:r>
      <w:r w:rsidR="00AD018D">
        <w:rPr>
          <w:rStyle w:val="FootnoteReference"/>
        </w:rPr>
        <w:footnoteReference w:id="16"/>
      </w:r>
      <w:r w:rsidR="005D1CF9">
        <w:t xml:space="preserve"> and</w:t>
      </w:r>
      <w:r w:rsidR="00AD018D">
        <w:t xml:space="preserve"> </w:t>
      </w:r>
      <w:r w:rsidR="003861F5">
        <w:t xml:space="preserve">in book eight we see a whole group of epic heroes humorously being unable to kill the </w:t>
      </w:r>
      <w:r w:rsidR="005D1CF9">
        <w:t xml:space="preserve">Calydonian </w:t>
      </w:r>
      <w:r w:rsidR="003861F5">
        <w:t>boar</w:t>
      </w:r>
      <w:r w:rsidR="005D1CF9">
        <w:rPr>
          <w:rStyle w:val="FootnoteReference"/>
        </w:rPr>
        <w:footnoteReference w:id="17"/>
      </w:r>
      <w:r w:rsidR="005D1CF9">
        <w:t>. Newland also notes that the most intense fighting is at a wedding not on the battlefield</w:t>
      </w:r>
      <w:r w:rsidR="005D1CF9">
        <w:rPr>
          <w:rStyle w:val="FootnoteReference"/>
        </w:rPr>
        <w:footnoteReference w:id="18"/>
      </w:r>
      <w:r w:rsidR="005D1CF9">
        <w:t xml:space="preserve">. </w:t>
      </w:r>
      <w:proofErr w:type="spellStart"/>
      <w:r w:rsidR="00424384">
        <w:t>Phineus</w:t>
      </w:r>
      <w:proofErr w:type="spellEnd"/>
      <w:r w:rsidR="00993D30">
        <w:t xml:space="preserve"> uses an ashen spear</w:t>
      </w:r>
      <w:r w:rsidR="00993D30">
        <w:rPr>
          <w:rStyle w:val="FootnoteReference"/>
        </w:rPr>
        <w:footnoteReference w:id="19"/>
      </w:r>
      <w:r w:rsidR="00993D30">
        <w:t xml:space="preserve"> echoing villains that are found in Virgil</w:t>
      </w:r>
      <w:r w:rsidR="00993D30">
        <w:rPr>
          <w:rStyle w:val="FootnoteReference"/>
        </w:rPr>
        <w:footnoteReference w:id="20"/>
      </w:r>
      <w:r w:rsidR="005A74EA">
        <w:t xml:space="preserve"> and because the battle lacks the seriousness we see in epic some scholars have suggested that Ovid is parodying </w:t>
      </w:r>
      <w:r w:rsidR="005A74EA">
        <w:lastRenderedPageBreak/>
        <w:t xml:space="preserve">Virgil and Homer, however Keith is adamant that Ovid is pure to the epic genre so this is not a parody and that Ovid </w:t>
      </w:r>
      <w:r w:rsidR="00390387">
        <w:t>intensifies</w:t>
      </w:r>
      <w:r w:rsidR="005A74EA">
        <w:t xml:space="preserve"> the</w:t>
      </w:r>
      <w:r w:rsidR="00390387">
        <w:t xml:space="preserve"> epic</w:t>
      </w:r>
      <w:r w:rsidR="005A74EA">
        <w:t xml:space="preserve"> battle by limiting it to only 250 lines</w:t>
      </w:r>
      <w:r w:rsidR="005A74EA">
        <w:rPr>
          <w:rStyle w:val="FootnoteReference"/>
        </w:rPr>
        <w:footnoteReference w:id="21"/>
      </w:r>
      <w:r w:rsidR="005A74EA">
        <w:t xml:space="preserve">.    </w:t>
      </w:r>
    </w:p>
    <w:p w14:paraId="4ED0C32D" w14:textId="02974FE9" w:rsidR="008C3939" w:rsidRDefault="008C3939">
      <w:r>
        <w:t xml:space="preserve">Even if Ovid is trying to create a body of work that is pure epic, it can be said that he is still attempting to distance himself from Roman epic work. Unlike the works of Vigil and </w:t>
      </w:r>
      <w:r w:rsidRPr="008C3939">
        <w:t>Ennius</w:t>
      </w:r>
      <w:r w:rsidR="000A5D28">
        <w:t xml:space="preserve">, Ovid’s </w:t>
      </w:r>
      <w:r w:rsidR="000A5D28">
        <w:rPr>
          <w:i/>
        </w:rPr>
        <w:t xml:space="preserve">Metamorphoses </w:t>
      </w:r>
      <w:r w:rsidR="000A5D28">
        <w:t>does not focus of being nationalistic</w:t>
      </w:r>
      <w:r w:rsidR="001D75B3">
        <w:t xml:space="preserve"> going against the </w:t>
      </w:r>
      <w:r w:rsidR="00B7078F">
        <w:t xml:space="preserve">set </w:t>
      </w:r>
      <w:r w:rsidR="001D75B3">
        <w:t>precedent</w:t>
      </w:r>
      <w:r w:rsidR="001D75B3">
        <w:rPr>
          <w:rStyle w:val="FootnoteReference"/>
        </w:rPr>
        <w:footnoteReference w:id="22"/>
      </w:r>
      <w:r w:rsidR="001D75B3">
        <w:t xml:space="preserve">. </w:t>
      </w:r>
      <w:proofErr w:type="spellStart"/>
      <w:r w:rsidR="004D7AB4">
        <w:t>Holzberg</w:t>
      </w:r>
      <w:proofErr w:type="spellEnd"/>
      <w:r w:rsidR="004D7AB4">
        <w:t xml:space="preserve"> notes that when Ovid is engaging with Virgil’s </w:t>
      </w:r>
      <w:r w:rsidR="004D7AB4">
        <w:rPr>
          <w:i/>
        </w:rPr>
        <w:t>Aeneid</w:t>
      </w:r>
      <w:r w:rsidR="004D7AB4">
        <w:t xml:space="preserve"> only 200 lines retell </w:t>
      </w:r>
      <w:r w:rsidR="004D7AB4" w:rsidRPr="004D7AB4">
        <w:t>Virgil</w:t>
      </w:r>
      <w:r w:rsidR="00D25040">
        <w:rPr>
          <w:rStyle w:val="FootnoteReference"/>
        </w:rPr>
        <w:footnoteReference w:id="23"/>
      </w:r>
      <w:r w:rsidR="001A05B7">
        <w:t>, while the rest ignores anything nationalistic</w:t>
      </w:r>
      <w:r w:rsidR="001A05B7">
        <w:rPr>
          <w:rStyle w:val="FootnoteReference"/>
        </w:rPr>
        <w:footnoteReference w:id="24"/>
      </w:r>
      <w:r w:rsidR="0027170C">
        <w:t xml:space="preserve">. </w:t>
      </w:r>
      <w:r w:rsidR="00C75273" w:rsidRPr="00C75273">
        <w:t>Rutherford</w:t>
      </w:r>
      <w:r w:rsidR="00C75273">
        <w:t xml:space="preserve"> observes</w:t>
      </w:r>
      <w:r w:rsidR="00C75273">
        <w:rPr>
          <w:rStyle w:val="FootnoteReference"/>
        </w:rPr>
        <w:footnoteReference w:id="25"/>
      </w:r>
      <w:r w:rsidR="00C75273">
        <w:t xml:space="preserve"> </w:t>
      </w:r>
      <w:r w:rsidR="00010E4D">
        <w:t xml:space="preserve">Ovid </w:t>
      </w:r>
      <w:r w:rsidR="00C75273">
        <w:t>sacks the city with four words</w:t>
      </w:r>
      <w:r w:rsidR="00C75273" w:rsidRPr="00C75273">
        <w:t xml:space="preserve"> </w:t>
      </w:r>
      <w:r w:rsidR="00C75273">
        <w:t>and then describes the metamorphosis of Hecuba</w:t>
      </w:r>
      <w:r w:rsidR="00C75273">
        <w:rPr>
          <w:rStyle w:val="FootnoteReference"/>
        </w:rPr>
        <w:footnoteReference w:id="26"/>
      </w:r>
      <w:r w:rsidR="00010E4D">
        <w:t>, showing what could be argued to be Ovid being uninterested in engaging</w:t>
      </w:r>
      <w:r w:rsidR="009643FC">
        <w:t xml:space="preserve"> with Virgil or continuing on </w:t>
      </w:r>
      <w:r w:rsidR="00010E4D">
        <w:t>the Roman epic tradition. Keith agrees that Ovid looks more towards Homeric than he does Virginian epic</w:t>
      </w:r>
      <w:r w:rsidR="00010E4D">
        <w:rPr>
          <w:rStyle w:val="FootnoteReference"/>
        </w:rPr>
        <w:footnoteReference w:id="27"/>
      </w:r>
      <w:r w:rsidR="00BB2F36">
        <w:t>, Newlands leads on from this saying that by Ovid tending more towards earlier epic went against the rules of Roman epic</w:t>
      </w:r>
      <w:r w:rsidR="00BB2F36">
        <w:rPr>
          <w:rStyle w:val="FootnoteReference"/>
        </w:rPr>
        <w:footnoteReference w:id="28"/>
      </w:r>
      <w:r w:rsidR="00BB2F36">
        <w:t xml:space="preserve">. </w:t>
      </w:r>
    </w:p>
    <w:p w14:paraId="6E3A3482" w14:textId="171010C0" w:rsidR="004A404D" w:rsidRDefault="004A404D">
      <w:r>
        <w:t xml:space="preserve">Some scholars, such as </w:t>
      </w:r>
      <w:r w:rsidRPr="004A404D">
        <w:t>Latacz</w:t>
      </w:r>
      <w:r>
        <w:t xml:space="preserve">, compare </w:t>
      </w:r>
      <w:r>
        <w:rPr>
          <w:i/>
        </w:rPr>
        <w:t>Metamorphoses</w:t>
      </w:r>
      <w:r>
        <w:t xml:space="preserve"> to that of didactic epic</w:t>
      </w:r>
      <w:r>
        <w:rPr>
          <w:rStyle w:val="FootnoteReference"/>
        </w:rPr>
        <w:footnoteReference w:id="29"/>
      </w:r>
      <w:r>
        <w:t xml:space="preserve"> especially</w:t>
      </w:r>
      <w:r w:rsidR="00142E9D">
        <w:t xml:space="preserve"> because of</w:t>
      </w:r>
      <w:r>
        <w:t xml:space="preserve"> the tradition of c</w:t>
      </w:r>
      <w:r w:rsidRPr="004A404D">
        <w:t>osmogony</w:t>
      </w:r>
      <w:r w:rsidR="00FB369D">
        <w:t xml:space="preserve"> and so Ovid can be said to be getting inspiration from Hesiod</w:t>
      </w:r>
      <w:r w:rsidR="00FB369D">
        <w:rPr>
          <w:rStyle w:val="FootnoteReference"/>
        </w:rPr>
        <w:footnoteReference w:id="30"/>
      </w:r>
      <w:r w:rsidR="00FB369D">
        <w:t xml:space="preserve"> and </w:t>
      </w:r>
      <w:r w:rsidR="00FB369D" w:rsidRPr="00FB369D">
        <w:t>Lucretius</w:t>
      </w:r>
      <w:r w:rsidR="00FB369D">
        <w:rPr>
          <w:rStyle w:val="FootnoteReference"/>
        </w:rPr>
        <w:footnoteReference w:id="31"/>
      </w:r>
      <w:r w:rsidR="00FB369D">
        <w:t>.</w:t>
      </w:r>
      <w:r w:rsidR="00196FA1">
        <w:t xml:space="preserve"> Keith maintains that Ovid is combining heroic and didactic epic and that by including </w:t>
      </w:r>
      <w:r w:rsidR="00196FA1" w:rsidRPr="00196FA1">
        <w:t>cosmogony</w:t>
      </w:r>
      <w:r w:rsidR="00B214F2">
        <w:rPr>
          <w:rStyle w:val="FootnoteReference"/>
        </w:rPr>
        <w:footnoteReference w:id="32"/>
      </w:r>
      <w:r w:rsidR="00B214F2">
        <w:t>, a subject best suited so Keith says to the epic genre,</w:t>
      </w:r>
      <w:r w:rsidR="000A36C8">
        <w:t xml:space="preserve"> </w:t>
      </w:r>
      <w:r w:rsidR="00B214F2">
        <w:t>Ovid is in keeping with epic tradition and is not playing with other genres</w:t>
      </w:r>
      <w:r w:rsidR="00B214F2">
        <w:rPr>
          <w:rStyle w:val="FootnoteReference"/>
        </w:rPr>
        <w:footnoteReference w:id="33"/>
      </w:r>
      <w:r w:rsidR="00B214F2">
        <w:t xml:space="preserve">.  </w:t>
      </w:r>
    </w:p>
    <w:p w14:paraId="7DFDE79D" w14:textId="219FC73F" w:rsidR="00C33762" w:rsidRDefault="00981786">
      <w:r>
        <w:t xml:space="preserve">Ovid admits in his </w:t>
      </w:r>
      <w:proofErr w:type="spellStart"/>
      <w:r>
        <w:rPr>
          <w:i/>
        </w:rPr>
        <w:t>Amores</w:t>
      </w:r>
      <w:proofErr w:type="spellEnd"/>
      <w:r>
        <w:t xml:space="preserve"> that he is easy for him to write elegy</w:t>
      </w:r>
      <w:r>
        <w:rPr>
          <w:rStyle w:val="FootnoteReference"/>
        </w:rPr>
        <w:footnoteReference w:id="34"/>
      </w:r>
      <w:r>
        <w:t xml:space="preserve"> and this can be debated to be his default reference when writing</w:t>
      </w:r>
      <w:r>
        <w:rPr>
          <w:rStyle w:val="FootnoteReference"/>
        </w:rPr>
        <w:footnoteReference w:id="35"/>
      </w:r>
      <w:r w:rsidR="003721C9">
        <w:t xml:space="preserve">, therefore it makes sense for there to be elegiac characteristics in </w:t>
      </w:r>
      <w:r w:rsidR="003721C9">
        <w:rPr>
          <w:i/>
        </w:rPr>
        <w:t xml:space="preserve">Metamorphoses </w:t>
      </w:r>
      <w:r w:rsidR="003721C9">
        <w:t>as Rutherford says the work shows the mentality of the elegiac genre</w:t>
      </w:r>
      <w:r w:rsidR="003721C9">
        <w:rPr>
          <w:rStyle w:val="FootnoteReference"/>
        </w:rPr>
        <w:footnoteReference w:id="36"/>
      </w:r>
      <w:r w:rsidR="006C12E2">
        <w:t xml:space="preserve">. </w:t>
      </w:r>
      <w:r w:rsidR="00C33762">
        <w:t xml:space="preserve">As previously mentioned Apollo becomes an </w:t>
      </w:r>
      <w:r w:rsidR="00C33762" w:rsidRPr="00C33762">
        <w:t>elegiac lover</w:t>
      </w:r>
      <w:r>
        <w:t xml:space="preserve"> </w:t>
      </w:r>
      <w:r w:rsidR="00C33762">
        <w:t>with the typical tropes of being fixated on Daphne’s beauty</w:t>
      </w:r>
      <w:r w:rsidR="00C33762">
        <w:rPr>
          <w:rStyle w:val="FootnoteReference"/>
        </w:rPr>
        <w:footnoteReference w:id="37"/>
      </w:r>
      <w:r w:rsidR="00C33762">
        <w:t>, vainly pursuing her</w:t>
      </w:r>
      <w:r w:rsidR="00C33762">
        <w:rPr>
          <w:rStyle w:val="FootnoteReference"/>
        </w:rPr>
        <w:footnoteReference w:id="38"/>
      </w:r>
      <w:r w:rsidR="00C33762">
        <w:t xml:space="preserve"> and </w:t>
      </w:r>
      <w:r w:rsidR="00DD2348">
        <w:t>the inability to help himself</w:t>
      </w:r>
      <w:r w:rsidR="00DD2348">
        <w:rPr>
          <w:rStyle w:val="FootnoteReference"/>
        </w:rPr>
        <w:footnoteReference w:id="39"/>
      </w:r>
      <w:r w:rsidR="00D07D5C">
        <w:t xml:space="preserve">. However there are epics that it can be discussed also have elegiac characteristics, Apollonius’ </w:t>
      </w:r>
      <w:r w:rsidR="00D07D5C">
        <w:rPr>
          <w:i/>
        </w:rPr>
        <w:t xml:space="preserve">Argonautica </w:t>
      </w:r>
      <w:r w:rsidR="00D07D5C">
        <w:t>for example</w:t>
      </w:r>
      <w:r w:rsidR="00D07D5C">
        <w:rPr>
          <w:rStyle w:val="FootnoteReference"/>
        </w:rPr>
        <w:footnoteReference w:id="40"/>
      </w:r>
      <w:r w:rsidR="00D07D5C">
        <w:t>, also Ovid’s simile of a hedge suddenly catching fire to represent love at first sight</w:t>
      </w:r>
      <w:r w:rsidR="00D07D5C">
        <w:rPr>
          <w:rStyle w:val="FootnoteReference"/>
        </w:rPr>
        <w:footnoteReference w:id="41"/>
      </w:r>
      <w:r w:rsidR="00D07D5C">
        <w:t xml:space="preserve"> has been </w:t>
      </w:r>
      <w:r w:rsidR="00926886">
        <w:t xml:space="preserve">argued to be following </w:t>
      </w:r>
      <w:r w:rsidR="009F21D2">
        <w:t>the Homeric epic tradition of nature similes</w:t>
      </w:r>
      <w:r w:rsidR="009F21D2">
        <w:rPr>
          <w:rStyle w:val="FootnoteReference"/>
        </w:rPr>
        <w:footnoteReference w:id="42"/>
      </w:r>
      <w:r w:rsidR="00926886">
        <w:t xml:space="preserve"> therefore although Ovid may include elegy </w:t>
      </w:r>
      <w:r w:rsidR="00926886">
        <w:rPr>
          <w:i/>
        </w:rPr>
        <w:t xml:space="preserve">Metamorphoses </w:t>
      </w:r>
      <w:r w:rsidR="00926886">
        <w:t>can still be considered an epic</w:t>
      </w:r>
      <w:r w:rsidR="009F21D2">
        <w:t xml:space="preserve">. </w:t>
      </w:r>
      <w:r w:rsidR="00D07D5C">
        <w:rPr>
          <w:i/>
        </w:rPr>
        <w:t xml:space="preserve"> </w:t>
      </w:r>
      <w:r w:rsidR="00D07D5C">
        <w:t xml:space="preserve">  </w:t>
      </w:r>
      <w:r w:rsidR="00DD2348">
        <w:t xml:space="preserve"> </w:t>
      </w:r>
    </w:p>
    <w:p w14:paraId="6EC5EB26" w14:textId="17155505" w:rsidR="00DF4990" w:rsidRDefault="009A32A8">
      <w:r>
        <w:lastRenderedPageBreak/>
        <w:t xml:space="preserve">Ovid can be seen to also be playing with tragedy. </w:t>
      </w:r>
      <w:proofErr w:type="spellStart"/>
      <w:r w:rsidRPr="009A32A8">
        <w:t>Pyramus</w:t>
      </w:r>
      <w:proofErr w:type="spellEnd"/>
      <w:r w:rsidRPr="009A32A8">
        <w:t>'</w:t>
      </w:r>
      <w:r>
        <w:t xml:space="preserve"> death at his own hand</w:t>
      </w:r>
      <w:r>
        <w:rPr>
          <w:rStyle w:val="FootnoteReference"/>
        </w:rPr>
        <w:footnoteReference w:id="43"/>
      </w:r>
      <w:r>
        <w:t xml:space="preserve"> follows the traditionally tragic motif of self-inflicted death</w:t>
      </w:r>
      <w:r>
        <w:rPr>
          <w:rStyle w:val="FootnoteReference"/>
        </w:rPr>
        <w:footnoteReference w:id="44"/>
      </w:r>
      <w:r>
        <w:t xml:space="preserve"> and the language used can be compared to Ennius’ description of Ajax’s suicide</w:t>
      </w:r>
      <w:r>
        <w:rPr>
          <w:rStyle w:val="FootnoteReference"/>
        </w:rPr>
        <w:footnoteReference w:id="45"/>
      </w:r>
      <w:r>
        <w:t>.</w:t>
      </w:r>
      <w:r w:rsidR="007F25AF">
        <w:t xml:space="preserve"> </w:t>
      </w:r>
      <w:r w:rsidR="00974687">
        <w:t xml:space="preserve">The listing of </w:t>
      </w:r>
      <w:r w:rsidR="00974687" w:rsidRPr="00974687">
        <w:t>Bacchus</w:t>
      </w:r>
      <w:r w:rsidR="00974687">
        <w:t>’ epithets</w:t>
      </w:r>
      <w:r w:rsidR="00974687">
        <w:rPr>
          <w:rStyle w:val="FootnoteReference"/>
        </w:rPr>
        <w:footnoteReference w:id="46"/>
      </w:r>
      <w:r w:rsidR="00974687">
        <w:t xml:space="preserve"> can also be compared to </w:t>
      </w:r>
      <w:r w:rsidR="00974687" w:rsidRPr="00974687">
        <w:t xml:space="preserve">Euripides' </w:t>
      </w:r>
      <w:r w:rsidR="00974687" w:rsidRPr="00974687">
        <w:rPr>
          <w:i/>
        </w:rPr>
        <w:t>Bacchae</w:t>
      </w:r>
      <w:r w:rsidR="00974687">
        <w:rPr>
          <w:i/>
        </w:rPr>
        <w:t xml:space="preserve"> </w:t>
      </w:r>
      <w:r w:rsidR="00974687">
        <w:t>as Curley has</w:t>
      </w:r>
      <w:r w:rsidR="00974687">
        <w:rPr>
          <w:rStyle w:val="FootnoteReference"/>
          <w:i/>
        </w:rPr>
        <w:footnoteReference w:id="47"/>
      </w:r>
      <w:r w:rsidR="002D57D2">
        <w:t xml:space="preserve">, </w:t>
      </w:r>
      <w:r w:rsidR="00085C58">
        <w:t>also we see Tisiphone put on a robe that is used by tragic actors</w:t>
      </w:r>
      <w:r w:rsidR="00085C58">
        <w:rPr>
          <w:rStyle w:val="FootnoteReference"/>
        </w:rPr>
        <w:footnoteReference w:id="48"/>
      </w:r>
      <w:r w:rsidR="00085C58">
        <w:t>. So we once more see Ovid including another genre, suggesting that perhaps he is doing this on purpose</w:t>
      </w:r>
      <w:r w:rsidR="00E4255B">
        <w:t xml:space="preserve"> and not following a purely epic </w:t>
      </w:r>
      <w:r w:rsidR="006216B0">
        <w:t>checklist</w:t>
      </w:r>
      <w:r w:rsidR="00085C58">
        <w:t>.</w:t>
      </w:r>
    </w:p>
    <w:p w14:paraId="4808C7DE" w14:textId="06583F6F" w:rsidR="00085C58" w:rsidRDefault="00085C58">
      <w:proofErr w:type="spellStart"/>
      <w:r>
        <w:t>Farrel</w:t>
      </w:r>
      <w:proofErr w:type="spellEnd"/>
      <w:r>
        <w:t xml:space="preserve"> dismisses Kroll’s notion that the genres Ovid includes retain their distinct identity, instead proposing that all the genres Ovid includes are in dialogue with each other and therefore </w:t>
      </w:r>
      <w:r>
        <w:rPr>
          <w:i/>
        </w:rPr>
        <w:t>Metamorphoses</w:t>
      </w:r>
      <w:r>
        <w:t xml:space="preserve"> cannot be pin pointed to one of them individually</w:t>
      </w:r>
      <w:r>
        <w:rPr>
          <w:rStyle w:val="FootnoteReference"/>
        </w:rPr>
        <w:footnoteReference w:id="49"/>
      </w:r>
      <w:r>
        <w:t xml:space="preserve">. We see this dialogue prominently in the story of Polyphemus, here Ovid </w:t>
      </w:r>
      <w:r w:rsidR="00BB3985">
        <w:t>weaves together epic</w:t>
      </w:r>
      <w:r w:rsidR="00BB3985">
        <w:rPr>
          <w:rStyle w:val="FootnoteReference"/>
        </w:rPr>
        <w:footnoteReference w:id="50"/>
      </w:r>
      <w:r w:rsidR="00BB3985">
        <w:t>, pastoral</w:t>
      </w:r>
      <w:r w:rsidR="00BB3985">
        <w:rPr>
          <w:rStyle w:val="FootnoteReference"/>
        </w:rPr>
        <w:footnoteReference w:id="51"/>
      </w:r>
      <w:r w:rsidR="00BB3985">
        <w:t xml:space="preserve"> and elegiac</w:t>
      </w:r>
      <w:r w:rsidR="00BB3985">
        <w:rPr>
          <w:rStyle w:val="FootnoteReference"/>
        </w:rPr>
        <w:footnoteReference w:id="52"/>
      </w:r>
      <w:r w:rsidR="00BB3985">
        <w:t xml:space="preserve"> motifs.</w:t>
      </w:r>
      <w:r w:rsidR="0099359D">
        <w:t xml:space="preserve"> It could then be asked if Ovid is trying to create a new genre all together, but </w:t>
      </w:r>
      <w:proofErr w:type="spellStart"/>
      <w:r w:rsidR="0099359D">
        <w:t>Farrel</w:t>
      </w:r>
      <w:proofErr w:type="spellEnd"/>
      <w:r w:rsidR="0099359D">
        <w:t xml:space="preserve"> says Ovid is not doing this</w:t>
      </w:r>
      <w:r w:rsidR="0099359D">
        <w:rPr>
          <w:rStyle w:val="FootnoteReference"/>
        </w:rPr>
        <w:footnoteReference w:id="53"/>
      </w:r>
      <w:r w:rsidR="0099359D">
        <w:t xml:space="preserve">. This conclusion is reached when you compare Ovid to </w:t>
      </w:r>
      <w:r w:rsidR="0099359D" w:rsidRPr="0099359D">
        <w:t>Theocritus</w:t>
      </w:r>
      <w:r w:rsidR="0099359D">
        <w:t xml:space="preserve">, who was creating a new genre with his </w:t>
      </w:r>
      <w:r w:rsidR="0099359D" w:rsidRPr="0099359D">
        <w:rPr>
          <w:i/>
        </w:rPr>
        <w:t>Idylls</w:t>
      </w:r>
      <w:r w:rsidR="0099359D">
        <w:rPr>
          <w:rStyle w:val="FootnoteReference"/>
          <w:i/>
        </w:rPr>
        <w:footnoteReference w:id="54"/>
      </w:r>
      <w:r w:rsidR="0099359D">
        <w:rPr>
          <w:i/>
        </w:rPr>
        <w:t xml:space="preserve">, </w:t>
      </w:r>
      <w:r w:rsidR="0099359D">
        <w:t>as Theocritus to solve the issue of his new genre being compared to epic makes Polyphemus solely pastoral in a pastoral setting</w:t>
      </w:r>
      <w:r w:rsidR="0099359D">
        <w:rPr>
          <w:rStyle w:val="FootnoteReference"/>
        </w:rPr>
        <w:footnoteReference w:id="55"/>
      </w:r>
      <w:r w:rsidR="0099359D">
        <w:t>. Ovid though has an epic Polyphemus placed in a pastoral setting</w:t>
      </w:r>
      <w:r w:rsidR="00892B68">
        <w:t>, so it can be argued</w:t>
      </w:r>
      <w:r w:rsidR="00EB0A5E">
        <w:t>,</w:t>
      </w:r>
      <w:r w:rsidR="00892B68">
        <w:t xml:space="preserve"> as </w:t>
      </w:r>
      <w:proofErr w:type="spellStart"/>
      <w:r w:rsidR="00892B68">
        <w:t>Farrel</w:t>
      </w:r>
      <w:proofErr w:type="spellEnd"/>
      <w:r w:rsidR="00892B68">
        <w:t xml:space="preserve"> does</w:t>
      </w:r>
      <w:r w:rsidR="00EB0A5E">
        <w:t>,</w:t>
      </w:r>
      <w:r w:rsidR="00892B68">
        <w:t xml:space="preserve"> that Ovid is only arranging generic elements not creating a new and reproducible genre</w:t>
      </w:r>
      <w:r w:rsidR="00892B68">
        <w:rPr>
          <w:rStyle w:val="FootnoteReference"/>
        </w:rPr>
        <w:footnoteReference w:id="56"/>
      </w:r>
      <w:r w:rsidR="00892B68">
        <w:t>.</w:t>
      </w:r>
      <w:r w:rsidR="00EB0A5E">
        <w:t xml:space="preserve"> Also that Ovid either does consider his work to be purely epic or that he at least considers epic to be one of the genres at play, so he then he does not have to try and make sure his work is </w:t>
      </w:r>
      <w:r w:rsidR="000C16A6">
        <w:t xml:space="preserve">not </w:t>
      </w:r>
      <w:r w:rsidR="00EB0A5E">
        <w:t>considered or compared to epic.</w:t>
      </w:r>
    </w:p>
    <w:p w14:paraId="5A3C176C" w14:textId="7E3A6286" w:rsidR="0051441D" w:rsidRPr="00994FA2" w:rsidRDefault="00994FA2">
      <w:r>
        <w:t xml:space="preserve">In conclusion while calling the </w:t>
      </w:r>
      <w:r>
        <w:rPr>
          <w:i/>
        </w:rPr>
        <w:t xml:space="preserve">Metamorphoses </w:t>
      </w:r>
      <w:r>
        <w:t xml:space="preserve">an epic is understandable it confines the work too much. Ovid may not have created a new genre or even have tried to create one but it is obvious that he is not trying to write a standard epic. By going against the rules followed by Roman epic and including generic engagement we can understand that the </w:t>
      </w:r>
      <w:r>
        <w:rPr>
          <w:i/>
        </w:rPr>
        <w:t>Metamorphoses</w:t>
      </w:r>
      <w:r>
        <w:t xml:space="preserve"> is attempting something a lot bolder. Why Ov</w:t>
      </w:r>
      <w:r w:rsidR="00C929D3">
        <w:t>id does this though is unknown,</w:t>
      </w:r>
      <w:r>
        <w:t xml:space="preserve"> </w:t>
      </w:r>
      <w:r w:rsidR="00C929D3">
        <w:t xml:space="preserve">it could be debated that Ovid is trying to </w:t>
      </w:r>
      <w:r>
        <w:t xml:space="preserve">improve on the epic genre by working with both </w:t>
      </w:r>
      <w:proofErr w:type="spellStart"/>
      <w:r w:rsidRPr="00994FA2">
        <w:t>Callimachean</w:t>
      </w:r>
      <w:proofErr w:type="spellEnd"/>
      <w:r w:rsidRPr="00994FA2">
        <w:t xml:space="preserve"> refinement</w:t>
      </w:r>
      <w:r>
        <w:t xml:space="preserve"> and the continuous nature of epic as alluded to in his ‘spinning out’ metaphor</w:t>
      </w:r>
      <w:r>
        <w:rPr>
          <w:rStyle w:val="FootnoteReference"/>
        </w:rPr>
        <w:footnoteReference w:id="57"/>
      </w:r>
      <w:r w:rsidR="00C929D3">
        <w:t xml:space="preserve">. </w:t>
      </w:r>
      <w:r w:rsidR="002E24BA">
        <w:t>Or possibly Ovid wished to challenge the classification of genre, or at least what we define as epic, by having no boundaries when it comes to genre and bemusing his audience</w:t>
      </w:r>
      <w:r w:rsidR="002E24BA">
        <w:rPr>
          <w:rStyle w:val="FootnoteReference"/>
        </w:rPr>
        <w:footnoteReference w:id="58"/>
      </w:r>
      <w:r w:rsidR="002E24BA">
        <w:t>. Perhaps we can know the answer by seeing that Ovid does not evoke the muses like other epics</w:t>
      </w:r>
      <w:r w:rsidR="002E24BA">
        <w:rPr>
          <w:rStyle w:val="FootnoteReference"/>
        </w:rPr>
        <w:footnoteReference w:id="59"/>
      </w:r>
      <w:r w:rsidR="002E24BA">
        <w:t>, instead choosing to call upon all the gods</w:t>
      </w:r>
      <w:r w:rsidR="002E24BA">
        <w:rPr>
          <w:rStyle w:val="FootnoteReference"/>
        </w:rPr>
        <w:footnoteReference w:id="60"/>
      </w:r>
      <w:r w:rsidR="002E24BA">
        <w:t xml:space="preserve"> suggesting </w:t>
      </w:r>
      <w:r w:rsidR="002E24BA">
        <w:lastRenderedPageBreak/>
        <w:t xml:space="preserve">that in his </w:t>
      </w:r>
      <w:r w:rsidR="002E24BA">
        <w:rPr>
          <w:i/>
        </w:rPr>
        <w:t>Metamorphoses</w:t>
      </w:r>
      <w:r w:rsidR="002E24BA">
        <w:t xml:space="preserve"> he wanted there to be sense of all-inclusiveness in genre as </w:t>
      </w:r>
      <w:proofErr w:type="spellStart"/>
      <w:r w:rsidR="002E24BA">
        <w:t>Gildenhard</w:t>
      </w:r>
      <w:proofErr w:type="spellEnd"/>
      <w:r w:rsidR="002E24BA">
        <w:t xml:space="preserve"> and </w:t>
      </w:r>
      <w:proofErr w:type="spellStart"/>
      <w:r w:rsidR="002E24BA">
        <w:t>Zissos</w:t>
      </w:r>
      <w:proofErr w:type="spellEnd"/>
      <w:r w:rsidR="002E24BA">
        <w:t xml:space="preserve"> believe</w:t>
      </w:r>
      <w:r w:rsidR="002E24BA">
        <w:rPr>
          <w:rStyle w:val="FootnoteReference"/>
        </w:rPr>
        <w:footnoteReference w:id="61"/>
      </w:r>
      <w:r w:rsidR="002E24BA">
        <w:t xml:space="preserve">. </w:t>
      </w:r>
    </w:p>
    <w:p w14:paraId="1C5FFB02" w14:textId="10ED2031" w:rsidR="003277A5" w:rsidRDefault="003277A5"/>
    <w:p w14:paraId="73F8A32E" w14:textId="77777777" w:rsidR="003277A5" w:rsidRDefault="003277A5">
      <w:r>
        <w:br w:type="page"/>
      </w:r>
    </w:p>
    <w:p w14:paraId="7E1C1FD5" w14:textId="7CBC7C4E" w:rsidR="003277A5" w:rsidRPr="00BF10DB" w:rsidRDefault="003277A5" w:rsidP="00BF10DB">
      <w:r w:rsidRPr="003277A5">
        <w:rPr>
          <w:u w:val="single"/>
        </w:rPr>
        <w:lastRenderedPageBreak/>
        <w:t>Bibliography:-</w:t>
      </w:r>
      <w:r w:rsidRPr="003277A5">
        <w:rPr>
          <w:u w:val="single"/>
        </w:rPr>
        <w:br/>
        <w:t>Primary Sources</w:t>
      </w:r>
      <w:proofErr w:type="gramStart"/>
      <w:r w:rsidRPr="003277A5">
        <w:rPr>
          <w:u w:val="single"/>
        </w:rPr>
        <w:t>:</w:t>
      </w:r>
      <w:proofErr w:type="gramEnd"/>
      <w:r>
        <w:rPr>
          <w:u w:val="single"/>
        </w:rPr>
        <w:br/>
      </w:r>
      <w:r w:rsidRPr="001C7184">
        <w:t xml:space="preserve">Apollonius </w:t>
      </w:r>
      <w:proofErr w:type="spellStart"/>
      <w:r w:rsidRPr="001C7184">
        <w:t>Rhodius</w:t>
      </w:r>
      <w:proofErr w:type="spellEnd"/>
      <w:r w:rsidRPr="001C7184">
        <w:rPr>
          <w:i/>
        </w:rPr>
        <w:t>, Argonautica</w:t>
      </w:r>
      <w:r w:rsidRPr="001C7184">
        <w:t>. William H. Race (</w:t>
      </w:r>
      <w:proofErr w:type="gramStart"/>
      <w:r w:rsidRPr="001C7184">
        <w:t>trans</w:t>
      </w:r>
      <w:proofErr w:type="gramEnd"/>
      <w:r w:rsidRPr="001C7184">
        <w:t>.). 2009. Loeb</w:t>
      </w:r>
      <w:r>
        <w:br/>
      </w:r>
      <w:r w:rsidRPr="003277A5">
        <w:t xml:space="preserve">Ennius, </w:t>
      </w:r>
      <w:r w:rsidRPr="003277A5">
        <w:rPr>
          <w:i/>
        </w:rPr>
        <w:t>Plays (Tragedies)</w:t>
      </w:r>
      <w:r w:rsidRPr="003277A5">
        <w:t xml:space="preserve">. E. H. </w:t>
      </w:r>
      <w:proofErr w:type="spellStart"/>
      <w:r w:rsidRPr="003277A5">
        <w:t>Warmington</w:t>
      </w:r>
      <w:proofErr w:type="spellEnd"/>
      <w:r w:rsidRPr="003277A5">
        <w:t xml:space="preserve"> (</w:t>
      </w:r>
      <w:proofErr w:type="gramStart"/>
      <w:r w:rsidRPr="003277A5">
        <w:t>trans</w:t>
      </w:r>
      <w:proofErr w:type="gramEnd"/>
      <w:r w:rsidRPr="003277A5">
        <w:t>.). 1935. Loeb</w:t>
      </w:r>
      <w:r>
        <w:br/>
        <w:t xml:space="preserve">Hesiod, </w:t>
      </w:r>
      <w:r w:rsidRPr="006C5747">
        <w:rPr>
          <w:bCs/>
          <w:i/>
          <w:lang w:val="en"/>
        </w:rPr>
        <w:t xml:space="preserve">Theogony. Works and Days. </w:t>
      </w:r>
      <w:proofErr w:type="spellStart"/>
      <w:r w:rsidRPr="006C5747">
        <w:rPr>
          <w:bCs/>
          <w:i/>
          <w:lang w:val="en"/>
        </w:rPr>
        <w:t>Testimonia</w:t>
      </w:r>
      <w:proofErr w:type="spellEnd"/>
      <w:r>
        <w:t xml:space="preserve">. </w:t>
      </w:r>
      <w:r w:rsidRPr="006C5747">
        <w:t>Glenn W. Most</w:t>
      </w:r>
      <w:r>
        <w:t xml:space="preserve"> (</w:t>
      </w:r>
      <w:proofErr w:type="gramStart"/>
      <w:r>
        <w:t>trans</w:t>
      </w:r>
      <w:proofErr w:type="gramEnd"/>
      <w:r>
        <w:t>.). 2007. Loeb</w:t>
      </w:r>
      <w:r>
        <w:br/>
      </w:r>
      <w:r w:rsidRPr="001C7184">
        <w:t xml:space="preserve">Homer, </w:t>
      </w:r>
      <w:proofErr w:type="gramStart"/>
      <w:r w:rsidRPr="001C7184">
        <w:rPr>
          <w:i/>
        </w:rPr>
        <w:t>The</w:t>
      </w:r>
      <w:proofErr w:type="gramEnd"/>
      <w:r w:rsidRPr="001C7184">
        <w:rPr>
          <w:i/>
        </w:rPr>
        <w:t xml:space="preserve"> Iliad. </w:t>
      </w:r>
      <w:r w:rsidRPr="001C7184">
        <w:t xml:space="preserve">E. V. </w:t>
      </w:r>
      <w:proofErr w:type="spellStart"/>
      <w:r w:rsidRPr="001C7184">
        <w:t>Rieu</w:t>
      </w:r>
      <w:proofErr w:type="spellEnd"/>
      <w:r w:rsidRPr="001C7184">
        <w:t xml:space="preserve"> (</w:t>
      </w:r>
      <w:proofErr w:type="gramStart"/>
      <w:r w:rsidRPr="001C7184">
        <w:t>trans</w:t>
      </w:r>
      <w:proofErr w:type="gramEnd"/>
      <w:r w:rsidRPr="001C7184">
        <w:t>.). 2003. London: Penguin</w:t>
      </w:r>
      <w:r>
        <w:br/>
      </w:r>
      <w:r w:rsidRPr="001C7184">
        <w:t xml:space="preserve">Homer, </w:t>
      </w:r>
      <w:proofErr w:type="gramStart"/>
      <w:r w:rsidRPr="001C7184">
        <w:rPr>
          <w:i/>
        </w:rPr>
        <w:t>The</w:t>
      </w:r>
      <w:proofErr w:type="gramEnd"/>
      <w:r w:rsidRPr="001C7184">
        <w:rPr>
          <w:i/>
        </w:rPr>
        <w:t xml:space="preserve"> Odyssey</w:t>
      </w:r>
      <w:r w:rsidRPr="001C7184">
        <w:t xml:space="preserve">. E. V. </w:t>
      </w:r>
      <w:proofErr w:type="spellStart"/>
      <w:r w:rsidRPr="001C7184">
        <w:t>Rieu</w:t>
      </w:r>
      <w:proofErr w:type="spellEnd"/>
      <w:r w:rsidRPr="001C7184">
        <w:t xml:space="preserve"> (</w:t>
      </w:r>
      <w:proofErr w:type="gramStart"/>
      <w:r w:rsidRPr="001C7184">
        <w:t>trans</w:t>
      </w:r>
      <w:proofErr w:type="gramEnd"/>
      <w:r w:rsidRPr="001C7184">
        <w:t>.). 2003. London: Penguin</w:t>
      </w:r>
      <w:r w:rsidR="00BF10DB">
        <w:br/>
      </w:r>
      <w:r w:rsidR="00BF10DB" w:rsidRPr="00BF10DB">
        <w:t>Lucretius</w:t>
      </w:r>
      <w:r w:rsidR="00BF10DB">
        <w:t xml:space="preserve">, </w:t>
      </w:r>
      <w:r w:rsidR="00BF10DB" w:rsidRPr="00BF10DB">
        <w:rPr>
          <w:i/>
        </w:rPr>
        <w:t>On the Nature of Things</w:t>
      </w:r>
      <w:r w:rsidR="00BF10DB">
        <w:t xml:space="preserve">. </w:t>
      </w:r>
      <w:r w:rsidR="00BF10DB" w:rsidRPr="00BF10DB">
        <w:t>W. H. D. Rouse</w:t>
      </w:r>
      <w:r w:rsidR="00BF10DB">
        <w:t xml:space="preserve"> (</w:t>
      </w:r>
      <w:proofErr w:type="gramStart"/>
      <w:r w:rsidR="00BF10DB">
        <w:t>trans</w:t>
      </w:r>
      <w:proofErr w:type="gramEnd"/>
      <w:r w:rsidR="00BF10DB">
        <w:t>.). 1924. Loeb</w:t>
      </w:r>
      <w:r w:rsidR="00985B35">
        <w:br/>
        <w:t xml:space="preserve">Ovid, </w:t>
      </w:r>
      <w:proofErr w:type="spellStart"/>
      <w:r w:rsidR="00985B35" w:rsidRPr="00985B35">
        <w:rPr>
          <w:i/>
        </w:rPr>
        <w:t>Heroides</w:t>
      </w:r>
      <w:proofErr w:type="spellEnd"/>
      <w:r w:rsidR="00985B35" w:rsidRPr="00985B35">
        <w:rPr>
          <w:i/>
        </w:rPr>
        <w:t xml:space="preserve">. </w:t>
      </w:r>
      <w:proofErr w:type="spellStart"/>
      <w:r w:rsidR="00985B35" w:rsidRPr="00985B35">
        <w:rPr>
          <w:i/>
        </w:rPr>
        <w:t>Amores</w:t>
      </w:r>
      <w:proofErr w:type="spellEnd"/>
      <w:r w:rsidR="00985B35">
        <w:t xml:space="preserve">. </w:t>
      </w:r>
      <w:r w:rsidR="00985B35" w:rsidRPr="00985B35">
        <w:t xml:space="preserve">Grant </w:t>
      </w:r>
      <w:proofErr w:type="spellStart"/>
      <w:r w:rsidR="00985B35" w:rsidRPr="00985B35">
        <w:t>Showerman</w:t>
      </w:r>
      <w:proofErr w:type="spellEnd"/>
      <w:r w:rsidR="00985B35">
        <w:t xml:space="preserve"> (</w:t>
      </w:r>
      <w:proofErr w:type="gramStart"/>
      <w:r w:rsidR="00985B35">
        <w:t>trans</w:t>
      </w:r>
      <w:proofErr w:type="gramEnd"/>
      <w:r w:rsidR="00985B35">
        <w:t>.). 1914. Loeb</w:t>
      </w:r>
      <w:r>
        <w:br/>
      </w:r>
      <w:r w:rsidRPr="003277A5">
        <w:t xml:space="preserve">Ovid, </w:t>
      </w:r>
      <w:r w:rsidRPr="003277A5">
        <w:rPr>
          <w:i/>
        </w:rPr>
        <w:t>Metamorphoses</w:t>
      </w:r>
      <w:r w:rsidRPr="003277A5">
        <w:t>. David Raeburn (</w:t>
      </w:r>
      <w:proofErr w:type="gramStart"/>
      <w:r w:rsidRPr="003277A5">
        <w:t>trans</w:t>
      </w:r>
      <w:proofErr w:type="gramEnd"/>
      <w:r w:rsidRPr="003277A5">
        <w:t>.). 2004. London: Penguin</w:t>
      </w:r>
      <w:r w:rsidR="00BF10DB">
        <w:br/>
      </w:r>
      <w:r w:rsidR="00071F41">
        <w:t xml:space="preserve">Sophocles, </w:t>
      </w:r>
      <w:proofErr w:type="gramStart"/>
      <w:r w:rsidR="00071F41">
        <w:rPr>
          <w:i/>
        </w:rPr>
        <w:t>The</w:t>
      </w:r>
      <w:proofErr w:type="gramEnd"/>
      <w:r w:rsidR="00071F41">
        <w:rPr>
          <w:i/>
        </w:rPr>
        <w:t xml:space="preserve"> Three Theban Plays</w:t>
      </w:r>
      <w:r w:rsidR="00071F41">
        <w:t xml:space="preserve">. Robert </w:t>
      </w:r>
      <w:proofErr w:type="spellStart"/>
      <w:r w:rsidR="00071F41">
        <w:t>Fagles</w:t>
      </w:r>
      <w:proofErr w:type="spellEnd"/>
      <w:r w:rsidR="00071F41">
        <w:t xml:space="preserve"> (</w:t>
      </w:r>
      <w:proofErr w:type="gramStart"/>
      <w:r w:rsidR="00071F41">
        <w:t>trans</w:t>
      </w:r>
      <w:proofErr w:type="gramEnd"/>
      <w:r w:rsidR="00071F41">
        <w:t xml:space="preserve">.). 1982. </w:t>
      </w:r>
      <w:r w:rsidR="00071F41" w:rsidRPr="00071F41">
        <w:t>London: Penguin</w:t>
      </w:r>
      <w:bookmarkStart w:id="0" w:name="_GoBack"/>
      <w:bookmarkEnd w:id="0"/>
      <w:r w:rsidR="00BF10DB">
        <w:br/>
      </w:r>
      <w:r w:rsidR="00BF10DB">
        <w:t>Theocritus</w:t>
      </w:r>
      <w:r w:rsidR="00BF10DB">
        <w:t xml:space="preserve">, </w:t>
      </w:r>
      <w:r w:rsidR="00BF10DB" w:rsidRPr="00BF10DB">
        <w:rPr>
          <w:i/>
        </w:rPr>
        <w:t xml:space="preserve">Theocritus. </w:t>
      </w:r>
      <w:proofErr w:type="spellStart"/>
      <w:r w:rsidR="00BF10DB" w:rsidRPr="00BF10DB">
        <w:rPr>
          <w:i/>
        </w:rPr>
        <w:t>Moschus</w:t>
      </w:r>
      <w:proofErr w:type="spellEnd"/>
      <w:r w:rsidR="00BF10DB" w:rsidRPr="00BF10DB">
        <w:rPr>
          <w:i/>
        </w:rPr>
        <w:t xml:space="preserve">. </w:t>
      </w:r>
      <w:proofErr w:type="spellStart"/>
      <w:r w:rsidR="00BF10DB" w:rsidRPr="00BF10DB">
        <w:rPr>
          <w:i/>
        </w:rPr>
        <w:t>Bion</w:t>
      </w:r>
      <w:proofErr w:type="spellEnd"/>
      <w:r w:rsidR="00BF10DB">
        <w:t xml:space="preserve">. </w:t>
      </w:r>
      <w:r w:rsidR="00BF10DB" w:rsidRPr="00BF10DB">
        <w:t>Neil Hopkinson</w:t>
      </w:r>
      <w:r w:rsidR="00BF10DB">
        <w:t xml:space="preserve"> (</w:t>
      </w:r>
      <w:proofErr w:type="gramStart"/>
      <w:r w:rsidR="00BF10DB">
        <w:t>trans</w:t>
      </w:r>
      <w:proofErr w:type="gramEnd"/>
      <w:r w:rsidR="00BF10DB">
        <w:t>.). 2015. Loeb</w:t>
      </w:r>
      <w:r w:rsidR="00985B35">
        <w:br/>
        <w:t xml:space="preserve">Virgil, </w:t>
      </w:r>
      <w:r w:rsidR="00985B35">
        <w:rPr>
          <w:i/>
        </w:rPr>
        <w:t>Aeneid</w:t>
      </w:r>
      <w:r w:rsidR="00985B35">
        <w:t xml:space="preserve">. Frederick </w:t>
      </w:r>
      <w:proofErr w:type="spellStart"/>
      <w:r w:rsidR="00985B35">
        <w:t>Ahl</w:t>
      </w:r>
      <w:proofErr w:type="spellEnd"/>
      <w:r w:rsidR="00985B35">
        <w:t xml:space="preserve"> (</w:t>
      </w:r>
      <w:proofErr w:type="gramStart"/>
      <w:r w:rsidR="00985B35">
        <w:t>trans</w:t>
      </w:r>
      <w:proofErr w:type="gramEnd"/>
      <w:r w:rsidR="00985B35">
        <w:t>.). 2007. Oxford: Oxford University Press</w:t>
      </w:r>
    </w:p>
    <w:p w14:paraId="17FE2F7C" w14:textId="77777777" w:rsidR="003277A5" w:rsidRPr="003277A5" w:rsidRDefault="003277A5" w:rsidP="003277A5">
      <w:r w:rsidRPr="003277A5">
        <w:rPr>
          <w:u w:val="single"/>
        </w:rPr>
        <w:t>Modern Sources:</w:t>
      </w:r>
      <w:r w:rsidRPr="003277A5">
        <w:rPr>
          <w:u w:val="single"/>
        </w:rPr>
        <w:br/>
      </w:r>
      <w:proofErr w:type="spellStart"/>
      <w:r w:rsidRPr="003277A5">
        <w:t>Farrel</w:t>
      </w:r>
      <w:proofErr w:type="spellEnd"/>
      <w:r w:rsidRPr="003277A5">
        <w:t>, J. 1992, ‘Dialogue of Genres in Ovid’s ‘</w:t>
      </w:r>
      <w:proofErr w:type="spellStart"/>
      <w:r w:rsidRPr="003277A5">
        <w:t>Lovesong</w:t>
      </w:r>
      <w:proofErr w:type="spellEnd"/>
      <w:r w:rsidRPr="003277A5">
        <w:t xml:space="preserve"> of Polyphemus’ (Met. 13.719-897)’, </w:t>
      </w:r>
      <w:r w:rsidRPr="003277A5">
        <w:rPr>
          <w:i/>
        </w:rPr>
        <w:t>The American Journal of Philology</w:t>
      </w:r>
      <w:r w:rsidRPr="003277A5">
        <w:t>, Vol. 113, 235-268</w:t>
      </w:r>
      <w:r w:rsidRPr="003277A5">
        <w:br/>
      </w:r>
      <w:proofErr w:type="spellStart"/>
      <w:r w:rsidRPr="003277A5">
        <w:t>Gildenhard</w:t>
      </w:r>
      <w:proofErr w:type="spellEnd"/>
      <w:r w:rsidRPr="003277A5">
        <w:t xml:space="preserve">, I and </w:t>
      </w:r>
      <w:proofErr w:type="spellStart"/>
      <w:r w:rsidRPr="003277A5">
        <w:t>Zissos</w:t>
      </w:r>
      <w:proofErr w:type="spellEnd"/>
      <w:r w:rsidRPr="003277A5">
        <w:t xml:space="preserve">, A. 2000, ‘Inspirational Fictions: Autobiography and Generic Reflexivity in Ovid's Proems’, </w:t>
      </w:r>
      <w:r w:rsidRPr="003277A5">
        <w:rPr>
          <w:i/>
        </w:rPr>
        <w:t>Greece &amp; Rome</w:t>
      </w:r>
      <w:r w:rsidRPr="003277A5">
        <w:t>, Vol. 47, 67-79</w:t>
      </w:r>
      <w:r w:rsidRPr="003277A5">
        <w:br/>
        <w:t xml:space="preserve">Keith, A. 2002, ‘Sources and Genres in Ovid’s </w:t>
      </w:r>
      <w:r w:rsidRPr="003277A5">
        <w:rPr>
          <w:i/>
        </w:rPr>
        <w:t xml:space="preserve">Metamorphoses </w:t>
      </w:r>
      <w:r w:rsidRPr="003277A5">
        <w:t xml:space="preserve">1-5’, in B.W. Boyd (ed.), </w:t>
      </w:r>
      <w:r w:rsidRPr="003277A5">
        <w:rPr>
          <w:i/>
        </w:rPr>
        <w:t>Brill’s Companion to Ovid</w:t>
      </w:r>
      <w:r w:rsidRPr="003277A5">
        <w:t xml:space="preserve">, Leiden: Brill, 235-269 </w:t>
      </w:r>
      <w:r w:rsidRPr="003277A5">
        <w:br/>
        <w:t xml:space="preserve">Newlands, C.E. 2009, ‘Ovid’, in J.M. Foley (ed.), </w:t>
      </w:r>
      <w:r w:rsidRPr="003277A5">
        <w:rPr>
          <w:i/>
        </w:rPr>
        <w:t xml:space="preserve">A Companion To Ancient Epic, </w:t>
      </w:r>
      <w:r w:rsidRPr="003277A5">
        <w:t>West Sussex: Blackwell Publishing Ltd, 476-491</w:t>
      </w:r>
      <w:r w:rsidRPr="003277A5">
        <w:br/>
        <w:t xml:space="preserve">Rutherford, R. 2005, </w:t>
      </w:r>
      <w:r w:rsidRPr="003277A5">
        <w:rPr>
          <w:i/>
        </w:rPr>
        <w:t xml:space="preserve">Classical Literature A Concise History, </w:t>
      </w:r>
      <w:r w:rsidRPr="003277A5">
        <w:t>Oxford: Blackwell Publishing Ltd</w:t>
      </w:r>
    </w:p>
    <w:p w14:paraId="786D373D" w14:textId="77777777" w:rsidR="00085C58" w:rsidRPr="00974687" w:rsidRDefault="00085C58"/>
    <w:sectPr w:rsidR="00085C58" w:rsidRPr="009746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533618" w14:textId="77777777" w:rsidR="004F51D3" w:rsidRDefault="004F51D3" w:rsidP="00305CD4">
      <w:pPr>
        <w:spacing w:after="0" w:line="240" w:lineRule="auto"/>
      </w:pPr>
      <w:r>
        <w:separator/>
      </w:r>
    </w:p>
  </w:endnote>
  <w:endnote w:type="continuationSeparator" w:id="0">
    <w:p w14:paraId="2C36296E" w14:textId="77777777" w:rsidR="004F51D3" w:rsidRDefault="004F51D3" w:rsidP="00305C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AB8CC8" w14:textId="77777777" w:rsidR="004F51D3" w:rsidRDefault="004F51D3" w:rsidP="00305CD4">
      <w:pPr>
        <w:spacing w:after="0" w:line="240" w:lineRule="auto"/>
      </w:pPr>
      <w:r>
        <w:separator/>
      </w:r>
    </w:p>
  </w:footnote>
  <w:footnote w:type="continuationSeparator" w:id="0">
    <w:p w14:paraId="3600409B" w14:textId="77777777" w:rsidR="004F51D3" w:rsidRDefault="004F51D3" w:rsidP="00305CD4">
      <w:pPr>
        <w:spacing w:after="0" w:line="240" w:lineRule="auto"/>
      </w:pPr>
      <w:r>
        <w:continuationSeparator/>
      </w:r>
    </w:p>
  </w:footnote>
  <w:footnote w:id="1">
    <w:p w14:paraId="2A12DFC8" w14:textId="1565F8E3" w:rsidR="00985B35" w:rsidRDefault="00985B35">
      <w:pPr>
        <w:pStyle w:val="FootnoteText"/>
      </w:pPr>
      <w:r>
        <w:rPr>
          <w:rStyle w:val="FootnoteReference"/>
        </w:rPr>
        <w:footnoteRef/>
      </w:r>
      <w:r>
        <w:t xml:space="preserve"> Newlands 2009: 476-177</w:t>
      </w:r>
    </w:p>
  </w:footnote>
  <w:footnote w:id="2">
    <w:p w14:paraId="311FB953" w14:textId="77777777" w:rsidR="00985B35" w:rsidRDefault="00985B35">
      <w:pPr>
        <w:pStyle w:val="FootnoteText"/>
      </w:pPr>
      <w:r>
        <w:rPr>
          <w:rStyle w:val="FootnoteReference"/>
        </w:rPr>
        <w:footnoteRef/>
      </w:r>
      <w:r>
        <w:t xml:space="preserve"> Newlands 2009: 477</w:t>
      </w:r>
    </w:p>
  </w:footnote>
  <w:footnote w:id="3">
    <w:p w14:paraId="50E94580" w14:textId="41555AB6" w:rsidR="00985B35" w:rsidRDefault="00985B35">
      <w:pPr>
        <w:pStyle w:val="FootnoteText"/>
      </w:pPr>
      <w:r>
        <w:rPr>
          <w:rStyle w:val="FootnoteReference"/>
        </w:rPr>
        <w:footnoteRef/>
      </w:r>
      <w:r>
        <w:t xml:space="preserve"> Ov.</w:t>
      </w:r>
      <w:r w:rsidRPr="005F08DF">
        <w:rPr>
          <w:i/>
        </w:rPr>
        <w:t>Am</w:t>
      </w:r>
      <w:r>
        <w:t>.</w:t>
      </w:r>
      <w:r w:rsidRPr="005F08DF">
        <w:t>2.1.11-12</w:t>
      </w:r>
    </w:p>
  </w:footnote>
  <w:footnote w:id="4">
    <w:p w14:paraId="28415322" w14:textId="7E1A1FBE" w:rsidR="00985B35" w:rsidRDefault="00985B35">
      <w:pPr>
        <w:pStyle w:val="FootnoteText"/>
      </w:pPr>
      <w:r>
        <w:rPr>
          <w:rStyle w:val="FootnoteReference"/>
        </w:rPr>
        <w:footnoteRef/>
      </w:r>
      <w:r>
        <w:t xml:space="preserve"> Keith</w:t>
      </w:r>
      <w:r w:rsidRPr="005F08DF">
        <w:t xml:space="preserve"> 2002</w:t>
      </w:r>
      <w:r>
        <w:t>: 236</w:t>
      </w:r>
    </w:p>
  </w:footnote>
  <w:footnote w:id="5">
    <w:p w14:paraId="21C04924" w14:textId="0FAC95C9" w:rsidR="00985B35" w:rsidRDefault="00985B35">
      <w:pPr>
        <w:pStyle w:val="FootnoteText"/>
      </w:pPr>
      <w:r>
        <w:rPr>
          <w:rStyle w:val="FootnoteReference"/>
        </w:rPr>
        <w:footnoteRef/>
      </w:r>
      <w:r>
        <w:t xml:space="preserve"> </w:t>
      </w:r>
      <w:r w:rsidRPr="005F08DF">
        <w:t>Keith 2002:</w:t>
      </w:r>
      <w:r>
        <w:t xml:space="preserve"> 236</w:t>
      </w:r>
    </w:p>
  </w:footnote>
  <w:footnote w:id="6">
    <w:p w14:paraId="11B75819" w14:textId="0285BCC1" w:rsidR="00985B35" w:rsidRPr="005F08DF" w:rsidRDefault="00985B35">
      <w:pPr>
        <w:pStyle w:val="FootnoteText"/>
      </w:pPr>
      <w:r>
        <w:rPr>
          <w:rStyle w:val="FootnoteReference"/>
        </w:rPr>
        <w:footnoteRef/>
      </w:r>
      <w:r>
        <w:t xml:space="preserve"> Ov.</w:t>
      </w:r>
      <w:r w:rsidRPr="005F08DF">
        <w:rPr>
          <w:i/>
        </w:rPr>
        <w:t>Met</w:t>
      </w:r>
      <w:r>
        <w:rPr>
          <w:i/>
        </w:rPr>
        <w:t>.</w:t>
      </w:r>
      <w:r>
        <w:t>1.1</w:t>
      </w:r>
    </w:p>
  </w:footnote>
  <w:footnote w:id="7">
    <w:p w14:paraId="5329514C" w14:textId="5FA6FA46" w:rsidR="00985B35" w:rsidRDefault="00985B35">
      <w:pPr>
        <w:pStyle w:val="FootnoteText"/>
      </w:pPr>
      <w:r>
        <w:rPr>
          <w:rStyle w:val="FootnoteReference"/>
        </w:rPr>
        <w:footnoteRef/>
      </w:r>
      <w:r>
        <w:t xml:space="preserve"> Hom.</w:t>
      </w:r>
      <w:r w:rsidRPr="00E2641F">
        <w:rPr>
          <w:i/>
        </w:rPr>
        <w:t>Od</w:t>
      </w:r>
      <w:r>
        <w:t>.</w:t>
      </w:r>
      <w:r w:rsidRPr="00E2641F">
        <w:t>1.347</w:t>
      </w:r>
    </w:p>
  </w:footnote>
  <w:footnote w:id="8">
    <w:p w14:paraId="01F37516" w14:textId="5E9BE1EB" w:rsidR="00985B35" w:rsidRDefault="00985B35">
      <w:pPr>
        <w:pStyle w:val="FootnoteText"/>
      </w:pPr>
      <w:r>
        <w:rPr>
          <w:rStyle w:val="FootnoteReference"/>
        </w:rPr>
        <w:footnoteRef/>
      </w:r>
      <w:r>
        <w:t xml:space="preserve"> </w:t>
      </w:r>
      <w:r w:rsidRPr="00E2641F">
        <w:t>Keith 2002</w:t>
      </w:r>
      <w:r>
        <w:t>: 237</w:t>
      </w:r>
    </w:p>
  </w:footnote>
  <w:footnote w:id="9">
    <w:p w14:paraId="6E3D0E27" w14:textId="3CF1FB2D" w:rsidR="00985B35" w:rsidRDefault="00985B35">
      <w:pPr>
        <w:pStyle w:val="FootnoteText"/>
      </w:pPr>
      <w:r>
        <w:rPr>
          <w:rStyle w:val="FootnoteReference"/>
        </w:rPr>
        <w:footnoteRef/>
      </w:r>
      <w:r>
        <w:t xml:space="preserve"> </w:t>
      </w:r>
      <w:r w:rsidRPr="00E2641F">
        <w:t>Keith 2002:</w:t>
      </w:r>
      <w:r>
        <w:t xml:space="preserve"> 235</w:t>
      </w:r>
    </w:p>
  </w:footnote>
  <w:footnote w:id="10">
    <w:p w14:paraId="2BEB763C" w14:textId="50B6CD46" w:rsidR="00985B35" w:rsidRDefault="00985B35">
      <w:pPr>
        <w:pStyle w:val="FootnoteText"/>
      </w:pPr>
      <w:r>
        <w:rPr>
          <w:rStyle w:val="FootnoteReference"/>
        </w:rPr>
        <w:footnoteRef/>
      </w:r>
      <w:r>
        <w:t xml:space="preserve"> Newlands </w:t>
      </w:r>
      <w:r w:rsidRPr="00F81418">
        <w:t>2009</w:t>
      </w:r>
      <w:r>
        <w:t>: 477</w:t>
      </w:r>
    </w:p>
  </w:footnote>
  <w:footnote w:id="11">
    <w:p w14:paraId="63521983" w14:textId="23DC382F" w:rsidR="00985B35" w:rsidRPr="00E45A92" w:rsidRDefault="00985B35">
      <w:pPr>
        <w:pStyle w:val="FootnoteText"/>
      </w:pPr>
      <w:r>
        <w:rPr>
          <w:rStyle w:val="FootnoteReference"/>
        </w:rPr>
        <w:footnoteRef/>
      </w:r>
      <w:r>
        <w:t xml:space="preserve"> Hom.</w:t>
      </w:r>
      <w:r>
        <w:rPr>
          <w:i/>
        </w:rPr>
        <w:t>Il.</w:t>
      </w:r>
      <w:r>
        <w:t>1.1-6</w:t>
      </w:r>
    </w:p>
  </w:footnote>
  <w:footnote w:id="12">
    <w:p w14:paraId="0E6E7EC4" w14:textId="247DCB1D" w:rsidR="00985B35" w:rsidRDefault="00985B35">
      <w:pPr>
        <w:pStyle w:val="FootnoteText"/>
      </w:pPr>
      <w:r>
        <w:rPr>
          <w:rStyle w:val="FootnoteReference"/>
        </w:rPr>
        <w:footnoteRef/>
      </w:r>
      <w:r>
        <w:t xml:space="preserve"> </w:t>
      </w:r>
      <w:r w:rsidRPr="00F81418">
        <w:t>Newlands 2009</w:t>
      </w:r>
      <w:r>
        <w:t>: 479</w:t>
      </w:r>
    </w:p>
  </w:footnote>
  <w:footnote w:id="13">
    <w:p w14:paraId="49C94C2C" w14:textId="52642B01" w:rsidR="00985B35" w:rsidRDefault="00985B35">
      <w:pPr>
        <w:pStyle w:val="FootnoteText"/>
      </w:pPr>
      <w:r>
        <w:rPr>
          <w:rStyle w:val="FootnoteReference"/>
        </w:rPr>
        <w:footnoteRef/>
      </w:r>
      <w:r>
        <w:t xml:space="preserve"> Ov.</w:t>
      </w:r>
      <w:r w:rsidRPr="00E45A92">
        <w:rPr>
          <w:i/>
        </w:rPr>
        <w:t>Met</w:t>
      </w:r>
      <w:r>
        <w:t>.</w:t>
      </w:r>
      <w:r w:rsidRPr="00E45A92">
        <w:t>1.1</w:t>
      </w:r>
      <w:r>
        <w:t>-4</w:t>
      </w:r>
    </w:p>
  </w:footnote>
  <w:footnote w:id="14">
    <w:p w14:paraId="10ADDF4E" w14:textId="0C9C24F5" w:rsidR="00985B35" w:rsidRDefault="00985B35">
      <w:pPr>
        <w:pStyle w:val="FootnoteText"/>
      </w:pPr>
      <w:r>
        <w:rPr>
          <w:rStyle w:val="FootnoteReference"/>
        </w:rPr>
        <w:footnoteRef/>
      </w:r>
      <w:r>
        <w:t xml:space="preserve"> </w:t>
      </w:r>
      <w:r w:rsidRPr="00AD018D">
        <w:t>Newlands 2009:</w:t>
      </w:r>
      <w:r>
        <w:t xml:space="preserve"> 477</w:t>
      </w:r>
    </w:p>
  </w:footnote>
  <w:footnote w:id="15">
    <w:p w14:paraId="52A587DC" w14:textId="67D2AD96" w:rsidR="00985B35" w:rsidRDefault="00985B35">
      <w:pPr>
        <w:pStyle w:val="FootnoteText"/>
      </w:pPr>
      <w:r>
        <w:rPr>
          <w:rStyle w:val="FootnoteReference"/>
        </w:rPr>
        <w:footnoteRef/>
      </w:r>
      <w:r>
        <w:t xml:space="preserve"> Ov.</w:t>
      </w:r>
      <w:r>
        <w:rPr>
          <w:i/>
        </w:rPr>
        <w:t>Met.</w:t>
      </w:r>
      <w:r w:rsidRPr="00AD018D">
        <w:t>1.</w:t>
      </w:r>
      <w:r>
        <w:t>454-460</w:t>
      </w:r>
    </w:p>
  </w:footnote>
  <w:footnote w:id="16">
    <w:p w14:paraId="46AF5931" w14:textId="185A46BC" w:rsidR="00985B35" w:rsidRDefault="00985B35">
      <w:pPr>
        <w:pStyle w:val="FootnoteText"/>
      </w:pPr>
      <w:r>
        <w:rPr>
          <w:rStyle w:val="FootnoteReference"/>
        </w:rPr>
        <w:footnoteRef/>
      </w:r>
      <w:r>
        <w:t xml:space="preserve"> Ov.</w:t>
      </w:r>
      <w:r>
        <w:rPr>
          <w:i/>
        </w:rPr>
        <w:t>Met.</w:t>
      </w:r>
      <w:r w:rsidRPr="00AD018D">
        <w:t>1.465-74</w:t>
      </w:r>
    </w:p>
  </w:footnote>
  <w:footnote w:id="17">
    <w:p w14:paraId="4ABE72CD" w14:textId="5A585BB5" w:rsidR="00985B35" w:rsidRDefault="00985B35">
      <w:pPr>
        <w:pStyle w:val="FootnoteText"/>
      </w:pPr>
      <w:r>
        <w:rPr>
          <w:rStyle w:val="FootnoteReference"/>
        </w:rPr>
        <w:footnoteRef/>
      </w:r>
      <w:r>
        <w:t xml:space="preserve"> Ov.</w:t>
      </w:r>
      <w:r>
        <w:rPr>
          <w:i/>
        </w:rPr>
        <w:t>Met.</w:t>
      </w:r>
      <w:r>
        <w:t>8.300-415</w:t>
      </w:r>
    </w:p>
  </w:footnote>
  <w:footnote w:id="18">
    <w:p w14:paraId="0DB833B3" w14:textId="532DE7B8" w:rsidR="00985B35" w:rsidRDefault="00985B35">
      <w:pPr>
        <w:pStyle w:val="FootnoteText"/>
      </w:pPr>
      <w:r>
        <w:rPr>
          <w:rStyle w:val="FootnoteReference"/>
        </w:rPr>
        <w:footnoteRef/>
      </w:r>
      <w:r>
        <w:t xml:space="preserve"> Newlands 2009: 477</w:t>
      </w:r>
    </w:p>
  </w:footnote>
  <w:footnote w:id="19">
    <w:p w14:paraId="6FF8077C" w14:textId="0AC31E8D" w:rsidR="00985B35" w:rsidRPr="00993D30" w:rsidRDefault="00985B35">
      <w:pPr>
        <w:pStyle w:val="FootnoteText"/>
      </w:pPr>
      <w:r>
        <w:rPr>
          <w:rStyle w:val="FootnoteReference"/>
        </w:rPr>
        <w:footnoteRef/>
      </w:r>
      <w:r>
        <w:t xml:space="preserve"> Ov.</w:t>
      </w:r>
      <w:r>
        <w:rPr>
          <w:i/>
        </w:rPr>
        <w:t>Met.</w:t>
      </w:r>
      <w:r>
        <w:t>5.9</w:t>
      </w:r>
    </w:p>
  </w:footnote>
  <w:footnote w:id="20">
    <w:p w14:paraId="24BCD1AC" w14:textId="5E4DB62E" w:rsidR="00985B35" w:rsidRDefault="00985B35">
      <w:pPr>
        <w:pStyle w:val="FootnoteText"/>
      </w:pPr>
      <w:r>
        <w:rPr>
          <w:rStyle w:val="FootnoteReference"/>
        </w:rPr>
        <w:footnoteRef/>
      </w:r>
      <w:r>
        <w:t xml:space="preserve"> Verg.</w:t>
      </w:r>
      <w:r w:rsidRPr="00993D30">
        <w:rPr>
          <w:i/>
        </w:rPr>
        <w:t>A</w:t>
      </w:r>
      <w:r>
        <w:t>.</w:t>
      </w:r>
      <w:r w:rsidRPr="00993D30">
        <w:t>10.762</w:t>
      </w:r>
    </w:p>
  </w:footnote>
  <w:footnote w:id="21">
    <w:p w14:paraId="6A720B17" w14:textId="332CA5CE" w:rsidR="00985B35" w:rsidRDefault="00985B35">
      <w:pPr>
        <w:pStyle w:val="FootnoteText"/>
      </w:pPr>
      <w:r>
        <w:rPr>
          <w:rStyle w:val="FootnoteReference"/>
        </w:rPr>
        <w:footnoteRef/>
      </w:r>
      <w:r>
        <w:t xml:space="preserve"> Keith</w:t>
      </w:r>
      <w:r w:rsidRPr="005A74EA">
        <w:t xml:space="preserve"> 2002</w:t>
      </w:r>
      <w:r>
        <w:t>: 245</w:t>
      </w:r>
    </w:p>
  </w:footnote>
  <w:footnote w:id="22">
    <w:p w14:paraId="7FA31C54" w14:textId="43B9FB33" w:rsidR="00985B35" w:rsidRDefault="00985B35">
      <w:pPr>
        <w:pStyle w:val="FootnoteText"/>
      </w:pPr>
      <w:r>
        <w:rPr>
          <w:rStyle w:val="FootnoteReference"/>
        </w:rPr>
        <w:footnoteRef/>
      </w:r>
      <w:r>
        <w:t xml:space="preserve"> Newlands</w:t>
      </w:r>
      <w:r w:rsidRPr="001D75B3">
        <w:t xml:space="preserve"> 2009</w:t>
      </w:r>
      <w:r>
        <w:t>: 477</w:t>
      </w:r>
    </w:p>
  </w:footnote>
  <w:footnote w:id="23">
    <w:p w14:paraId="61FE3A56" w14:textId="652115FC" w:rsidR="00985B35" w:rsidRDefault="00985B35">
      <w:pPr>
        <w:pStyle w:val="FootnoteText"/>
      </w:pPr>
      <w:r>
        <w:rPr>
          <w:rStyle w:val="FootnoteReference"/>
        </w:rPr>
        <w:footnoteRef/>
      </w:r>
      <w:r>
        <w:t xml:space="preserve"> Ov.</w:t>
      </w:r>
      <w:r w:rsidRPr="00D25040">
        <w:rPr>
          <w:i/>
        </w:rPr>
        <w:t>Met</w:t>
      </w:r>
      <w:r w:rsidRPr="00D25040">
        <w:t>.13</w:t>
      </w:r>
      <w:r>
        <w:t>.</w:t>
      </w:r>
      <w:r w:rsidRPr="00D25040">
        <w:t>623-14.580</w:t>
      </w:r>
    </w:p>
  </w:footnote>
  <w:footnote w:id="24">
    <w:p w14:paraId="549E34A4" w14:textId="57E9987E" w:rsidR="00985B35" w:rsidRDefault="00985B35">
      <w:pPr>
        <w:pStyle w:val="FootnoteText"/>
      </w:pPr>
      <w:r>
        <w:rPr>
          <w:rStyle w:val="FootnoteReference"/>
        </w:rPr>
        <w:footnoteRef/>
      </w:r>
      <w:r>
        <w:t xml:space="preserve"> </w:t>
      </w:r>
      <w:r w:rsidRPr="001A05B7">
        <w:t>Newlands 2009</w:t>
      </w:r>
      <w:r>
        <w:t>: 478</w:t>
      </w:r>
    </w:p>
  </w:footnote>
  <w:footnote w:id="25">
    <w:p w14:paraId="3A772519" w14:textId="01C2CDE7" w:rsidR="00985B35" w:rsidRDefault="00985B35">
      <w:pPr>
        <w:pStyle w:val="FootnoteText"/>
      </w:pPr>
      <w:r>
        <w:rPr>
          <w:rStyle w:val="FootnoteReference"/>
        </w:rPr>
        <w:footnoteRef/>
      </w:r>
      <w:r>
        <w:t xml:space="preserve"> Rutherford 2005: 43</w:t>
      </w:r>
    </w:p>
  </w:footnote>
  <w:footnote w:id="26">
    <w:p w14:paraId="5FAF109B" w14:textId="024D809E" w:rsidR="00985B35" w:rsidRPr="00C75273" w:rsidRDefault="00985B35">
      <w:pPr>
        <w:pStyle w:val="FootnoteText"/>
      </w:pPr>
      <w:r>
        <w:rPr>
          <w:rStyle w:val="FootnoteReference"/>
        </w:rPr>
        <w:footnoteRef/>
      </w:r>
      <w:r>
        <w:t xml:space="preserve"> Ov.</w:t>
      </w:r>
      <w:r>
        <w:rPr>
          <w:i/>
        </w:rPr>
        <w:t>Met.</w:t>
      </w:r>
      <w:r w:rsidRPr="00C75273">
        <w:t>13.404</w:t>
      </w:r>
    </w:p>
  </w:footnote>
  <w:footnote w:id="27">
    <w:p w14:paraId="012C16F7" w14:textId="59B7FA2F" w:rsidR="00985B35" w:rsidRDefault="00985B35">
      <w:pPr>
        <w:pStyle w:val="FootnoteText"/>
      </w:pPr>
      <w:r>
        <w:rPr>
          <w:rStyle w:val="FootnoteReference"/>
        </w:rPr>
        <w:footnoteRef/>
      </w:r>
      <w:r>
        <w:t xml:space="preserve"> </w:t>
      </w:r>
      <w:r w:rsidRPr="00E2641F">
        <w:t>Keith 2002</w:t>
      </w:r>
      <w:r>
        <w:t>: 245</w:t>
      </w:r>
    </w:p>
  </w:footnote>
  <w:footnote w:id="28">
    <w:p w14:paraId="62B9F9B3" w14:textId="66E8290E" w:rsidR="00985B35" w:rsidRDefault="00985B35">
      <w:pPr>
        <w:pStyle w:val="FootnoteText"/>
      </w:pPr>
      <w:r>
        <w:rPr>
          <w:rStyle w:val="FootnoteReference"/>
        </w:rPr>
        <w:footnoteRef/>
      </w:r>
      <w:r>
        <w:t xml:space="preserve"> Newlands</w:t>
      </w:r>
      <w:r w:rsidRPr="00BB2F36">
        <w:t xml:space="preserve"> 2009</w:t>
      </w:r>
      <w:r>
        <w:t>: 478</w:t>
      </w:r>
    </w:p>
  </w:footnote>
  <w:footnote w:id="29">
    <w:p w14:paraId="4242B966" w14:textId="59F8182D" w:rsidR="00985B35" w:rsidRDefault="00985B35">
      <w:pPr>
        <w:pStyle w:val="FootnoteText"/>
      </w:pPr>
      <w:r>
        <w:rPr>
          <w:rStyle w:val="FootnoteReference"/>
        </w:rPr>
        <w:footnoteRef/>
      </w:r>
      <w:r>
        <w:t xml:space="preserve"> Keith</w:t>
      </w:r>
      <w:r w:rsidRPr="004A404D">
        <w:t xml:space="preserve"> 2002</w:t>
      </w:r>
      <w:r>
        <w:t>: 237</w:t>
      </w:r>
    </w:p>
  </w:footnote>
  <w:footnote w:id="30">
    <w:p w14:paraId="4A51F91A" w14:textId="50CC7224" w:rsidR="00985B35" w:rsidRPr="00FB369D" w:rsidRDefault="00985B35">
      <w:pPr>
        <w:pStyle w:val="FootnoteText"/>
      </w:pPr>
      <w:r>
        <w:rPr>
          <w:rStyle w:val="FootnoteReference"/>
        </w:rPr>
        <w:footnoteRef/>
      </w:r>
      <w:r>
        <w:t xml:space="preserve"> </w:t>
      </w:r>
      <w:proofErr w:type="spellStart"/>
      <w:r>
        <w:t>Hes.</w:t>
      </w:r>
      <w:r w:rsidRPr="00FB369D">
        <w:rPr>
          <w:i/>
        </w:rPr>
        <w:t>Th</w:t>
      </w:r>
      <w:proofErr w:type="spellEnd"/>
      <w:r>
        <w:t>. 1.104-116</w:t>
      </w:r>
    </w:p>
  </w:footnote>
  <w:footnote w:id="31">
    <w:p w14:paraId="18F26627" w14:textId="47347624" w:rsidR="00985B35" w:rsidRDefault="00985B35">
      <w:pPr>
        <w:pStyle w:val="FootnoteText"/>
      </w:pPr>
      <w:r>
        <w:rPr>
          <w:rStyle w:val="FootnoteReference"/>
        </w:rPr>
        <w:footnoteRef/>
      </w:r>
      <w:r>
        <w:t xml:space="preserve"> Lucr.1.50-62</w:t>
      </w:r>
    </w:p>
  </w:footnote>
  <w:footnote w:id="32">
    <w:p w14:paraId="46176A68" w14:textId="630F42CF" w:rsidR="00985B35" w:rsidRPr="00B214F2" w:rsidRDefault="00985B35">
      <w:pPr>
        <w:pStyle w:val="FootnoteText"/>
      </w:pPr>
      <w:r>
        <w:rPr>
          <w:rStyle w:val="FootnoteReference"/>
        </w:rPr>
        <w:footnoteRef/>
      </w:r>
      <w:r>
        <w:t xml:space="preserve"> Ov.</w:t>
      </w:r>
      <w:r>
        <w:rPr>
          <w:i/>
        </w:rPr>
        <w:t>Met.</w:t>
      </w:r>
      <w:r w:rsidRPr="00B214F2">
        <w:t>1.5-88</w:t>
      </w:r>
    </w:p>
  </w:footnote>
  <w:footnote w:id="33">
    <w:p w14:paraId="44C4DCA6" w14:textId="4A8D98D7" w:rsidR="00985B35" w:rsidRDefault="00985B35">
      <w:pPr>
        <w:pStyle w:val="FootnoteText"/>
      </w:pPr>
      <w:r>
        <w:rPr>
          <w:rStyle w:val="FootnoteReference"/>
        </w:rPr>
        <w:footnoteRef/>
      </w:r>
      <w:r>
        <w:t xml:space="preserve"> Keith 2002: </w:t>
      </w:r>
      <w:r w:rsidRPr="00B214F2">
        <w:t>239-240</w:t>
      </w:r>
    </w:p>
  </w:footnote>
  <w:footnote w:id="34">
    <w:p w14:paraId="51569F7A" w14:textId="371F8E40" w:rsidR="00985B35" w:rsidRDefault="00985B35">
      <w:pPr>
        <w:pStyle w:val="FootnoteText"/>
      </w:pPr>
      <w:r>
        <w:rPr>
          <w:rStyle w:val="FootnoteReference"/>
        </w:rPr>
        <w:footnoteRef/>
      </w:r>
      <w:r>
        <w:t xml:space="preserve"> Ov.</w:t>
      </w:r>
      <w:r w:rsidRPr="005F08DF">
        <w:rPr>
          <w:i/>
        </w:rPr>
        <w:t>Am</w:t>
      </w:r>
      <w:r>
        <w:t>.</w:t>
      </w:r>
      <w:r w:rsidRPr="00981786">
        <w:t>1.1.1-4</w:t>
      </w:r>
    </w:p>
  </w:footnote>
  <w:footnote w:id="35">
    <w:p w14:paraId="536E2F9C" w14:textId="5E3911F5" w:rsidR="00985B35" w:rsidRDefault="00985B35">
      <w:pPr>
        <w:pStyle w:val="FootnoteText"/>
      </w:pPr>
      <w:r>
        <w:rPr>
          <w:rStyle w:val="FootnoteReference"/>
        </w:rPr>
        <w:footnoteRef/>
      </w:r>
      <w:r>
        <w:t xml:space="preserve"> </w:t>
      </w:r>
      <w:proofErr w:type="spellStart"/>
      <w:r w:rsidRPr="00496186">
        <w:t>Gildenhard</w:t>
      </w:r>
      <w:proofErr w:type="spellEnd"/>
      <w:r>
        <w:t xml:space="preserve"> and </w:t>
      </w:r>
      <w:proofErr w:type="spellStart"/>
      <w:r w:rsidRPr="00496186">
        <w:t>Zissos</w:t>
      </w:r>
      <w:proofErr w:type="spellEnd"/>
      <w:r>
        <w:t xml:space="preserve"> 2000: 72</w:t>
      </w:r>
    </w:p>
  </w:footnote>
  <w:footnote w:id="36">
    <w:p w14:paraId="48E9CB94" w14:textId="025B39A2" w:rsidR="00985B35" w:rsidRDefault="00985B35">
      <w:pPr>
        <w:pStyle w:val="FootnoteText"/>
      </w:pPr>
      <w:r>
        <w:rPr>
          <w:rStyle w:val="FootnoteReference"/>
        </w:rPr>
        <w:footnoteRef/>
      </w:r>
      <w:r>
        <w:t xml:space="preserve"> </w:t>
      </w:r>
      <w:r w:rsidRPr="003721C9">
        <w:t>Rutherford 2005:</w:t>
      </w:r>
      <w:r>
        <w:t xml:space="preserve"> 40</w:t>
      </w:r>
    </w:p>
  </w:footnote>
  <w:footnote w:id="37">
    <w:p w14:paraId="23E9C7E3" w14:textId="6ACF8B4A" w:rsidR="00985B35" w:rsidRDefault="00985B35">
      <w:pPr>
        <w:pStyle w:val="FootnoteText"/>
      </w:pPr>
      <w:r>
        <w:rPr>
          <w:rStyle w:val="FootnoteReference"/>
        </w:rPr>
        <w:footnoteRef/>
      </w:r>
      <w:r>
        <w:t xml:space="preserve"> Ov.</w:t>
      </w:r>
      <w:r>
        <w:rPr>
          <w:i/>
        </w:rPr>
        <w:t>Met.</w:t>
      </w:r>
      <w:r w:rsidRPr="00C33762">
        <w:t>1.490-502</w:t>
      </w:r>
    </w:p>
  </w:footnote>
  <w:footnote w:id="38">
    <w:p w14:paraId="16CD74C6" w14:textId="6D7D74F6" w:rsidR="00985B35" w:rsidRDefault="00985B35">
      <w:pPr>
        <w:pStyle w:val="FootnoteText"/>
      </w:pPr>
      <w:r>
        <w:rPr>
          <w:rStyle w:val="FootnoteReference"/>
        </w:rPr>
        <w:footnoteRef/>
      </w:r>
      <w:r>
        <w:t xml:space="preserve"> Ov.</w:t>
      </w:r>
      <w:r>
        <w:rPr>
          <w:i/>
        </w:rPr>
        <w:t>Met.</w:t>
      </w:r>
      <w:r w:rsidRPr="00C33762">
        <w:t>1.502-42</w:t>
      </w:r>
    </w:p>
  </w:footnote>
  <w:footnote w:id="39">
    <w:p w14:paraId="16E914A3" w14:textId="010AED94" w:rsidR="00985B35" w:rsidRDefault="00985B35">
      <w:pPr>
        <w:pStyle w:val="FootnoteText"/>
      </w:pPr>
      <w:r>
        <w:rPr>
          <w:rStyle w:val="FootnoteReference"/>
        </w:rPr>
        <w:footnoteRef/>
      </w:r>
      <w:r>
        <w:t xml:space="preserve"> Ov.</w:t>
      </w:r>
      <w:r>
        <w:rPr>
          <w:i/>
        </w:rPr>
        <w:t>Met.</w:t>
      </w:r>
      <w:r>
        <w:t>1</w:t>
      </w:r>
      <w:r w:rsidRPr="00DD2348">
        <w:t>.521-24</w:t>
      </w:r>
    </w:p>
  </w:footnote>
  <w:footnote w:id="40">
    <w:p w14:paraId="39D975C5" w14:textId="7A8EDF2A" w:rsidR="00985B35" w:rsidRDefault="00985B35">
      <w:pPr>
        <w:pStyle w:val="FootnoteText"/>
      </w:pPr>
      <w:r>
        <w:rPr>
          <w:rStyle w:val="FootnoteReference"/>
        </w:rPr>
        <w:footnoteRef/>
      </w:r>
      <w:r>
        <w:t xml:space="preserve"> </w:t>
      </w:r>
      <w:r w:rsidRPr="005E13CB">
        <w:t>Apollon.</w:t>
      </w:r>
      <w:r>
        <w:t>3.1-5</w:t>
      </w:r>
    </w:p>
  </w:footnote>
  <w:footnote w:id="41">
    <w:p w14:paraId="3A4FF1FA" w14:textId="6F25071D" w:rsidR="00985B35" w:rsidRDefault="00985B35">
      <w:pPr>
        <w:pStyle w:val="FootnoteText"/>
      </w:pPr>
      <w:r>
        <w:rPr>
          <w:rStyle w:val="FootnoteReference"/>
        </w:rPr>
        <w:footnoteRef/>
      </w:r>
      <w:r>
        <w:t xml:space="preserve"> Ov.</w:t>
      </w:r>
      <w:r>
        <w:rPr>
          <w:i/>
        </w:rPr>
        <w:t>Met.</w:t>
      </w:r>
      <w:r w:rsidRPr="005E13CB">
        <w:t>1.492-95</w:t>
      </w:r>
    </w:p>
  </w:footnote>
  <w:footnote w:id="42">
    <w:p w14:paraId="46ED0703" w14:textId="62E62DC3" w:rsidR="00985B35" w:rsidRDefault="00985B35">
      <w:pPr>
        <w:pStyle w:val="FootnoteText"/>
      </w:pPr>
      <w:r>
        <w:rPr>
          <w:rStyle w:val="FootnoteReference"/>
        </w:rPr>
        <w:footnoteRef/>
      </w:r>
      <w:r>
        <w:t xml:space="preserve"> Keith</w:t>
      </w:r>
      <w:r w:rsidRPr="004A404D">
        <w:t xml:space="preserve"> 2002</w:t>
      </w:r>
      <w:r>
        <w:t>: 248</w:t>
      </w:r>
    </w:p>
  </w:footnote>
  <w:footnote w:id="43">
    <w:p w14:paraId="2E54E35F" w14:textId="4BE55905" w:rsidR="00985B35" w:rsidRPr="009A32A8" w:rsidRDefault="00985B35">
      <w:pPr>
        <w:pStyle w:val="FootnoteText"/>
      </w:pPr>
      <w:r>
        <w:rPr>
          <w:rStyle w:val="FootnoteReference"/>
        </w:rPr>
        <w:footnoteRef/>
      </w:r>
      <w:r>
        <w:t xml:space="preserve"> Ov.</w:t>
      </w:r>
      <w:r>
        <w:rPr>
          <w:i/>
        </w:rPr>
        <w:t>Met.</w:t>
      </w:r>
      <w:r w:rsidRPr="009A32A8">
        <w:t>4.118-24</w:t>
      </w:r>
    </w:p>
  </w:footnote>
  <w:footnote w:id="44">
    <w:p w14:paraId="3CC8C72A" w14:textId="22FCBC74" w:rsidR="00985B35" w:rsidRDefault="00985B35">
      <w:pPr>
        <w:pStyle w:val="FootnoteText"/>
      </w:pPr>
      <w:r>
        <w:rPr>
          <w:rStyle w:val="FootnoteReference"/>
        </w:rPr>
        <w:footnoteRef/>
      </w:r>
      <w:r>
        <w:t xml:space="preserve"> Soph.</w:t>
      </w:r>
      <w:r w:rsidRPr="00355F99">
        <w:rPr>
          <w:i/>
        </w:rPr>
        <w:t>Ant</w:t>
      </w:r>
      <w:r w:rsidRPr="00355F99">
        <w:t>.</w:t>
      </w:r>
      <w:r>
        <w:t>1441</w:t>
      </w:r>
    </w:p>
  </w:footnote>
  <w:footnote w:id="45">
    <w:p w14:paraId="4CCDC15C" w14:textId="1FC6223B" w:rsidR="00985B35" w:rsidRPr="009A32A8" w:rsidRDefault="00985B35">
      <w:pPr>
        <w:pStyle w:val="FootnoteText"/>
      </w:pPr>
      <w:r>
        <w:rPr>
          <w:rStyle w:val="FootnoteReference"/>
        </w:rPr>
        <w:footnoteRef/>
      </w:r>
      <w:r>
        <w:t xml:space="preserve"> Ennius.</w:t>
      </w:r>
      <w:r>
        <w:rPr>
          <w:i/>
        </w:rPr>
        <w:t>Ajax</w:t>
      </w:r>
      <w:r>
        <w:t>.23</w:t>
      </w:r>
    </w:p>
  </w:footnote>
  <w:footnote w:id="46">
    <w:p w14:paraId="283FD37F" w14:textId="5509E4BD" w:rsidR="00985B35" w:rsidRDefault="00985B35">
      <w:pPr>
        <w:pStyle w:val="FootnoteText"/>
      </w:pPr>
      <w:r>
        <w:rPr>
          <w:rStyle w:val="FootnoteReference"/>
        </w:rPr>
        <w:footnoteRef/>
      </w:r>
      <w:r>
        <w:t xml:space="preserve"> Ov.</w:t>
      </w:r>
      <w:r w:rsidRPr="00974687">
        <w:rPr>
          <w:i/>
        </w:rPr>
        <w:t>Met</w:t>
      </w:r>
      <w:r w:rsidRPr="00974687">
        <w:t>.4.11-17</w:t>
      </w:r>
    </w:p>
  </w:footnote>
  <w:footnote w:id="47">
    <w:p w14:paraId="64F71E53" w14:textId="289DC7DA" w:rsidR="00985B35" w:rsidRDefault="00985B35">
      <w:pPr>
        <w:pStyle w:val="FootnoteText"/>
      </w:pPr>
      <w:r>
        <w:rPr>
          <w:rStyle w:val="FootnoteReference"/>
        </w:rPr>
        <w:footnoteRef/>
      </w:r>
      <w:r>
        <w:t xml:space="preserve"> </w:t>
      </w:r>
      <w:r w:rsidRPr="00085C58">
        <w:t>Keith 2002:</w:t>
      </w:r>
      <w:r>
        <w:t xml:space="preserve"> 259</w:t>
      </w:r>
    </w:p>
  </w:footnote>
  <w:footnote w:id="48">
    <w:p w14:paraId="3E27406A" w14:textId="20133835" w:rsidR="00985B35" w:rsidRPr="00085C58" w:rsidRDefault="00985B35">
      <w:pPr>
        <w:pStyle w:val="FootnoteText"/>
      </w:pPr>
      <w:r>
        <w:rPr>
          <w:rStyle w:val="FootnoteReference"/>
        </w:rPr>
        <w:footnoteRef/>
      </w:r>
      <w:r>
        <w:t xml:space="preserve"> Ov.</w:t>
      </w:r>
      <w:r>
        <w:rPr>
          <w:i/>
        </w:rPr>
        <w:t>Met.</w:t>
      </w:r>
      <w:r>
        <w:t>4.482-483</w:t>
      </w:r>
    </w:p>
  </w:footnote>
  <w:footnote w:id="49">
    <w:p w14:paraId="42DD0727" w14:textId="267D1313" w:rsidR="00985B35" w:rsidRDefault="00985B35">
      <w:pPr>
        <w:pStyle w:val="FootnoteText"/>
      </w:pPr>
      <w:r>
        <w:rPr>
          <w:rStyle w:val="FootnoteReference"/>
        </w:rPr>
        <w:footnoteRef/>
      </w:r>
      <w:r>
        <w:t xml:space="preserve"> </w:t>
      </w:r>
      <w:proofErr w:type="spellStart"/>
      <w:r>
        <w:t>Farrel</w:t>
      </w:r>
      <w:proofErr w:type="spellEnd"/>
      <w:r w:rsidRPr="00085C58">
        <w:t xml:space="preserve"> 1992</w:t>
      </w:r>
      <w:r>
        <w:t>: 256-238</w:t>
      </w:r>
    </w:p>
  </w:footnote>
  <w:footnote w:id="50">
    <w:p w14:paraId="6A68C684" w14:textId="45888370" w:rsidR="00985B35" w:rsidRPr="00BB3985" w:rsidRDefault="00985B35">
      <w:pPr>
        <w:pStyle w:val="FootnoteText"/>
      </w:pPr>
      <w:r>
        <w:rPr>
          <w:rStyle w:val="FootnoteReference"/>
        </w:rPr>
        <w:footnoteRef/>
      </w:r>
      <w:r>
        <w:t xml:space="preserve"> Ov.</w:t>
      </w:r>
      <w:r>
        <w:rPr>
          <w:i/>
        </w:rPr>
        <w:t>Met.</w:t>
      </w:r>
      <w:r>
        <w:t>13.882-883</w:t>
      </w:r>
    </w:p>
  </w:footnote>
  <w:footnote w:id="51">
    <w:p w14:paraId="0115014E" w14:textId="21273E8D" w:rsidR="00985B35" w:rsidRPr="00BB3985" w:rsidRDefault="00985B35">
      <w:pPr>
        <w:pStyle w:val="FootnoteText"/>
      </w:pPr>
      <w:r>
        <w:rPr>
          <w:rStyle w:val="FootnoteReference"/>
        </w:rPr>
        <w:footnoteRef/>
      </w:r>
      <w:r>
        <w:t xml:space="preserve"> Ov.</w:t>
      </w:r>
      <w:r>
        <w:rPr>
          <w:i/>
        </w:rPr>
        <w:t>Met.</w:t>
      </w:r>
      <w:r>
        <w:t>13.784-785</w:t>
      </w:r>
    </w:p>
  </w:footnote>
  <w:footnote w:id="52">
    <w:p w14:paraId="6698C596" w14:textId="7997590C" w:rsidR="00985B35" w:rsidRPr="00BB3985" w:rsidRDefault="00985B35">
      <w:pPr>
        <w:pStyle w:val="FootnoteText"/>
      </w:pPr>
      <w:r>
        <w:rPr>
          <w:rStyle w:val="FootnoteReference"/>
        </w:rPr>
        <w:footnoteRef/>
      </w:r>
      <w:r>
        <w:t xml:space="preserve"> Ov.</w:t>
      </w:r>
      <w:r>
        <w:rPr>
          <w:i/>
        </w:rPr>
        <w:t>Met.</w:t>
      </w:r>
      <w:r>
        <w:t>13.764-766</w:t>
      </w:r>
    </w:p>
  </w:footnote>
  <w:footnote w:id="53">
    <w:p w14:paraId="01FEEE4C" w14:textId="596788F4" w:rsidR="00985B35" w:rsidRDefault="00985B35">
      <w:pPr>
        <w:pStyle w:val="FootnoteText"/>
      </w:pPr>
      <w:r>
        <w:rPr>
          <w:rStyle w:val="FootnoteReference"/>
        </w:rPr>
        <w:footnoteRef/>
      </w:r>
      <w:r>
        <w:t xml:space="preserve"> </w:t>
      </w:r>
      <w:proofErr w:type="spellStart"/>
      <w:r>
        <w:t>Farrel</w:t>
      </w:r>
      <w:proofErr w:type="spellEnd"/>
      <w:r w:rsidRPr="00085C58">
        <w:t xml:space="preserve"> 1992</w:t>
      </w:r>
      <w:r>
        <w:t>: 242</w:t>
      </w:r>
    </w:p>
  </w:footnote>
  <w:footnote w:id="54">
    <w:p w14:paraId="4928E099" w14:textId="7B34FC2F" w:rsidR="00985B35" w:rsidRDefault="00985B35">
      <w:pPr>
        <w:pStyle w:val="FootnoteText"/>
      </w:pPr>
      <w:r>
        <w:rPr>
          <w:rStyle w:val="FootnoteReference"/>
        </w:rPr>
        <w:footnoteRef/>
      </w:r>
      <w:r>
        <w:t xml:space="preserve"> </w:t>
      </w:r>
      <w:proofErr w:type="spellStart"/>
      <w:r>
        <w:t>Farrel</w:t>
      </w:r>
      <w:proofErr w:type="spellEnd"/>
      <w:r w:rsidRPr="00085C58">
        <w:t xml:space="preserve"> 1992</w:t>
      </w:r>
      <w:r>
        <w:t>: 242</w:t>
      </w:r>
    </w:p>
  </w:footnote>
  <w:footnote w:id="55">
    <w:p w14:paraId="13B53A97" w14:textId="2AB930EA" w:rsidR="00985B35" w:rsidRDefault="00985B35">
      <w:pPr>
        <w:pStyle w:val="FootnoteText"/>
      </w:pPr>
      <w:r>
        <w:rPr>
          <w:rStyle w:val="FootnoteReference"/>
        </w:rPr>
        <w:footnoteRef/>
      </w:r>
      <w:r>
        <w:t xml:space="preserve"> </w:t>
      </w:r>
      <w:proofErr w:type="spellStart"/>
      <w:r>
        <w:t>Theoc</w:t>
      </w:r>
      <w:proofErr w:type="spellEnd"/>
      <w:r>
        <w:t>.</w:t>
      </w:r>
      <w:r w:rsidRPr="00892B68">
        <w:rPr>
          <w:i/>
        </w:rPr>
        <w:t xml:space="preserve"> Id</w:t>
      </w:r>
      <w:r>
        <w:t>.6.6-11</w:t>
      </w:r>
    </w:p>
  </w:footnote>
  <w:footnote w:id="56">
    <w:p w14:paraId="336C8BD5" w14:textId="66CFEF3B" w:rsidR="00985B35" w:rsidRDefault="00985B35">
      <w:pPr>
        <w:pStyle w:val="FootnoteText"/>
      </w:pPr>
      <w:r>
        <w:rPr>
          <w:rStyle w:val="FootnoteReference"/>
        </w:rPr>
        <w:footnoteRef/>
      </w:r>
      <w:r>
        <w:t xml:space="preserve"> </w:t>
      </w:r>
      <w:proofErr w:type="spellStart"/>
      <w:r>
        <w:t>Farrel</w:t>
      </w:r>
      <w:proofErr w:type="spellEnd"/>
      <w:r w:rsidRPr="00085C58">
        <w:t xml:space="preserve"> 1992</w:t>
      </w:r>
      <w:r>
        <w:t>: 242</w:t>
      </w:r>
    </w:p>
  </w:footnote>
  <w:footnote w:id="57">
    <w:p w14:paraId="3855D290" w14:textId="6E848C05" w:rsidR="00985B35" w:rsidRDefault="00985B35">
      <w:pPr>
        <w:pStyle w:val="FootnoteText"/>
      </w:pPr>
      <w:r>
        <w:rPr>
          <w:rStyle w:val="FootnoteReference"/>
        </w:rPr>
        <w:footnoteRef/>
      </w:r>
      <w:r>
        <w:t xml:space="preserve"> Ov.</w:t>
      </w:r>
      <w:r>
        <w:rPr>
          <w:i/>
        </w:rPr>
        <w:t>Met.</w:t>
      </w:r>
      <w:r>
        <w:t>1.4</w:t>
      </w:r>
    </w:p>
  </w:footnote>
  <w:footnote w:id="58">
    <w:p w14:paraId="44FF0711" w14:textId="77E810D4" w:rsidR="00985B35" w:rsidRDefault="00985B35">
      <w:pPr>
        <w:pStyle w:val="FootnoteText"/>
      </w:pPr>
      <w:r>
        <w:rPr>
          <w:rStyle w:val="FootnoteReference"/>
        </w:rPr>
        <w:footnoteRef/>
      </w:r>
      <w:r>
        <w:t xml:space="preserve"> </w:t>
      </w:r>
      <w:proofErr w:type="spellStart"/>
      <w:r w:rsidRPr="002E24BA">
        <w:t>Gildenhard</w:t>
      </w:r>
      <w:proofErr w:type="spellEnd"/>
      <w:r w:rsidRPr="002E24BA">
        <w:t xml:space="preserve"> and </w:t>
      </w:r>
      <w:proofErr w:type="spellStart"/>
      <w:r w:rsidRPr="002E24BA">
        <w:t>Zissos</w:t>
      </w:r>
      <w:proofErr w:type="spellEnd"/>
      <w:r w:rsidRPr="002E24BA">
        <w:t xml:space="preserve"> 2000:</w:t>
      </w:r>
      <w:r>
        <w:t xml:space="preserve"> 68-76</w:t>
      </w:r>
    </w:p>
  </w:footnote>
  <w:footnote w:id="59">
    <w:p w14:paraId="4740EFEF" w14:textId="2E88D43A" w:rsidR="00985B35" w:rsidRDefault="00985B35">
      <w:pPr>
        <w:pStyle w:val="FootnoteText"/>
      </w:pPr>
      <w:r>
        <w:rPr>
          <w:rStyle w:val="FootnoteReference"/>
        </w:rPr>
        <w:footnoteRef/>
      </w:r>
      <w:r>
        <w:t xml:space="preserve"> Hom.</w:t>
      </w:r>
      <w:r w:rsidRPr="00E2641F">
        <w:rPr>
          <w:i/>
        </w:rPr>
        <w:t>Od</w:t>
      </w:r>
      <w:r>
        <w:t>.1.1</w:t>
      </w:r>
    </w:p>
  </w:footnote>
  <w:footnote w:id="60">
    <w:p w14:paraId="70A26347" w14:textId="1CBCF308" w:rsidR="00985B35" w:rsidRDefault="00985B35">
      <w:pPr>
        <w:pStyle w:val="FootnoteText"/>
      </w:pPr>
      <w:r>
        <w:rPr>
          <w:rStyle w:val="FootnoteReference"/>
        </w:rPr>
        <w:footnoteRef/>
      </w:r>
      <w:r>
        <w:t xml:space="preserve"> Ov.</w:t>
      </w:r>
      <w:r>
        <w:rPr>
          <w:i/>
        </w:rPr>
        <w:t>Met.</w:t>
      </w:r>
      <w:r>
        <w:t>1.2</w:t>
      </w:r>
    </w:p>
  </w:footnote>
  <w:footnote w:id="61">
    <w:p w14:paraId="20E2A119" w14:textId="54F3E2CD" w:rsidR="00985B35" w:rsidRDefault="00985B35">
      <w:pPr>
        <w:pStyle w:val="FootnoteText"/>
      </w:pPr>
      <w:r>
        <w:rPr>
          <w:rStyle w:val="FootnoteReference"/>
        </w:rPr>
        <w:footnoteRef/>
      </w:r>
      <w:r>
        <w:t xml:space="preserve"> </w:t>
      </w:r>
      <w:proofErr w:type="spellStart"/>
      <w:r w:rsidRPr="002E24BA">
        <w:t>Gildenhard</w:t>
      </w:r>
      <w:proofErr w:type="spellEnd"/>
      <w:r w:rsidRPr="002E24BA">
        <w:t xml:space="preserve"> and </w:t>
      </w:r>
      <w:proofErr w:type="spellStart"/>
      <w:r w:rsidRPr="002E24BA">
        <w:t>Zissos</w:t>
      </w:r>
      <w:proofErr w:type="spellEnd"/>
      <w:r w:rsidRPr="002E24BA">
        <w:t xml:space="preserve"> 2000:</w:t>
      </w:r>
      <w:r>
        <w:t xml:space="preserve"> 69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5CD4"/>
    <w:rsid w:val="00010E4D"/>
    <w:rsid w:val="00071F41"/>
    <w:rsid w:val="00085C58"/>
    <w:rsid w:val="000A36C8"/>
    <w:rsid w:val="000A5D28"/>
    <w:rsid w:val="000C16A6"/>
    <w:rsid w:val="00142E9D"/>
    <w:rsid w:val="00196FA1"/>
    <w:rsid w:val="001A05B7"/>
    <w:rsid w:val="001C5412"/>
    <w:rsid w:val="001D75B3"/>
    <w:rsid w:val="001E5C9B"/>
    <w:rsid w:val="001F2D95"/>
    <w:rsid w:val="0027170C"/>
    <w:rsid w:val="002A5298"/>
    <w:rsid w:val="002A66B0"/>
    <w:rsid w:val="002D57D2"/>
    <w:rsid w:val="002E24BA"/>
    <w:rsid w:val="00305CD4"/>
    <w:rsid w:val="003218C9"/>
    <w:rsid w:val="003277A5"/>
    <w:rsid w:val="00355F99"/>
    <w:rsid w:val="003721C9"/>
    <w:rsid w:val="003861F5"/>
    <w:rsid w:val="00390387"/>
    <w:rsid w:val="00424384"/>
    <w:rsid w:val="004A404D"/>
    <w:rsid w:val="004D7AB4"/>
    <w:rsid w:val="004F51D3"/>
    <w:rsid w:val="0051441D"/>
    <w:rsid w:val="005A74EA"/>
    <w:rsid w:val="005D1CF9"/>
    <w:rsid w:val="005E13CB"/>
    <w:rsid w:val="005F08DF"/>
    <w:rsid w:val="006216B0"/>
    <w:rsid w:val="006B3F57"/>
    <w:rsid w:val="006C12E2"/>
    <w:rsid w:val="00752CB5"/>
    <w:rsid w:val="007F25AF"/>
    <w:rsid w:val="00833D0E"/>
    <w:rsid w:val="00892B68"/>
    <w:rsid w:val="008C3939"/>
    <w:rsid w:val="0090620C"/>
    <w:rsid w:val="00917AD8"/>
    <w:rsid w:val="00924787"/>
    <w:rsid w:val="00926886"/>
    <w:rsid w:val="009643FC"/>
    <w:rsid w:val="00974687"/>
    <w:rsid w:val="00981786"/>
    <w:rsid w:val="00985B35"/>
    <w:rsid w:val="0099359D"/>
    <w:rsid w:val="00993D30"/>
    <w:rsid w:val="00994FA2"/>
    <w:rsid w:val="009A32A8"/>
    <w:rsid w:val="009F21D2"/>
    <w:rsid w:val="00A1136E"/>
    <w:rsid w:val="00A550EF"/>
    <w:rsid w:val="00A704A4"/>
    <w:rsid w:val="00AD018D"/>
    <w:rsid w:val="00B214F2"/>
    <w:rsid w:val="00B51FBC"/>
    <w:rsid w:val="00B7078F"/>
    <w:rsid w:val="00B73BC3"/>
    <w:rsid w:val="00BB2F36"/>
    <w:rsid w:val="00BB3985"/>
    <w:rsid w:val="00BB5E2E"/>
    <w:rsid w:val="00BC60FB"/>
    <w:rsid w:val="00BF10DB"/>
    <w:rsid w:val="00C07C3E"/>
    <w:rsid w:val="00C16485"/>
    <w:rsid w:val="00C33762"/>
    <w:rsid w:val="00C75273"/>
    <w:rsid w:val="00C929D3"/>
    <w:rsid w:val="00D07D5C"/>
    <w:rsid w:val="00D21C69"/>
    <w:rsid w:val="00D25040"/>
    <w:rsid w:val="00DD2348"/>
    <w:rsid w:val="00DE6E6C"/>
    <w:rsid w:val="00DF4990"/>
    <w:rsid w:val="00E2641F"/>
    <w:rsid w:val="00E40991"/>
    <w:rsid w:val="00E4255B"/>
    <w:rsid w:val="00E45A92"/>
    <w:rsid w:val="00E60BE8"/>
    <w:rsid w:val="00E8794C"/>
    <w:rsid w:val="00EB0A5E"/>
    <w:rsid w:val="00F72AE3"/>
    <w:rsid w:val="00F81418"/>
    <w:rsid w:val="00FB3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ED2D7"/>
  <w15:chartTrackingRefBased/>
  <w15:docId w15:val="{4D008231-969D-4659-855E-46B9471D3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5C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CD4"/>
  </w:style>
  <w:style w:type="paragraph" w:styleId="Footer">
    <w:name w:val="footer"/>
    <w:basedOn w:val="Normal"/>
    <w:link w:val="FooterChar"/>
    <w:uiPriority w:val="99"/>
    <w:unhideWhenUsed/>
    <w:rsid w:val="00305C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CD4"/>
  </w:style>
  <w:style w:type="paragraph" w:styleId="FootnoteText">
    <w:name w:val="footnote text"/>
    <w:basedOn w:val="Normal"/>
    <w:link w:val="FootnoteTextChar"/>
    <w:uiPriority w:val="99"/>
    <w:semiHidden/>
    <w:unhideWhenUsed/>
    <w:rsid w:val="00305C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5CD4"/>
    <w:rPr>
      <w:sz w:val="20"/>
      <w:szCs w:val="20"/>
    </w:rPr>
  </w:style>
  <w:style w:type="character" w:styleId="FootnoteReference">
    <w:name w:val="footnote reference"/>
    <w:basedOn w:val="DefaultParagraphFont"/>
    <w:uiPriority w:val="99"/>
    <w:semiHidden/>
    <w:unhideWhenUsed/>
    <w:rsid w:val="00305CD4"/>
    <w:rPr>
      <w:vertAlign w:val="superscript"/>
    </w:rPr>
  </w:style>
  <w:style w:type="character" w:styleId="CommentReference">
    <w:name w:val="annotation reference"/>
    <w:basedOn w:val="DefaultParagraphFont"/>
    <w:uiPriority w:val="99"/>
    <w:semiHidden/>
    <w:unhideWhenUsed/>
    <w:rsid w:val="00BC60FB"/>
    <w:rPr>
      <w:sz w:val="16"/>
      <w:szCs w:val="16"/>
    </w:rPr>
  </w:style>
  <w:style w:type="paragraph" w:styleId="CommentText">
    <w:name w:val="annotation text"/>
    <w:basedOn w:val="Normal"/>
    <w:link w:val="CommentTextChar"/>
    <w:uiPriority w:val="99"/>
    <w:unhideWhenUsed/>
    <w:rsid w:val="00BC60FB"/>
    <w:pPr>
      <w:spacing w:line="240" w:lineRule="auto"/>
    </w:pPr>
    <w:rPr>
      <w:sz w:val="20"/>
      <w:szCs w:val="20"/>
    </w:rPr>
  </w:style>
  <w:style w:type="character" w:customStyle="1" w:styleId="CommentTextChar">
    <w:name w:val="Comment Text Char"/>
    <w:basedOn w:val="DefaultParagraphFont"/>
    <w:link w:val="CommentText"/>
    <w:uiPriority w:val="99"/>
    <w:rsid w:val="00BC60FB"/>
    <w:rPr>
      <w:sz w:val="20"/>
      <w:szCs w:val="20"/>
    </w:rPr>
  </w:style>
  <w:style w:type="paragraph" w:styleId="CommentSubject">
    <w:name w:val="annotation subject"/>
    <w:basedOn w:val="CommentText"/>
    <w:next w:val="CommentText"/>
    <w:link w:val="CommentSubjectChar"/>
    <w:uiPriority w:val="99"/>
    <w:semiHidden/>
    <w:unhideWhenUsed/>
    <w:rsid w:val="00BC60FB"/>
    <w:rPr>
      <w:b/>
      <w:bCs/>
    </w:rPr>
  </w:style>
  <w:style w:type="character" w:customStyle="1" w:styleId="CommentSubjectChar">
    <w:name w:val="Comment Subject Char"/>
    <w:basedOn w:val="CommentTextChar"/>
    <w:link w:val="CommentSubject"/>
    <w:uiPriority w:val="99"/>
    <w:semiHidden/>
    <w:rsid w:val="00BC60FB"/>
    <w:rPr>
      <w:b/>
      <w:bCs/>
      <w:sz w:val="20"/>
      <w:szCs w:val="20"/>
    </w:rPr>
  </w:style>
  <w:style w:type="paragraph" w:styleId="BalloonText">
    <w:name w:val="Balloon Text"/>
    <w:basedOn w:val="Normal"/>
    <w:link w:val="BalloonTextChar"/>
    <w:uiPriority w:val="99"/>
    <w:semiHidden/>
    <w:unhideWhenUsed/>
    <w:rsid w:val="00BC60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60F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BC8D45-207A-4212-A8BD-09076173F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5</Pages>
  <Words>1364</Words>
  <Characters>7781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Archer</dc:creator>
  <cp:keywords/>
  <dc:description/>
  <cp:lastModifiedBy>Stacy Archer</cp:lastModifiedBy>
  <cp:revision>72</cp:revision>
  <dcterms:created xsi:type="dcterms:W3CDTF">2017-12-11T11:59:00Z</dcterms:created>
  <dcterms:modified xsi:type="dcterms:W3CDTF">2017-12-12T19:59:00Z</dcterms:modified>
</cp:coreProperties>
</file>