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117CE" w14:textId="77777777" w:rsidR="00965F6A" w:rsidRDefault="00965F6A" w:rsidP="00965F6A">
      <w:pPr>
        <w:ind w:left="2160"/>
        <w:rPr>
          <w:rFonts w:ascii="Times New Roman" w:hAnsi="Times New Roman" w:cs="Times New Roman"/>
          <w:sz w:val="40"/>
          <w:szCs w:val="40"/>
        </w:rPr>
      </w:pPr>
    </w:p>
    <w:p w14:paraId="0B39D863" w14:textId="77777777" w:rsidR="00965F6A" w:rsidRDefault="00965F6A" w:rsidP="00965F6A">
      <w:pPr>
        <w:ind w:left="2160"/>
        <w:rPr>
          <w:rFonts w:ascii="Times New Roman" w:hAnsi="Times New Roman" w:cs="Times New Roman"/>
          <w:sz w:val="40"/>
          <w:szCs w:val="40"/>
        </w:rPr>
      </w:pPr>
    </w:p>
    <w:p w14:paraId="3A36FC9E" w14:textId="77777777" w:rsidR="00965F6A" w:rsidRDefault="00965F6A" w:rsidP="00965F6A">
      <w:pPr>
        <w:ind w:left="2160"/>
        <w:rPr>
          <w:rFonts w:ascii="Times New Roman" w:hAnsi="Times New Roman" w:cs="Times New Roman"/>
          <w:sz w:val="40"/>
          <w:szCs w:val="40"/>
        </w:rPr>
      </w:pPr>
    </w:p>
    <w:p w14:paraId="31ABBEB7" w14:textId="77777777" w:rsidR="00965F6A" w:rsidRDefault="00965F6A" w:rsidP="00965F6A">
      <w:pPr>
        <w:ind w:left="2160"/>
        <w:rPr>
          <w:rFonts w:ascii="Times New Roman" w:hAnsi="Times New Roman" w:cs="Times New Roman"/>
          <w:sz w:val="40"/>
          <w:szCs w:val="40"/>
        </w:rPr>
      </w:pPr>
    </w:p>
    <w:p w14:paraId="01002EAC" w14:textId="77777777" w:rsidR="00965F6A" w:rsidRDefault="00965F6A" w:rsidP="00965F6A">
      <w:pPr>
        <w:ind w:left="2160"/>
        <w:rPr>
          <w:rFonts w:ascii="Times New Roman" w:hAnsi="Times New Roman" w:cs="Times New Roman"/>
          <w:sz w:val="40"/>
          <w:szCs w:val="40"/>
        </w:rPr>
      </w:pPr>
    </w:p>
    <w:p w14:paraId="696A16FD" w14:textId="77777777" w:rsidR="00965F6A" w:rsidRDefault="00965F6A" w:rsidP="00965F6A">
      <w:pPr>
        <w:ind w:left="2160"/>
        <w:rPr>
          <w:rFonts w:ascii="Times New Roman" w:hAnsi="Times New Roman" w:cs="Times New Roman"/>
          <w:sz w:val="40"/>
          <w:szCs w:val="40"/>
        </w:rPr>
      </w:pPr>
    </w:p>
    <w:p w14:paraId="0A0F46A5" w14:textId="77777777" w:rsidR="00965F6A" w:rsidRDefault="00965F6A" w:rsidP="00965F6A">
      <w:pPr>
        <w:ind w:left="2160"/>
        <w:rPr>
          <w:rFonts w:ascii="Times New Roman" w:hAnsi="Times New Roman" w:cs="Times New Roman"/>
          <w:sz w:val="40"/>
          <w:szCs w:val="40"/>
        </w:rPr>
      </w:pPr>
    </w:p>
    <w:p w14:paraId="6C55EC21" w14:textId="77777777" w:rsidR="00965F6A" w:rsidRDefault="00965F6A" w:rsidP="00965F6A">
      <w:pPr>
        <w:ind w:left="2160"/>
        <w:rPr>
          <w:rFonts w:ascii="Times New Roman" w:hAnsi="Times New Roman" w:cs="Times New Roman"/>
          <w:sz w:val="40"/>
          <w:szCs w:val="40"/>
        </w:rPr>
      </w:pPr>
    </w:p>
    <w:p w14:paraId="49581F29" w14:textId="77777777" w:rsidR="0016601A" w:rsidRDefault="0016601A" w:rsidP="00965F6A">
      <w:pPr>
        <w:ind w:left="2160"/>
        <w:rPr>
          <w:rFonts w:ascii="Times New Roman" w:hAnsi="Times New Roman" w:cs="Times New Roman"/>
          <w:sz w:val="40"/>
          <w:szCs w:val="40"/>
        </w:rPr>
      </w:pPr>
    </w:p>
    <w:p w14:paraId="2840D8B6" w14:textId="1349BF8E" w:rsidR="00965F6A" w:rsidRDefault="002B78DB" w:rsidP="00271F7D">
      <w:pPr>
        <w:ind w:left="2160"/>
        <w:rPr>
          <w:rFonts w:ascii="Times New Roman" w:hAnsi="Times New Roman" w:cs="Times New Roman"/>
          <w:sz w:val="40"/>
          <w:szCs w:val="40"/>
        </w:rPr>
      </w:pPr>
      <w:r w:rsidRPr="00965F6A">
        <w:rPr>
          <w:rFonts w:ascii="Times New Roman" w:hAnsi="Times New Roman" w:cs="Times New Roman"/>
          <w:sz w:val="40"/>
          <w:szCs w:val="40"/>
        </w:rPr>
        <w:t xml:space="preserve">Criminal litigation </w:t>
      </w:r>
    </w:p>
    <w:p w14:paraId="0F4670F2" w14:textId="1C67BCE6" w:rsidR="008F7E85" w:rsidRDefault="008F7E85" w:rsidP="00271F7D">
      <w:pPr>
        <w:ind w:left="2160"/>
        <w:rPr>
          <w:rFonts w:ascii="Times New Roman" w:hAnsi="Times New Roman" w:cs="Times New Roman"/>
          <w:sz w:val="40"/>
          <w:szCs w:val="40"/>
        </w:rPr>
      </w:pPr>
    </w:p>
    <w:p w14:paraId="52C673E2" w14:textId="77777777" w:rsidR="008F7E85" w:rsidRPr="00965F6A" w:rsidRDefault="008F7E85" w:rsidP="00271F7D">
      <w:pPr>
        <w:ind w:left="2160"/>
        <w:rPr>
          <w:rFonts w:ascii="Times New Roman" w:hAnsi="Times New Roman" w:cs="Times New Roman"/>
          <w:sz w:val="40"/>
          <w:szCs w:val="40"/>
        </w:rPr>
      </w:pPr>
    </w:p>
    <w:p w14:paraId="6405B933" w14:textId="625943B6" w:rsidR="002B78DB" w:rsidRPr="00965F6A" w:rsidRDefault="002B78DB" w:rsidP="00965F6A">
      <w:pPr>
        <w:ind w:left="2160"/>
        <w:rPr>
          <w:rFonts w:ascii="Times New Roman" w:hAnsi="Times New Roman" w:cs="Times New Roman"/>
          <w:sz w:val="40"/>
          <w:szCs w:val="40"/>
        </w:rPr>
      </w:pPr>
      <w:r w:rsidRPr="00965F6A">
        <w:rPr>
          <w:rFonts w:ascii="Times New Roman" w:hAnsi="Times New Roman" w:cs="Times New Roman"/>
          <w:sz w:val="40"/>
          <w:szCs w:val="40"/>
        </w:rPr>
        <w:t>Name</w:t>
      </w:r>
      <w:r w:rsidR="008F7E85">
        <w:rPr>
          <w:rFonts w:ascii="Times New Roman" w:hAnsi="Times New Roman" w:cs="Times New Roman"/>
          <w:sz w:val="40"/>
          <w:szCs w:val="40"/>
        </w:rPr>
        <w:t>: Carmen Tutu</w:t>
      </w:r>
    </w:p>
    <w:p w14:paraId="0CCA7E10" w14:textId="66C8C8C7" w:rsidR="002B78DB" w:rsidRPr="00965F6A" w:rsidRDefault="002B78DB" w:rsidP="00965F6A">
      <w:pPr>
        <w:ind w:left="2160"/>
        <w:rPr>
          <w:rFonts w:ascii="Times New Roman" w:hAnsi="Times New Roman" w:cs="Times New Roman"/>
          <w:sz w:val="40"/>
          <w:szCs w:val="40"/>
        </w:rPr>
      </w:pPr>
      <w:r w:rsidRPr="00965F6A">
        <w:rPr>
          <w:rFonts w:ascii="Times New Roman" w:hAnsi="Times New Roman" w:cs="Times New Roman"/>
          <w:sz w:val="40"/>
          <w:szCs w:val="40"/>
        </w:rPr>
        <w:t>Student No</w:t>
      </w:r>
      <w:r w:rsidR="008F7E85">
        <w:rPr>
          <w:rFonts w:ascii="Times New Roman" w:hAnsi="Times New Roman" w:cs="Times New Roman"/>
          <w:sz w:val="40"/>
          <w:szCs w:val="40"/>
        </w:rPr>
        <w:t>: 2207381</w:t>
      </w:r>
    </w:p>
    <w:p w14:paraId="3EA7D86C" w14:textId="291645B3" w:rsidR="00B2655F" w:rsidRDefault="002B78DB" w:rsidP="00965F6A">
      <w:pPr>
        <w:ind w:left="2160"/>
        <w:rPr>
          <w:rFonts w:ascii="Times New Roman" w:hAnsi="Times New Roman" w:cs="Times New Roman"/>
          <w:sz w:val="24"/>
          <w:szCs w:val="24"/>
        </w:rPr>
      </w:pPr>
      <w:r w:rsidRPr="00965F6A">
        <w:rPr>
          <w:rFonts w:ascii="Times New Roman" w:hAnsi="Times New Roman" w:cs="Times New Roman"/>
          <w:sz w:val="40"/>
          <w:szCs w:val="40"/>
        </w:rPr>
        <w:t>Moodle No</w:t>
      </w:r>
      <w:r w:rsidR="0011070A">
        <w:rPr>
          <w:rFonts w:ascii="Times New Roman" w:hAnsi="Times New Roman" w:cs="Times New Roman"/>
          <w:sz w:val="40"/>
          <w:szCs w:val="40"/>
        </w:rPr>
        <w:t>: BMLW4000</w:t>
      </w:r>
      <w:r w:rsidR="00B2655F">
        <w:rPr>
          <w:rFonts w:ascii="Times New Roman" w:hAnsi="Times New Roman" w:cs="Times New Roman"/>
          <w:sz w:val="24"/>
          <w:szCs w:val="24"/>
        </w:rPr>
        <w:br w:type="page"/>
      </w:r>
    </w:p>
    <w:p w14:paraId="05975E82" w14:textId="1BF7F35A" w:rsidR="003F6CB1" w:rsidRP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lastRenderedPageBreak/>
        <w:t>To: Mr Thomas Trinity</w:t>
      </w:r>
    </w:p>
    <w:p w14:paraId="1B1146B1" w14:textId="2BE2423F" w:rsidR="003F6CB1" w:rsidRP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 xml:space="preserve">From: </w:t>
      </w:r>
      <w:r w:rsidR="00115672">
        <w:rPr>
          <w:rFonts w:ascii="Times New Roman" w:hAnsi="Times New Roman" w:cs="Times New Roman"/>
          <w:sz w:val="24"/>
          <w:szCs w:val="24"/>
        </w:rPr>
        <w:t>Carmen Tutu</w:t>
      </w:r>
    </w:p>
    <w:p w14:paraId="00D1C740" w14:textId="77777777" w:rsidR="003F6CB1" w:rsidRPr="003F6CB1" w:rsidRDefault="003F6CB1" w:rsidP="003F6CB1">
      <w:pPr>
        <w:rPr>
          <w:rFonts w:ascii="Times New Roman" w:hAnsi="Times New Roman" w:cs="Times New Roman"/>
          <w:sz w:val="24"/>
          <w:szCs w:val="24"/>
        </w:rPr>
      </w:pPr>
    </w:p>
    <w:p w14:paraId="0AD598A7" w14:textId="77777777" w:rsidR="003F6CB1" w:rsidRP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Subject: The Case of Miss Sarah Jones</w:t>
      </w:r>
    </w:p>
    <w:p w14:paraId="3F4DED33" w14:textId="77777777" w:rsidR="003F6CB1" w:rsidRPr="003F6CB1" w:rsidRDefault="003F6CB1" w:rsidP="003F6CB1">
      <w:pPr>
        <w:rPr>
          <w:rFonts w:ascii="Times New Roman" w:hAnsi="Times New Roman" w:cs="Times New Roman"/>
          <w:sz w:val="24"/>
          <w:szCs w:val="24"/>
        </w:rPr>
      </w:pPr>
    </w:p>
    <w:p w14:paraId="2B919B27" w14:textId="77777777" w:rsidR="003F6CB1" w:rsidRPr="009B3477" w:rsidRDefault="003F6CB1" w:rsidP="003F6CB1">
      <w:pPr>
        <w:rPr>
          <w:rFonts w:ascii="Times New Roman" w:hAnsi="Times New Roman" w:cs="Times New Roman"/>
          <w:b/>
          <w:bCs/>
          <w:sz w:val="24"/>
          <w:szCs w:val="24"/>
        </w:rPr>
      </w:pPr>
      <w:r w:rsidRPr="009B3477">
        <w:rPr>
          <w:rFonts w:ascii="Times New Roman" w:hAnsi="Times New Roman" w:cs="Times New Roman"/>
          <w:b/>
          <w:bCs/>
          <w:sz w:val="24"/>
          <w:szCs w:val="24"/>
        </w:rPr>
        <w:t>Introduction</w:t>
      </w:r>
    </w:p>
    <w:p w14:paraId="0BF9EC41" w14:textId="77777777" w:rsidR="003F6CB1" w:rsidRP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This memorandum aims to provide you with an overview of the case of Miss Sarah Jones, who is facing one count of theft of a Gucci handbag and one count of assault. The memorandum will cover the following aspects of the case: the relevant law for the alleged offences, the potential sentences, the strength of the evidence against the client, the value of Miss Davies' claims, the advantages and disadvantages of remaining silent during police interviews, and the factors that the court will take into account when allocating the case for trial.</w:t>
      </w:r>
    </w:p>
    <w:p w14:paraId="0DE93F3A" w14:textId="77777777" w:rsidR="003F6CB1" w:rsidRPr="003F6CB1" w:rsidRDefault="003F6CB1" w:rsidP="003F6CB1">
      <w:pPr>
        <w:rPr>
          <w:rFonts w:ascii="Times New Roman" w:hAnsi="Times New Roman" w:cs="Times New Roman"/>
          <w:sz w:val="24"/>
          <w:szCs w:val="24"/>
        </w:rPr>
      </w:pPr>
    </w:p>
    <w:p w14:paraId="482B3DBB" w14:textId="6C0053D5" w:rsidR="003F6CB1" w:rsidRPr="009B3477" w:rsidRDefault="003F6CB1" w:rsidP="003F6CB1">
      <w:pPr>
        <w:rPr>
          <w:rFonts w:ascii="Times New Roman" w:hAnsi="Times New Roman" w:cs="Times New Roman"/>
          <w:b/>
          <w:bCs/>
          <w:sz w:val="24"/>
          <w:szCs w:val="24"/>
        </w:rPr>
      </w:pPr>
      <w:r w:rsidRPr="009B3477">
        <w:rPr>
          <w:rFonts w:ascii="Times New Roman" w:hAnsi="Times New Roman" w:cs="Times New Roman"/>
          <w:b/>
          <w:bCs/>
          <w:sz w:val="24"/>
          <w:szCs w:val="24"/>
        </w:rPr>
        <w:t>Law for the Offences</w:t>
      </w:r>
      <w:r w:rsidR="009B3477">
        <w:rPr>
          <w:rFonts w:ascii="Times New Roman" w:hAnsi="Times New Roman" w:cs="Times New Roman"/>
          <w:b/>
          <w:bCs/>
          <w:sz w:val="24"/>
          <w:szCs w:val="24"/>
        </w:rPr>
        <w:t>:</w:t>
      </w:r>
    </w:p>
    <w:p w14:paraId="35FAD5BC" w14:textId="63C4BC16" w:rsidR="00081E7B" w:rsidRPr="003F6CB1" w:rsidRDefault="003F6CB1" w:rsidP="00CD28D9">
      <w:pPr>
        <w:rPr>
          <w:rFonts w:ascii="Times New Roman" w:hAnsi="Times New Roman" w:cs="Times New Roman"/>
          <w:sz w:val="24"/>
          <w:szCs w:val="24"/>
        </w:rPr>
      </w:pPr>
      <w:r w:rsidRPr="003F6CB1">
        <w:rPr>
          <w:rFonts w:ascii="Times New Roman" w:hAnsi="Times New Roman" w:cs="Times New Roman"/>
          <w:sz w:val="24"/>
          <w:szCs w:val="24"/>
        </w:rPr>
        <w:t xml:space="preserve">Theft is defined in s.1 of the Theft Act 1968 as dishonestly appropriating property belonging to another with the intention of permanently depriving the other of it. The mens rea for theft is dishonesty and the actus reus is the appropriation of property belonging to another. </w:t>
      </w:r>
      <w:r w:rsidR="00081E7B" w:rsidRPr="002B3B7E">
        <w:rPr>
          <w:rFonts w:ascii="Times New Roman" w:hAnsi="Times New Roman" w:cs="Times New Roman"/>
          <w:sz w:val="24"/>
          <w:szCs w:val="24"/>
        </w:rPr>
        <w:t>Theft Act 1968, theft is punishable with a maximum sentence of seven years' imprisonment if the theft is not from a person, and a maximum sentence of 14 years' imprisonment if it is.</w:t>
      </w:r>
    </w:p>
    <w:p w14:paraId="230DE61F" w14:textId="7A9A2DC9" w:rsid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Assault is defined in s.39 of the Criminal Justice Act 1988 as intentionally or recklessly causing another to apprehend immediate and unlawful personal violence.</w:t>
      </w:r>
    </w:p>
    <w:p w14:paraId="04F3AB8A" w14:textId="77777777" w:rsidR="003C554C" w:rsidRPr="003C554C" w:rsidRDefault="003C554C" w:rsidP="003C554C">
      <w:pPr>
        <w:rPr>
          <w:rFonts w:ascii="Times New Roman" w:hAnsi="Times New Roman" w:cs="Times New Roman"/>
          <w:sz w:val="24"/>
          <w:szCs w:val="24"/>
        </w:rPr>
      </w:pPr>
      <w:r w:rsidRPr="003C554C">
        <w:rPr>
          <w:rFonts w:ascii="Times New Roman" w:hAnsi="Times New Roman" w:cs="Times New Roman"/>
          <w:sz w:val="24"/>
          <w:szCs w:val="24"/>
        </w:rPr>
        <w:t>Section 39 of the Assault Act 1988 defines the offence of common assault. According to this section, a person commits an assault if they intentionally or recklessly cause another person to fear the immediate use of unlawful force.</w:t>
      </w:r>
    </w:p>
    <w:p w14:paraId="13088170" w14:textId="77777777" w:rsidR="003C554C" w:rsidRPr="003C554C" w:rsidRDefault="003C554C" w:rsidP="003C554C">
      <w:pPr>
        <w:rPr>
          <w:rFonts w:ascii="Times New Roman" w:hAnsi="Times New Roman" w:cs="Times New Roman"/>
          <w:sz w:val="24"/>
          <w:szCs w:val="24"/>
        </w:rPr>
      </w:pPr>
    </w:p>
    <w:p w14:paraId="07DB7D52" w14:textId="00C137A1" w:rsidR="003C554C" w:rsidRDefault="003C554C" w:rsidP="003F6CB1">
      <w:pPr>
        <w:rPr>
          <w:rFonts w:ascii="Times New Roman" w:hAnsi="Times New Roman" w:cs="Times New Roman"/>
          <w:sz w:val="24"/>
          <w:szCs w:val="24"/>
        </w:rPr>
      </w:pPr>
      <w:r w:rsidRPr="003C554C">
        <w:rPr>
          <w:rFonts w:ascii="Times New Roman" w:hAnsi="Times New Roman" w:cs="Times New Roman"/>
          <w:sz w:val="24"/>
          <w:szCs w:val="24"/>
        </w:rPr>
        <w:t>The term "assault" can include any act that causes the victim to feel threatened, such as raising a fist or threatening to hit someone. It is not necessary for the victim to have been physically touched or injured for an assault to occur. The mere threat of violence or the creation of a sense of fear in the victim can be sufficient to constitute an assault.</w:t>
      </w:r>
    </w:p>
    <w:p w14:paraId="7961978D" w14:textId="77777777" w:rsidR="006C7487" w:rsidRPr="003F6CB1" w:rsidRDefault="006C7487" w:rsidP="003F6CB1">
      <w:pPr>
        <w:rPr>
          <w:rFonts w:ascii="Times New Roman" w:hAnsi="Times New Roman" w:cs="Times New Roman"/>
          <w:sz w:val="24"/>
          <w:szCs w:val="24"/>
        </w:rPr>
      </w:pPr>
    </w:p>
    <w:p w14:paraId="6741F6C5" w14:textId="3976F0F7" w:rsidR="003F6CB1" w:rsidRDefault="003F6CB1" w:rsidP="003F6CB1">
      <w:pPr>
        <w:rPr>
          <w:rFonts w:ascii="Times New Roman" w:hAnsi="Times New Roman" w:cs="Times New Roman"/>
          <w:sz w:val="24"/>
          <w:szCs w:val="24"/>
        </w:rPr>
      </w:pPr>
      <w:r w:rsidRPr="009B3477">
        <w:rPr>
          <w:rFonts w:ascii="Times New Roman" w:hAnsi="Times New Roman" w:cs="Times New Roman"/>
          <w:b/>
          <w:bCs/>
          <w:sz w:val="24"/>
          <w:szCs w:val="24"/>
        </w:rPr>
        <w:t>Range of Possible Sentences</w:t>
      </w:r>
      <w:r w:rsidR="009B3477">
        <w:rPr>
          <w:rFonts w:ascii="Times New Roman" w:hAnsi="Times New Roman" w:cs="Times New Roman"/>
          <w:sz w:val="24"/>
          <w:szCs w:val="24"/>
        </w:rPr>
        <w:t>:</w:t>
      </w:r>
    </w:p>
    <w:p w14:paraId="23070F5F" w14:textId="77777777" w:rsidR="00570F09" w:rsidRPr="003F6CB1" w:rsidRDefault="00570F09" w:rsidP="003F6CB1">
      <w:pPr>
        <w:rPr>
          <w:rFonts w:ascii="Times New Roman" w:hAnsi="Times New Roman" w:cs="Times New Roman"/>
          <w:sz w:val="24"/>
          <w:szCs w:val="24"/>
        </w:rPr>
      </w:pPr>
    </w:p>
    <w:p w14:paraId="68A4D6A7" w14:textId="6B347C63" w:rsid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The maximum sentence for theft is seven years' imprisonment, while the maximum sentence for assault is six months' imprisonment or a fine or both. The court may also impose community orders, restraining orders, or compensation orders. The sentence will depend on the facts of the case, the seriousness of the offence, and the defendant's previous criminal record.</w:t>
      </w:r>
    </w:p>
    <w:p w14:paraId="011DB257" w14:textId="40CD0F36" w:rsidR="00150CFF" w:rsidRDefault="0074335B" w:rsidP="00CD28D9">
      <w:pPr>
        <w:rPr>
          <w:rFonts w:ascii="Times New Roman" w:hAnsi="Times New Roman" w:cs="Times New Roman"/>
          <w:sz w:val="24"/>
          <w:szCs w:val="24"/>
        </w:rPr>
      </w:pPr>
      <w:r>
        <w:rPr>
          <w:rFonts w:ascii="Times New Roman" w:hAnsi="Times New Roman" w:cs="Times New Roman"/>
          <w:sz w:val="24"/>
          <w:szCs w:val="24"/>
        </w:rPr>
        <w:t>The</w:t>
      </w:r>
      <w:r w:rsidR="00150CFF" w:rsidRPr="003C554C">
        <w:rPr>
          <w:rFonts w:ascii="Times New Roman" w:hAnsi="Times New Roman" w:cs="Times New Roman"/>
          <w:sz w:val="24"/>
          <w:szCs w:val="24"/>
        </w:rPr>
        <w:t xml:space="preserve"> offence of common assault is a summary offence, which means that it is tried in the magistrates' court. The maximum penalty for this offence is six months' imprisonment and/or a fine. However, the actual sentence will depend on the severity of the offence and the individual circumstances of the case. In some cases, a conditional discharge or community sentence may be considered appropriate.</w:t>
      </w:r>
    </w:p>
    <w:p w14:paraId="15CD5FE3" w14:textId="77777777" w:rsidR="00EA6F50" w:rsidRDefault="00EA6F50" w:rsidP="00CD28D9">
      <w:pPr>
        <w:rPr>
          <w:rFonts w:ascii="Times New Roman" w:hAnsi="Times New Roman" w:cs="Times New Roman"/>
          <w:sz w:val="24"/>
          <w:szCs w:val="24"/>
        </w:rPr>
      </w:pPr>
    </w:p>
    <w:p w14:paraId="0F4CF2E3" w14:textId="62452C18" w:rsidR="00033D4E" w:rsidRPr="002B3B7E" w:rsidRDefault="00033D4E" w:rsidP="00CD28D9">
      <w:pPr>
        <w:rPr>
          <w:rFonts w:ascii="Times New Roman" w:hAnsi="Times New Roman" w:cs="Times New Roman"/>
          <w:sz w:val="24"/>
          <w:szCs w:val="24"/>
        </w:rPr>
      </w:pPr>
      <w:r w:rsidRPr="002B3B7E">
        <w:rPr>
          <w:rFonts w:ascii="Times New Roman" w:hAnsi="Times New Roman" w:cs="Times New Roman"/>
          <w:sz w:val="24"/>
          <w:szCs w:val="24"/>
        </w:rPr>
        <w:t>The range of possible sentences for an offence under Section 1 of the Theft Act 1968 may include:</w:t>
      </w:r>
    </w:p>
    <w:p w14:paraId="160EB041" w14:textId="77777777" w:rsidR="00033D4E" w:rsidRPr="002B3B7E" w:rsidRDefault="00033D4E" w:rsidP="00CD28D9">
      <w:pPr>
        <w:rPr>
          <w:rFonts w:ascii="Times New Roman" w:hAnsi="Times New Roman" w:cs="Times New Roman"/>
          <w:sz w:val="24"/>
          <w:szCs w:val="24"/>
        </w:rPr>
      </w:pPr>
      <w:r w:rsidRPr="002B3B7E">
        <w:rPr>
          <w:rFonts w:ascii="Times New Roman" w:hAnsi="Times New Roman" w:cs="Times New Roman"/>
          <w:sz w:val="24"/>
          <w:szCs w:val="24"/>
        </w:rPr>
        <w:t>A fine (the offender must pay a sum of money to the court)</w:t>
      </w:r>
    </w:p>
    <w:p w14:paraId="4C8C7385" w14:textId="77777777" w:rsidR="00033D4E" w:rsidRPr="002B3B7E" w:rsidRDefault="00033D4E" w:rsidP="00CD28D9">
      <w:pPr>
        <w:rPr>
          <w:rFonts w:ascii="Times New Roman" w:hAnsi="Times New Roman" w:cs="Times New Roman"/>
          <w:sz w:val="24"/>
          <w:szCs w:val="24"/>
        </w:rPr>
      </w:pPr>
      <w:r w:rsidRPr="002B3B7E">
        <w:rPr>
          <w:rFonts w:ascii="Times New Roman" w:hAnsi="Times New Roman" w:cs="Times New Roman"/>
          <w:sz w:val="24"/>
          <w:szCs w:val="24"/>
        </w:rPr>
        <w:t>A community order (a sentence that requires the offender to carry out unpaid work, attend rehabilitation or treatment programmes, or comply with other requirements specified by the court)</w:t>
      </w:r>
    </w:p>
    <w:p w14:paraId="4338A137" w14:textId="77777777" w:rsidR="00033D4E" w:rsidRPr="002B3B7E" w:rsidRDefault="00033D4E" w:rsidP="00CD28D9">
      <w:pPr>
        <w:rPr>
          <w:rFonts w:ascii="Times New Roman" w:hAnsi="Times New Roman" w:cs="Times New Roman"/>
          <w:sz w:val="24"/>
          <w:szCs w:val="24"/>
        </w:rPr>
      </w:pPr>
      <w:r w:rsidRPr="002B3B7E">
        <w:rPr>
          <w:rFonts w:ascii="Times New Roman" w:hAnsi="Times New Roman" w:cs="Times New Roman"/>
          <w:sz w:val="24"/>
          <w:szCs w:val="24"/>
        </w:rPr>
        <w:lastRenderedPageBreak/>
        <w:t>A custodial sentence (imprisonment, either immediate or suspended)</w:t>
      </w:r>
    </w:p>
    <w:p w14:paraId="6E8D8408" w14:textId="77777777" w:rsidR="00033D4E" w:rsidRPr="002B3B7E" w:rsidRDefault="00033D4E" w:rsidP="00CD28D9">
      <w:pPr>
        <w:rPr>
          <w:rFonts w:ascii="Times New Roman" w:hAnsi="Times New Roman" w:cs="Times New Roman"/>
          <w:sz w:val="24"/>
          <w:szCs w:val="24"/>
        </w:rPr>
      </w:pPr>
      <w:r w:rsidRPr="002B3B7E">
        <w:rPr>
          <w:rFonts w:ascii="Times New Roman" w:hAnsi="Times New Roman" w:cs="Times New Roman"/>
          <w:sz w:val="24"/>
          <w:szCs w:val="24"/>
        </w:rPr>
        <w:t>Under Section 39 of the Criminal Justice Act 1988, common assault is punishable with a maximum sentence of six months' imprisonment and/or a fine of up to £5,000. However, the actual sentence imposed will depend on the specific circumstances of the case and any aggravating or mitigating factors.</w:t>
      </w:r>
    </w:p>
    <w:p w14:paraId="4EEEC866"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seriousness of the offence: The court will consider the nature and extent of the alleged theft and assault, as well as any harm or loss caused to the victim.</w:t>
      </w:r>
    </w:p>
    <w:p w14:paraId="398AC606"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offender's criminal history: The court will consider the offender's previous convictions or cautions, as well as any relevant aggravating or mitigating factors, such as whether the offender has a history of similar offences or has shown remorse.</w:t>
      </w:r>
    </w:p>
    <w:p w14:paraId="1BDBAD46"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availability of evidence: The court will consider the strength and reliability of the evidence against the offender, including any witness testimony, physical evidence, or other documentary evidence.</w:t>
      </w:r>
    </w:p>
    <w:p w14:paraId="559308C8"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public interest: The court will consider whether a trial is in the public interest, taking into account factors such as the need to protect the public, the need to maintain public confidence in the justice system, and the impact of the alleged offences on the community.</w:t>
      </w:r>
    </w:p>
    <w:p w14:paraId="04C4BCE6"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defendant's plea: If the defendant has entered a guilty plea, this may be a relevant factor in determining whether a trial is necessary, as well as the appropriate sentence to impose.</w:t>
      </w:r>
    </w:p>
    <w:p w14:paraId="0A8F67AC" w14:textId="77777777" w:rsidR="00033D4E" w:rsidRPr="00BD6921"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 resources of the court: The court will also consider its own resources, such as the availability of court time and the capacity of the prison system to accommodate offenders.</w:t>
      </w:r>
    </w:p>
    <w:p w14:paraId="3A88FA17" w14:textId="77777777" w:rsidR="00033D4E" w:rsidRDefault="00033D4E" w:rsidP="00CD28D9">
      <w:pPr>
        <w:rPr>
          <w:rFonts w:ascii="Times New Roman" w:hAnsi="Times New Roman" w:cs="Times New Roman"/>
          <w:sz w:val="24"/>
          <w:szCs w:val="24"/>
        </w:rPr>
      </w:pPr>
      <w:r w:rsidRPr="00BD6921">
        <w:rPr>
          <w:rFonts w:ascii="Times New Roman" w:hAnsi="Times New Roman" w:cs="Times New Roman"/>
          <w:sz w:val="24"/>
          <w:szCs w:val="24"/>
        </w:rPr>
        <w:t>These factors are not exhaustive, and the court may take into account other factors that it deems relevant in the specific circumstances of the case. Ultimately, the decision on how to allocate a case for trial is at the discretion of the court.</w:t>
      </w:r>
    </w:p>
    <w:p w14:paraId="33EF1E92" w14:textId="77777777" w:rsidR="00033D4E" w:rsidRDefault="00033D4E" w:rsidP="00CD28D9">
      <w:pPr>
        <w:rPr>
          <w:rFonts w:ascii="Times New Roman" w:hAnsi="Times New Roman" w:cs="Times New Roman"/>
          <w:sz w:val="24"/>
          <w:szCs w:val="24"/>
        </w:rPr>
      </w:pPr>
    </w:p>
    <w:p w14:paraId="224C70B0" w14:textId="64F86C8B" w:rsidR="003F6CB1" w:rsidRDefault="003F6CB1" w:rsidP="003F6CB1">
      <w:pPr>
        <w:rPr>
          <w:rFonts w:ascii="Times New Roman" w:hAnsi="Times New Roman" w:cs="Times New Roman"/>
          <w:b/>
          <w:bCs/>
          <w:sz w:val="24"/>
          <w:szCs w:val="24"/>
        </w:rPr>
      </w:pPr>
      <w:r w:rsidRPr="009B3477">
        <w:rPr>
          <w:rFonts w:ascii="Times New Roman" w:hAnsi="Times New Roman" w:cs="Times New Roman"/>
          <w:b/>
          <w:bCs/>
          <w:sz w:val="24"/>
          <w:szCs w:val="24"/>
        </w:rPr>
        <w:t>Strength of the Evidence</w:t>
      </w:r>
    </w:p>
    <w:p w14:paraId="2968EDC9" w14:textId="77777777" w:rsidR="00570F09" w:rsidRPr="009B3477" w:rsidRDefault="00570F09" w:rsidP="003F6CB1">
      <w:pPr>
        <w:rPr>
          <w:rFonts w:ascii="Times New Roman" w:hAnsi="Times New Roman" w:cs="Times New Roman"/>
          <w:b/>
          <w:bCs/>
          <w:sz w:val="24"/>
          <w:szCs w:val="24"/>
        </w:rPr>
      </w:pPr>
    </w:p>
    <w:p w14:paraId="698BC2F6" w14:textId="5FD042E8" w:rsid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 xml:space="preserve">The evidence against Miss Jones consists of her alleged possession of the stolen Gucci handbag and the allegation of assault against her. Miss Davies' claim that the handbag was hers may undermine the credibility of Miss Jones' defence. However, Miss Jones' assertion that she found the handbag in a lane rather than stole it could support her innocence. </w:t>
      </w:r>
    </w:p>
    <w:p w14:paraId="04D3A441" w14:textId="77777777" w:rsidR="00250196" w:rsidRDefault="004470F4" w:rsidP="00CD59E2">
      <w:pPr>
        <w:rPr>
          <w:rFonts w:ascii="Times New Roman" w:hAnsi="Times New Roman" w:cs="Times New Roman"/>
          <w:sz w:val="24"/>
          <w:szCs w:val="24"/>
        </w:rPr>
      </w:pPr>
      <w:r w:rsidRPr="004470F4">
        <w:rPr>
          <w:rFonts w:ascii="Times New Roman" w:hAnsi="Times New Roman" w:cs="Times New Roman"/>
          <w:sz w:val="24"/>
          <w:szCs w:val="24"/>
        </w:rPr>
        <w:t xml:space="preserve">The strength of the evidence against Miss Jones will depend on the available evidence, including witness statements and CCTV footage. </w:t>
      </w:r>
      <w:r w:rsidR="00250196" w:rsidRPr="003F6CB1">
        <w:rPr>
          <w:rFonts w:ascii="Times New Roman" w:hAnsi="Times New Roman" w:cs="Times New Roman"/>
          <w:sz w:val="24"/>
          <w:szCs w:val="24"/>
        </w:rPr>
        <w:t>The testimony of PC Norman Jenkins, who witnessed the altercation, will also be significant in determining the strength of the evidence.</w:t>
      </w:r>
    </w:p>
    <w:p w14:paraId="58F5C2A3" w14:textId="4650F8F4" w:rsidR="004470F4" w:rsidRPr="004470F4" w:rsidRDefault="004470F4" w:rsidP="004470F4">
      <w:pPr>
        <w:rPr>
          <w:rFonts w:ascii="Times New Roman" w:hAnsi="Times New Roman" w:cs="Times New Roman"/>
          <w:sz w:val="24"/>
          <w:szCs w:val="24"/>
        </w:rPr>
      </w:pPr>
      <w:r w:rsidRPr="004470F4">
        <w:rPr>
          <w:rFonts w:ascii="Times New Roman" w:hAnsi="Times New Roman" w:cs="Times New Roman"/>
          <w:sz w:val="24"/>
          <w:szCs w:val="24"/>
        </w:rPr>
        <w:t>It will be the prosecution's responsibility to prove beyond a reasonable doubt that Miss Jones intended to permanently deprive the owner of the Gucci handbag and that she assaulted Miss Davies during the fight.</w:t>
      </w:r>
    </w:p>
    <w:p w14:paraId="31BB4F5B" w14:textId="07F40085" w:rsidR="004470F4" w:rsidRPr="003F6CB1" w:rsidRDefault="004470F4" w:rsidP="003F6CB1">
      <w:pPr>
        <w:rPr>
          <w:rFonts w:ascii="Times New Roman" w:hAnsi="Times New Roman" w:cs="Times New Roman"/>
          <w:sz w:val="24"/>
          <w:szCs w:val="24"/>
        </w:rPr>
      </w:pPr>
      <w:r w:rsidRPr="004470F4">
        <w:rPr>
          <w:rFonts w:ascii="Times New Roman" w:hAnsi="Times New Roman" w:cs="Times New Roman"/>
          <w:sz w:val="24"/>
          <w:szCs w:val="24"/>
        </w:rPr>
        <w:t>Miss Jones' defence team will need to carefully review the evidence against her to determine the strength of the prosecution's case.</w:t>
      </w:r>
    </w:p>
    <w:p w14:paraId="31C34BF5" w14:textId="77777777" w:rsidR="003F6CB1" w:rsidRPr="003F6CB1" w:rsidRDefault="003F6CB1" w:rsidP="003F6CB1">
      <w:pPr>
        <w:rPr>
          <w:rFonts w:ascii="Times New Roman" w:hAnsi="Times New Roman" w:cs="Times New Roman"/>
          <w:sz w:val="24"/>
          <w:szCs w:val="24"/>
        </w:rPr>
      </w:pPr>
    </w:p>
    <w:p w14:paraId="2C45C1C2" w14:textId="04AE6DA9" w:rsidR="003F6CB1" w:rsidRDefault="003F6CB1" w:rsidP="003F6CB1">
      <w:pPr>
        <w:rPr>
          <w:rFonts w:ascii="Times New Roman" w:hAnsi="Times New Roman" w:cs="Times New Roman"/>
          <w:b/>
          <w:bCs/>
          <w:sz w:val="24"/>
          <w:szCs w:val="24"/>
        </w:rPr>
      </w:pPr>
      <w:r w:rsidRPr="009B3477">
        <w:rPr>
          <w:rFonts w:ascii="Times New Roman" w:hAnsi="Times New Roman" w:cs="Times New Roman"/>
          <w:b/>
          <w:bCs/>
          <w:sz w:val="24"/>
          <w:szCs w:val="24"/>
        </w:rPr>
        <w:t>Value of Miss Davies' Claims</w:t>
      </w:r>
    </w:p>
    <w:p w14:paraId="32B1AAF6" w14:textId="77777777" w:rsidR="00570F09" w:rsidRPr="009B3477" w:rsidRDefault="00570F09" w:rsidP="003F6CB1">
      <w:pPr>
        <w:rPr>
          <w:rFonts w:ascii="Times New Roman" w:hAnsi="Times New Roman" w:cs="Times New Roman"/>
          <w:b/>
          <w:bCs/>
          <w:sz w:val="24"/>
          <w:szCs w:val="24"/>
        </w:rPr>
      </w:pPr>
    </w:p>
    <w:p w14:paraId="7A8D9BBA" w14:textId="391D2EE7" w:rsidR="00BA3AA0"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Miss Davies' claims that the handbag was hers and that her grandmother gifted it to her could impact Miss Jones' case. If Miss Davies is unable to produce a receipt for the handbag and her grandmother is deceased, the veracity of her claims may be questionable.</w:t>
      </w:r>
      <w:r w:rsidR="00BA3AA0" w:rsidRPr="00BA3AA0">
        <w:rPr>
          <w:rFonts w:ascii="Times New Roman" w:hAnsi="Times New Roman" w:cs="Times New Roman"/>
          <w:sz w:val="24"/>
          <w:szCs w:val="24"/>
        </w:rPr>
        <w:t xml:space="preserve"> Miss Davies' claims regarding the ownership of the Gucci handbag could impact Miss Jones' case if they are proven to be true. However, as Miss Davies does not have a receipt and her grandmother, who allegedly gifted her the handbag, is deceased, it may be challenging for her to prove ownership beyond a reasonable doubt.</w:t>
      </w:r>
    </w:p>
    <w:p w14:paraId="0B26FB75" w14:textId="44152733" w:rsidR="003F6CB1" w:rsidRPr="003F6CB1" w:rsidRDefault="003F6CB1" w:rsidP="003F6CB1">
      <w:pPr>
        <w:rPr>
          <w:rFonts w:ascii="Times New Roman" w:hAnsi="Times New Roman" w:cs="Times New Roman"/>
          <w:sz w:val="24"/>
          <w:szCs w:val="24"/>
        </w:rPr>
      </w:pPr>
      <w:r w:rsidRPr="003F6CB1">
        <w:rPr>
          <w:rFonts w:ascii="Times New Roman" w:hAnsi="Times New Roman" w:cs="Times New Roman"/>
          <w:sz w:val="24"/>
          <w:szCs w:val="24"/>
        </w:rPr>
        <w:t xml:space="preserve"> However, if Miss Davies can provide evidence to support her claims, this could weaken Miss Jones' case.</w:t>
      </w:r>
    </w:p>
    <w:p w14:paraId="71897205" w14:textId="77777777" w:rsidR="003F6CB1" w:rsidRPr="003F6CB1" w:rsidRDefault="003F6CB1" w:rsidP="003F6CB1">
      <w:pPr>
        <w:rPr>
          <w:rFonts w:ascii="Times New Roman" w:hAnsi="Times New Roman" w:cs="Times New Roman"/>
          <w:sz w:val="24"/>
          <w:szCs w:val="24"/>
        </w:rPr>
      </w:pPr>
    </w:p>
    <w:p w14:paraId="337900B8" w14:textId="77777777" w:rsidR="00533A0A" w:rsidRPr="008B31D1" w:rsidRDefault="00533A0A" w:rsidP="00CD28D9">
      <w:pPr>
        <w:rPr>
          <w:rFonts w:ascii="Times New Roman" w:hAnsi="Times New Roman" w:cs="Times New Roman"/>
          <w:sz w:val="24"/>
          <w:szCs w:val="24"/>
        </w:rPr>
      </w:pPr>
      <w:r w:rsidRPr="006B0399">
        <w:rPr>
          <w:rFonts w:ascii="Times New Roman" w:hAnsi="Times New Roman" w:cs="Times New Roman"/>
          <w:b/>
          <w:bCs/>
          <w:sz w:val="24"/>
          <w:szCs w:val="24"/>
        </w:rPr>
        <w:t>Advantages of Remaining Silent in the First Police Interview</w:t>
      </w:r>
      <w:r w:rsidRPr="008B31D1">
        <w:rPr>
          <w:rFonts w:ascii="Times New Roman" w:hAnsi="Times New Roman" w:cs="Times New Roman"/>
          <w:sz w:val="24"/>
          <w:szCs w:val="24"/>
        </w:rPr>
        <w:t>:</w:t>
      </w:r>
    </w:p>
    <w:p w14:paraId="441D4EB6" w14:textId="77777777" w:rsidR="00533A0A" w:rsidRPr="008B31D1" w:rsidRDefault="00533A0A" w:rsidP="00CD28D9">
      <w:pPr>
        <w:rPr>
          <w:rFonts w:ascii="Times New Roman" w:hAnsi="Times New Roman" w:cs="Times New Roman"/>
          <w:sz w:val="24"/>
          <w:szCs w:val="24"/>
        </w:rPr>
      </w:pPr>
    </w:p>
    <w:p w14:paraId="33617AFA" w14:textId="77777777" w:rsidR="00533A0A" w:rsidRPr="008B31D1" w:rsidRDefault="00533A0A" w:rsidP="00CD28D9">
      <w:pPr>
        <w:rPr>
          <w:rFonts w:ascii="Times New Roman" w:hAnsi="Times New Roman" w:cs="Times New Roman"/>
          <w:sz w:val="24"/>
          <w:szCs w:val="24"/>
        </w:rPr>
      </w:pPr>
      <w:r w:rsidRPr="008B31D1">
        <w:rPr>
          <w:rFonts w:ascii="Times New Roman" w:hAnsi="Times New Roman" w:cs="Times New Roman"/>
          <w:sz w:val="24"/>
          <w:szCs w:val="24"/>
        </w:rPr>
        <w:t>It can prevent providing information that may be self-incriminating: By remaining silent, an individual can avoid providing information that may be used against them in court. This is because anything an individual says during a police interview can be used as evidence in court.</w:t>
      </w:r>
    </w:p>
    <w:p w14:paraId="3DB7A103" w14:textId="77777777" w:rsidR="00533A0A" w:rsidRPr="008B31D1" w:rsidRDefault="00533A0A" w:rsidP="00CD28D9">
      <w:pPr>
        <w:rPr>
          <w:rFonts w:ascii="Times New Roman" w:hAnsi="Times New Roman" w:cs="Times New Roman"/>
          <w:sz w:val="24"/>
          <w:szCs w:val="24"/>
        </w:rPr>
      </w:pPr>
      <w:r w:rsidRPr="008B31D1">
        <w:rPr>
          <w:rFonts w:ascii="Times New Roman" w:hAnsi="Times New Roman" w:cs="Times New Roman"/>
          <w:sz w:val="24"/>
          <w:szCs w:val="24"/>
        </w:rPr>
        <w:t>It can prevent providing false or inaccurate information: If an individual does not have all the facts or does not remember all the details of an incident, remaining silent can prevent them from providing false or inaccurate information.</w:t>
      </w:r>
    </w:p>
    <w:p w14:paraId="48A8C1E9" w14:textId="77777777" w:rsidR="00533A0A" w:rsidRPr="008B31D1" w:rsidRDefault="00533A0A" w:rsidP="00CD28D9">
      <w:pPr>
        <w:rPr>
          <w:rFonts w:ascii="Times New Roman" w:hAnsi="Times New Roman" w:cs="Times New Roman"/>
          <w:sz w:val="24"/>
          <w:szCs w:val="24"/>
        </w:rPr>
      </w:pPr>
      <w:r w:rsidRPr="008B31D1">
        <w:rPr>
          <w:rFonts w:ascii="Times New Roman" w:hAnsi="Times New Roman" w:cs="Times New Roman"/>
          <w:sz w:val="24"/>
          <w:szCs w:val="24"/>
        </w:rPr>
        <w:t>It can allow time to consult with a lawyer: By remaining silent, an individual can request to consult with a lawyer before answering any questions. This can provide an opportunity to receive legal advice on how to respond to questions and what to expect during the legal process.</w:t>
      </w:r>
    </w:p>
    <w:p w14:paraId="1056DD91" w14:textId="336EAB06" w:rsidR="003F6CB1" w:rsidRDefault="00533A0A" w:rsidP="003F6CB1">
      <w:pPr>
        <w:rPr>
          <w:rFonts w:ascii="Times New Roman" w:hAnsi="Times New Roman" w:cs="Times New Roman"/>
          <w:sz w:val="24"/>
          <w:szCs w:val="24"/>
        </w:rPr>
      </w:pPr>
      <w:r w:rsidRPr="003F6CB1">
        <w:rPr>
          <w:rFonts w:ascii="Times New Roman" w:hAnsi="Times New Roman" w:cs="Times New Roman"/>
          <w:sz w:val="24"/>
          <w:szCs w:val="24"/>
        </w:rPr>
        <w:t>Remaining silent during a police interview may benefit Miss Jones by preventing her from making any inadvertent admissions that could be used against her in court. However, this could also hinder her defence by preventing her from providing her version of events to the police.</w:t>
      </w:r>
    </w:p>
    <w:p w14:paraId="37A3D188" w14:textId="77777777" w:rsidR="00C15D95" w:rsidRPr="003F6CB1" w:rsidRDefault="00C15D95" w:rsidP="003F6CB1">
      <w:pPr>
        <w:rPr>
          <w:rFonts w:ascii="Times New Roman" w:hAnsi="Times New Roman" w:cs="Times New Roman"/>
          <w:sz w:val="24"/>
          <w:szCs w:val="24"/>
        </w:rPr>
      </w:pPr>
    </w:p>
    <w:p w14:paraId="6F7EB74C" w14:textId="47A11240" w:rsidR="003F6CB1" w:rsidRDefault="003F6CB1" w:rsidP="003F6CB1">
      <w:pPr>
        <w:rPr>
          <w:rFonts w:ascii="Times New Roman" w:hAnsi="Times New Roman" w:cs="Times New Roman"/>
          <w:b/>
          <w:bCs/>
          <w:sz w:val="24"/>
          <w:szCs w:val="24"/>
        </w:rPr>
      </w:pPr>
      <w:r w:rsidRPr="006B0399">
        <w:rPr>
          <w:rFonts w:ascii="Times New Roman" w:hAnsi="Times New Roman" w:cs="Times New Roman"/>
          <w:b/>
          <w:bCs/>
          <w:sz w:val="24"/>
          <w:szCs w:val="24"/>
        </w:rPr>
        <w:t>Factors Considered for Trial Allocation</w:t>
      </w:r>
    </w:p>
    <w:p w14:paraId="5A5D0E71" w14:textId="77777777" w:rsidR="003417F5" w:rsidRDefault="003417F5" w:rsidP="00CD59E2">
      <w:pPr>
        <w:rPr>
          <w:rFonts w:ascii="Times New Roman" w:hAnsi="Times New Roman" w:cs="Times New Roman"/>
          <w:sz w:val="24"/>
          <w:szCs w:val="24"/>
        </w:rPr>
      </w:pPr>
      <w:r w:rsidRPr="003F6CB1">
        <w:rPr>
          <w:rFonts w:ascii="Times New Roman" w:hAnsi="Times New Roman" w:cs="Times New Roman"/>
          <w:sz w:val="24"/>
          <w:szCs w:val="24"/>
        </w:rPr>
        <w:t>The court will take into account various factors when allocating Miss Jones' case for trial, such as</w:t>
      </w:r>
    </w:p>
    <w:p w14:paraId="1BA16A19" w14:textId="77777777" w:rsidR="00C836B1" w:rsidRPr="00C836B1" w:rsidRDefault="00C836B1" w:rsidP="00C836B1">
      <w:pPr>
        <w:rPr>
          <w:rFonts w:ascii="Times New Roman" w:hAnsi="Times New Roman" w:cs="Times New Roman"/>
          <w:sz w:val="24"/>
          <w:szCs w:val="24"/>
        </w:rPr>
      </w:pPr>
      <w:r w:rsidRPr="00C836B1">
        <w:rPr>
          <w:rFonts w:ascii="Times New Roman" w:hAnsi="Times New Roman" w:cs="Times New Roman"/>
          <w:sz w:val="24"/>
          <w:szCs w:val="24"/>
        </w:rPr>
        <w:t>The factors considered for trial allocation in relation to the Theft Act 1968 S.1 and the Assault Act 1988 S.39 are largely the same. These factors include:</w:t>
      </w:r>
    </w:p>
    <w:p w14:paraId="54987D06" w14:textId="77777777" w:rsidR="00C836B1" w:rsidRPr="00C836B1" w:rsidRDefault="00C836B1" w:rsidP="00C836B1">
      <w:pPr>
        <w:rPr>
          <w:rFonts w:ascii="Times New Roman" w:hAnsi="Times New Roman" w:cs="Times New Roman"/>
          <w:sz w:val="24"/>
          <w:szCs w:val="24"/>
        </w:rPr>
      </w:pPr>
      <w:r w:rsidRPr="005733B8">
        <w:rPr>
          <w:rFonts w:ascii="Times New Roman" w:hAnsi="Times New Roman" w:cs="Times New Roman"/>
          <w:b/>
          <w:bCs/>
          <w:sz w:val="24"/>
          <w:szCs w:val="24"/>
        </w:rPr>
        <w:t>Gravity of the Offence</w:t>
      </w:r>
      <w:r w:rsidRPr="00C836B1">
        <w:rPr>
          <w:rFonts w:ascii="Times New Roman" w:hAnsi="Times New Roman" w:cs="Times New Roman"/>
          <w:sz w:val="24"/>
          <w:szCs w:val="24"/>
        </w:rPr>
        <w:t>: The seriousness of the offence is one of the primary factors considered when deciding whether the case should be heard in a magistrates' court or a Crown Court. More serious cases are generally heard in the Crown Court, which has greater powers to impose higher sentences.</w:t>
      </w:r>
    </w:p>
    <w:p w14:paraId="79013C92" w14:textId="77777777" w:rsidR="00C836B1" w:rsidRPr="00C836B1" w:rsidRDefault="00C836B1" w:rsidP="00C836B1">
      <w:pPr>
        <w:rPr>
          <w:rFonts w:ascii="Times New Roman" w:hAnsi="Times New Roman" w:cs="Times New Roman"/>
          <w:sz w:val="24"/>
          <w:szCs w:val="24"/>
        </w:rPr>
      </w:pPr>
      <w:r w:rsidRPr="005733B8">
        <w:rPr>
          <w:rFonts w:ascii="Times New Roman" w:hAnsi="Times New Roman" w:cs="Times New Roman"/>
          <w:b/>
          <w:bCs/>
          <w:sz w:val="24"/>
          <w:szCs w:val="24"/>
        </w:rPr>
        <w:t>Age of the Defendant</w:t>
      </w:r>
      <w:r w:rsidRPr="00C836B1">
        <w:rPr>
          <w:rFonts w:ascii="Times New Roman" w:hAnsi="Times New Roman" w:cs="Times New Roman"/>
          <w:sz w:val="24"/>
          <w:szCs w:val="24"/>
        </w:rPr>
        <w:t>: If the defendant is under 18 years of age, the case is usually allocated to the Youth Court. However, in certain cases, such as those involving serious violence or sexual offences, the case may be heard in a Crown Court.</w:t>
      </w:r>
    </w:p>
    <w:p w14:paraId="3F7DB4BC" w14:textId="77777777" w:rsidR="00C836B1" w:rsidRPr="00C836B1" w:rsidRDefault="00C836B1" w:rsidP="00C836B1">
      <w:pPr>
        <w:rPr>
          <w:rFonts w:ascii="Times New Roman" w:hAnsi="Times New Roman" w:cs="Times New Roman"/>
          <w:sz w:val="24"/>
          <w:szCs w:val="24"/>
        </w:rPr>
      </w:pPr>
      <w:r w:rsidRPr="005733B8">
        <w:rPr>
          <w:rFonts w:ascii="Times New Roman" w:hAnsi="Times New Roman" w:cs="Times New Roman"/>
          <w:b/>
          <w:bCs/>
          <w:sz w:val="24"/>
          <w:szCs w:val="24"/>
        </w:rPr>
        <w:t>Defendant's Previous Convictions</w:t>
      </w:r>
      <w:r w:rsidRPr="00C836B1">
        <w:rPr>
          <w:rFonts w:ascii="Times New Roman" w:hAnsi="Times New Roman" w:cs="Times New Roman"/>
          <w:sz w:val="24"/>
          <w:szCs w:val="24"/>
        </w:rPr>
        <w:t>: The defendant's previous convictions and criminal history will also be taken into account when deciding on the appropriate court for trial. Repeat offenders are more likely to be tried in a Crown Court.</w:t>
      </w:r>
    </w:p>
    <w:p w14:paraId="548B6856" w14:textId="77777777" w:rsidR="00C836B1" w:rsidRPr="00C836B1" w:rsidRDefault="00C836B1" w:rsidP="00C836B1">
      <w:pPr>
        <w:rPr>
          <w:rFonts w:ascii="Times New Roman" w:hAnsi="Times New Roman" w:cs="Times New Roman"/>
          <w:sz w:val="24"/>
          <w:szCs w:val="24"/>
        </w:rPr>
      </w:pPr>
      <w:r w:rsidRPr="00CA4351">
        <w:rPr>
          <w:rFonts w:ascii="Times New Roman" w:hAnsi="Times New Roman" w:cs="Times New Roman"/>
          <w:b/>
          <w:bCs/>
          <w:sz w:val="24"/>
          <w:szCs w:val="24"/>
        </w:rPr>
        <w:t>Complexity of the Case</w:t>
      </w:r>
      <w:r w:rsidRPr="00C836B1">
        <w:rPr>
          <w:rFonts w:ascii="Times New Roman" w:hAnsi="Times New Roman" w:cs="Times New Roman"/>
          <w:sz w:val="24"/>
          <w:szCs w:val="24"/>
        </w:rPr>
        <w:t>: The complexity of the case, including the number of witnesses and evidence to be considered, is another important factor. More complex cases are more likely to be heard in a Crown Court.</w:t>
      </w:r>
    </w:p>
    <w:p w14:paraId="032E957F" w14:textId="77777777" w:rsidR="00C836B1" w:rsidRPr="00C836B1" w:rsidRDefault="00C836B1" w:rsidP="00C836B1">
      <w:pPr>
        <w:rPr>
          <w:rFonts w:ascii="Times New Roman" w:hAnsi="Times New Roman" w:cs="Times New Roman"/>
          <w:sz w:val="24"/>
          <w:szCs w:val="24"/>
        </w:rPr>
      </w:pPr>
      <w:r w:rsidRPr="005733B8">
        <w:rPr>
          <w:rFonts w:ascii="Times New Roman" w:hAnsi="Times New Roman" w:cs="Times New Roman"/>
          <w:b/>
          <w:bCs/>
          <w:sz w:val="24"/>
          <w:szCs w:val="24"/>
        </w:rPr>
        <w:t>Public Interest</w:t>
      </w:r>
      <w:r w:rsidRPr="00C836B1">
        <w:rPr>
          <w:rFonts w:ascii="Times New Roman" w:hAnsi="Times New Roman" w:cs="Times New Roman"/>
          <w:sz w:val="24"/>
          <w:szCs w:val="24"/>
        </w:rPr>
        <w:t>: The public interest in the case will also be considered. Cases that are likely to attract significant public attention, such as those involving high-profile individuals or controversial issues, may be heard in a Crown Court.</w:t>
      </w:r>
    </w:p>
    <w:p w14:paraId="52A3CFAC" w14:textId="16081F32" w:rsidR="00C15D95" w:rsidRDefault="00C836B1" w:rsidP="003F6CB1">
      <w:pPr>
        <w:rPr>
          <w:rFonts w:ascii="Times New Roman" w:hAnsi="Times New Roman" w:cs="Times New Roman"/>
          <w:sz w:val="24"/>
          <w:szCs w:val="24"/>
        </w:rPr>
      </w:pPr>
      <w:r w:rsidRPr="00E14EDA">
        <w:rPr>
          <w:rFonts w:ascii="Times New Roman" w:hAnsi="Times New Roman" w:cs="Times New Roman"/>
          <w:b/>
          <w:bCs/>
          <w:sz w:val="24"/>
          <w:szCs w:val="24"/>
        </w:rPr>
        <w:t>Plea</w:t>
      </w:r>
      <w:r w:rsidRPr="00C836B1">
        <w:rPr>
          <w:rFonts w:ascii="Times New Roman" w:hAnsi="Times New Roman" w:cs="Times New Roman"/>
          <w:sz w:val="24"/>
          <w:szCs w:val="24"/>
        </w:rPr>
        <w:t>: If the defendant pleads guilty to the offence, the case is likely to be heard in a magistrates' court. However, if the defendant pleads not guilty, the case may be allocated to a Crown Court.</w:t>
      </w:r>
    </w:p>
    <w:p w14:paraId="7AB601C4" w14:textId="77777777" w:rsidR="00C15D95" w:rsidRPr="003F6CB1" w:rsidRDefault="00C15D95" w:rsidP="003F6CB1">
      <w:pPr>
        <w:rPr>
          <w:rFonts w:ascii="Times New Roman" w:hAnsi="Times New Roman" w:cs="Times New Roman"/>
          <w:sz w:val="24"/>
          <w:szCs w:val="24"/>
        </w:rPr>
      </w:pPr>
    </w:p>
    <w:p w14:paraId="2A1DE418" w14:textId="77777777" w:rsidR="00E14EDA" w:rsidRDefault="00E14EDA" w:rsidP="003F6CB1">
      <w:pPr>
        <w:rPr>
          <w:rFonts w:ascii="Times New Roman" w:hAnsi="Times New Roman" w:cs="Times New Roman"/>
          <w:b/>
          <w:bCs/>
          <w:sz w:val="24"/>
          <w:szCs w:val="24"/>
        </w:rPr>
      </w:pPr>
    </w:p>
    <w:p w14:paraId="527AE7D7" w14:textId="57C431CD" w:rsidR="003F6CB1" w:rsidRPr="006B0399" w:rsidRDefault="003F6CB1" w:rsidP="003F6CB1">
      <w:pPr>
        <w:rPr>
          <w:rFonts w:ascii="Times New Roman" w:hAnsi="Times New Roman" w:cs="Times New Roman"/>
          <w:b/>
          <w:bCs/>
          <w:sz w:val="24"/>
          <w:szCs w:val="24"/>
        </w:rPr>
      </w:pPr>
      <w:r w:rsidRPr="006B0399">
        <w:rPr>
          <w:rFonts w:ascii="Times New Roman" w:hAnsi="Times New Roman" w:cs="Times New Roman"/>
          <w:b/>
          <w:bCs/>
          <w:sz w:val="24"/>
          <w:szCs w:val="24"/>
        </w:rPr>
        <w:t>Conclusion</w:t>
      </w:r>
      <w:r w:rsidR="00E14EDA">
        <w:rPr>
          <w:rFonts w:ascii="Times New Roman" w:hAnsi="Times New Roman" w:cs="Times New Roman"/>
          <w:b/>
          <w:bCs/>
          <w:sz w:val="24"/>
          <w:szCs w:val="24"/>
        </w:rPr>
        <w:t>,</w:t>
      </w:r>
    </w:p>
    <w:p w14:paraId="40206669" w14:textId="5B7AF46F" w:rsidR="005E2F02" w:rsidRPr="005E2F02" w:rsidRDefault="003F6CB1" w:rsidP="005E2F02">
      <w:pPr>
        <w:rPr>
          <w:rFonts w:ascii="Times New Roman" w:hAnsi="Times New Roman" w:cs="Times New Roman"/>
          <w:sz w:val="24"/>
          <w:szCs w:val="24"/>
        </w:rPr>
      </w:pPr>
      <w:r w:rsidRPr="003F6CB1">
        <w:rPr>
          <w:rFonts w:ascii="Times New Roman" w:hAnsi="Times New Roman" w:cs="Times New Roman"/>
          <w:sz w:val="24"/>
          <w:szCs w:val="24"/>
        </w:rPr>
        <w:t xml:space="preserve">In </w:t>
      </w:r>
      <w:r w:rsidR="006623D2" w:rsidRPr="003F6CB1">
        <w:rPr>
          <w:rFonts w:ascii="Times New Roman" w:hAnsi="Times New Roman" w:cs="Times New Roman"/>
          <w:sz w:val="24"/>
          <w:szCs w:val="24"/>
        </w:rPr>
        <w:t>conclusion</w:t>
      </w:r>
      <w:r w:rsidR="006623D2">
        <w:rPr>
          <w:rFonts w:ascii="Times New Roman" w:hAnsi="Times New Roman" w:cs="Times New Roman"/>
          <w:sz w:val="24"/>
          <w:szCs w:val="24"/>
        </w:rPr>
        <w:t>, the</w:t>
      </w:r>
      <w:r w:rsidR="005E2F02" w:rsidRPr="005E2F02">
        <w:rPr>
          <w:rFonts w:ascii="Times New Roman" w:hAnsi="Times New Roman" w:cs="Times New Roman"/>
          <w:sz w:val="24"/>
          <w:szCs w:val="24"/>
        </w:rPr>
        <w:t xml:space="preserve"> case of Miss Sarah Jones, who is charged with theft and assault, presents several legal and factual complexities</w:t>
      </w:r>
      <w:r w:rsidR="003E6655">
        <w:rPr>
          <w:rFonts w:ascii="Times New Roman" w:hAnsi="Times New Roman" w:cs="Times New Roman"/>
          <w:sz w:val="24"/>
          <w:szCs w:val="24"/>
        </w:rPr>
        <w:t xml:space="preserve">. In </w:t>
      </w:r>
      <w:r w:rsidR="005E2F02" w:rsidRPr="005E2F02">
        <w:rPr>
          <w:rFonts w:ascii="Times New Roman" w:hAnsi="Times New Roman" w:cs="Times New Roman"/>
          <w:sz w:val="24"/>
          <w:szCs w:val="24"/>
        </w:rPr>
        <w:t xml:space="preserve">terms of the law, theft and assault are both criminal offences with specific elements that must be proven beyond a reasonable doubt for a conviction to be obtained. The possible sentences for these offences can range from a fine to </w:t>
      </w:r>
      <w:r w:rsidR="005E2F02" w:rsidRPr="005E2F02">
        <w:rPr>
          <w:rFonts w:ascii="Times New Roman" w:hAnsi="Times New Roman" w:cs="Times New Roman"/>
          <w:sz w:val="24"/>
          <w:szCs w:val="24"/>
        </w:rPr>
        <w:lastRenderedPageBreak/>
        <w:t>imprisonment, depending on the severity of the offence and the defendant's criminal history. In Miss Jones' case, her prior conviction for robbery and the seriousness of the alleged offences could impact the sentence if convicted.</w:t>
      </w:r>
    </w:p>
    <w:p w14:paraId="101ABB9D" w14:textId="383B2BCC" w:rsidR="005E2F02" w:rsidRPr="005E2F02" w:rsidRDefault="005E2F02" w:rsidP="005E2F02">
      <w:pPr>
        <w:rPr>
          <w:rFonts w:ascii="Times New Roman" w:hAnsi="Times New Roman" w:cs="Times New Roman"/>
          <w:sz w:val="24"/>
          <w:szCs w:val="24"/>
        </w:rPr>
      </w:pPr>
      <w:r w:rsidRPr="005E2F02">
        <w:rPr>
          <w:rFonts w:ascii="Times New Roman" w:hAnsi="Times New Roman" w:cs="Times New Roman"/>
          <w:sz w:val="24"/>
          <w:szCs w:val="24"/>
        </w:rPr>
        <w:t>In terms of the evidence against Miss Jones, it is important to evaluate the strength of the prosecution's case, including the credibility and reliability of witness testimony, forensic evidence, and any other relevant factors.</w:t>
      </w:r>
    </w:p>
    <w:p w14:paraId="0E36CADC" w14:textId="77777777" w:rsidR="0072077A" w:rsidRDefault="005E2F02" w:rsidP="005E2F02">
      <w:pPr>
        <w:rPr>
          <w:rFonts w:ascii="Times New Roman" w:hAnsi="Times New Roman" w:cs="Times New Roman"/>
          <w:sz w:val="24"/>
          <w:szCs w:val="24"/>
        </w:rPr>
      </w:pPr>
      <w:r w:rsidRPr="005E2F02">
        <w:rPr>
          <w:rFonts w:ascii="Times New Roman" w:hAnsi="Times New Roman" w:cs="Times New Roman"/>
          <w:sz w:val="24"/>
          <w:szCs w:val="24"/>
        </w:rPr>
        <w:t>The fact that Miss Davies does not have a receipt for the handbag and that her grandmother is deceased could potentially weaken her claim to ownership of the handbag, but this would depend on the specific facts and circumstances of the case.</w:t>
      </w:r>
    </w:p>
    <w:p w14:paraId="4129E35E" w14:textId="7F0EECB0" w:rsidR="005E2F02" w:rsidRPr="005E2F02" w:rsidRDefault="005E2F02" w:rsidP="005E2F02">
      <w:pPr>
        <w:rPr>
          <w:rFonts w:ascii="Times New Roman" w:hAnsi="Times New Roman" w:cs="Times New Roman"/>
          <w:sz w:val="24"/>
          <w:szCs w:val="24"/>
        </w:rPr>
      </w:pPr>
      <w:r w:rsidRPr="005E2F02">
        <w:rPr>
          <w:rFonts w:ascii="Times New Roman" w:hAnsi="Times New Roman" w:cs="Times New Roman"/>
          <w:sz w:val="24"/>
          <w:szCs w:val="24"/>
        </w:rPr>
        <w:t xml:space="preserve"> </w:t>
      </w:r>
      <w:r w:rsidR="002C2696">
        <w:rPr>
          <w:rFonts w:ascii="Times New Roman" w:hAnsi="Times New Roman" w:cs="Times New Roman"/>
          <w:sz w:val="24"/>
          <w:szCs w:val="24"/>
        </w:rPr>
        <w:t xml:space="preserve">In terms </w:t>
      </w:r>
      <w:r w:rsidR="006623D2">
        <w:rPr>
          <w:rFonts w:ascii="Times New Roman" w:hAnsi="Times New Roman" w:cs="Times New Roman"/>
          <w:sz w:val="24"/>
          <w:szCs w:val="24"/>
        </w:rPr>
        <w:t>of,</w:t>
      </w:r>
      <w:r w:rsidR="008E6B20">
        <w:rPr>
          <w:rFonts w:ascii="Times New Roman" w:hAnsi="Times New Roman" w:cs="Times New Roman"/>
          <w:sz w:val="24"/>
          <w:szCs w:val="24"/>
        </w:rPr>
        <w:t xml:space="preserve"> </w:t>
      </w:r>
      <w:r w:rsidRPr="005E2F02">
        <w:rPr>
          <w:rFonts w:ascii="Times New Roman" w:hAnsi="Times New Roman" w:cs="Times New Roman"/>
          <w:sz w:val="24"/>
          <w:szCs w:val="24"/>
        </w:rPr>
        <w:t>Miss Jones on whether to</w:t>
      </w:r>
      <w:r w:rsidR="0015213C">
        <w:rPr>
          <w:rFonts w:ascii="Times New Roman" w:hAnsi="Times New Roman" w:cs="Times New Roman"/>
          <w:sz w:val="24"/>
          <w:szCs w:val="24"/>
        </w:rPr>
        <w:t xml:space="preserve"> </w:t>
      </w:r>
      <w:r w:rsidRPr="005E2F02">
        <w:rPr>
          <w:rFonts w:ascii="Times New Roman" w:hAnsi="Times New Roman" w:cs="Times New Roman"/>
          <w:sz w:val="24"/>
          <w:szCs w:val="24"/>
        </w:rPr>
        <w:t>Remaining silent could prevent her from making statements that could be used against her in court, but it could also be seen as an indication of guilt or lack of cooperation.</w:t>
      </w:r>
    </w:p>
    <w:p w14:paraId="1914CDC5" w14:textId="7F04536D" w:rsidR="001A55F3" w:rsidRDefault="005E2F02">
      <w:pPr>
        <w:rPr>
          <w:rFonts w:ascii="Times New Roman" w:hAnsi="Times New Roman" w:cs="Times New Roman"/>
          <w:sz w:val="24"/>
          <w:szCs w:val="24"/>
        </w:rPr>
      </w:pPr>
      <w:r w:rsidRPr="005E2F02">
        <w:rPr>
          <w:rFonts w:ascii="Times New Roman" w:hAnsi="Times New Roman" w:cs="Times New Roman"/>
          <w:sz w:val="24"/>
          <w:szCs w:val="24"/>
        </w:rPr>
        <w:t>Finally, the court will take into account several factors when allocating Miss Jones' case for trial, including the seriousness of the alleged offences, the defendant's criminal history, the strength of the evidence against her, and any other relevant factors. As her solicitor, it is important to carefully evaluate these factors and provide the best possible advice to the client based on the specific facts and circumstances of the case.</w:t>
      </w:r>
    </w:p>
    <w:p w14:paraId="7E54B535" w14:textId="77777777" w:rsidR="00CD04D8" w:rsidRDefault="00CD04D8" w:rsidP="00635E3C">
      <w:pPr>
        <w:rPr>
          <w:rFonts w:ascii="Times New Roman" w:hAnsi="Times New Roman" w:cs="Times New Roman"/>
          <w:b/>
          <w:bCs/>
          <w:sz w:val="24"/>
          <w:szCs w:val="24"/>
        </w:rPr>
      </w:pPr>
    </w:p>
    <w:p w14:paraId="52F380A1" w14:textId="77777777" w:rsidR="00CD04D8" w:rsidRDefault="00CD04D8" w:rsidP="00635E3C">
      <w:pPr>
        <w:rPr>
          <w:rFonts w:ascii="Times New Roman" w:hAnsi="Times New Roman" w:cs="Times New Roman"/>
          <w:b/>
          <w:bCs/>
          <w:sz w:val="24"/>
          <w:szCs w:val="24"/>
        </w:rPr>
      </w:pPr>
    </w:p>
    <w:p w14:paraId="5C424F74" w14:textId="77777777" w:rsidR="00CD04D8" w:rsidRDefault="00CD04D8" w:rsidP="00635E3C">
      <w:pPr>
        <w:rPr>
          <w:rFonts w:ascii="Times New Roman" w:hAnsi="Times New Roman" w:cs="Times New Roman"/>
          <w:b/>
          <w:bCs/>
          <w:sz w:val="24"/>
          <w:szCs w:val="24"/>
        </w:rPr>
      </w:pPr>
    </w:p>
    <w:p w14:paraId="47BD4012" w14:textId="5388F49C" w:rsidR="00CD04D8" w:rsidRDefault="00CD04D8" w:rsidP="00635E3C">
      <w:pPr>
        <w:rPr>
          <w:rFonts w:ascii="Times New Roman" w:hAnsi="Times New Roman" w:cs="Times New Roman"/>
          <w:b/>
          <w:bCs/>
          <w:sz w:val="24"/>
          <w:szCs w:val="24"/>
        </w:rPr>
      </w:pPr>
    </w:p>
    <w:p w14:paraId="481CF01E" w14:textId="19349ADF" w:rsidR="00A75861" w:rsidRDefault="00A75861" w:rsidP="00635E3C">
      <w:pPr>
        <w:rPr>
          <w:rFonts w:ascii="Times New Roman" w:hAnsi="Times New Roman" w:cs="Times New Roman"/>
          <w:b/>
          <w:bCs/>
          <w:sz w:val="24"/>
          <w:szCs w:val="24"/>
        </w:rPr>
      </w:pPr>
    </w:p>
    <w:p w14:paraId="12262D0A" w14:textId="5D9A8BCF" w:rsidR="00A75861" w:rsidRDefault="00A75861" w:rsidP="00635E3C">
      <w:pPr>
        <w:rPr>
          <w:rFonts w:ascii="Times New Roman" w:hAnsi="Times New Roman" w:cs="Times New Roman"/>
          <w:b/>
          <w:bCs/>
          <w:sz w:val="24"/>
          <w:szCs w:val="24"/>
        </w:rPr>
      </w:pPr>
    </w:p>
    <w:p w14:paraId="0CF2605D" w14:textId="4967934C" w:rsidR="00A75861" w:rsidRDefault="00A75861" w:rsidP="00635E3C">
      <w:pPr>
        <w:rPr>
          <w:rFonts w:ascii="Times New Roman" w:hAnsi="Times New Roman" w:cs="Times New Roman"/>
          <w:b/>
          <w:bCs/>
          <w:sz w:val="24"/>
          <w:szCs w:val="24"/>
        </w:rPr>
      </w:pPr>
    </w:p>
    <w:p w14:paraId="258A9756" w14:textId="50DC9815" w:rsidR="00A75861" w:rsidRDefault="00A75861" w:rsidP="00635E3C">
      <w:pPr>
        <w:rPr>
          <w:rFonts w:ascii="Times New Roman" w:hAnsi="Times New Roman" w:cs="Times New Roman"/>
          <w:b/>
          <w:bCs/>
          <w:sz w:val="24"/>
          <w:szCs w:val="24"/>
        </w:rPr>
      </w:pPr>
    </w:p>
    <w:p w14:paraId="39C32F4D" w14:textId="0FFA765E" w:rsidR="00A75861" w:rsidRDefault="00A75861" w:rsidP="00635E3C">
      <w:pPr>
        <w:rPr>
          <w:rFonts w:ascii="Times New Roman" w:hAnsi="Times New Roman" w:cs="Times New Roman"/>
          <w:b/>
          <w:bCs/>
          <w:sz w:val="24"/>
          <w:szCs w:val="24"/>
        </w:rPr>
      </w:pPr>
    </w:p>
    <w:p w14:paraId="169B9C03" w14:textId="6ABCEAD7" w:rsidR="00A75861" w:rsidRDefault="00A75861" w:rsidP="00635E3C">
      <w:pPr>
        <w:rPr>
          <w:rFonts w:ascii="Times New Roman" w:hAnsi="Times New Roman" w:cs="Times New Roman"/>
          <w:b/>
          <w:bCs/>
          <w:sz w:val="24"/>
          <w:szCs w:val="24"/>
        </w:rPr>
      </w:pPr>
    </w:p>
    <w:p w14:paraId="6C8A2C72" w14:textId="0BD7F24D" w:rsidR="00A75861" w:rsidRDefault="00A75861" w:rsidP="00635E3C">
      <w:pPr>
        <w:rPr>
          <w:rFonts w:ascii="Times New Roman" w:hAnsi="Times New Roman" w:cs="Times New Roman"/>
          <w:b/>
          <w:bCs/>
          <w:sz w:val="24"/>
          <w:szCs w:val="24"/>
        </w:rPr>
      </w:pPr>
    </w:p>
    <w:p w14:paraId="76772233" w14:textId="53680180" w:rsidR="00A75861" w:rsidRDefault="00A75861" w:rsidP="00635E3C">
      <w:pPr>
        <w:rPr>
          <w:rFonts w:ascii="Times New Roman" w:hAnsi="Times New Roman" w:cs="Times New Roman"/>
          <w:b/>
          <w:bCs/>
          <w:sz w:val="24"/>
          <w:szCs w:val="24"/>
        </w:rPr>
      </w:pPr>
    </w:p>
    <w:p w14:paraId="580E78D2" w14:textId="3E3DEAA7" w:rsidR="00A75861" w:rsidRDefault="00A75861" w:rsidP="00635E3C">
      <w:pPr>
        <w:rPr>
          <w:rFonts w:ascii="Times New Roman" w:hAnsi="Times New Roman" w:cs="Times New Roman"/>
          <w:b/>
          <w:bCs/>
          <w:sz w:val="24"/>
          <w:szCs w:val="24"/>
        </w:rPr>
      </w:pPr>
    </w:p>
    <w:p w14:paraId="685FE4C1" w14:textId="1D6D0A5F" w:rsidR="00A75861" w:rsidRDefault="00A75861" w:rsidP="00635E3C">
      <w:pPr>
        <w:rPr>
          <w:rFonts w:ascii="Times New Roman" w:hAnsi="Times New Roman" w:cs="Times New Roman"/>
          <w:b/>
          <w:bCs/>
          <w:sz w:val="24"/>
          <w:szCs w:val="24"/>
        </w:rPr>
      </w:pPr>
    </w:p>
    <w:p w14:paraId="7B339D60" w14:textId="062954EE" w:rsidR="008E7231" w:rsidRDefault="008E7231" w:rsidP="00635E3C">
      <w:pPr>
        <w:rPr>
          <w:rFonts w:ascii="Times New Roman" w:hAnsi="Times New Roman" w:cs="Times New Roman"/>
          <w:b/>
          <w:bCs/>
          <w:sz w:val="24"/>
          <w:szCs w:val="24"/>
        </w:rPr>
      </w:pPr>
    </w:p>
    <w:p w14:paraId="7AABD50C" w14:textId="2D191C1B" w:rsidR="008E7231" w:rsidRDefault="008E7231" w:rsidP="00635E3C">
      <w:pPr>
        <w:rPr>
          <w:rFonts w:ascii="Times New Roman" w:hAnsi="Times New Roman" w:cs="Times New Roman"/>
          <w:b/>
          <w:bCs/>
          <w:sz w:val="24"/>
          <w:szCs w:val="24"/>
        </w:rPr>
      </w:pPr>
    </w:p>
    <w:p w14:paraId="3757FD45" w14:textId="459C0227" w:rsidR="008E7231" w:rsidRDefault="008E7231" w:rsidP="00635E3C">
      <w:pPr>
        <w:rPr>
          <w:rFonts w:ascii="Times New Roman" w:hAnsi="Times New Roman" w:cs="Times New Roman"/>
          <w:b/>
          <w:bCs/>
          <w:sz w:val="24"/>
          <w:szCs w:val="24"/>
        </w:rPr>
      </w:pPr>
    </w:p>
    <w:p w14:paraId="0D0B73F4" w14:textId="0B6C0CB2" w:rsidR="008E7231" w:rsidRDefault="008E7231" w:rsidP="00635E3C">
      <w:pPr>
        <w:rPr>
          <w:rFonts w:ascii="Times New Roman" w:hAnsi="Times New Roman" w:cs="Times New Roman"/>
          <w:b/>
          <w:bCs/>
          <w:sz w:val="24"/>
          <w:szCs w:val="24"/>
        </w:rPr>
      </w:pPr>
    </w:p>
    <w:p w14:paraId="4B2FACDB" w14:textId="7F071D21" w:rsidR="008E7231" w:rsidRDefault="008E7231" w:rsidP="00635E3C">
      <w:pPr>
        <w:rPr>
          <w:rFonts w:ascii="Times New Roman" w:hAnsi="Times New Roman" w:cs="Times New Roman"/>
          <w:b/>
          <w:bCs/>
          <w:sz w:val="24"/>
          <w:szCs w:val="24"/>
        </w:rPr>
      </w:pPr>
    </w:p>
    <w:p w14:paraId="4EF57772" w14:textId="39F41F04" w:rsidR="008E7231" w:rsidRDefault="008E7231" w:rsidP="00635E3C">
      <w:pPr>
        <w:rPr>
          <w:rFonts w:ascii="Times New Roman" w:hAnsi="Times New Roman" w:cs="Times New Roman"/>
          <w:b/>
          <w:bCs/>
          <w:sz w:val="24"/>
          <w:szCs w:val="24"/>
        </w:rPr>
      </w:pPr>
    </w:p>
    <w:p w14:paraId="6556A4AF" w14:textId="47F8AB4F" w:rsidR="008E7231" w:rsidRDefault="008E7231" w:rsidP="00635E3C">
      <w:pPr>
        <w:rPr>
          <w:rFonts w:ascii="Times New Roman" w:hAnsi="Times New Roman" w:cs="Times New Roman"/>
          <w:b/>
          <w:bCs/>
          <w:sz w:val="24"/>
          <w:szCs w:val="24"/>
        </w:rPr>
      </w:pPr>
    </w:p>
    <w:p w14:paraId="29D0D875" w14:textId="4C0CC36A" w:rsidR="008E7231" w:rsidRDefault="008E7231" w:rsidP="00635E3C">
      <w:pPr>
        <w:rPr>
          <w:rFonts w:ascii="Times New Roman" w:hAnsi="Times New Roman" w:cs="Times New Roman"/>
          <w:b/>
          <w:bCs/>
          <w:sz w:val="24"/>
          <w:szCs w:val="24"/>
        </w:rPr>
      </w:pPr>
    </w:p>
    <w:p w14:paraId="20B19B37" w14:textId="589C616C" w:rsidR="008E7231" w:rsidRDefault="008E7231" w:rsidP="00635E3C">
      <w:pPr>
        <w:rPr>
          <w:rFonts w:ascii="Times New Roman" w:hAnsi="Times New Roman" w:cs="Times New Roman"/>
          <w:b/>
          <w:bCs/>
          <w:sz w:val="24"/>
          <w:szCs w:val="24"/>
        </w:rPr>
      </w:pPr>
    </w:p>
    <w:p w14:paraId="02526147" w14:textId="2D6A89A1" w:rsidR="008E7231" w:rsidRDefault="008E7231" w:rsidP="00635E3C">
      <w:pPr>
        <w:rPr>
          <w:rFonts w:ascii="Times New Roman" w:hAnsi="Times New Roman" w:cs="Times New Roman"/>
          <w:b/>
          <w:bCs/>
          <w:sz w:val="24"/>
          <w:szCs w:val="24"/>
        </w:rPr>
      </w:pPr>
    </w:p>
    <w:p w14:paraId="6B2EBF1A" w14:textId="7B664293" w:rsidR="008E7231" w:rsidRDefault="008E7231" w:rsidP="00635E3C">
      <w:pPr>
        <w:rPr>
          <w:rFonts w:ascii="Times New Roman" w:hAnsi="Times New Roman" w:cs="Times New Roman"/>
          <w:b/>
          <w:bCs/>
          <w:sz w:val="24"/>
          <w:szCs w:val="24"/>
        </w:rPr>
      </w:pPr>
    </w:p>
    <w:p w14:paraId="1D15049B" w14:textId="4A5E63E2" w:rsidR="008E7231" w:rsidRDefault="008E7231" w:rsidP="00635E3C">
      <w:pPr>
        <w:rPr>
          <w:rFonts w:ascii="Times New Roman" w:hAnsi="Times New Roman" w:cs="Times New Roman"/>
          <w:b/>
          <w:bCs/>
          <w:sz w:val="24"/>
          <w:szCs w:val="24"/>
        </w:rPr>
      </w:pPr>
    </w:p>
    <w:p w14:paraId="222AAA13" w14:textId="59CB4DA1" w:rsidR="008E7231" w:rsidRDefault="008E7231" w:rsidP="00635E3C">
      <w:pPr>
        <w:rPr>
          <w:rFonts w:ascii="Times New Roman" w:hAnsi="Times New Roman" w:cs="Times New Roman"/>
          <w:b/>
          <w:bCs/>
          <w:sz w:val="24"/>
          <w:szCs w:val="24"/>
        </w:rPr>
      </w:pPr>
    </w:p>
    <w:p w14:paraId="5F17E38E" w14:textId="77777777" w:rsidR="008E7231" w:rsidRDefault="008E7231" w:rsidP="00635E3C">
      <w:pPr>
        <w:rPr>
          <w:rFonts w:ascii="Times New Roman" w:hAnsi="Times New Roman" w:cs="Times New Roman"/>
          <w:b/>
          <w:bCs/>
          <w:sz w:val="24"/>
          <w:szCs w:val="24"/>
        </w:rPr>
      </w:pPr>
    </w:p>
    <w:p w14:paraId="72D7C5E6" w14:textId="77777777" w:rsidR="00A75861" w:rsidRDefault="00A75861" w:rsidP="00635E3C">
      <w:pPr>
        <w:rPr>
          <w:rFonts w:ascii="Times New Roman" w:hAnsi="Times New Roman" w:cs="Times New Roman"/>
          <w:b/>
          <w:bCs/>
          <w:sz w:val="24"/>
          <w:szCs w:val="24"/>
        </w:rPr>
      </w:pPr>
    </w:p>
    <w:p w14:paraId="0A7775E1" w14:textId="77777777" w:rsidR="00CD04D8" w:rsidRDefault="00CD04D8" w:rsidP="00635E3C">
      <w:pPr>
        <w:rPr>
          <w:rFonts w:ascii="Times New Roman" w:hAnsi="Times New Roman" w:cs="Times New Roman"/>
          <w:b/>
          <w:bCs/>
          <w:sz w:val="24"/>
          <w:szCs w:val="24"/>
        </w:rPr>
      </w:pPr>
    </w:p>
    <w:p w14:paraId="14D7C89C" w14:textId="4392CCC7" w:rsidR="004344EA" w:rsidRDefault="008B191A" w:rsidP="00635E3C">
      <w:pPr>
        <w:rPr>
          <w:rFonts w:ascii="Times New Roman" w:hAnsi="Times New Roman" w:cs="Times New Roman"/>
          <w:sz w:val="24"/>
          <w:szCs w:val="24"/>
        </w:rPr>
      </w:pPr>
      <w:r w:rsidRPr="008E7231">
        <w:rPr>
          <w:rFonts w:ascii="Times New Roman" w:hAnsi="Times New Roman" w:cs="Times New Roman"/>
          <w:b/>
          <w:bCs/>
          <w:sz w:val="28"/>
          <w:szCs w:val="28"/>
        </w:rPr>
        <w:t>References</w:t>
      </w:r>
      <w:r>
        <w:rPr>
          <w:rFonts w:ascii="Times New Roman" w:hAnsi="Times New Roman" w:cs="Times New Roman"/>
          <w:sz w:val="24"/>
          <w:szCs w:val="24"/>
        </w:rPr>
        <w:t>:</w:t>
      </w:r>
      <w:r w:rsidR="002F3383" w:rsidRPr="002F3383">
        <w:rPr>
          <w:rFonts w:ascii="Times New Roman" w:hAnsi="Times New Roman" w:cs="Times New Roman"/>
          <w:sz w:val="24"/>
          <w:szCs w:val="24"/>
        </w:rPr>
        <w:t xml:space="preserve"> </w:t>
      </w:r>
    </w:p>
    <w:p w14:paraId="71C6B732" w14:textId="77777777" w:rsidR="008E7231" w:rsidRDefault="008E7231" w:rsidP="00635E3C">
      <w:pPr>
        <w:rPr>
          <w:rFonts w:ascii="Times New Roman" w:hAnsi="Times New Roman" w:cs="Times New Roman"/>
          <w:sz w:val="24"/>
          <w:szCs w:val="24"/>
        </w:rPr>
      </w:pPr>
    </w:p>
    <w:p w14:paraId="0AF6F97D" w14:textId="0BD9779C" w:rsidR="002F3383" w:rsidRDefault="009411E8" w:rsidP="00635E3C">
      <w:pPr>
        <w:rPr>
          <w:rFonts w:ascii="Times New Roman" w:hAnsi="Times New Roman" w:cs="Times New Roman"/>
          <w:sz w:val="24"/>
          <w:szCs w:val="24"/>
        </w:rPr>
      </w:pPr>
      <w:r w:rsidRPr="009411E8">
        <w:rPr>
          <w:rFonts w:ascii="Times New Roman" w:hAnsi="Times New Roman" w:cs="Times New Roman"/>
          <w:sz w:val="24"/>
          <w:szCs w:val="24"/>
        </w:rPr>
        <w:lastRenderedPageBreak/>
        <w:t xml:space="preserve">Anon (n.d.) Ministry of Justice - GOV.UK. </w:t>
      </w:r>
      <w:hyperlink r:id="rId5" w:history="1">
        <w:r w:rsidRPr="00A460A7">
          <w:rPr>
            <w:rStyle w:val="Hyperlink"/>
            <w:rFonts w:ascii="Times New Roman" w:hAnsi="Times New Roman" w:cs="Times New Roman"/>
            <w:sz w:val="24"/>
            <w:szCs w:val="24"/>
          </w:rPr>
          <w:t>https://www.gov.uk/government/organisations/ministry-of-justice</w:t>
        </w:r>
      </w:hyperlink>
    </w:p>
    <w:p w14:paraId="30CE5298" w14:textId="71AD5C83" w:rsidR="009411E8" w:rsidRPr="00635E3C" w:rsidRDefault="0053769D" w:rsidP="00635E3C">
      <w:pPr>
        <w:rPr>
          <w:rFonts w:ascii="Times New Roman" w:hAnsi="Times New Roman" w:cs="Times New Roman"/>
          <w:sz w:val="24"/>
          <w:szCs w:val="24"/>
        </w:rPr>
      </w:pPr>
      <w:r w:rsidRPr="00CB7E03">
        <w:rPr>
          <w:rFonts w:ascii="Times New Roman" w:hAnsi="Times New Roman" w:cs="Times New Roman"/>
          <w:sz w:val="24"/>
          <w:szCs w:val="24"/>
        </w:rPr>
        <w:t xml:space="preserve">Anon (n.d.) SRA | Code of Conduct for Solicitors, RELs and RFLs | Solicitors Regulation Authority. </w:t>
      </w:r>
      <w:hyperlink r:id="rId6" w:history="1">
        <w:r w:rsidRPr="00A460A7">
          <w:rPr>
            <w:rStyle w:val="Hyperlink"/>
            <w:rFonts w:ascii="Times New Roman" w:hAnsi="Times New Roman" w:cs="Times New Roman"/>
            <w:sz w:val="24"/>
            <w:szCs w:val="24"/>
          </w:rPr>
          <w:t>https://www.sra.org.uk/solicitors/standards-regulations/code-conduct-solicitors/</w:t>
        </w:r>
      </w:hyperlink>
      <w:r>
        <w:rPr>
          <w:rFonts w:ascii="Times New Roman" w:hAnsi="Times New Roman" w:cs="Times New Roman"/>
          <w:sz w:val="24"/>
          <w:szCs w:val="24"/>
        </w:rPr>
        <w:t xml:space="preserve"> </w:t>
      </w:r>
    </w:p>
    <w:p w14:paraId="0A3D1567" w14:textId="77777777" w:rsidR="00635E3C" w:rsidRPr="00635E3C" w:rsidRDefault="00635E3C" w:rsidP="00635E3C">
      <w:pPr>
        <w:rPr>
          <w:rFonts w:ascii="Times New Roman" w:hAnsi="Times New Roman" w:cs="Times New Roman"/>
          <w:sz w:val="24"/>
          <w:szCs w:val="24"/>
        </w:rPr>
      </w:pPr>
      <w:r w:rsidRPr="00635E3C">
        <w:rPr>
          <w:rFonts w:ascii="Times New Roman" w:hAnsi="Times New Roman" w:cs="Times New Roman"/>
          <w:sz w:val="24"/>
          <w:szCs w:val="24"/>
        </w:rPr>
        <w:t>Allen, M. (2016). Textbook on Criminal Law. Oxford University Press.</w:t>
      </w:r>
    </w:p>
    <w:p w14:paraId="646ACBAF" w14:textId="77777777" w:rsidR="00635E3C" w:rsidRPr="00635E3C" w:rsidRDefault="00635E3C" w:rsidP="00635E3C">
      <w:pPr>
        <w:rPr>
          <w:rFonts w:ascii="Times New Roman" w:hAnsi="Times New Roman" w:cs="Times New Roman"/>
          <w:sz w:val="24"/>
          <w:szCs w:val="24"/>
        </w:rPr>
      </w:pPr>
      <w:r w:rsidRPr="00635E3C">
        <w:rPr>
          <w:rFonts w:ascii="Times New Roman" w:hAnsi="Times New Roman" w:cs="Times New Roman"/>
          <w:sz w:val="24"/>
          <w:szCs w:val="24"/>
        </w:rPr>
        <w:t>Ashworth, A., &amp; Horder, J. (2013). Principles of Criminal Law. Oxford University Press.</w:t>
      </w:r>
    </w:p>
    <w:p w14:paraId="2CC22E0C" w14:textId="50AB91BC" w:rsidR="004112C6" w:rsidRDefault="00635E3C" w:rsidP="00635E3C">
      <w:pPr>
        <w:rPr>
          <w:rFonts w:ascii="Times New Roman" w:hAnsi="Times New Roman" w:cs="Times New Roman"/>
          <w:sz w:val="24"/>
          <w:szCs w:val="24"/>
        </w:rPr>
      </w:pPr>
      <w:r w:rsidRPr="00635E3C">
        <w:rPr>
          <w:rFonts w:ascii="Times New Roman" w:hAnsi="Times New Roman" w:cs="Times New Roman"/>
          <w:sz w:val="24"/>
          <w:szCs w:val="24"/>
        </w:rPr>
        <w:t>Clarkson, C., &amp; Keating, H. (2019). Criminal Law: Text and Materials. Oxford University Press.</w:t>
      </w:r>
    </w:p>
    <w:p w14:paraId="3C598C8F" w14:textId="77C075B1" w:rsidR="00A97048"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Crow</w:t>
      </w:r>
      <w:r w:rsidR="00A97048" w:rsidRPr="00A97048">
        <w:rPr>
          <w:rFonts w:ascii="Times New Roman" w:hAnsi="Times New Roman" w:cs="Times New Roman"/>
          <w:sz w:val="24"/>
          <w:szCs w:val="24"/>
        </w:rPr>
        <w:t xml:space="preserve"> </w:t>
      </w:r>
      <w:r w:rsidR="00A97048" w:rsidRPr="00206FFF">
        <w:rPr>
          <w:rFonts w:ascii="Times New Roman" w:hAnsi="Times New Roman" w:cs="Times New Roman"/>
          <w:sz w:val="24"/>
          <w:szCs w:val="24"/>
        </w:rPr>
        <w:t xml:space="preserve">HM Courts &amp; Tribunals Service. (2022). Allocation of Criminal Cases. Retrieved from </w:t>
      </w:r>
      <w:hyperlink r:id="rId7" w:history="1">
        <w:r w:rsidR="00A97048" w:rsidRPr="00A460A7">
          <w:rPr>
            <w:rStyle w:val="Hyperlink"/>
            <w:rFonts w:ascii="Times New Roman" w:hAnsi="Times New Roman" w:cs="Times New Roman"/>
            <w:sz w:val="24"/>
            <w:szCs w:val="24"/>
          </w:rPr>
          <w:t>https://www.gov.uk/guidance/allocation-of-criminal-cases</w:t>
        </w:r>
      </w:hyperlink>
      <w:r w:rsidR="00A97048">
        <w:rPr>
          <w:rFonts w:ascii="Times New Roman" w:hAnsi="Times New Roman" w:cs="Times New Roman"/>
          <w:sz w:val="24"/>
          <w:szCs w:val="24"/>
        </w:rPr>
        <w:t>.</w:t>
      </w:r>
    </w:p>
    <w:p w14:paraId="17A13049" w14:textId="52722FC7" w:rsidR="004112C6" w:rsidRPr="00310234"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 xml:space="preserve">n Prosecution Service guidance on mens rea: </w:t>
      </w:r>
      <w:hyperlink r:id="rId8" w:history="1">
        <w:r w:rsidR="00B91BA1" w:rsidRPr="00A460A7">
          <w:rPr>
            <w:rStyle w:val="Hyperlink"/>
            <w:rFonts w:ascii="Times New Roman" w:hAnsi="Times New Roman" w:cs="Times New Roman"/>
            <w:sz w:val="24"/>
            <w:szCs w:val="24"/>
          </w:rPr>
          <w:t>https://www.cps.gov.uk/legal-guidance/mens-rea-intention</w:t>
        </w:r>
      </w:hyperlink>
      <w:r w:rsidR="00B91BA1">
        <w:rPr>
          <w:rFonts w:ascii="Times New Roman" w:hAnsi="Times New Roman" w:cs="Times New Roman"/>
          <w:sz w:val="24"/>
          <w:szCs w:val="24"/>
        </w:rPr>
        <w:t xml:space="preserve"> </w:t>
      </w:r>
    </w:p>
    <w:p w14:paraId="1DC61C77" w14:textId="72607C11" w:rsidR="004112C6" w:rsidRPr="00310234"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 xml:space="preserve">Crown Prosecution Service guidance on actus reus: </w:t>
      </w:r>
      <w:hyperlink r:id="rId9" w:history="1">
        <w:r w:rsidR="00B91BA1" w:rsidRPr="00A460A7">
          <w:rPr>
            <w:rStyle w:val="Hyperlink"/>
            <w:rFonts w:ascii="Times New Roman" w:hAnsi="Times New Roman" w:cs="Times New Roman"/>
            <w:sz w:val="24"/>
            <w:szCs w:val="24"/>
          </w:rPr>
          <w:t>https://www.cps.gov.uk/legal-guidance/actus-reus-overview</w:t>
        </w:r>
      </w:hyperlink>
      <w:r w:rsidR="00B91BA1">
        <w:rPr>
          <w:rFonts w:ascii="Times New Roman" w:hAnsi="Times New Roman" w:cs="Times New Roman"/>
          <w:sz w:val="24"/>
          <w:szCs w:val="24"/>
        </w:rPr>
        <w:t xml:space="preserve"> </w:t>
      </w:r>
    </w:p>
    <w:p w14:paraId="543EC0B2" w14:textId="51314E6A" w:rsidR="004112C6" w:rsidRPr="00310234"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 xml:space="preserve">Crown Prosecution Service guidance on allocation of cases: </w:t>
      </w:r>
      <w:hyperlink r:id="rId10" w:history="1">
        <w:r w:rsidR="00B91BA1" w:rsidRPr="00A460A7">
          <w:rPr>
            <w:rStyle w:val="Hyperlink"/>
            <w:rFonts w:ascii="Times New Roman" w:hAnsi="Times New Roman" w:cs="Times New Roman"/>
            <w:sz w:val="24"/>
            <w:szCs w:val="24"/>
          </w:rPr>
          <w:t>https://www.cps.gov.uk/legal-guidance/allocation-cases</w:t>
        </w:r>
      </w:hyperlink>
      <w:r w:rsidR="00B91BA1">
        <w:rPr>
          <w:rFonts w:ascii="Times New Roman" w:hAnsi="Times New Roman" w:cs="Times New Roman"/>
          <w:sz w:val="24"/>
          <w:szCs w:val="24"/>
        </w:rPr>
        <w:t xml:space="preserve"> </w:t>
      </w:r>
    </w:p>
    <w:p w14:paraId="0E873E7F" w14:textId="7254DBBD" w:rsidR="004112C6" w:rsidRPr="003909F7"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 xml:space="preserve">Criminal Procedure Rules 2020: </w:t>
      </w:r>
      <w:hyperlink r:id="rId11" w:history="1">
        <w:r w:rsidR="00B91BA1" w:rsidRPr="00A460A7">
          <w:rPr>
            <w:rStyle w:val="Hyperlink"/>
            <w:rFonts w:ascii="Times New Roman" w:hAnsi="Times New Roman" w:cs="Times New Roman"/>
            <w:sz w:val="24"/>
            <w:szCs w:val="24"/>
          </w:rPr>
          <w:t>https://www.justice.gov.uk/courts/procedure-rules/criminal/rules-menu</w:t>
        </w:r>
      </w:hyperlink>
      <w:r w:rsidR="00B91BA1">
        <w:rPr>
          <w:rFonts w:ascii="Times New Roman" w:hAnsi="Times New Roman" w:cs="Times New Roman"/>
          <w:sz w:val="24"/>
          <w:szCs w:val="24"/>
        </w:rPr>
        <w:t xml:space="preserve"> </w:t>
      </w:r>
    </w:p>
    <w:p w14:paraId="6A5AD188" w14:textId="6C96E74F" w:rsidR="004112C6" w:rsidRDefault="00755968" w:rsidP="00635E3C">
      <w:pPr>
        <w:rPr>
          <w:rFonts w:ascii="Times New Roman" w:hAnsi="Times New Roman" w:cs="Times New Roman"/>
          <w:sz w:val="24"/>
          <w:szCs w:val="24"/>
        </w:rPr>
      </w:pPr>
      <w:r w:rsidRPr="00310234">
        <w:rPr>
          <w:rFonts w:ascii="Times New Roman" w:hAnsi="Times New Roman" w:cs="Times New Roman"/>
          <w:sz w:val="24"/>
          <w:szCs w:val="24"/>
        </w:rPr>
        <w:t xml:space="preserve">Criminal Law Act 1967: </w:t>
      </w:r>
      <w:hyperlink r:id="rId12" w:history="1">
        <w:r w:rsidRPr="00A460A7">
          <w:rPr>
            <w:rStyle w:val="Hyperlink"/>
            <w:rFonts w:ascii="Times New Roman" w:hAnsi="Times New Roman" w:cs="Times New Roman"/>
            <w:sz w:val="24"/>
            <w:szCs w:val="24"/>
          </w:rPr>
          <w:t>http://www.legislation.gov.uk/ukpga/1967/80/contents</w:t>
        </w:r>
      </w:hyperlink>
    </w:p>
    <w:p w14:paraId="6DBE714D" w14:textId="19833093" w:rsidR="00635E3C" w:rsidRDefault="00635E3C" w:rsidP="00635E3C">
      <w:pPr>
        <w:rPr>
          <w:rFonts w:ascii="Times New Roman" w:hAnsi="Times New Roman" w:cs="Times New Roman"/>
          <w:sz w:val="24"/>
          <w:szCs w:val="24"/>
        </w:rPr>
      </w:pPr>
      <w:r w:rsidRPr="00635E3C">
        <w:rPr>
          <w:rFonts w:ascii="Times New Roman" w:hAnsi="Times New Roman" w:cs="Times New Roman"/>
          <w:sz w:val="24"/>
          <w:szCs w:val="24"/>
        </w:rPr>
        <w:t>Elliott, C., &amp; Quinn, F. (2018). Criminal Law. Pearson Education.</w:t>
      </w:r>
    </w:p>
    <w:p w14:paraId="58EB4913" w14:textId="2033C3A5" w:rsidR="00855F5C" w:rsidRPr="00635E3C" w:rsidRDefault="00855F5C" w:rsidP="00635E3C">
      <w:pPr>
        <w:rPr>
          <w:rFonts w:ascii="Times New Roman" w:hAnsi="Times New Roman" w:cs="Times New Roman"/>
          <w:sz w:val="24"/>
          <w:szCs w:val="24"/>
        </w:rPr>
      </w:pPr>
      <w:r>
        <w:rPr>
          <w:rFonts w:ascii="Times New Roman" w:hAnsi="Times New Roman" w:cs="Times New Roman"/>
          <w:sz w:val="24"/>
          <w:szCs w:val="24"/>
        </w:rPr>
        <w:t xml:space="preserve">Hannibal </w:t>
      </w:r>
      <w:r w:rsidR="00DA5933">
        <w:rPr>
          <w:rFonts w:ascii="Times New Roman" w:hAnsi="Times New Roman" w:cs="Times New Roman"/>
          <w:sz w:val="24"/>
          <w:szCs w:val="24"/>
        </w:rPr>
        <w:t>M,</w:t>
      </w:r>
      <w:r>
        <w:rPr>
          <w:rFonts w:ascii="Times New Roman" w:hAnsi="Times New Roman" w:cs="Times New Roman"/>
          <w:sz w:val="24"/>
          <w:szCs w:val="24"/>
        </w:rPr>
        <w:t xml:space="preserve"> Mountford </w:t>
      </w:r>
      <w:r w:rsidR="006623D2">
        <w:rPr>
          <w:rFonts w:ascii="Times New Roman" w:hAnsi="Times New Roman" w:cs="Times New Roman"/>
          <w:sz w:val="24"/>
          <w:szCs w:val="24"/>
        </w:rPr>
        <w:t>L</w:t>
      </w:r>
      <w:r w:rsidR="006623D2" w:rsidRPr="002F3383">
        <w:rPr>
          <w:rFonts w:ascii="Times New Roman" w:hAnsi="Times New Roman" w:cs="Times New Roman"/>
          <w:sz w:val="24"/>
          <w:szCs w:val="24"/>
        </w:rPr>
        <w:t xml:space="preserve"> (</w:t>
      </w:r>
      <w:r w:rsidRPr="002F3383">
        <w:rPr>
          <w:rFonts w:ascii="Times New Roman" w:hAnsi="Times New Roman" w:cs="Times New Roman"/>
          <w:sz w:val="24"/>
          <w:szCs w:val="24"/>
        </w:rPr>
        <w:t>2021) Criminal litigation /. 1</w:t>
      </w:r>
      <w:r>
        <w:rPr>
          <w:rFonts w:ascii="Times New Roman" w:hAnsi="Times New Roman" w:cs="Times New Roman"/>
          <w:sz w:val="24"/>
          <w:szCs w:val="24"/>
        </w:rPr>
        <w:t>5</w:t>
      </w:r>
      <w:r w:rsidRPr="003B7C05">
        <w:rPr>
          <w:rFonts w:ascii="Times New Roman" w:hAnsi="Times New Roman" w:cs="Times New Roman"/>
          <w:sz w:val="24"/>
          <w:szCs w:val="24"/>
          <w:vertAlign w:val="superscript"/>
        </w:rPr>
        <w:t>th</w:t>
      </w:r>
      <w:r>
        <w:rPr>
          <w:rFonts w:ascii="Times New Roman" w:hAnsi="Times New Roman" w:cs="Times New Roman"/>
          <w:sz w:val="24"/>
          <w:szCs w:val="24"/>
        </w:rPr>
        <w:t xml:space="preserve"> </w:t>
      </w:r>
      <w:r w:rsidRPr="002F3383">
        <w:rPr>
          <w:rFonts w:ascii="Times New Roman" w:hAnsi="Times New Roman" w:cs="Times New Roman"/>
          <w:sz w:val="24"/>
          <w:szCs w:val="24"/>
        </w:rPr>
        <w:t xml:space="preserve"> edition. Oxford, Oxford University Press,.</w:t>
      </w:r>
    </w:p>
    <w:p w14:paraId="6595E3C1" w14:textId="38363165" w:rsidR="00206FFF" w:rsidRPr="00206FFF" w:rsidRDefault="00635E3C" w:rsidP="00206FFF">
      <w:pPr>
        <w:rPr>
          <w:rFonts w:ascii="Times New Roman" w:hAnsi="Times New Roman" w:cs="Times New Roman"/>
          <w:sz w:val="24"/>
          <w:szCs w:val="24"/>
        </w:rPr>
      </w:pPr>
      <w:r w:rsidRPr="00635E3C">
        <w:rPr>
          <w:rFonts w:ascii="Times New Roman" w:hAnsi="Times New Roman" w:cs="Times New Roman"/>
          <w:sz w:val="24"/>
          <w:szCs w:val="24"/>
        </w:rPr>
        <w:t>Ormerod, D. (2014). Smith and Hogan's Criminal Law. Oxford University Press.</w:t>
      </w:r>
    </w:p>
    <w:p w14:paraId="424F45F2" w14:textId="32A0DDE3" w:rsidR="00206FFF" w:rsidRPr="00206FFF" w:rsidRDefault="00206FFF" w:rsidP="00206FFF">
      <w:pPr>
        <w:rPr>
          <w:rFonts w:ascii="Times New Roman" w:hAnsi="Times New Roman" w:cs="Times New Roman"/>
          <w:sz w:val="24"/>
          <w:szCs w:val="24"/>
        </w:rPr>
      </w:pPr>
      <w:r w:rsidRPr="00206FFF">
        <w:rPr>
          <w:rFonts w:ascii="Times New Roman" w:hAnsi="Times New Roman" w:cs="Times New Roman"/>
          <w:sz w:val="24"/>
          <w:szCs w:val="24"/>
        </w:rPr>
        <w:t xml:space="preserve">Sentencing Council. (2022). Theft. Retrieved from </w:t>
      </w:r>
      <w:hyperlink r:id="rId13" w:history="1">
        <w:r w:rsidR="001C4377" w:rsidRPr="001D41BD">
          <w:rPr>
            <w:rStyle w:val="Hyperlink"/>
            <w:rFonts w:ascii="Times New Roman" w:hAnsi="Times New Roman" w:cs="Times New Roman"/>
            <w:sz w:val="24"/>
            <w:szCs w:val="24"/>
          </w:rPr>
          <w:t>https://www.sentencingcouncil.org.uk/offences/magistrates-court/item/theft-revised-2022/</w:t>
        </w:r>
      </w:hyperlink>
      <w:r w:rsidR="001C4377">
        <w:rPr>
          <w:rFonts w:ascii="Times New Roman" w:hAnsi="Times New Roman" w:cs="Times New Roman"/>
          <w:sz w:val="24"/>
          <w:szCs w:val="24"/>
        </w:rPr>
        <w:t xml:space="preserve"> </w:t>
      </w:r>
    </w:p>
    <w:p w14:paraId="763B1ECA" w14:textId="420F612D" w:rsidR="00206FFF" w:rsidRPr="00206FFF" w:rsidRDefault="00206FFF" w:rsidP="00206FFF">
      <w:pPr>
        <w:rPr>
          <w:rFonts w:ascii="Times New Roman" w:hAnsi="Times New Roman" w:cs="Times New Roman"/>
          <w:sz w:val="24"/>
          <w:szCs w:val="24"/>
        </w:rPr>
      </w:pPr>
      <w:r w:rsidRPr="00206FFF">
        <w:rPr>
          <w:rFonts w:ascii="Times New Roman" w:hAnsi="Times New Roman" w:cs="Times New Roman"/>
          <w:sz w:val="24"/>
          <w:szCs w:val="24"/>
        </w:rPr>
        <w:t xml:space="preserve">Sentencing Council. (2022). Assault. Retrieved from </w:t>
      </w:r>
      <w:hyperlink r:id="rId14" w:history="1">
        <w:r w:rsidR="001C4377" w:rsidRPr="001D41BD">
          <w:rPr>
            <w:rStyle w:val="Hyperlink"/>
            <w:rFonts w:ascii="Times New Roman" w:hAnsi="Times New Roman" w:cs="Times New Roman"/>
            <w:sz w:val="24"/>
            <w:szCs w:val="24"/>
          </w:rPr>
          <w:t>https://www.sentencingcouncil.org.uk/offences/magistrates-court/item/assault-revised-2022/</w:t>
        </w:r>
      </w:hyperlink>
      <w:r w:rsidR="001C4377">
        <w:rPr>
          <w:rFonts w:ascii="Times New Roman" w:hAnsi="Times New Roman" w:cs="Times New Roman"/>
          <w:sz w:val="24"/>
          <w:szCs w:val="24"/>
        </w:rPr>
        <w:t xml:space="preserve"> </w:t>
      </w:r>
    </w:p>
    <w:p w14:paraId="4405E02C" w14:textId="47FE7751" w:rsidR="00310234" w:rsidRDefault="00310234" w:rsidP="00310234">
      <w:pPr>
        <w:rPr>
          <w:rFonts w:ascii="Times New Roman" w:hAnsi="Times New Roman" w:cs="Times New Roman"/>
          <w:sz w:val="24"/>
          <w:szCs w:val="24"/>
        </w:rPr>
      </w:pPr>
      <w:r w:rsidRPr="00310234">
        <w:rPr>
          <w:rFonts w:ascii="Times New Roman" w:hAnsi="Times New Roman" w:cs="Times New Roman"/>
          <w:sz w:val="24"/>
          <w:szCs w:val="24"/>
        </w:rPr>
        <w:t xml:space="preserve">Sentencing Council guidelines for assault: </w:t>
      </w:r>
      <w:hyperlink r:id="rId15" w:history="1">
        <w:r w:rsidR="004112C6" w:rsidRPr="00A460A7">
          <w:rPr>
            <w:rStyle w:val="Hyperlink"/>
            <w:rFonts w:ascii="Times New Roman" w:hAnsi="Times New Roman" w:cs="Times New Roman"/>
            <w:sz w:val="24"/>
            <w:szCs w:val="24"/>
          </w:rPr>
          <w:t>https://www.sentencingcouncil.org.uk/offences/magistrates-court/item/common-assault/</w:t>
        </w:r>
      </w:hyperlink>
    </w:p>
    <w:p w14:paraId="6F96D5C9" w14:textId="77777777" w:rsidR="004112C6" w:rsidRPr="00310234"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Theft Act 1968: http://www.legislation.gov.uk/ukpga/1968/60/contents</w:t>
      </w:r>
    </w:p>
    <w:p w14:paraId="08946733" w14:textId="01C48217" w:rsidR="004112C6" w:rsidRPr="00310234" w:rsidRDefault="004112C6" w:rsidP="00CD59E2">
      <w:pPr>
        <w:rPr>
          <w:rFonts w:ascii="Times New Roman" w:hAnsi="Times New Roman" w:cs="Times New Roman"/>
          <w:sz w:val="24"/>
          <w:szCs w:val="24"/>
        </w:rPr>
      </w:pPr>
    </w:p>
    <w:p w14:paraId="4047C7A6" w14:textId="6E841CE6" w:rsidR="004112C6" w:rsidRPr="00310234" w:rsidRDefault="004112C6" w:rsidP="00CD59E2">
      <w:pPr>
        <w:rPr>
          <w:rFonts w:ascii="Times New Roman" w:hAnsi="Times New Roman" w:cs="Times New Roman"/>
          <w:sz w:val="24"/>
          <w:szCs w:val="24"/>
        </w:rPr>
      </w:pPr>
      <w:r w:rsidRPr="00310234">
        <w:rPr>
          <w:rFonts w:ascii="Times New Roman" w:hAnsi="Times New Roman" w:cs="Times New Roman"/>
          <w:sz w:val="24"/>
          <w:szCs w:val="24"/>
        </w:rPr>
        <w:t xml:space="preserve">Sentencing Council guidelines for theft: </w:t>
      </w:r>
      <w:hyperlink r:id="rId16" w:history="1">
        <w:r w:rsidRPr="00A460A7">
          <w:rPr>
            <w:rStyle w:val="Hyperlink"/>
            <w:rFonts w:ascii="Times New Roman" w:hAnsi="Times New Roman" w:cs="Times New Roman"/>
            <w:sz w:val="24"/>
            <w:szCs w:val="24"/>
          </w:rPr>
          <w:t>https://www.sentencingcouncil.org.uk/offences/magistrates-court/item/theft</w:t>
        </w:r>
      </w:hyperlink>
      <w:r>
        <w:rPr>
          <w:rFonts w:ascii="Times New Roman" w:hAnsi="Times New Roman" w:cs="Times New Roman"/>
          <w:sz w:val="24"/>
          <w:szCs w:val="24"/>
        </w:rPr>
        <w:t xml:space="preserve"> </w:t>
      </w:r>
    </w:p>
    <w:p w14:paraId="13F64687" w14:textId="083444EE" w:rsidR="004112C6" w:rsidRDefault="004112C6" w:rsidP="00310234">
      <w:pPr>
        <w:rPr>
          <w:rFonts w:ascii="Times New Roman" w:hAnsi="Times New Roman" w:cs="Times New Roman"/>
          <w:sz w:val="24"/>
          <w:szCs w:val="24"/>
        </w:rPr>
      </w:pPr>
    </w:p>
    <w:p w14:paraId="58452485" w14:textId="77777777" w:rsidR="004112C6" w:rsidRPr="00310234" w:rsidRDefault="004112C6" w:rsidP="00310234">
      <w:pPr>
        <w:rPr>
          <w:rFonts w:ascii="Times New Roman" w:hAnsi="Times New Roman" w:cs="Times New Roman"/>
          <w:sz w:val="24"/>
          <w:szCs w:val="24"/>
        </w:rPr>
      </w:pPr>
    </w:p>
    <w:sectPr w:rsidR="004112C6" w:rsidRPr="003102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C3493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834361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9F7"/>
    <w:rsid w:val="00000B12"/>
    <w:rsid w:val="00011A65"/>
    <w:rsid w:val="00033D4E"/>
    <w:rsid w:val="00053A58"/>
    <w:rsid w:val="00081E7B"/>
    <w:rsid w:val="0011070A"/>
    <w:rsid w:val="00115672"/>
    <w:rsid w:val="00150CFF"/>
    <w:rsid w:val="0015213C"/>
    <w:rsid w:val="0016601A"/>
    <w:rsid w:val="00181B85"/>
    <w:rsid w:val="001A55F3"/>
    <w:rsid w:val="001C4377"/>
    <w:rsid w:val="001F00B5"/>
    <w:rsid w:val="00206FFF"/>
    <w:rsid w:val="002310E6"/>
    <w:rsid w:val="00242FD3"/>
    <w:rsid w:val="00250196"/>
    <w:rsid w:val="00271F7D"/>
    <w:rsid w:val="002B3B7E"/>
    <w:rsid w:val="002B78DB"/>
    <w:rsid w:val="002C2696"/>
    <w:rsid w:val="002C36B1"/>
    <w:rsid w:val="002D2414"/>
    <w:rsid w:val="002E0C78"/>
    <w:rsid w:val="002F3383"/>
    <w:rsid w:val="00310234"/>
    <w:rsid w:val="003417F5"/>
    <w:rsid w:val="003518CA"/>
    <w:rsid w:val="003909F7"/>
    <w:rsid w:val="003945A7"/>
    <w:rsid w:val="003B7C05"/>
    <w:rsid w:val="003C554C"/>
    <w:rsid w:val="003D3341"/>
    <w:rsid w:val="003E6655"/>
    <w:rsid w:val="003F1EEA"/>
    <w:rsid w:val="003F6CB1"/>
    <w:rsid w:val="004112C6"/>
    <w:rsid w:val="004344EA"/>
    <w:rsid w:val="004470F4"/>
    <w:rsid w:val="00451F79"/>
    <w:rsid w:val="0045368F"/>
    <w:rsid w:val="00475405"/>
    <w:rsid w:val="00503003"/>
    <w:rsid w:val="00530E1C"/>
    <w:rsid w:val="00533A0A"/>
    <w:rsid w:val="0053769D"/>
    <w:rsid w:val="00570F09"/>
    <w:rsid w:val="005733B8"/>
    <w:rsid w:val="005D54FC"/>
    <w:rsid w:val="005E2F02"/>
    <w:rsid w:val="00617DE4"/>
    <w:rsid w:val="00635E3C"/>
    <w:rsid w:val="006623D2"/>
    <w:rsid w:val="006B0399"/>
    <w:rsid w:val="006C7487"/>
    <w:rsid w:val="006D2628"/>
    <w:rsid w:val="00711BD4"/>
    <w:rsid w:val="0072077A"/>
    <w:rsid w:val="0074335B"/>
    <w:rsid w:val="00745AC6"/>
    <w:rsid w:val="007550AB"/>
    <w:rsid w:val="00755968"/>
    <w:rsid w:val="00855F5C"/>
    <w:rsid w:val="008B191A"/>
    <w:rsid w:val="008B31D1"/>
    <w:rsid w:val="008E6B20"/>
    <w:rsid w:val="008E7231"/>
    <w:rsid w:val="008F78FE"/>
    <w:rsid w:val="008F7E85"/>
    <w:rsid w:val="009411E8"/>
    <w:rsid w:val="00965F6A"/>
    <w:rsid w:val="009B3477"/>
    <w:rsid w:val="009D2800"/>
    <w:rsid w:val="009E193B"/>
    <w:rsid w:val="00A468C2"/>
    <w:rsid w:val="00A75861"/>
    <w:rsid w:val="00A97048"/>
    <w:rsid w:val="00AB70DA"/>
    <w:rsid w:val="00AC4155"/>
    <w:rsid w:val="00B2655F"/>
    <w:rsid w:val="00B26F70"/>
    <w:rsid w:val="00B91BA1"/>
    <w:rsid w:val="00BA3AA0"/>
    <w:rsid w:val="00BD6921"/>
    <w:rsid w:val="00BF2211"/>
    <w:rsid w:val="00C05662"/>
    <w:rsid w:val="00C15D95"/>
    <w:rsid w:val="00C836B1"/>
    <w:rsid w:val="00CA4351"/>
    <w:rsid w:val="00CB7E03"/>
    <w:rsid w:val="00CD04D8"/>
    <w:rsid w:val="00DA5933"/>
    <w:rsid w:val="00E14EDA"/>
    <w:rsid w:val="00EA6F50"/>
    <w:rsid w:val="00F73054"/>
    <w:rsid w:val="00FB38A9"/>
    <w:rsid w:val="00FE1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98938"/>
  <w15:chartTrackingRefBased/>
  <w15:docId w15:val="{D53C88AA-EA32-A046-814A-C1FC10DCC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C4377"/>
    <w:rPr>
      <w:color w:val="0563C1" w:themeColor="hyperlink"/>
      <w:u w:val="single"/>
    </w:rPr>
  </w:style>
  <w:style w:type="character" w:styleId="UnresolvedMention">
    <w:name w:val="Unresolved Mention"/>
    <w:basedOn w:val="DefaultParagraphFont"/>
    <w:uiPriority w:val="99"/>
    <w:semiHidden/>
    <w:unhideWhenUsed/>
    <w:rsid w:val="001C437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14298">
      <w:bodyDiv w:val="1"/>
      <w:marLeft w:val="0"/>
      <w:marRight w:val="0"/>
      <w:marTop w:val="0"/>
      <w:marBottom w:val="0"/>
      <w:divBdr>
        <w:top w:val="none" w:sz="0" w:space="0" w:color="auto"/>
        <w:left w:val="none" w:sz="0" w:space="0" w:color="auto"/>
        <w:bottom w:val="none" w:sz="0" w:space="0" w:color="auto"/>
        <w:right w:val="none" w:sz="0" w:space="0" w:color="auto"/>
      </w:divBdr>
    </w:div>
    <w:div w:id="136843797">
      <w:bodyDiv w:val="1"/>
      <w:marLeft w:val="0"/>
      <w:marRight w:val="0"/>
      <w:marTop w:val="0"/>
      <w:marBottom w:val="0"/>
      <w:divBdr>
        <w:top w:val="none" w:sz="0" w:space="0" w:color="auto"/>
        <w:left w:val="none" w:sz="0" w:space="0" w:color="auto"/>
        <w:bottom w:val="none" w:sz="0" w:space="0" w:color="auto"/>
        <w:right w:val="none" w:sz="0" w:space="0" w:color="auto"/>
      </w:divBdr>
    </w:div>
    <w:div w:id="174269222">
      <w:bodyDiv w:val="1"/>
      <w:marLeft w:val="0"/>
      <w:marRight w:val="0"/>
      <w:marTop w:val="0"/>
      <w:marBottom w:val="0"/>
      <w:divBdr>
        <w:top w:val="none" w:sz="0" w:space="0" w:color="auto"/>
        <w:left w:val="none" w:sz="0" w:space="0" w:color="auto"/>
        <w:bottom w:val="none" w:sz="0" w:space="0" w:color="auto"/>
        <w:right w:val="none" w:sz="0" w:space="0" w:color="auto"/>
      </w:divBdr>
    </w:div>
    <w:div w:id="300038783">
      <w:bodyDiv w:val="1"/>
      <w:marLeft w:val="0"/>
      <w:marRight w:val="0"/>
      <w:marTop w:val="0"/>
      <w:marBottom w:val="0"/>
      <w:divBdr>
        <w:top w:val="none" w:sz="0" w:space="0" w:color="auto"/>
        <w:left w:val="none" w:sz="0" w:space="0" w:color="auto"/>
        <w:bottom w:val="none" w:sz="0" w:space="0" w:color="auto"/>
        <w:right w:val="none" w:sz="0" w:space="0" w:color="auto"/>
      </w:divBdr>
    </w:div>
    <w:div w:id="471679129">
      <w:bodyDiv w:val="1"/>
      <w:marLeft w:val="0"/>
      <w:marRight w:val="0"/>
      <w:marTop w:val="0"/>
      <w:marBottom w:val="0"/>
      <w:divBdr>
        <w:top w:val="none" w:sz="0" w:space="0" w:color="auto"/>
        <w:left w:val="none" w:sz="0" w:space="0" w:color="auto"/>
        <w:bottom w:val="none" w:sz="0" w:space="0" w:color="auto"/>
        <w:right w:val="none" w:sz="0" w:space="0" w:color="auto"/>
      </w:divBdr>
    </w:div>
    <w:div w:id="545146050">
      <w:bodyDiv w:val="1"/>
      <w:marLeft w:val="0"/>
      <w:marRight w:val="0"/>
      <w:marTop w:val="0"/>
      <w:marBottom w:val="0"/>
      <w:divBdr>
        <w:top w:val="none" w:sz="0" w:space="0" w:color="auto"/>
        <w:left w:val="none" w:sz="0" w:space="0" w:color="auto"/>
        <w:bottom w:val="none" w:sz="0" w:space="0" w:color="auto"/>
        <w:right w:val="none" w:sz="0" w:space="0" w:color="auto"/>
      </w:divBdr>
    </w:div>
    <w:div w:id="663631165">
      <w:bodyDiv w:val="1"/>
      <w:marLeft w:val="0"/>
      <w:marRight w:val="0"/>
      <w:marTop w:val="0"/>
      <w:marBottom w:val="0"/>
      <w:divBdr>
        <w:top w:val="none" w:sz="0" w:space="0" w:color="auto"/>
        <w:left w:val="none" w:sz="0" w:space="0" w:color="auto"/>
        <w:bottom w:val="none" w:sz="0" w:space="0" w:color="auto"/>
        <w:right w:val="none" w:sz="0" w:space="0" w:color="auto"/>
      </w:divBdr>
    </w:div>
    <w:div w:id="715541297">
      <w:bodyDiv w:val="1"/>
      <w:marLeft w:val="0"/>
      <w:marRight w:val="0"/>
      <w:marTop w:val="0"/>
      <w:marBottom w:val="0"/>
      <w:divBdr>
        <w:top w:val="none" w:sz="0" w:space="0" w:color="auto"/>
        <w:left w:val="none" w:sz="0" w:space="0" w:color="auto"/>
        <w:bottom w:val="none" w:sz="0" w:space="0" w:color="auto"/>
        <w:right w:val="none" w:sz="0" w:space="0" w:color="auto"/>
      </w:divBdr>
    </w:div>
    <w:div w:id="856431660">
      <w:bodyDiv w:val="1"/>
      <w:marLeft w:val="0"/>
      <w:marRight w:val="0"/>
      <w:marTop w:val="0"/>
      <w:marBottom w:val="0"/>
      <w:divBdr>
        <w:top w:val="none" w:sz="0" w:space="0" w:color="auto"/>
        <w:left w:val="none" w:sz="0" w:space="0" w:color="auto"/>
        <w:bottom w:val="none" w:sz="0" w:space="0" w:color="auto"/>
        <w:right w:val="none" w:sz="0" w:space="0" w:color="auto"/>
      </w:divBdr>
    </w:div>
    <w:div w:id="868837152">
      <w:bodyDiv w:val="1"/>
      <w:marLeft w:val="0"/>
      <w:marRight w:val="0"/>
      <w:marTop w:val="0"/>
      <w:marBottom w:val="0"/>
      <w:divBdr>
        <w:top w:val="none" w:sz="0" w:space="0" w:color="auto"/>
        <w:left w:val="none" w:sz="0" w:space="0" w:color="auto"/>
        <w:bottom w:val="none" w:sz="0" w:space="0" w:color="auto"/>
        <w:right w:val="none" w:sz="0" w:space="0" w:color="auto"/>
      </w:divBdr>
    </w:div>
    <w:div w:id="874735753">
      <w:bodyDiv w:val="1"/>
      <w:marLeft w:val="0"/>
      <w:marRight w:val="0"/>
      <w:marTop w:val="0"/>
      <w:marBottom w:val="0"/>
      <w:divBdr>
        <w:top w:val="none" w:sz="0" w:space="0" w:color="auto"/>
        <w:left w:val="none" w:sz="0" w:space="0" w:color="auto"/>
        <w:bottom w:val="none" w:sz="0" w:space="0" w:color="auto"/>
        <w:right w:val="none" w:sz="0" w:space="0" w:color="auto"/>
      </w:divBdr>
    </w:div>
    <w:div w:id="959845014">
      <w:bodyDiv w:val="1"/>
      <w:marLeft w:val="0"/>
      <w:marRight w:val="0"/>
      <w:marTop w:val="0"/>
      <w:marBottom w:val="0"/>
      <w:divBdr>
        <w:top w:val="none" w:sz="0" w:space="0" w:color="auto"/>
        <w:left w:val="none" w:sz="0" w:space="0" w:color="auto"/>
        <w:bottom w:val="none" w:sz="0" w:space="0" w:color="auto"/>
        <w:right w:val="none" w:sz="0" w:space="0" w:color="auto"/>
      </w:divBdr>
    </w:div>
    <w:div w:id="1123186405">
      <w:bodyDiv w:val="1"/>
      <w:marLeft w:val="0"/>
      <w:marRight w:val="0"/>
      <w:marTop w:val="0"/>
      <w:marBottom w:val="0"/>
      <w:divBdr>
        <w:top w:val="none" w:sz="0" w:space="0" w:color="auto"/>
        <w:left w:val="none" w:sz="0" w:space="0" w:color="auto"/>
        <w:bottom w:val="none" w:sz="0" w:space="0" w:color="auto"/>
        <w:right w:val="none" w:sz="0" w:space="0" w:color="auto"/>
      </w:divBdr>
    </w:div>
    <w:div w:id="1226918636">
      <w:bodyDiv w:val="1"/>
      <w:marLeft w:val="0"/>
      <w:marRight w:val="0"/>
      <w:marTop w:val="0"/>
      <w:marBottom w:val="0"/>
      <w:divBdr>
        <w:top w:val="none" w:sz="0" w:space="0" w:color="auto"/>
        <w:left w:val="none" w:sz="0" w:space="0" w:color="auto"/>
        <w:bottom w:val="none" w:sz="0" w:space="0" w:color="auto"/>
        <w:right w:val="none" w:sz="0" w:space="0" w:color="auto"/>
      </w:divBdr>
    </w:div>
    <w:div w:id="13674833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legal-guidance/mens-rea-intention" TargetMode="External"/><Relationship Id="rId13" Type="http://schemas.openxmlformats.org/officeDocument/2006/relationships/hyperlink" Target="https://www.sentencingcouncil.org.uk/offences/magistrates-court/item/theft-revised-2022/"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uidance/allocation-of-criminal-cases" TargetMode="External"/><Relationship Id="rId12" Type="http://schemas.openxmlformats.org/officeDocument/2006/relationships/hyperlink" Target="http://www.legislation.gov.uk/ukpga/1967/80/conten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sentencingcouncil.org.uk/offences/magistrates-court/item/theft" TargetMode="External"/><Relationship Id="rId1" Type="http://schemas.openxmlformats.org/officeDocument/2006/relationships/numbering" Target="numbering.xml"/><Relationship Id="rId6" Type="http://schemas.openxmlformats.org/officeDocument/2006/relationships/hyperlink" Target="https://www.sra.org.uk/solicitors/standards-regulations/code-conduct-solicitors/" TargetMode="External"/><Relationship Id="rId11" Type="http://schemas.openxmlformats.org/officeDocument/2006/relationships/hyperlink" Target="https://www.justice.gov.uk/courts/procedure-rules/criminal/rules-menu" TargetMode="External"/><Relationship Id="rId5" Type="http://schemas.openxmlformats.org/officeDocument/2006/relationships/hyperlink" Target="https://www.gov.uk/government/organisations/ministry-of-justice" TargetMode="External"/><Relationship Id="rId15" Type="http://schemas.openxmlformats.org/officeDocument/2006/relationships/hyperlink" Target="https://www.sentencingcouncil.org.uk/offences/magistrates-court/item/common-assault/" TargetMode="External"/><Relationship Id="rId10" Type="http://schemas.openxmlformats.org/officeDocument/2006/relationships/hyperlink" Target="https://www.cps.gov.uk/legal-guidance/allocation-cases" TargetMode="External"/><Relationship Id="rId4" Type="http://schemas.openxmlformats.org/officeDocument/2006/relationships/webSettings" Target="webSettings.xml"/><Relationship Id="rId9" Type="http://schemas.openxmlformats.org/officeDocument/2006/relationships/hyperlink" Target="https://www.cps.gov.uk/legal-guidance/actus-reus-overview" TargetMode="External"/><Relationship Id="rId14" Type="http://schemas.openxmlformats.org/officeDocument/2006/relationships/hyperlink" Target="https://www.sentencingcouncil.org.uk/offences/magistrates-court/item/assault-revised-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2148</Words>
  <Characters>12244</Characters>
  <Application>Microsoft Office Word</Application>
  <DocSecurity>0</DocSecurity>
  <Lines>102</Lines>
  <Paragraphs>28</Paragraphs>
  <ScaleCrop>false</ScaleCrop>
  <Company/>
  <LinksUpToDate>false</LinksUpToDate>
  <CharactersWithSpaces>14364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Saima Adeel Fakhr (2211521)</dc:creator>
  <cp:keywords/>
  <dc:description/>
  <cp:lastModifiedBy>Daniel Tutu</cp:lastModifiedBy>
  <cp:revision>12</cp:revision>
  <dcterms:created xsi:type="dcterms:W3CDTF">2023-03-18T19:42:00Z</dcterms:created>
  <dcterms:modified xsi:type="dcterms:W3CDTF">2023-03-18T21:30:00Z</dcterms:modified>
</cp:coreProperties>
</file>