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20" w:after="200" w:line="360"/>
        <w:ind w:right="115" w:left="0" w:firstLine="0"/>
        <w:jc w:val="right"/>
        <w:rPr>
          <w:rFonts w:ascii="Calibri" w:hAnsi="Calibri" w:cs="Calibri" w:eastAsia="Calibri"/>
          <w:b/>
          <w:color w:val="auto"/>
          <w:spacing w:val="0"/>
          <w:position w:val="0"/>
          <w:sz w:val="40"/>
          <w:shd w:fill="auto" w:val="clear"/>
        </w:rPr>
      </w:pPr>
    </w:p>
    <w:p>
      <w:pPr>
        <w:spacing w:before="20" w:after="200" w:line="360"/>
        <w:ind w:right="115" w:left="0" w:firstLine="0"/>
        <w:jc w:val="left"/>
        <w:rPr>
          <w:rFonts w:ascii="Calibri" w:hAnsi="Calibri" w:cs="Calibri" w:eastAsia="Calibri"/>
          <w:b/>
          <w:color w:val="auto"/>
          <w:spacing w:val="0"/>
          <w:position w:val="0"/>
          <w:sz w:val="48"/>
          <w:shd w:fill="auto" w:val="clear"/>
        </w:rPr>
      </w:pPr>
      <w:r>
        <w:object w:dxaOrig="4555" w:dyaOrig="1984">
          <v:rect xmlns:o="urn:schemas-microsoft-com:office:office" xmlns:v="urn:schemas-microsoft-com:vml" id="rectole0000000000" style="width:227.750000pt;height:99.2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Calibri" w:hAnsi="Calibri" w:cs="Calibri" w:eastAsia="Calibri"/>
          <w:b/>
          <w:color w:val="auto"/>
          <w:spacing w:val="0"/>
          <w:position w:val="0"/>
          <w:sz w:val="40"/>
          <w:shd w:fill="auto" w:val="clear"/>
        </w:rPr>
        <w:t xml:space="preserve"> </w:t>
      </w:r>
    </w:p>
    <w:p>
      <w:pPr>
        <w:spacing w:before="0" w:after="0" w:line="240"/>
        <w:ind w:right="0" w:left="0" w:firstLine="0"/>
        <w:jc w:val="left"/>
        <w:rPr>
          <w:rFonts w:ascii="Calibri" w:hAnsi="Calibri" w:cs="Calibri" w:eastAsia="Calibri"/>
          <w:b/>
          <w:color w:val="auto"/>
          <w:spacing w:val="0"/>
          <w:position w:val="0"/>
          <w:sz w:val="48"/>
          <w:shd w:fill="auto" w:val="clear"/>
        </w:rPr>
      </w:pPr>
    </w:p>
    <w:p>
      <w:pPr>
        <w:spacing w:before="0" w:after="200" w:line="360"/>
        <w:ind w:right="0" w:left="0" w:firstLine="0"/>
        <w:jc w:val="center"/>
        <w:rPr>
          <w:rFonts w:ascii="Cambria" w:hAnsi="Cambria" w:cs="Cambria" w:eastAsia="Cambria"/>
          <w:b/>
          <w:color w:val="auto"/>
          <w:spacing w:val="0"/>
          <w:position w:val="0"/>
          <w:sz w:val="24"/>
          <w:shd w:fill="auto" w:val="clear"/>
        </w:rPr>
      </w:pPr>
      <w:r>
        <w:rPr>
          <w:rFonts w:ascii="Cambria" w:hAnsi="Cambria" w:cs="Cambria" w:eastAsia="Cambria"/>
          <w:b/>
          <w:color w:val="auto"/>
          <w:spacing w:val="0"/>
          <w:position w:val="0"/>
          <w:sz w:val="24"/>
          <w:shd w:fill="auto" w:val="clear"/>
        </w:rPr>
        <w:t xml:space="preserve">Student Name: Ramona Maria Bucur</w:t>
      </w:r>
    </w:p>
    <w:p>
      <w:pPr>
        <w:spacing w:before="0" w:after="200" w:line="360"/>
        <w:ind w:right="0" w:left="0" w:firstLine="0"/>
        <w:jc w:val="center"/>
        <w:rPr>
          <w:rFonts w:ascii="Cambria" w:hAnsi="Cambria" w:cs="Cambria" w:eastAsia="Cambria"/>
          <w:b/>
          <w:color w:val="auto"/>
          <w:spacing w:val="0"/>
          <w:position w:val="0"/>
          <w:sz w:val="24"/>
          <w:shd w:fill="auto" w:val="clear"/>
        </w:rPr>
      </w:pPr>
      <w:r>
        <w:rPr>
          <w:rFonts w:ascii="Cambria" w:hAnsi="Cambria" w:cs="Cambria" w:eastAsia="Cambria"/>
          <w:b/>
          <w:color w:val="auto"/>
          <w:spacing w:val="0"/>
          <w:position w:val="0"/>
          <w:sz w:val="24"/>
          <w:shd w:fill="auto" w:val="clear"/>
        </w:rPr>
        <w:t xml:space="preserve">Student ID: (2023040)</w:t>
      </w:r>
    </w:p>
    <w:p>
      <w:pPr>
        <w:spacing w:before="0" w:after="200" w:line="360"/>
        <w:ind w:right="0" w:left="0" w:firstLine="0"/>
        <w:jc w:val="center"/>
        <w:rPr>
          <w:rFonts w:ascii="Cambria" w:hAnsi="Cambria" w:cs="Cambria" w:eastAsia="Cambria"/>
          <w:b/>
          <w:color w:val="auto"/>
          <w:spacing w:val="0"/>
          <w:position w:val="0"/>
          <w:sz w:val="24"/>
          <w:shd w:fill="auto" w:val="clear"/>
        </w:rPr>
      </w:pPr>
      <w:r>
        <w:rPr>
          <w:rFonts w:ascii="Cambria" w:hAnsi="Cambria" w:cs="Cambria" w:eastAsia="Cambria"/>
          <w:b/>
          <w:color w:val="auto"/>
          <w:spacing w:val="0"/>
          <w:position w:val="0"/>
          <w:sz w:val="24"/>
          <w:shd w:fill="auto" w:val="clear"/>
        </w:rPr>
        <w:t xml:space="preserve">Lecturer’s name: Natalie Brailsford , Lisa Bassler, Neil Dyer</w:t>
      </w:r>
    </w:p>
    <w:p>
      <w:pPr>
        <w:spacing w:before="0" w:after="200" w:line="360"/>
        <w:ind w:right="0" w:left="0" w:firstLine="0"/>
        <w:jc w:val="center"/>
        <w:rPr>
          <w:rFonts w:ascii="Nunito" w:hAnsi="Nunito" w:cs="Nunito" w:eastAsia="Nunito"/>
          <w:b/>
          <w:caps w:val="true"/>
          <w:color w:val="000000"/>
          <w:spacing w:val="0"/>
          <w:position w:val="0"/>
          <w:sz w:val="32"/>
          <w:shd w:fill="FFFFFF" w:val="clear"/>
          <w:vertAlign w:val="subscript"/>
        </w:rPr>
      </w:pPr>
      <w:r>
        <w:rPr>
          <w:rFonts w:ascii="Nunito" w:hAnsi="Nunito" w:cs="Nunito" w:eastAsia="Nunito"/>
          <w:b/>
          <w:caps w:val="true"/>
          <w:color w:val="000000"/>
          <w:spacing w:val="0"/>
          <w:position w:val="0"/>
          <w:sz w:val="32"/>
          <w:shd w:fill="FFFFFF" w:val="clear"/>
          <w:vertAlign w:val="subscript"/>
        </w:rPr>
        <w:t xml:space="preserve">BMIH6003 HOTEL PLACEMENT MANAGING GUEST SERVICE OPERATIONS </w:t>
      </w:r>
    </w:p>
    <w:p>
      <w:pPr>
        <w:spacing w:before="0" w:after="200" w:line="360"/>
        <w:ind w:right="0" w:left="0" w:firstLine="0"/>
        <w:jc w:val="center"/>
        <w:rPr>
          <w:rFonts w:ascii="Nunito" w:hAnsi="Nunito" w:cs="Nunito" w:eastAsia="Nunito"/>
          <w:b/>
          <w:caps w:val="true"/>
          <w:color w:val="000000"/>
          <w:spacing w:val="0"/>
          <w:position w:val="0"/>
          <w:sz w:val="32"/>
          <w:shd w:fill="FFFFFF" w:val="clear"/>
          <w:vertAlign w:val="subscript"/>
        </w:rPr>
      </w:pPr>
      <w:r>
        <w:rPr>
          <w:rFonts w:ascii="Nunito" w:hAnsi="Nunito" w:cs="Nunito" w:eastAsia="Nunito"/>
          <w:b/>
          <w:caps w:val="true"/>
          <w:color w:val="000000"/>
          <w:spacing w:val="0"/>
          <w:position w:val="0"/>
          <w:sz w:val="32"/>
          <w:shd w:fill="FFFFFF" w:val="clear"/>
          <w:vertAlign w:val="subscript"/>
        </w:rPr>
        <w:t xml:space="preserve">ASSIGMENT TITLE : sTUDENT lEARNING lOG</w:t>
      </w:r>
    </w:p>
    <w:p>
      <w:pPr>
        <w:spacing w:before="0" w:after="200" w:line="360"/>
        <w:ind w:right="0" w:left="0" w:firstLine="0"/>
        <w:jc w:val="center"/>
        <w:rPr>
          <w:rFonts w:ascii="Cambria" w:hAnsi="Cambria" w:cs="Cambria" w:eastAsia="Cambria"/>
          <w:b/>
          <w:color w:val="000000"/>
          <w:spacing w:val="0"/>
          <w:position w:val="0"/>
          <w:sz w:val="22"/>
          <w:shd w:fill="FFFF00" w:val="clear"/>
        </w:rPr>
      </w:pPr>
      <w:r>
        <w:rPr>
          <w:rFonts w:ascii="Nunito" w:hAnsi="Nunito" w:cs="Nunito" w:eastAsia="Nunito"/>
          <w:b/>
          <w:caps w:val="true"/>
          <w:color w:val="000000"/>
          <w:spacing w:val="0"/>
          <w:position w:val="0"/>
          <w:sz w:val="22"/>
          <w:shd w:fill="FFFFFF" w:val="clear"/>
        </w:rPr>
        <w:t xml:space="preserve">TASK 1</w:t>
      </w:r>
    </w:p>
    <w:p>
      <w:pPr>
        <w:spacing w:before="0" w:after="200" w:line="360"/>
        <w:ind w:right="0" w:left="0" w:firstLine="0"/>
        <w:jc w:val="center"/>
        <w:rPr>
          <w:rFonts w:ascii="Cambria" w:hAnsi="Cambria" w:cs="Cambria" w:eastAsia="Cambria"/>
          <w:b/>
          <w:color w:val="auto"/>
          <w:spacing w:val="0"/>
          <w:position w:val="0"/>
          <w:sz w:val="24"/>
          <w:shd w:fill="auto" w:val="clear"/>
        </w:rPr>
      </w:pPr>
      <w:r>
        <w:rPr>
          <w:rFonts w:ascii="Cambria" w:hAnsi="Cambria" w:cs="Cambria" w:eastAsia="Cambria"/>
          <w:b/>
          <w:color w:val="auto"/>
          <w:spacing w:val="0"/>
          <w:position w:val="0"/>
          <w:sz w:val="24"/>
          <w:shd w:fill="auto" w:val="clear"/>
        </w:rPr>
        <w:t xml:space="preserve">Title: Placement at Ashford International Hotel in Kent in Cleaning Department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numPr>
          <w:ilvl w:val="0"/>
          <w:numId w:val="6"/>
        </w:numPr>
        <w:spacing w:before="480" w:after="0" w:line="360"/>
        <w:ind w:right="0" w:left="720" w:hanging="36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Introduction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fragment showcases the prospect of undergoing in a work placement at Ashford International Hotel in Kent, manifested some essential points in my journey towards a career in the hospitality industry. As per in this reflection, I will research my experiences in the cleaning department as a member, displaying some remarkable perceptions that I have gained, the individual growth I have qualified, and the practical knowledge I developed throughout the journey. Also, I am thankful for the valuable experience and understanding that I have gained at Ashford International Hotel in Kent (ASHFORD INTERNATIONAL, 2023).</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division of the cleaning department, my role has been fundamental to the hotel's continuous operation. As a team member, I have been accountable for keeping the cleanliness and good atmosphere of the hotel's accommodations while making sure that every guest is comfortable and pleased (Fallon et al., 2010).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Furthermore, this reflection is designed to explore several aspects of my work placement. I will initiate by sharing my early expectations and how they bring me into line with the realities of the cleaning department. Afterwards, I will deliberate how this experience has paid off in my personal growth and the enlargement of needed skills which include both occupational and social (Bruno et al.,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numPr>
          <w:ilvl w:val="0"/>
          <w:numId w:val="8"/>
        </w:numPr>
        <w:spacing w:before="480" w:after="0" w:line="360"/>
        <w:ind w:right="0" w:left="720" w:hanging="36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Initial Expectations and Vocational Development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When I first got on my work setting at Ashford International Hotel in the cleaning department, my expectations became a combination of enthusiasm, curiosity and expectancy. I anticipated the prospect of gaining proactive skills within the hospitality sector, in addition to a chance which determine the complexities of hotel management. My major purpose was to study the real-world characteristics of maintaining the cleanliness and appearance of hotel accommodations including understanding the average working measures in the field.</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When I became a part of the cleaning department team, I realised that my experiences were narrowly aligned with these prospects. It was obvious that maintaining a high level of cleanliness was not only necessary for aesthetics but also impactful in keeping the hotel's reputation for fineness in guest service and I realised this when I was first involved in some lower range of tasks.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Throughout my placement period, I gained helpful vocational skills, plus well-organised time management, attention to detail, and the capability to work commendably in the team. I was also able to expand my understanding of the hotel's assurance to demonstrate a clean and relaxed environment for the guests. These skills and experience not only boosted my vocational abilities but also secured my assurance to pursue a career in hotel management.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numPr>
          <w:ilvl w:val="0"/>
          <w:numId w:val="10"/>
        </w:numPr>
        <w:spacing w:before="480" w:after="0" w:line="360"/>
        <w:ind w:right="0" w:left="720" w:hanging="36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Academic Development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Gibbs' Reflective Cycle, my placement in the cleaning department at Ashford International Hotel has been very valuable for my knowledge of academic and practical submissions. As soon as I entered this role, I realised what I learned in academic concepts was directly applicable to an actual hotel environment. Throughout my work placement, I experienced an assortment of emotions which includes passion, pleasure, accountability, willpower, and a sense of linking, which modify my individual and professional development.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evaluate one remarkable academic concept that I pursued during this period was controlling the quality and customer satisfaction. From the academic lessons, I learned about the significance of pursuing and maintaining high-quality services to meet customer’s expectations. Throughout my placement, I can comprehend how these theories played out in actuality. The specific attention to cleanliness, which was a fundamental part of my work, directly stimulated guest satisfaction and the overall status of the hotel.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the analysis influence, this placement delivered me with an understanding of the actual hotel management systems and software which are used for tracing room cleaning schedules, which has been an existing part of my academic studies.  The experience emphasised the worth of several practical experiences which are complemented by academic studies. Despite this fact, academic skills deliver a strong base and setting to that information. It allows me to appreciate academic theories and principles which helped me to put into practical performance which has a direct impact on the hotel's accomplishment and guest satisfaction.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Hence, this concerted determination in academic learning and practical application has been involved in prompting my understanding of this field and reinforcing my duty in the sector of hotel management.</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numPr>
          <w:ilvl w:val="0"/>
          <w:numId w:val="13"/>
        </w:numPr>
        <w:spacing w:before="480" w:after="0" w:line="360"/>
        <w:ind w:right="0" w:left="720" w:hanging="36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Gantt chart</w:t>
      </w:r>
    </w:p>
    <w:tbl>
      <w:tblPr/>
      <w:tblGrid>
        <w:gridCol w:w="1889"/>
        <w:gridCol w:w="1865"/>
        <w:gridCol w:w="1865"/>
        <w:gridCol w:w="1865"/>
        <w:gridCol w:w="1866"/>
      </w:tblGrid>
      <w:tr>
        <w:trPr>
          <w:trHeight w:val="1" w:hRule="atLeast"/>
          <w:jc w:val="left"/>
        </w:trPr>
        <w:tc>
          <w:tcPr>
            <w:tcW w:w="1889" w:type="dxa"/>
            <w:tcBorders>
              <w:top w:val="single" w:color="000000" w:sz="4"/>
              <w:left w:val="single" w:color="000000" w:sz="4"/>
              <w:bottom w:val="single" w:color="000000" w:sz="4"/>
              <w:right w:val="single" w:color="000000" w:sz="4"/>
            </w:tcBorders>
            <w:shd w:color="auto" w:fill="eeece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5" w:type="dxa"/>
            <w:tcBorders>
              <w:top w:val="single" w:color="000000" w:sz="4"/>
              <w:left w:val="single" w:color="000000" w:sz="4"/>
              <w:bottom w:val="single" w:color="000000" w:sz="4"/>
              <w:right w:val="single" w:color="000000" w:sz="4"/>
            </w:tcBorders>
            <w:shd w:color="auto" w:fill="eeece1"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Week 1</w:t>
            </w:r>
          </w:p>
        </w:tc>
        <w:tc>
          <w:tcPr>
            <w:tcW w:w="1865" w:type="dxa"/>
            <w:tcBorders>
              <w:top w:val="single" w:color="000000" w:sz="4"/>
              <w:left w:val="single" w:color="000000" w:sz="4"/>
              <w:bottom w:val="single" w:color="000000" w:sz="4"/>
              <w:right w:val="single" w:color="000000" w:sz="4"/>
            </w:tcBorders>
            <w:shd w:color="auto" w:fill="eeece1"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Week 2</w:t>
            </w:r>
          </w:p>
        </w:tc>
        <w:tc>
          <w:tcPr>
            <w:tcW w:w="1865" w:type="dxa"/>
            <w:tcBorders>
              <w:top w:val="single" w:color="000000" w:sz="4"/>
              <w:left w:val="single" w:color="000000" w:sz="4"/>
              <w:bottom w:val="single" w:color="000000" w:sz="4"/>
              <w:right w:val="single" w:color="000000" w:sz="4"/>
            </w:tcBorders>
            <w:shd w:color="auto" w:fill="eeece1"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Week 3</w:t>
            </w:r>
          </w:p>
        </w:tc>
        <w:tc>
          <w:tcPr>
            <w:tcW w:w="1866" w:type="dxa"/>
            <w:tcBorders>
              <w:top w:val="single" w:color="000000" w:sz="4"/>
              <w:left w:val="single" w:color="000000" w:sz="4"/>
              <w:bottom w:val="single" w:color="000000" w:sz="4"/>
              <w:right w:val="single" w:color="000000" w:sz="4"/>
            </w:tcBorders>
            <w:shd w:color="auto" w:fill="eeece1"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Week 4</w:t>
            </w:r>
          </w:p>
        </w:tc>
      </w:tr>
      <w:tr>
        <w:trPr>
          <w:trHeight w:val="1" w:hRule="atLeast"/>
          <w:jc w:val="left"/>
        </w:trPr>
        <w:tc>
          <w:tcPr>
            <w:tcW w:w="1889" w:type="dxa"/>
            <w:tcBorders>
              <w:top w:val="single" w:color="000000" w:sz="4"/>
              <w:left w:val="single" w:color="000000" w:sz="4"/>
              <w:bottom w:val="single" w:color="000000" w:sz="4"/>
              <w:right w:val="single" w:color="000000" w:sz="4"/>
            </w:tcBorders>
            <w:shd w:color="auto" w:fill="eeece1"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Identifying time-wasting habits</w:t>
            </w:r>
          </w:p>
        </w:tc>
        <w:tc>
          <w:tcPr>
            <w:tcW w:w="1865" w:type="dxa"/>
            <w:tcBorders>
              <w:top w:val="single" w:color="000000" w:sz="4"/>
              <w:left w:val="single" w:color="000000" w:sz="4"/>
              <w:bottom w:val="single" w:color="000000" w:sz="4"/>
              <w:right w:val="single" w:color="000000" w:sz="4"/>
            </w:tcBorders>
            <w:shd w:color="auto" w:fill="b6dde8"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889" w:type="dxa"/>
            <w:tcBorders>
              <w:top w:val="single" w:color="000000" w:sz="4"/>
              <w:left w:val="single" w:color="000000" w:sz="4"/>
              <w:bottom w:val="single" w:color="000000" w:sz="4"/>
              <w:right w:val="single" w:color="000000" w:sz="4"/>
            </w:tcBorders>
            <w:shd w:color="auto" w:fill="eeece1"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Creating a daily schedule    </w:t>
            </w:r>
          </w:p>
        </w:tc>
        <w:tc>
          <w:tcPr>
            <w:tcW w:w="18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5" w:type="dxa"/>
            <w:tcBorders>
              <w:top w:val="single" w:color="000000" w:sz="4"/>
              <w:left w:val="single" w:color="000000" w:sz="4"/>
              <w:bottom w:val="single" w:color="000000" w:sz="4"/>
              <w:right w:val="single" w:color="000000" w:sz="4"/>
            </w:tcBorders>
            <w:shd w:color="auto" w:fill="c2d69b"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889" w:type="dxa"/>
            <w:tcBorders>
              <w:top w:val="single" w:color="000000" w:sz="4"/>
              <w:left w:val="single" w:color="000000" w:sz="4"/>
              <w:bottom w:val="single" w:color="000000" w:sz="4"/>
              <w:right w:val="single" w:color="000000" w:sz="4"/>
            </w:tcBorders>
            <w:shd w:color="auto" w:fill="eeece1"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Prioritising tasks by urgency</w:t>
            </w:r>
          </w:p>
        </w:tc>
        <w:tc>
          <w:tcPr>
            <w:tcW w:w="18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5" w:type="dxa"/>
            <w:tcBorders>
              <w:top w:val="single" w:color="000000" w:sz="4"/>
              <w:left w:val="single" w:color="000000" w:sz="4"/>
              <w:bottom w:val="single" w:color="000000" w:sz="4"/>
              <w:right w:val="single" w:color="000000" w:sz="4"/>
            </w:tcBorders>
            <w:shd w:color="auto" w:fill="d99594"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889" w:type="dxa"/>
            <w:tcBorders>
              <w:top w:val="single" w:color="000000" w:sz="4"/>
              <w:left w:val="single" w:color="000000" w:sz="4"/>
              <w:bottom w:val="single" w:color="000000" w:sz="4"/>
              <w:right w:val="single" w:color="000000" w:sz="4"/>
            </w:tcBorders>
            <w:shd w:color="auto" w:fill="eeece1"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Monitoring progress and adjust</w:t>
            </w:r>
          </w:p>
        </w:tc>
        <w:tc>
          <w:tcPr>
            <w:tcW w:w="18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66" w:type="dxa"/>
            <w:tcBorders>
              <w:top w:val="single" w:color="000000" w:sz="4"/>
              <w:left w:val="single" w:color="000000" w:sz="4"/>
              <w:bottom w:val="single" w:color="000000" w:sz="4"/>
              <w:right w:val="single" w:color="000000" w:sz="4"/>
            </w:tcBorders>
            <w:shd w:color="auto" w:fill="fabf8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numPr>
          <w:ilvl w:val="0"/>
          <w:numId w:val="31"/>
        </w:numPr>
        <w:spacing w:before="480" w:after="0" w:line="360"/>
        <w:ind w:right="0" w:left="720" w:hanging="36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Management Issue in the Cleaning Department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Throughout my placement in the cleaning department, I detected a remarkable management issue affecting the division of cleaning staff to encounter some fluctuating demands. This issue mostly revolved around the preparation and positioning of cleaning workers in guest rooms and common areas.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influence of this issue was double since there was an understaffing force during the peak period of the season which led to delays in organising the rooms for incoming guests and created dissatisfaction among guests who remained incapable of checking in punctually. Additionally, when it comes to periods of low occupation, there were stages of overstaffing that resulted in needless working expenses for the hotel (Vallen et al. 2014).</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state these issues, a concrete solution would involve executing a dynamic employee management system. This structure would combine data analytics and foretelling moulding to anticipate the stages of high and low requirements. It guarantees that a satisfactory number of cleaning workers must be available during the peak times while enhancing recruitment altitudes throughout low use.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future planning solution supports the theories which are related to working efficiency and source allocation in the industry of hospitality. Through using appealing data-driven decision-making, the hotel can boost the satisfaction of the guests, moderate the cost of labour, and recover complete working efficiency. This clarification would also demonstrate the real-world submission of management representations that emphasise raising resource allocation in comeback to fluctuating demand (Arunachalam et al., 2018).</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numPr>
          <w:ilvl w:val="0"/>
          <w:numId w:val="34"/>
        </w:numPr>
        <w:spacing w:before="480" w:after="0" w:line="360"/>
        <w:ind w:right="0" w:left="720" w:hanging="36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Key Skills Development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work placement provides a productive expansion of central key skills that are indispensable in any skilled setting, covering self-management, communication, and task management. The first developing skill is self-management which is vital as; the accountability of confirming that rooms were accurately cleaned and well-prepared for arriving guests this prospect required a high degree of self-discipline. Additionally, I learned to arrange my tasks and sustain an organised tactic in working. The capability to work autonomously and take possession of my tasks considerably boosted my self-management skills.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next aspect is a task management skill which has been polished throughout my placement period. Handling cleaning responsibilities capably and guaranteeing that all given responsibilities were accomplished within the required timeframes which is carefully planned and organised. Also, I learned to produce the different angles of the tasks which are prioritised based on urgency, and assign resources commendably to maximise productivity.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Coming to the last developing skill, which is effective communication, plays an essential role in the cleaning department. I had to work together with team members, link up with cleaning needs and problems to administrators and irregularly cooperate with the guests. Thus, flawless and brief communication was essential and dynamic to guarantee that the tasks were specified effectively and fulfilled the requirements of guests. Hence, this experience underlined the suggestion of communication as a critical skill, equally in coordinating with colleagues and in keeping up this guest’s satisfaction (Sheehan et al., 2018).</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numPr>
          <w:ilvl w:val="0"/>
          <w:numId w:val="37"/>
        </w:numPr>
        <w:spacing w:before="480" w:after="0" w:line="360"/>
        <w:ind w:right="0" w:left="720" w:hanging="36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sum up the reflection, my work placement in the cleaning department at Ashford International Hotel has been an effective transformational experience, supporting my early prospects with the real-world hospitality industry and also developing my personal, vocational, and academic development. This placement confirmed the philosophical implication of work placement skills in determining personal and professional growth. The programs I learned, during the entire period are effective time management to appreciate the manners of hotel operations which will surely help as a strong foundation for my future career growth in the hotel business. Also, it is an everyday application of theory and the steady work placement where the most reflective theories are learned, setting the platform for a promising prospect in the field.</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Reference List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Adeani, I.S., Febriani, R.B. and Syafryadin, S. (2020) Using GIBBS’reflective cycle in making reflections of literary analysis. Indonesian EFL Journal, 6(2), pp.139-148.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Arunachalam, D. and Kumar, N. (2018) Benefit-based consumer segmentation and performance evaluation of clustering approaches: An evidence of data-driven decision-making. Expert Systems with Applications, 111, pp.11-34.</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ASHFORD INTERNATIONAL (2023) About Us [online]. Available from: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https://www.ashfordhotel.co.uk/about-us/</w:t>
        </w:r>
      </w:hyperlink>
      <w:r>
        <w:rPr>
          <w:rFonts w:ascii="Times New Roman" w:hAnsi="Times New Roman" w:cs="Times New Roman" w:eastAsia="Times New Roman"/>
          <w:color w:val="auto"/>
          <w:spacing w:val="0"/>
          <w:position w:val="0"/>
          <w:sz w:val="24"/>
          <w:shd w:fill="auto" w:val="clear"/>
        </w:rPr>
        <w:t xml:space="preserve"> [Accessed 17/10/23].</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Bardi, J. (2010) Hotel Front Office Management, Wiley, London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Boncori, I. (2020) The Never</w:t>
      </w:r>
      <w:r>
        <w:rPr>
          <w:rFonts w:ascii="Cambria Math" w:hAnsi="Cambria Math" w:cs="Cambria Math" w:eastAsia="Cambria Math"/>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ending Shift: A feminist reflection on living and organizing academic lives during the coronavirus pandemic. Gender, Work &amp; Organization, 27(5), pp.677-682.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Bruno, A. and Dell’Aversana, G. (2018) Reflective practicum in higher education: the influence of the learning environment on the quality of learning. Assessment &amp; Evaluation in Higher Education, 43(3), pp.345-358.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Casado, M. (2012) Housekeeping Management, Wiley, London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Fallon, M. &amp;Rutherford, D. (2010) Hotel Management and Operations, Wiley, London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Hagg, E (2013) Internship Guide Eleven, The Hague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Iis, E.Y., Wahyuddin, W., Thoyib, A., Ilham, R.N. and Sinta, I. (2022) The Effect of Career Development And Work Environment On Employee Performance With Work Motivation As Intervening Variable At The Office Of Agriculture And Livestock In Aceh. International Journal of Economic, Business, Accounting, Agriculture Management and Sharia Administration (IJEBAS), 2(2), pp.227-236.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Markkanen, P., Välimäki, M., Anttila, M. and Kuuskorpi, M. (2020) A reflective cycle: Understanding challenging situations in a school setting. Educational Research, 62(1), pp.46-62.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Sheehan, M., Grant, K. and Garavan, T. (2018) Strategic talent management: A macro and micro analysis of current issues in hospitality and tourism. Worldwide Hospitality and Tourism Themes, 10(1), pp.28-41.</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Vallen, G.K. &amp; Vallen, Jerome J. (2014) Check-in check-out: managing hotel operations Ninth edition.; Pearson new international.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Wood, R. (2012) Key Concepts in Hospitality Management, Sage, London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num w:numId="6">
    <w:abstractNumId w:val="36"/>
  </w:num>
  <w:num w:numId="8">
    <w:abstractNumId w:val="30"/>
  </w:num>
  <w:num w:numId="10">
    <w:abstractNumId w:val="24"/>
  </w:num>
  <w:num w:numId="13">
    <w:abstractNumId w:val="18"/>
  </w:num>
  <w:num w:numId="31">
    <w:abstractNumId w:val="12"/>
  </w:num>
  <w:num w:numId="34">
    <w:abstractNumId w:val="6"/>
  </w:num>
  <w:num w:numId="37">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numbering.xml" Id="docRId3" Type="http://schemas.openxmlformats.org/officeDocument/2006/relationships/numbering" /><Relationship Target="embeddings/oleObject0.bin" Id="docRId0" Type="http://schemas.openxmlformats.org/officeDocument/2006/relationships/oleObject" /><Relationship TargetMode="External" Target="https://www.ashfordhotel.co.uk/about-us/" Id="docRId2" Type="http://schemas.openxmlformats.org/officeDocument/2006/relationships/hyperlink" /><Relationship Target="styles.xml" Id="docRId4" Type="http://schemas.openxmlformats.org/officeDocument/2006/relationships/styles" /></Relationships>
</file>