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24565" w14:textId="58898103" w:rsidR="00784EC9" w:rsidRDefault="00784EC9" w:rsidP="00784EC9">
      <w:pPr>
        <w:jc w:val="center"/>
        <w:rPr>
          <w:b/>
          <w:sz w:val="48"/>
          <w:u w:val="single"/>
        </w:rPr>
      </w:pPr>
      <w:r>
        <w:rPr>
          <w:b/>
          <w:sz w:val="48"/>
          <w:u w:val="single"/>
        </w:rPr>
        <w:t xml:space="preserve">Polis </w:t>
      </w:r>
      <w:r w:rsidR="00332476">
        <w:rPr>
          <w:b/>
          <w:sz w:val="48"/>
          <w:u w:val="single"/>
        </w:rPr>
        <w:t>R</w:t>
      </w:r>
      <w:r>
        <w:rPr>
          <w:b/>
          <w:sz w:val="48"/>
          <w:u w:val="single"/>
        </w:rPr>
        <w:t>eligion</w:t>
      </w:r>
    </w:p>
    <w:p w14:paraId="2E2743B5" w14:textId="77777777" w:rsidR="00332476" w:rsidRDefault="00332476" w:rsidP="00784EC9">
      <w:pPr>
        <w:jc w:val="center"/>
        <w:rPr>
          <w:b/>
          <w:sz w:val="48"/>
          <w:u w:val="single"/>
        </w:rPr>
      </w:pPr>
    </w:p>
    <w:p w14:paraId="197CAC56" w14:textId="0E5A0D5B" w:rsidR="00784EC9" w:rsidRDefault="00795024" w:rsidP="00332476">
      <w:pPr>
        <w:spacing w:line="360" w:lineRule="auto"/>
        <w:rPr>
          <w:rFonts w:ascii="Times New Roman" w:hAnsi="Times New Roman"/>
          <w:sz w:val="24"/>
        </w:rPr>
      </w:pPr>
      <w:r>
        <w:rPr>
          <w:rFonts w:ascii="Times New Roman" w:hAnsi="Times New Roman"/>
          <w:sz w:val="24"/>
        </w:rPr>
        <w:t xml:space="preserve">The reality of the term known as a Polis religion can be seen in the last work of Plato </w:t>
      </w:r>
      <w:r w:rsidR="004001DA">
        <w:rPr>
          <w:rFonts w:ascii="Times New Roman" w:hAnsi="Times New Roman"/>
          <w:sz w:val="24"/>
        </w:rPr>
        <w:t>‘T</w:t>
      </w:r>
      <w:r>
        <w:rPr>
          <w:rFonts w:ascii="Times New Roman" w:hAnsi="Times New Roman"/>
          <w:sz w:val="24"/>
        </w:rPr>
        <w:t>he Laws</w:t>
      </w:r>
      <w:r w:rsidR="004001DA">
        <w:rPr>
          <w:rFonts w:ascii="Times New Roman" w:hAnsi="Times New Roman"/>
          <w:sz w:val="24"/>
        </w:rPr>
        <w:t>’</w:t>
      </w:r>
      <w:r>
        <w:rPr>
          <w:rFonts w:ascii="Times New Roman" w:hAnsi="Times New Roman"/>
          <w:sz w:val="24"/>
        </w:rPr>
        <w:t>.</w:t>
      </w:r>
      <w:r w:rsidR="001F3E22">
        <w:rPr>
          <w:rStyle w:val="FootnoteReference"/>
          <w:rFonts w:ascii="Times New Roman" w:hAnsi="Times New Roman"/>
          <w:sz w:val="24"/>
        </w:rPr>
        <w:footnoteReference w:id="1"/>
      </w:r>
      <w:r>
        <w:rPr>
          <w:rFonts w:ascii="Times New Roman" w:hAnsi="Times New Roman"/>
          <w:sz w:val="24"/>
        </w:rPr>
        <w:t xml:space="preserve"> </w:t>
      </w:r>
      <w:r w:rsidR="004001DA">
        <w:rPr>
          <w:rFonts w:ascii="Times New Roman" w:hAnsi="Times New Roman"/>
          <w:sz w:val="24"/>
        </w:rPr>
        <w:t>In</w:t>
      </w:r>
      <w:r w:rsidR="001155C6">
        <w:rPr>
          <w:rFonts w:ascii="Times New Roman" w:hAnsi="Times New Roman"/>
          <w:sz w:val="24"/>
        </w:rPr>
        <w:t xml:space="preserve"> </w:t>
      </w:r>
      <w:r w:rsidR="00D8742D">
        <w:rPr>
          <w:rFonts w:ascii="Times New Roman" w:hAnsi="Times New Roman"/>
          <w:sz w:val="24"/>
        </w:rPr>
        <w:t>one</w:t>
      </w:r>
      <w:r w:rsidR="007C64AF">
        <w:rPr>
          <w:rFonts w:ascii="Times New Roman" w:hAnsi="Times New Roman"/>
          <w:sz w:val="24"/>
        </w:rPr>
        <w:t xml:space="preserve"> passage from this work of Plato </w:t>
      </w:r>
      <w:r w:rsidR="004001DA">
        <w:rPr>
          <w:rFonts w:ascii="Times New Roman" w:hAnsi="Times New Roman"/>
          <w:sz w:val="24"/>
        </w:rPr>
        <w:t xml:space="preserve">one </w:t>
      </w:r>
      <w:r w:rsidR="007C64AF">
        <w:rPr>
          <w:rFonts w:ascii="Times New Roman" w:hAnsi="Times New Roman"/>
          <w:sz w:val="24"/>
        </w:rPr>
        <w:t xml:space="preserve">can see the definition </w:t>
      </w:r>
      <w:r w:rsidR="000F3E57">
        <w:rPr>
          <w:rFonts w:ascii="Times New Roman" w:hAnsi="Times New Roman"/>
          <w:sz w:val="24"/>
        </w:rPr>
        <w:t xml:space="preserve">of a </w:t>
      </w:r>
      <w:r w:rsidR="00F704FB">
        <w:rPr>
          <w:rFonts w:ascii="Times New Roman" w:hAnsi="Times New Roman"/>
          <w:sz w:val="24"/>
        </w:rPr>
        <w:t>P</w:t>
      </w:r>
      <w:r w:rsidR="000F3E57">
        <w:rPr>
          <w:rFonts w:ascii="Times New Roman" w:hAnsi="Times New Roman"/>
          <w:sz w:val="24"/>
        </w:rPr>
        <w:t>olis religion</w:t>
      </w:r>
      <w:r w:rsidR="00D8742D">
        <w:rPr>
          <w:rFonts w:ascii="Times New Roman" w:hAnsi="Times New Roman"/>
          <w:sz w:val="24"/>
        </w:rPr>
        <w:t>: ‘Whoever believes in gods in accordance with the laws has never yet willingly undertaken a sacrilegious deed or allowed an unlawful word to pass from him’.</w:t>
      </w:r>
      <w:r w:rsidR="002B1C42">
        <w:rPr>
          <w:rStyle w:val="FootnoteReference"/>
          <w:rFonts w:ascii="Times New Roman" w:hAnsi="Times New Roman"/>
          <w:sz w:val="24"/>
        </w:rPr>
        <w:footnoteReference w:id="2"/>
      </w:r>
      <w:r w:rsidR="00D8742D">
        <w:rPr>
          <w:rFonts w:ascii="Times New Roman" w:hAnsi="Times New Roman"/>
          <w:sz w:val="24"/>
        </w:rPr>
        <w:t xml:space="preserve">  Th</w:t>
      </w:r>
      <w:r w:rsidR="00C00980">
        <w:rPr>
          <w:rFonts w:ascii="Times New Roman" w:hAnsi="Times New Roman"/>
          <w:sz w:val="24"/>
        </w:rPr>
        <w:t>is</w:t>
      </w:r>
      <w:r w:rsidR="00D8742D">
        <w:rPr>
          <w:rFonts w:ascii="Times New Roman" w:hAnsi="Times New Roman"/>
          <w:sz w:val="24"/>
        </w:rPr>
        <w:t xml:space="preserve"> means that the officials of the state or </w:t>
      </w:r>
      <w:r w:rsidR="00F704FB">
        <w:rPr>
          <w:rFonts w:ascii="Times New Roman" w:hAnsi="Times New Roman"/>
          <w:sz w:val="24"/>
        </w:rPr>
        <w:t>P</w:t>
      </w:r>
      <w:r w:rsidR="00D8742D">
        <w:rPr>
          <w:rFonts w:ascii="Times New Roman" w:hAnsi="Times New Roman"/>
          <w:sz w:val="24"/>
        </w:rPr>
        <w:t>olis control</w:t>
      </w:r>
      <w:r w:rsidR="004001DA">
        <w:rPr>
          <w:rFonts w:ascii="Times New Roman" w:hAnsi="Times New Roman"/>
          <w:sz w:val="24"/>
        </w:rPr>
        <w:t xml:space="preserve"> </w:t>
      </w:r>
      <w:r w:rsidR="00D8742D">
        <w:rPr>
          <w:rFonts w:ascii="Times New Roman" w:hAnsi="Times New Roman"/>
          <w:sz w:val="24"/>
        </w:rPr>
        <w:t>the aspects of that state</w:t>
      </w:r>
      <w:r w:rsidR="004001DA">
        <w:rPr>
          <w:rFonts w:ascii="Times New Roman" w:hAnsi="Times New Roman"/>
          <w:sz w:val="24"/>
        </w:rPr>
        <w:t>’</w:t>
      </w:r>
      <w:r w:rsidR="00D8742D">
        <w:rPr>
          <w:rFonts w:ascii="Times New Roman" w:hAnsi="Times New Roman"/>
          <w:sz w:val="24"/>
        </w:rPr>
        <w:t xml:space="preserve">s religion as seen in certain Greek </w:t>
      </w:r>
      <w:r w:rsidR="00F704FB">
        <w:rPr>
          <w:rFonts w:ascii="Times New Roman" w:hAnsi="Times New Roman"/>
          <w:sz w:val="24"/>
        </w:rPr>
        <w:t>P</w:t>
      </w:r>
      <w:r w:rsidR="00D8742D">
        <w:rPr>
          <w:rFonts w:ascii="Times New Roman" w:hAnsi="Times New Roman"/>
          <w:sz w:val="24"/>
        </w:rPr>
        <w:t>olis</w:t>
      </w:r>
      <w:r w:rsidR="00A90564">
        <w:rPr>
          <w:rFonts w:ascii="Times New Roman" w:hAnsi="Times New Roman"/>
          <w:sz w:val="24"/>
        </w:rPr>
        <w:t>.</w:t>
      </w:r>
      <w:r w:rsidR="00A90564">
        <w:rPr>
          <w:rStyle w:val="FootnoteReference"/>
          <w:rFonts w:ascii="Times New Roman" w:hAnsi="Times New Roman"/>
          <w:sz w:val="24"/>
        </w:rPr>
        <w:footnoteReference w:id="3"/>
      </w:r>
      <w:r w:rsidR="00A90564">
        <w:rPr>
          <w:rFonts w:ascii="Times New Roman" w:hAnsi="Times New Roman"/>
          <w:sz w:val="24"/>
        </w:rPr>
        <w:t xml:space="preserve"> </w:t>
      </w:r>
      <w:r w:rsidR="00D8742D">
        <w:rPr>
          <w:rFonts w:ascii="Times New Roman" w:hAnsi="Times New Roman"/>
          <w:sz w:val="24"/>
        </w:rPr>
        <w:t xml:space="preserve">However, during the height of the Roman </w:t>
      </w:r>
      <w:r w:rsidR="004001DA">
        <w:rPr>
          <w:rFonts w:ascii="Times New Roman" w:hAnsi="Times New Roman"/>
          <w:sz w:val="24"/>
        </w:rPr>
        <w:t>E</w:t>
      </w:r>
      <w:r w:rsidR="00D8742D">
        <w:rPr>
          <w:rFonts w:ascii="Times New Roman" w:hAnsi="Times New Roman"/>
          <w:sz w:val="24"/>
        </w:rPr>
        <w:t>mpire many religions and cults came to encompass the lands of the known world</w:t>
      </w:r>
      <w:r w:rsidR="00C00980">
        <w:rPr>
          <w:rFonts w:ascii="Times New Roman" w:hAnsi="Times New Roman"/>
          <w:sz w:val="24"/>
        </w:rPr>
        <w:t xml:space="preserve"> which were</w:t>
      </w:r>
      <w:r w:rsidR="00D8742D">
        <w:rPr>
          <w:rFonts w:ascii="Times New Roman" w:hAnsi="Times New Roman"/>
          <w:sz w:val="24"/>
        </w:rPr>
        <w:t xml:space="preserve"> ruled by </w:t>
      </w:r>
      <w:r w:rsidR="00C00980">
        <w:rPr>
          <w:rFonts w:ascii="Times New Roman" w:hAnsi="Times New Roman"/>
          <w:sz w:val="24"/>
        </w:rPr>
        <w:t>Rome</w:t>
      </w:r>
      <w:r w:rsidR="00D8742D">
        <w:rPr>
          <w:rFonts w:ascii="Times New Roman" w:hAnsi="Times New Roman"/>
          <w:sz w:val="24"/>
        </w:rPr>
        <w:t>.</w:t>
      </w:r>
      <w:r w:rsidR="00A90564">
        <w:rPr>
          <w:rStyle w:val="FootnoteReference"/>
          <w:rFonts w:ascii="Times New Roman" w:hAnsi="Times New Roman"/>
          <w:sz w:val="24"/>
        </w:rPr>
        <w:footnoteReference w:id="4"/>
      </w:r>
      <w:r w:rsidR="00D8742D">
        <w:rPr>
          <w:rFonts w:ascii="Times New Roman" w:hAnsi="Times New Roman"/>
          <w:sz w:val="24"/>
        </w:rPr>
        <w:t xml:space="preserve"> The aim of the following analysis is to determine if the term </w:t>
      </w:r>
      <w:r w:rsidR="00F704FB">
        <w:rPr>
          <w:rFonts w:ascii="Times New Roman" w:hAnsi="Times New Roman"/>
          <w:sz w:val="24"/>
        </w:rPr>
        <w:t>P</w:t>
      </w:r>
      <w:r w:rsidR="00D8742D">
        <w:rPr>
          <w:rFonts w:ascii="Times New Roman" w:hAnsi="Times New Roman"/>
          <w:sz w:val="24"/>
        </w:rPr>
        <w:t xml:space="preserve">olis religion can be generalised across the Roman </w:t>
      </w:r>
      <w:r w:rsidR="00F704FB">
        <w:rPr>
          <w:rFonts w:ascii="Times New Roman" w:hAnsi="Times New Roman"/>
          <w:sz w:val="24"/>
        </w:rPr>
        <w:t>E</w:t>
      </w:r>
      <w:r w:rsidR="00D8742D">
        <w:rPr>
          <w:rFonts w:ascii="Times New Roman" w:hAnsi="Times New Roman"/>
          <w:sz w:val="24"/>
        </w:rPr>
        <w:t xml:space="preserve">mpire during the first and third century AD. </w:t>
      </w:r>
    </w:p>
    <w:p w14:paraId="52032FE0" w14:textId="5DE97BAE" w:rsidR="00C00980" w:rsidRDefault="00797361" w:rsidP="00332476">
      <w:pPr>
        <w:spacing w:line="360" w:lineRule="auto"/>
        <w:rPr>
          <w:rFonts w:ascii="Times New Roman" w:hAnsi="Times New Roman"/>
          <w:sz w:val="24"/>
        </w:rPr>
      </w:pPr>
      <w:r>
        <w:rPr>
          <w:rFonts w:ascii="Times New Roman" w:hAnsi="Times New Roman"/>
          <w:sz w:val="24"/>
        </w:rPr>
        <w:t xml:space="preserve">One of the </w:t>
      </w:r>
      <w:r w:rsidR="00E91285">
        <w:rPr>
          <w:rFonts w:ascii="Times New Roman" w:hAnsi="Times New Roman"/>
          <w:sz w:val="24"/>
        </w:rPr>
        <w:t xml:space="preserve">main reasons for the proposed generalisation of </w:t>
      </w:r>
      <w:r w:rsidR="00F704FB">
        <w:rPr>
          <w:rFonts w:ascii="Times New Roman" w:hAnsi="Times New Roman"/>
          <w:sz w:val="24"/>
        </w:rPr>
        <w:t>P</w:t>
      </w:r>
      <w:r w:rsidR="00E91285">
        <w:rPr>
          <w:rFonts w:ascii="Times New Roman" w:hAnsi="Times New Roman"/>
          <w:sz w:val="24"/>
        </w:rPr>
        <w:t xml:space="preserve">olis religion in the Roman </w:t>
      </w:r>
      <w:r w:rsidR="00F704FB">
        <w:rPr>
          <w:rFonts w:ascii="Times New Roman" w:hAnsi="Times New Roman"/>
          <w:sz w:val="24"/>
        </w:rPr>
        <w:t>E</w:t>
      </w:r>
      <w:r w:rsidR="00E91285">
        <w:rPr>
          <w:rFonts w:ascii="Times New Roman" w:hAnsi="Times New Roman"/>
          <w:sz w:val="24"/>
        </w:rPr>
        <w:t>mpire can be seen in the state officials</w:t>
      </w:r>
      <w:r w:rsidR="00005D19">
        <w:rPr>
          <w:rFonts w:ascii="Times New Roman" w:hAnsi="Times New Roman"/>
          <w:sz w:val="24"/>
        </w:rPr>
        <w:t xml:space="preserve"> who</w:t>
      </w:r>
      <w:r w:rsidR="00373696">
        <w:rPr>
          <w:rFonts w:ascii="Times New Roman" w:hAnsi="Times New Roman"/>
          <w:sz w:val="24"/>
        </w:rPr>
        <w:t xml:space="preserve"> were</w:t>
      </w:r>
      <w:r w:rsidR="00005D19">
        <w:rPr>
          <w:rFonts w:ascii="Times New Roman" w:hAnsi="Times New Roman"/>
          <w:sz w:val="24"/>
        </w:rPr>
        <w:t xml:space="preserve"> </w:t>
      </w:r>
      <w:r w:rsidR="00373696">
        <w:rPr>
          <w:rFonts w:ascii="Times New Roman" w:hAnsi="Times New Roman"/>
          <w:sz w:val="24"/>
        </w:rPr>
        <w:t>responsible</w:t>
      </w:r>
      <w:r w:rsidR="00E91285">
        <w:rPr>
          <w:rFonts w:ascii="Times New Roman" w:hAnsi="Times New Roman"/>
          <w:sz w:val="24"/>
        </w:rPr>
        <w:t xml:space="preserve"> </w:t>
      </w:r>
      <w:r w:rsidR="00373696">
        <w:rPr>
          <w:rFonts w:ascii="Times New Roman" w:hAnsi="Times New Roman"/>
          <w:sz w:val="24"/>
        </w:rPr>
        <w:t xml:space="preserve">for overseeing </w:t>
      </w:r>
      <w:r w:rsidR="00E91285">
        <w:rPr>
          <w:rFonts w:ascii="Times New Roman" w:hAnsi="Times New Roman"/>
          <w:sz w:val="24"/>
        </w:rPr>
        <w:t xml:space="preserve">religious affairs. </w:t>
      </w:r>
      <w:r w:rsidR="006D2B99">
        <w:rPr>
          <w:rFonts w:ascii="Times New Roman" w:hAnsi="Times New Roman"/>
          <w:sz w:val="24"/>
        </w:rPr>
        <w:t xml:space="preserve">In Rome, the </w:t>
      </w:r>
      <w:r w:rsidR="00931434">
        <w:rPr>
          <w:rFonts w:ascii="Times New Roman" w:hAnsi="Times New Roman"/>
          <w:sz w:val="24"/>
        </w:rPr>
        <w:t>official in charge of the performance of public or private religious affairs was known as the Pontifex Maximus</w:t>
      </w:r>
      <w:r w:rsidR="0082088E">
        <w:rPr>
          <w:rFonts w:ascii="Times New Roman" w:hAnsi="Times New Roman"/>
          <w:sz w:val="24"/>
        </w:rPr>
        <w:t xml:space="preserve"> from the college of Pontif</w:t>
      </w:r>
      <w:r w:rsidR="00D56626">
        <w:rPr>
          <w:rFonts w:ascii="Times New Roman" w:hAnsi="Times New Roman"/>
          <w:sz w:val="24"/>
        </w:rPr>
        <w:t>ices</w:t>
      </w:r>
      <w:r w:rsidR="00931434">
        <w:rPr>
          <w:rFonts w:ascii="Times New Roman" w:hAnsi="Times New Roman"/>
          <w:sz w:val="24"/>
        </w:rPr>
        <w:t>.</w:t>
      </w:r>
      <w:r w:rsidR="00980035">
        <w:rPr>
          <w:rStyle w:val="FootnoteReference"/>
          <w:rFonts w:ascii="Times New Roman" w:hAnsi="Times New Roman"/>
          <w:sz w:val="24"/>
        </w:rPr>
        <w:footnoteReference w:id="5"/>
      </w:r>
      <w:r w:rsidR="00931434">
        <w:rPr>
          <w:rFonts w:ascii="Times New Roman" w:hAnsi="Times New Roman"/>
          <w:sz w:val="24"/>
        </w:rPr>
        <w:t xml:space="preserve"> </w:t>
      </w:r>
      <w:r w:rsidR="007E45EF">
        <w:rPr>
          <w:rFonts w:ascii="Times New Roman" w:hAnsi="Times New Roman"/>
          <w:sz w:val="24"/>
        </w:rPr>
        <w:t>A similarity can be seen in the Greek polis of Athens</w:t>
      </w:r>
      <w:r w:rsidR="004E5B7B">
        <w:rPr>
          <w:rFonts w:ascii="Times New Roman" w:hAnsi="Times New Roman"/>
          <w:sz w:val="24"/>
        </w:rPr>
        <w:t xml:space="preserve"> in the Archons</w:t>
      </w:r>
      <w:r w:rsidR="00176E87">
        <w:rPr>
          <w:rFonts w:ascii="Times New Roman" w:hAnsi="Times New Roman"/>
          <w:sz w:val="24"/>
        </w:rPr>
        <w:t xml:space="preserve"> of the </w:t>
      </w:r>
      <w:r w:rsidR="00A05517">
        <w:rPr>
          <w:rFonts w:ascii="Times New Roman" w:hAnsi="Times New Roman"/>
          <w:sz w:val="24"/>
        </w:rPr>
        <w:t>city’s administration</w:t>
      </w:r>
      <w:r w:rsidR="004E5B7B">
        <w:rPr>
          <w:rFonts w:ascii="Times New Roman" w:hAnsi="Times New Roman"/>
          <w:sz w:val="24"/>
        </w:rPr>
        <w:t>.</w:t>
      </w:r>
      <w:r w:rsidR="00980035">
        <w:rPr>
          <w:rStyle w:val="FootnoteReference"/>
          <w:rFonts w:ascii="Times New Roman" w:hAnsi="Times New Roman"/>
          <w:sz w:val="24"/>
        </w:rPr>
        <w:footnoteReference w:id="6"/>
      </w:r>
      <w:r w:rsidR="004E5B7B">
        <w:rPr>
          <w:rFonts w:ascii="Times New Roman" w:hAnsi="Times New Roman"/>
          <w:sz w:val="24"/>
        </w:rPr>
        <w:t xml:space="preserve"> The similar position of Pontifex Maximus can be seen </w:t>
      </w:r>
      <w:r w:rsidR="00CB3FF7">
        <w:rPr>
          <w:rFonts w:ascii="Times New Roman" w:hAnsi="Times New Roman"/>
          <w:sz w:val="24"/>
        </w:rPr>
        <w:t xml:space="preserve">in the Archon Basileus also known as the King </w:t>
      </w:r>
      <w:r w:rsidR="00A05517">
        <w:rPr>
          <w:rFonts w:ascii="Times New Roman" w:hAnsi="Times New Roman"/>
          <w:sz w:val="24"/>
        </w:rPr>
        <w:t>Archon.</w:t>
      </w:r>
      <w:r w:rsidR="00980035">
        <w:rPr>
          <w:rStyle w:val="FootnoteReference"/>
          <w:rFonts w:ascii="Times New Roman" w:hAnsi="Times New Roman"/>
          <w:sz w:val="24"/>
        </w:rPr>
        <w:footnoteReference w:id="7"/>
      </w:r>
      <w:r w:rsidR="00A05517">
        <w:rPr>
          <w:rFonts w:ascii="Times New Roman" w:hAnsi="Times New Roman"/>
          <w:sz w:val="24"/>
        </w:rPr>
        <w:t xml:space="preserve"> This official position was in control of the traditional cults of the city</w:t>
      </w:r>
      <w:r w:rsidR="004031F3">
        <w:rPr>
          <w:rFonts w:ascii="Times New Roman" w:hAnsi="Times New Roman"/>
          <w:sz w:val="24"/>
        </w:rPr>
        <w:t xml:space="preserve"> and organised religious festivals</w:t>
      </w:r>
      <w:r w:rsidR="00A05517">
        <w:rPr>
          <w:rFonts w:ascii="Times New Roman" w:hAnsi="Times New Roman"/>
          <w:sz w:val="24"/>
        </w:rPr>
        <w:t>.</w:t>
      </w:r>
      <w:r w:rsidR="002E3565">
        <w:rPr>
          <w:rStyle w:val="FootnoteReference"/>
          <w:rFonts w:ascii="Times New Roman" w:hAnsi="Times New Roman"/>
          <w:sz w:val="24"/>
        </w:rPr>
        <w:footnoteReference w:id="8"/>
      </w:r>
      <w:r w:rsidR="00A05517">
        <w:rPr>
          <w:rFonts w:ascii="Times New Roman" w:hAnsi="Times New Roman"/>
          <w:sz w:val="24"/>
        </w:rPr>
        <w:t xml:space="preserve"> </w:t>
      </w:r>
      <w:r w:rsidR="002431CF">
        <w:rPr>
          <w:rFonts w:ascii="Times New Roman" w:hAnsi="Times New Roman"/>
          <w:sz w:val="24"/>
        </w:rPr>
        <w:t xml:space="preserve">However, the Archon Basileus was also in charge of </w:t>
      </w:r>
      <w:r w:rsidR="00CC45D7">
        <w:rPr>
          <w:rFonts w:ascii="Times New Roman" w:hAnsi="Times New Roman"/>
          <w:sz w:val="24"/>
        </w:rPr>
        <w:t>magistrate duties</w:t>
      </w:r>
      <w:r w:rsidR="005B3BA0">
        <w:rPr>
          <w:rFonts w:ascii="Times New Roman" w:hAnsi="Times New Roman"/>
          <w:sz w:val="24"/>
        </w:rPr>
        <w:t xml:space="preserve"> such as the Pr</w:t>
      </w:r>
      <w:r w:rsidR="00A85197">
        <w:rPr>
          <w:rFonts w:ascii="Times New Roman" w:hAnsi="Times New Roman"/>
          <w:sz w:val="24"/>
        </w:rPr>
        <w:t xml:space="preserve">orrhesis which was the announcement of a murderer’s identity to ensure his exclusion from </w:t>
      </w:r>
      <w:r w:rsidR="004031F3">
        <w:rPr>
          <w:rFonts w:ascii="Times New Roman" w:hAnsi="Times New Roman"/>
          <w:sz w:val="24"/>
        </w:rPr>
        <w:t xml:space="preserve">public </w:t>
      </w:r>
      <w:r w:rsidR="00A85197">
        <w:rPr>
          <w:rFonts w:ascii="Times New Roman" w:hAnsi="Times New Roman"/>
          <w:sz w:val="24"/>
        </w:rPr>
        <w:t>sacred places.</w:t>
      </w:r>
      <w:r w:rsidR="002E3565">
        <w:rPr>
          <w:rStyle w:val="FootnoteReference"/>
          <w:rFonts w:ascii="Times New Roman" w:hAnsi="Times New Roman"/>
          <w:sz w:val="24"/>
        </w:rPr>
        <w:footnoteReference w:id="9"/>
      </w:r>
      <w:r w:rsidR="00A85197">
        <w:rPr>
          <w:rFonts w:ascii="Times New Roman" w:hAnsi="Times New Roman"/>
          <w:sz w:val="24"/>
        </w:rPr>
        <w:t xml:space="preserve"> Although both positions held similar roles in terms of religious affairs, the Archon is different due to the inclusion of magistrate duties for his position</w:t>
      </w:r>
      <w:r w:rsidR="00872B84">
        <w:rPr>
          <w:rFonts w:ascii="Times New Roman" w:hAnsi="Times New Roman"/>
          <w:sz w:val="24"/>
        </w:rPr>
        <w:t xml:space="preserve"> and the Pontifex Maximus sole role in organising public rituals such as the sacred spring</w:t>
      </w:r>
      <w:r w:rsidR="00A85197">
        <w:rPr>
          <w:rFonts w:ascii="Times New Roman" w:hAnsi="Times New Roman"/>
          <w:sz w:val="24"/>
        </w:rPr>
        <w:t>.</w:t>
      </w:r>
      <w:r w:rsidR="00872B84">
        <w:rPr>
          <w:rStyle w:val="FootnoteReference"/>
          <w:rFonts w:ascii="Times New Roman" w:hAnsi="Times New Roman"/>
          <w:sz w:val="24"/>
        </w:rPr>
        <w:footnoteReference w:id="10"/>
      </w:r>
      <w:r w:rsidR="00A85197">
        <w:rPr>
          <w:rFonts w:ascii="Times New Roman" w:hAnsi="Times New Roman"/>
          <w:sz w:val="24"/>
        </w:rPr>
        <w:t xml:space="preserve"> </w:t>
      </w:r>
    </w:p>
    <w:p w14:paraId="341D9136" w14:textId="750BC503" w:rsidR="009F3EBD" w:rsidRDefault="00224489" w:rsidP="00332476">
      <w:pPr>
        <w:spacing w:line="360" w:lineRule="auto"/>
        <w:rPr>
          <w:rFonts w:ascii="Times New Roman" w:hAnsi="Times New Roman"/>
          <w:sz w:val="24"/>
        </w:rPr>
      </w:pPr>
      <w:r>
        <w:rPr>
          <w:rFonts w:ascii="Times New Roman" w:hAnsi="Times New Roman"/>
          <w:sz w:val="24"/>
        </w:rPr>
        <w:lastRenderedPageBreak/>
        <w:t xml:space="preserve">Another </w:t>
      </w:r>
      <w:r w:rsidR="006D0BCA">
        <w:rPr>
          <w:rFonts w:ascii="Times New Roman" w:hAnsi="Times New Roman"/>
          <w:sz w:val="24"/>
        </w:rPr>
        <w:t>reason</w:t>
      </w:r>
      <w:r>
        <w:rPr>
          <w:rFonts w:ascii="Times New Roman" w:hAnsi="Times New Roman"/>
          <w:sz w:val="24"/>
        </w:rPr>
        <w:t xml:space="preserve"> for the proposed generalisation of </w:t>
      </w:r>
      <w:r w:rsidR="00F704FB">
        <w:rPr>
          <w:rFonts w:ascii="Times New Roman" w:hAnsi="Times New Roman"/>
          <w:sz w:val="24"/>
        </w:rPr>
        <w:t>P</w:t>
      </w:r>
      <w:r>
        <w:rPr>
          <w:rFonts w:ascii="Times New Roman" w:hAnsi="Times New Roman"/>
          <w:sz w:val="24"/>
        </w:rPr>
        <w:t xml:space="preserve">olis religion in the Roman </w:t>
      </w:r>
      <w:r w:rsidR="00F704FB">
        <w:rPr>
          <w:rFonts w:ascii="Times New Roman" w:hAnsi="Times New Roman"/>
          <w:sz w:val="24"/>
        </w:rPr>
        <w:t>E</w:t>
      </w:r>
      <w:r>
        <w:rPr>
          <w:rFonts w:ascii="Times New Roman" w:hAnsi="Times New Roman"/>
          <w:sz w:val="24"/>
        </w:rPr>
        <w:t xml:space="preserve">mpire </w:t>
      </w:r>
      <w:r w:rsidR="00F704FB">
        <w:rPr>
          <w:rFonts w:ascii="Times New Roman" w:hAnsi="Times New Roman"/>
          <w:sz w:val="24"/>
        </w:rPr>
        <w:t>derives</w:t>
      </w:r>
      <w:r w:rsidR="007E6CF3">
        <w:rPr>
          <w:rFonts w:ascii="Times New Roman" w:hAnsi="Times New Roman"/>
          <w:sz w:val="24"/>
        </w:rPr>
        <w:t xml:space="preserve"> from the Lex Ursonensis. This was the foundation charter for </w:t>
      </w:r>
      <w:r w:rsidR="0003496E">
        <w:rPr>
          <w:rFonts w:ascii="Times New Roman" w:hAnsi="Times New Roman"/>
          <w:sz w:val="24"/>
        </w:rPr>
        <w:t>the Caesarian colony at Urso.</w:t>
      </w:r>
      <w:r w:rsidR="002E3565">
        <w:rPr>
          <w:rStyle w:val="FootnoteReference"/>
          <w:rFonts w:ascii="Times New Roman" w:hAnsi="Times New Roman"/>
          <w:sz w:val="24"/>
        </w:rPr>
        <w:footnoteReference w:id="11"/>
      </w:r>
      <w:r w:rsidR="0003496E">
        <w:rPr>
          <w:rFonts w:ascii="Times New Roman" w:hAnsi="Times New Roman"/>
          <w:sz w:val="24"/>
        </w:rPr>
        <w:t xml:space="preserve"> One passage describes the legal arrangements</w:t>
      </w:r>
      <w:r w:rsidR="00A06A0F">
        <w:rPr>
          <w:rFonts w:ascii="Times New Roman" w:hAnsi="Times New Roman"/>
          <w:sz w:val="24"/>
        </w:rPr>
        <w:t xml:space="preserve"> for Aediles</w:t>
      </w:r>
      <w:r w:rsidR="0003496E">
        <w:rPr>
          <w:rFonts w:ascii="Times New Roman" w:hAnsi="Times New Roman"/>
          <w:sz w:val="24"/>
        </w:rPr>
        <w:t xml:space="preserve"> surrounding religious public affairs, the passage is as follows:</w:t>
      </w:r>
    </w:p>
    <w:p w14:paraId="68B6CE65" w14:textId="7F414F15" w:rsidR="0003496E" w:rsidRDefault="0003496E" w:rsidP="00332476">
      <w:pPr>
        <w:spacing w:line="240" w:lineRule="auto"/>
        <w:ind w:left="1247" w:right="1417"/>
        <w:jc w:val="both"/>
        <w:rPr>
          <w:rFonts w:ascii="Times New Roman" w:hAnsi="Times New Roman"/>
          <w:sz w:val="24"/>
        </w:rPr>
      </w:pPr>
      <w:r>
        <w:rPr>
          <w:rFonts w:ascii="Times New Roman" w:hAnsi="Times New Roman"/>
          <w:sz w:val="24"/>
        </w:rPr>
        <w:t>Whoever shall be Aediles, during their magistracy they are to organise a show or dramatic spectacle for Jupiter, Juno and Minerva, during three days, for the greater part of the day, as far as shall be possible, and during one day (games) in the circus or (gladiators) in the forum for Venus</w:t>
      </w:r>
      <w:r w:rsidR="00A06A0F">
        <w:rPr>
          <w:rFonts w:ascii="Times New Roman" w:hAnsi="Times New Roman"/>
          <w:sz w:val="24"/>
        </w:rPr>
        <w:t>, and each one of them is to spend on that spectacle and on that show not less than 2,000 sesterces from his own money, and it is to be lawful to take from public funds 1,000 sesterces for each Aedile, and a Ilvir or prefect is to see that that sum is given or assigned, and it is to be lawful for them to receive it without personal liability.</w:t>
      </w:r>
      <w:r w:rsidR="002E3565">
        <w:rPr>
          <w:rStyle w:val="FootnoteReference"/>
          <w:rFonts w:ascii="Times New Roman" w:hAnsi="Times New Roman"/>
          <w:sz w:val="24"/>
        </w:rPr>
        <w:footnoteReference w:id="12"/>
      </w:r>
    </w:p>
    <w:p w14:paraId="0F04097D" w14:textId="23838C7D" w:rsidR="00A06A0F" w:rsidRDefault="009608B8" w:rsidP="00332476">
      <w:pPr>
        <w:spacing w:line="360" w:lineRule="auto"/>
        <w:rPr>
          <w:rFonts w:ascii="Times New Roman" w:hAnsi="Times New Roman"/>
          <w:sz w:val="24"/>
        </w:rPr>
      </w:pPr>
      <w:r>
        <w:rPr>
          <w:rFonts w:ascii="Times New Roman" w:hAnsi="Times New Roman"/>
          <w:sz w:val="24"/>
        </w:rPr>
        <w:t xml:space="preserve">This quote </w:t>
      </w:r>
      <w:r w:rsidR="00F704FB">
        <w:rPr>
          <w:rFonts w:ascii="Times New Roman" w:hAnsi="Times New Roman"/>
          <w:sz w:val="24"/>
        </w:rPr>
        <w:t>demonstrates</w:t>
      </w:r>
      <w:r>
        <w:rPr>
          <w:rFonts w:ascii="Times New Roman" w:hAnsi="Times New Roman"/>
          <w:sz w:val="24"/>
        </w:rPr>
        <w:t xml:space="preserve"> how the </w:t>
      </w:r>
      <w:r w:rsidR="008B77CF">
        <w:rPr>
          <w:rFonts w:ascii="Times New Roman" w:hAnsi="Times New Roman"/>
          <w:sz w:val="24"/>
        </w:rPr>
        <w:t xml:space="preserve">Roman state was in control of the official religion of the Roman </w:t>
      </w:r>
      <w:r w:rsidR="00F704FB">
        <w:rPr>
          <w:rFonts w:ascii="Times New Roman" w:hAnsi="Times New Roman"/>
          <w:sz w:val="24"/>
        </w:rPr>
        <w:t>E</w:t>
      </w:r>
      <w:r w:rsidR="008B77CF">
        <w:rPr>
          <w:rFonts w:ascii="Times New Roman" w:hAnsi="Times New Roman"/>
          <w:sz w:val="24"/>
        </w:rPr>
        <w:t xml:space="preserve">mpire as seen in the organised spectacles dedicated to the gods in the </w:t>
      </w:r>
      <w:r w:rsidR="008C7CAC">
        <w:rPr>
          <w:rFonts w:ascii="Times New Roman" w:hAnsi="Times New Roman"/>
          <w:sz w:val="24"/>
        </w:rPr>
        <w:t>C</w:t>
      </w:r>
      <w:r w:rsidR="008B77CF">
        <w:rPr>
          <w:rFonts w:ascii="Times New Roman" w:hAnsi="Times New Roman"/>
          <w:sz w:val="24"/>
        </w:rPr>
        <w:t>harter</w:t>
      </w:r>
      <w:r w:rsidR="004031F3">
        <w:rPr>
          <w:rFonts w:ascii="Times New Roman" w:hAnsi="Times New Roman"/>
          <w:sz w:val="24"/>
        </w:rPr>
        <w:t xml:space="preserve"> for the colony</w:t>
      </w:r>
      <w:r w:rsidR="008B77CF">
        <w:rPr>
          <w:rFonts w:ascii="Times New Roman" w:hAnsi="Times New Roman"/>
          <w:sz w:val="24"/>
        </w:rPr>
        <w:t>.</w:t>
      </w:r>
      <w:r w:rsidR="00872B84">
        <w:rPr>
          <w:rStyle w:val="FootnoteReference"/>
          <w:rFonts w:ascii="Times New Roman" w:hAnsi="Times New Roman"/>
          <w:sz w:val="24"/>
        </w:rPr>
        <w:footnoteReference w:id="13"/>
      </w:r>
      <w:r w:rsidR="008B77CF">
        <w:rPr>
          <w:rFonts w:ascii="Times New Roman" w:hAnsi="Times New Roman"/>
          <w:sz w:val="24"/>
        </w:rPr>
        <w:t xml:space="preserve"> </w:t>
      </w:r>
      <w:r w:rsidR="004031F3">
        <w:rPr>
          <w:rFonts w:ascii="Times New Roman" w:hAnsi="Times New Roman"/>
          <w:sz w:val="24"/>
        </w:rPr>
        <w:t xml:space="preserve">Overall this </w:t>
      </w:r>
      <w:r w:rsidR="008C7CAC">
        <w:rPr>
          <w:rFonts w:ascii="Times New Roman" w:hAnsi="Times New Roman"/>
          <w:sz w:val="24"/>
        </w:rPr>
        <w:t>illustrates</w:t>
      </w:r>
      <w:r w:rsidR="004031F3">
        <w:rPr>
          <w:rFonts w:ascii="Times New Roman" w:hAnsi="Times New Roman"/>
          <w:sz w:val="24"/>
        </w:rPr>
        <w:t xml:space="preserve"> how certain examples found in the Roman empire can be used as case studies to show how there could have been a generalisation of polis religion in the Roman empire. </w:t>
      </w:r>
    </w:p>
    <w:p w14:paraId="7E03034A" w14:textId="4D787D4D" w:rsidR="00AD5E99" w:rsidRDefault="00AD5E99" w:rsidP="00332476">
      <w:pPr>
        <w:spacing w:line="360" w:lineRule="auto"/>
        <w:rPr>
          <w:rFonts w:ascii="Times New Roman" w:hAnsi="Times New Roman"/>
          <w:sz w:val="24"/>
        </w:rPr>
      </w:pPr>
      <w:r>
        <w:rPr>
          <w:rFonts w:ascii="Times New Roman" w:hAnsi="Times New Roman"/>
          <w:sz w:val="24"/>
        </w:rPr>
        <w:t xml:space="preserve">However, the main reason for polis religion not being a generalised entity across the Roman empire is due to the inclusion of different cults that spread across the </w:t>
      </w:r>
      <w:r w:rsidR="008C7CAC">
        <w:rPr>
          <w:rFonts w:ascii="Times New Roman" w:hAnsi="Times New Roman"/>
          <w:sz w:val="24"/>
        </w:rPr>
        <w:t>E</w:t>
      </w:r>
      <w:r>
        <w:rPr>
          <w:rFonts w:ascii="Times New Roman" w:hAnsi="Times New Roman"/>
          <w:sz w:val="24"/>
        </w:rPr>
        <w:t xml:space="preserve">mpires provinces. </w:t>
      </w:r>
      <w:r w:rsidR="00B33AE1">
        <w:rPr>
          <w:rFonts w:ascii="Times New Roman" w:hAnsi="Times New Roman"/>
          <w:sz w:val="24"/>
        </w:rPr>
        <w:t xml:space="preserve">Many cults came from the oriental provinces </w:t>
      </w:r>
      <w:r w:rsidR="00515FB0">
        <w:rPr>
          <w:rFonts w:ascii="Times New Roman" w:hAnsi="Times New Roman"/>
          <w:sz w:val="24"/>
        </w:rPr>
        <w:t>which began to spread across many of the Latin provinces.</w:t>
      </w:r>
      <w:r w:rsidR="00872B84">
        <w:rPr>
          <w:rStyle w:val="FootnoteReference"/>
          <w:rFonts w:ascii="Times New Roman" w:hAnsi="Times New Roman"/>
          <w:sz w:val="24"/>
        </w:rPr>
        <w:footnoteReference w:id="14"/>
      </w:r>
      <w:r w:rsidR="00515FB0">
        <w:rPr>
          <w:rFonts w:ascii="Times New Roman" w:hAnsi="Times New Roman"/>
          <w:sz w:val="24"/>
        </w:rPr>
        <w:t xml:space="preserve"> These cults worshipped the gods of Egypt with Isis being one of the most popular</w:t>
      </w:r>
      <w:r w:rsidR="00A972F3">
        <w:rPr>
          <w:rFonts w:ascii="Times New Roman" w:hAnsi="Times New Roman"/>
          <w:sz w:val="24"/>
        </w:rPr>
        <w:t>.</w:t>
      </w:r>
      <w:r w:rsidR="00872B84">
        <w:rPr>
          <w:rStyle w:val="FootnoteReference"/>
          <w:rFonts w:ascii="Times New Roman" w:hAnsi="Times New Roman"/>
          <w:sz w:val="24"/>
        </w:rPr>
        <w:footnoteReference w:id="15"/>
      </w:r>
      <w:r w:rsidR="00A972F3">
        <w:rPr>
          <w:rFonts w:ascii="Times New Roman" w:hAnsi="Times New Roman"/>
          <w:sz w:val="24"/>
        </w:rPr>
        <w:t xml:space="preserve"> In Rome itself, a great temple dedicated to the worship of the goddess Isis and the god Serapis was built on the Campus Martius in </w:t>
      </w:r>
      <w:r w:rsidR="008C7CAC">
        <w:rPr>
          <w:rFonts w:ascii="Times New Roman" w:hAnsi="Times New Roman"/>
          <w:sz w:val="24"/>
        </w:rPr>
        <w:t xml:space="preserve">38 </w:t>
      </w:r>
      <w:r w:rsidR="00A972F3">
        <w:rPr>
          <w:rFonts w:ascii="Times New Roman" w:hAnsi="Times New Roman"/>
          <w:sz w:val="24"/>
        </w:rPr>
        <w:t>AD.</w:t>
      </w:r>
      <w:r w:rsidR="00E728E9">
        <w:rPr>
          <w:rStyle w:val="FootnoteReference"/>
          <w:rFonts w:ascii="Times New Roman" w:hAnsi="Times New Roman"/>
          <w:sz w:val="24"/>
        </w:rPr>
        <w:footnoteReference w:id="16"/>
      </w:r>
      <w:r w:rsidR="00A972F3">
        <w:rPr>
          <w:rFonts w:ascii="Times New Roman" w:hAnsi="Times New Roman"/>
          <w:sz w:val="24"/>
        </w:rPr>
        <w:t xml:space="preserve"> Isis processions through the streets of Rome are recorded as late as 394 BC.</w:t>
      </w:r>
      <w:r w:rsidR="00E728E9">
        <w:rPr>
          <w:rStyle w:val="FootnoteReference"/>
          <w:rFonts w:ascii="Times New Roman" w:hAnsi="Times New Roman"/>
          <w:sz w:val="24"/>
        </w:rPr>
        <w:footnoteReference w:id="17"/>
      </w:r>
      <w:r w:rsidR="00A972F3">
        <w:rPr>
          <w:rFonts w:ascii="Times New Roman" w:hAnsi="Times New Roman"/>
          <w:sz w:val="24"/>
        </w:rPr>
        <w:t xml:space="preserve"> </w:t>
      </w:r>
    </w:p>
    <w:p w14:paraId="475359F1" w14:textId="569E8E29" w:rsidR="00F44419" w:rsidRDefault="00F44419" w:rsidP="00332476">
      <w:pPr>
        <w:spacing w:line="360" w:lineRule="auto"/>
        <w:rPr>
          <w:rFonts w:ascii="Times New Roman" w:hAnsi="Times New Roman"/>
          <w:sz w:val="24"/>
        </w:rPr>
      </w:pPr>
      <w:r>
        <w:rPr>
          <w:rFonts w:ascii="Times New Roman" w:hAnsi="Times New Roman"/>
          <w:sz w:val="24"/>
        </w:rPr>
        <w:t>Another example of the influx of foreign cults into Roman provinces is the popular cult of Mithras</w:t>
      </w:r>
      <w:r w:rsidR="00191FCD">
        <w:rPr>
          <w:rFonts w:ascii="Times New Roman" w:hAnsi="Times New Roman"/>
          <w:sz w:val="24"/>
        </w:rPr>
        <w:t xml:space="preserve">. </w:t>
      </w:r>
      <w:r w:rsidR="00E86691">
        <w:rPr>
          <w:rFonts w:ascii="Times New Roman" w:hAnsi="Times New Roman"/>
          <w:sz w:val="24"/>
        </w:rPr>
        <w:t>This cult first originated in the provinces of Rome all the way to Germania superior which is where the first evidence of the cult can be found.</w:t>
      </w:r>
      <w:r w:rsidR="00E728E9">
        <w:rPr>
          <w:rStyle w:val="FootnoteReference"/>
          <w:rFonts w:ascii="Times New Roman" w:hAnsi="Times New Roman"/>
          <w:sz w:val="24"/>
        </w:rPr>
        <w:footnoteReference w:id="18"/>
      </w:r>
      <w:r w:rsidR="00E86691">
        <w:rPr>
          <w:rFonts w:ascii="Times New Roman" w:hAnsi="Times New Roman"/>
          <w:sz w:val="24"/>
        </w:rPr>
        <w:t xml:space="preserve"> </w:t>
      </w:r>
      <w:r w:rsidR="00DB12FB">
        <w:rPr>
          <w:rFonts w:ascii="Times New Roman" w:hAnsi="Times New Roman"/>
          <w:sz w:val="24"/>
        </w:rPr>
        <w:t xml:space="preserve">A cavalryman named Tacitus dedicated his altar to Mithras which shows that this cult had support among the soldiers in the </w:t>
      </w:r>
      <w:r w:rsidR="00DB12FB">
        <w:rPr>
          <w:rFonts w:ascii="Times New Roman" w:hAnsi="Times New Roman"/>
          <w:sz w:val="24"/>
        </w:rPr>
        <w:lastRenderedPageBreak/>
        <w:t>provinces.</w:t>
      </w:r>
      <w:r w:rsidR="00E04458">
        <w:rPr>
          <w:rStyle w:val="FootnoteReference"/>
          <w:rFonts w:ascii="Times New Roman" w:hAnsi="Times New Roman"/>
          <w:sz w:val="24"/>
        </w:rPr>
        <w:footnoteReference w:id="19"/>
      </w:r>
      <w:r w:rsidR="00DB12FB">
        <w:rPr>
          <w:rFonts w:ascii="Times New Roman" w:hAnsi="Times New Roman"/>
          <w:sz w:val="24"/>
        </w:rPr>
        <w:t xml:space="preserve"> </w:t>
      </w:r>
      <w:r w:rsidR="00575F64">
        <w:rPr>
          <w:rFonts w:ascii="Times New Roman" w:hAnsi="Times New Roman"/>
          <w:sz w:val="24"/>
        </w:rPr>
        <w:t xml:space="preserve">Inscriptions involving the cult can be found in Rome as well with a reference to a Mithraic relief from a poem by Statius in </w:t>
      </w:r>
      <w:r w:rsidR="008C7CAC">
        <w:rPr>
          <w:rFonts w:ascii="Times New Roman" w:hAnsi="Times New Roman"/>
          <w:sz w:val="24"/>
        </w:rPr>
        <w:t>90</w:t>
      </w:r>
      <w:r w:rsidR="00575F64">
        <w:rPr>
          <w:rFonts w:ascii="Times New Roman" w:hAnsi="Times New Roman"/>
          <w:sz w:val="24"/>
        </w:rPr>
        <w:t xml:space="preserve"> AD.</w:t>
      </w:r>
      <w:r w:rsidR="00E04458">
        <w:rPr>
          <w:rStyle w:val="FootnoteReference"/>
          <w:rFonts w:ascii="Times New Roman" w:hAnsi="Times New Roman"/>
          <w:sz w:val="24"/>
        </w:rPr>
        <w:footnoteReference w:id="20"/>
      </w:r>
      <w:r w:rsidR="00575F64">
        <w:rPr>
          <w:rFonts w:ascii="Times New Roman" w:hAnsi="Times New Roman"/>
          <w:sz w:val="24"/>
        </w:rPr>
        <w:t xml:space="preserve"> Other </w:t>
      </w:r>
      <w:r w:rsidR="00CF56C8">
        <w:rPr>
          <w:rFonts w:ascii="Times New Roman" w:hAnsi="Times New Roman"/>
          <w:sz w:val="24"/>
        </w:rPr>
        <w:t>evidence</w:t>
      </w:r>
      <w:r w:rsidR="00575F64">
        <w:rPr>
          <w:rFonts w:ascii="Times New Roman" w:hAnsi="Times New Roman"/>
          <w:sz w:val="24"/>
        </w:rPr>
        <w:t xml:space="preserve"> from the reign of Marcus Aurelius and Commodus </w:t>
      </w:r>
      <w:r w:rsidR="00CF56C8">
        <w:rPr>
          <w:rFonts w:ascii="Times New Roman" w:hAnsi="Times New Roman"/>
          <w:sz w:val="24"/>
        </w:rPr>
        <w:t>come from Mithraea inscriptions dedicated to the health and safety of the emperor.</w:t>
      </w:r>
      <w:r w:rsidR="00E04458">
        <w:rPr>
          <w:rStyle w:val="FootnoteReference"/>
          <w:rFonts w:ascii="Times New Roman" w:hAnsi="Times New Roman"/>
          <w:sz w:val="24"/>
        </w:rPr>
        <w:footnoteReference w:id="21"/>
      </w:r>
      <w:r w:rsidR="00CF56C8">
        <w:rPr>
          <w:rFonts w:ascii="Times New Roman" w:hAnsi="Times New Roman"/>
          <w:sz w:val="24"/>
        </w:rPr>
        <w:t xml:space="preserve"> Overall these two cults show that among other religious groups, this diverse range of cults from abroad and across the empire show that in some cases polis religion cannot be applied to the Roman empire.</w:t>
      </w:r>
    </w:p>
    <w:p w14:paraId="37623C88" w14:textId="5A83312B" w:rsidR="00CF56C8" w:rsidRDefault="00CF56C8" w:rsidP="00332476">
      <w:pPr>
        <w:spacing w:line="360" w:lineRule="auto"/>
        <w:rPr>
          <w:rFonts w:ascii="Times New Roman" w:hAnsi="Times New Roman"/>
          <w:sz w:val="24"/>
        </w:rPr>
      </w:pPr>
      <w:r>
        <w:rPr>
          <w:rFonts w:ascii="Times New Roman" w:hAnsi="Times New Roman"/>
          <w:sz w:val="24"/>
        </w:rPr>
        <w:t>In conclusion, the main case for polis religion being a frequent entity in the Roman empire can be seen in the officials in charge of religious affairs such as the Pontifex Maximus.</w:t>
      </w:r>
      <w:r w:rsidR="00431D3F">
        <w:rPr>
          <w:rStyle w:val="FootnoteReference"/>
          <w:rFonts w:ascii="Times New Roman" w:hAnsi="Times New Roman"/>
          <w:sz w:val="24"/>
        </w:rPr>
        <w:footnoteReference w:id="22"/>
      </w:r>
      <w:r>
        <w:rPr>
          <w:rFonts w:ascii="Times New Roman" w:hAnsi="Times New Roman"/>
          <w:sz w:val="24"/>
        </w:rPr>
        <w:t xml:space="preserve"> </w:t>
      </w:r>
      <w:r w:rsidR="001E675B">
        <w:rPr>
          <w:rFonts w:ascii="Times New Roman" w:hAnsi="Times New Roman"/>
          <w:sz w:val="24"/>
        </w:rPr>
        <w:t>Also,</w:t>
      </w:r>
      <w:r>
        <w:rPr>
          <w:rFonts w:ascii="Times New Roman" w:hAnsi="Times New Roman"/>
          <w:sz w:val="24"/>
        </w:rPr>
        <w:t xml:space="preserve"> the charters detailing organising of spectacles </w:t>
      </w:r>
      <w:r w:rsidR="001E675B">
        <w:rPr>
          <w:rFonts w:ascii="Times New Roman" w:hAnsi="Times New Roman"/>
          <w:sz w:val="24"/>
        </w:rPr>
        <w:t>shows the legal demands concerning the gods.</w:t>
      </w:r>
      <w:r w:rsidR="00431D3F">
        <w:rPr>
          <w:rStyle w:val="FootnoteReference"/>
          <w:rFonts w:ascii="Times New Roman" w:hAnsi="Times New Roman"/>
          <w:sz w:val="24"/>
        </w:rPr>
        <w:footnoteReference w:id="23"/>
      </w:r>
      <w:r w:rsidR="001E675B">
        <w:rPr>
          <w:rFonts w:ascii="Times New Roman" w:hAnsi="Times New Roman"/>
          <w:sz w:val="24"/>
        </w:rPr>
        <w:t xml:space="preserve"> However, </w:t>
      </w:r>
      <w:r w:rsidR="00A8041B">
        <w:rPr>
          <w:rFonts w:ascii="Times New Roman" w:hAnsi="Times New Roman"/>
          <w:sz w:val="24"/>
        </w:rPr>
        <w:t>the influx of cults from abroad</w:t>
      </w:r>
      <w:r w:rsidR="00A44BAC">
        <w:rPr>
          <w:rFonts w:ascii="Times New Roman" w:hAnsi="Times New Roman"/>
          <w:sz w:val="24"/>
        </w:rPr>
        <w:t xml:space="preserve"> such as the cult of Isis and Mithras which</w:t>
      </w:r>
      <w:r w:rsidR="00A8041B">
        <w:rPr>
          <w:rFonts w:ascii="Times New Roman" w:hAnsi="Times New Roman"/>
          <w:sz w:val="24"/>
        </w:rPr>
        <w:t xml:space="preserve"> bec</w:t>
      </w:r>
      <w:r w:rsidR="00A44BAC">
        <w:rPr>
          <w:rFonts w:ascii="Times New Roman" w:hAnsi="Times New Roman"/>
          <w:sz w:val="24"/>
        </w:rPr>
        <w:t>a</w:t>
      </w:r>
      <w:r w:rsidR="00A8041B">
        <w:rPr>
          <w:rFonts w:ascii="Times New Roman" w:hAnsi="Times New Roman"/>
          <w:sz w:val="24"/>
        </w:rPr>
        <w:t>m</w:t>
      </w:r>
      <w:r w:rsidR="00A44BAC">
        <w:rPr>
          <w:rFonts w:ascii="Times New Roman" w:hAnsi="Times New Roman"/>
          <w:sz w:val="24"/>
        </w:rPr>
        <w:t>e</w:t>
      </w:r>
      <w:r w:rsidR="00A8041B">
        <w:rPr>
          <w:rFonts w:ascii="Times New Roman" w:hAnsi="Times New Roman"/>
          <w:sz w:val="24"/>
        </w:rPr>
        <w:t xml:space="preserve"> popular among the people of the provinces and the capital show that the religious affairs of the Roman empire were more diverse than the term polis religion. </w:t>
      </w:r>
    </w:p>
    <w:p w14:paraId="76021563" w14:textId="7C2DA445" w:rsidR="00DD452D" w:rsidRDefault="00DD452D" w:rsidP="00332476">
      <w:pPr>
        <w:spacing w:line="360" w:lineRule="auto"/>
        <w:rPr>
          <w:rFonts w:ascii="Times New Roman" w:hAnsi="Times New Roman"/>
          <w:sz w:val="24"/>
        </w:rPr>
      </w:pPr>
    </w:p>
    <w:p w14:paraId="7E03E426" w14:textId="76547405" w:rsidR="00DD452D" w:rsidRDefault="00DD452D" w:rsidP="00332476">
      <w:pPr>
        <w:spacing w:line="360" w:lineRule="auto"/>
        <w:rPr>
          <w:rFonts w:ascii="Times New Roman" w:hAnsi="Times New Roman"/>
          <w:sz w:val="24"/>
        </w:rPr>
      </w:pPr>
    </w:p>
    <w:p w14:paraId="20F3EB84" w14:textId="489ED8A1" w:rsidR="00DD452D" w:rsidRDefault="00DD452D" w:rsidP="00332476">
      <w:pPr>
        <w:spacing w:line="360" w:lineRule="auto"/>
        <w:rPr>
          <w:rFonts w:ascii="Times New Roman" w:hAnsi="Times New Roman"/>
          <w:sz w:val="24"/>
        </w:rPr>
      </w:pPr>
    </w:p>
    <w:p w14:paraId="10E982BD" w14:textId="694955DD" w:rsidR="00DD452D" w:rsidRDefault="00DD452D" w:rsidP="00332476">
      <w:pPr>
        <w:spacing w:line="360" w:lineRule="auto"/>
        <w:rPr>
          <w:rFonts w:ascii="Times New Roman" w:hAnsi="Times New Roman"/>
          <w:sz w:val="24"/>
        </w:rPr>
      </w:pPr>
    </w:p>
    <w:p w14:paraId="3D6FEAE2" w14:textId="0992B3A6" w:rsidR="00DD452D" w:rsidRDefault="00DD452D" w:rsidP="00332476">
      <w:pPr>
        <w:spacing w:line="360" w:lineRule="auto"/>
        <w:rPr>
          <w:rFonts w:ascii="Times New Roman" w:hAnsi="Times New Roman"/>
          <w:sz w:val="24"/>
        </w:rPr>
      </w:pPr>
    </w:p>
    <w:p w14:paraId="5C02AF16" w14:textId="6E03B947" w:rsidR="00DD452D" w:rsidRDefault="00DD452D" w:rsidP="00332476">
      <w:pPr>
        <w:spacing w:line="360" w:lineRule="auto"/>
        <w:rPr>
          <w:rFonts w:ascii="Times New Roman" w:hAnsi="Times New Roman"/>
          <w:sz w:val="24"/>
        </w:rPr>
      </w:pPr>
    </w:p>
    <w:p w14:paraId="1FE7D447" w14:textId="1BC76875" w:rsidR="00DD452D" w:rsidRDefault="00DD452D" w:rsidP="00332476">
      <w:pPr>
        <w:spacing w:line="360" w:lineRule="auto"/>
        <w:rPr>
          <w:rFonts w:ascii="Times New Roman" w:hAnsi="Times New Roman"/>
          <w:sz w:val="24"/>
        </w:rPr>
      </w:pPr>
    </w:p>
    <w:p w14:paraId="4BFF20FA" w14:textId="15A0F3CF" w:rsidR="00DD452D" w:rsidRDefault="00DD452D" w:rsidP="00332476">
      <w:pPr>
        <w:spacing w:line="360" w:lineRule="auto"/>
        <w:rPr>
          <w:rFonts w:ascii="Times New Roman" w:hAnsi="Times New Roman"/>
          <w:sz w:val="24"/>
        </w:rPr>
      </w:pPr>
    </w:p>
    <w:p w14:paraId="5AB60FA2" w14:textId="1582A5FA" w:rsidR="00DD452D" w:rsidRDefault="00DD452D" w:rsidP="00332476">
      <w:pPr>
        <w:spacing w:line="360" w:lineRule="auto"/>
        <w:rPr>
          <w:rFonts w:ascii="Times New Roman" w:hAnsi="Times New Roman"/>
          <w:sz w:val="24"/>
        </w:rPr>
      </w:pPr>
    </w:p>
    <w:p w14:paraId="50261F6B" w14:textId="61901D2B" w:rsidR="00DD452D" w:rsidRDefault="00DD452D" w:rsidP="00332476">
      <w:pPr>
        <w:spacing w:line="360" w:lineRule="auto"/>
        <w:rPr>
          <w:rFonts w:ascii="Times New Roman" w:hAnsi="Times New Roman"/>
          <w:sz w:val="24"/>
        </w:rPr>
      </w:pPr>
    </w:p>
    <w:p w14:paraId="70BBD788" w14:textId="71485F3C" w:rsidR="00DD452D" w:rsidRDefault="00DD452D" w:rsidP="00332476">
      <w:pPr>
        <w:spacing w:line="360" w:lineRule="auto"/>
        <w:rPr>
          <w:rFonts w:ascii="Times New Roman" w:hAnsi="Times New Roman"/>
          <w:sz w:val="24"/>
        </w:rPr>
      </w:pPr>
    </w:p>
    <w:p w14:paraId="007A711E" w14:textId="74524A29" w:rsidR="00DD452D" w:rsidRDefault="00DD452D" w:rsidP="00332476">
      <w:pPr>
        <w:spacing w:line="360" w:lineRule="auto"/>
        <w:rPr>
          <w:rFonts w:ascii="Times New Roman" w:hAnsi="Times New Roman"/>
          <w:sz w:val="24"/>
        </w:rPr>
      </w:pPr>
    </w:p>
    <w:p w14:paraId="13F404EE" w14:textId="136DCB0C" w:rsidR="00DD452D" w:rsidRDefault="00DD452D" w:rsidP="00332476">
      <w:pPr>
        <w:spacing w:line="360" w:lineRule="auto"/>
        <w:rPr>
          <w:rFonts w:ascii="Times New Roman" w:hAnsi="Times New Roman"/>
          <w:sz w:val="24"/>
        </w:rPr>
      </w:pPr>
    </w:p>
    <w:p w14:paraId="761341C1" w14:textId="75BA4ACC" w:rsidR="00DD452D" w:rsidRDefault="00DD452D" w:rsidP="00DD452D">
      <w:pPr>
        <w:spacing w:line="360" w:lineRule="auto"/>
        <w:jc w:val="center"/>
        <w:rPr>
          <w:rFonts w:ascii="Times New Roman" w:hAnsi="Times New Roman"/>
          <w:b/>
          <w:sz w:val="48"/>
          <w:u w:val="single"/>
        </w:rPr>
      </w:pPr>
      <w:r>
        <w:rPr>
          <w:rFonts w:ascii="Times New Roman" w:hAnsi="Times New Roman"/>
          <w:b/>
          <w:sz w:val="48"/>
          <w:u w:val="single"/>
        </w:rPr>
        <w:lastRenderedPageBreak/>
        <w:t>Bibliography</w:t>
      </w:r>
    </w:p>
    <w:p w14:paraId="06D47763" w14:textId="46578DA4" w:rsidR="00DD452D" w:rsidRDefault="00DD452D" w:rsidP="00DD452D">
      <w:pPr>
        <w:spacing w:line="360" w:lineRule="auto"/>
        <w:rPr>
          <w:rFonts w:ascii="Times New Roman" w:hAnsi="Times New Roman"/>
          <w:sz w:val="32"/>
        </w:rPr>
      </w:pPr>
      <w:r>
        <w:rPr>
          <w:rFonts w:ascii="Times New Roman" w:hAnsi="Times New Roman"/>
          <w:sz w:val="32"/>
        </w:rPr>
        <w:t>Burkert, W. 1985. Greek Religion. Cambridge: Harvard University Press</w:t>
      </w:r>
    </w:p>
    <w:p w14:paraId="27E19D6D" w14:textId="4715B793" w:rsidR="00DD452D" w:rsidRDefault="00DD452D" w:rsidP="00DD452D">
      <w:pPr>
        <w:spacing w:line="360" w:lineRule="auto"/>
        <w:rPr>
          <w:rFonts w:ascii="Times New Roman" w:hAnsi="Times New Roman"/>
          <w:sz w:val="32"/>
        </w:rPr>
      </w:pPr>
      <w:r>
        <w:rPr>
          <w:rFonts w:ascii="Times New Roman" w:hAnsi="Times New Roman"/>
          <w:sz w:val="32"/>
        </w:rPr>
        <w:t>Cumont, F. 1956. Oriental Religions in Roman Paganism. New York: Dover Publications</w:t>
      </w:r>
    </w:p>
    <w:p w14:paraId="27306BE7" w14:textId="02CDEF3E" w:rsidR="00DD452D" w:rsidRDefault="00107FA9" w:rsidP="00DD452D">
      <w:pPr>
        <w:spacing w:line="360" w:lineRule="auto"/>
        <w:rPr>
          <w:rFonts w:ascii="Times New Roman" w:hAnsi="Times New Roman"/>
          <w:sz w:val="32"/>
        </w:rPr>
      </w:pPr>
      <w:r>
        <w:rPr>
          <w:rFonts w:ascii="Times New Roman" w:hAnsi="Times New Roman"/>
          <w:sz w:val="32"/>
        </w:rPr>
        <w:t>Ferguson, J. 1970. The Religions of the Roman Empire. New York: Cornell University Press</w:t>
      </w:r>
    </w:p>
    <w:p w14:paraId="315FDF76" w14:textId="6E3CE79A" w:rsidR="00107FA9" w:rsidRDefault="00107FA9" w:rsidP="00DD452D">
      <w:pPr>
        <w:spacing w:line="360" w:lineRule="auto"/>
        <w:rPr>
          <w:rFonts w:ascii="Times New Roman" w:hAnsi="Times New Roman"/>
          <w:sz w:val="32"/>
        </w:rPr>
      </w:pPr>
      <w:r>
        <w:rPr>
          <w:rFonts w:ascii="Times New Roman" w:hAnsi="Times New Roman"/>
          <w:sz w:val="32"/>
        </w:rPr>
        <w:t>Gordon, R. 2000. The Roman Cult of Mithras: The God and his Mysteries. Edinburgh: Edinburgh University Press</w:t>
      </w:r>
    </w:p>
    <w:p w14:paraId="318DFC27" w14:textId="436A8649" w:rsidR="00107FA9" w:rsidRDefault="00107FA9" w:rsidP="00DD452D">
      <w:pPr>
        <w:spacing w:line="360" w:lineRule="auto"/>
        <w:rPr>
          <w:rFonts w:ascii="Times New Roman" w:hAnsi="Times New Roman"/>
          <w:sz w:val="32"/>
        </w:rPr>
      </w:pPr>
      <w:r>
        <w:rPr>
          <w:rFonts w:ascii="Times New Roman" w:hAnsi="Times New Roman"/>
          <w:sz w:val="32"/>
        </w:rPr>
        <w:t>Ogden, D. 2007. A Companion to Greek Religion. Hoboken: Blackwell Publishing</w:t>
      </w:r>
    </w:p>
    <w:p w14:paraId="68AE7DFA" w14:textId="216D3CA5" w:rsidR="00107FA9" w:rsidRDefault="00107FA9" w:rsidP="00DD452D">
      <w:pPr>
        <w:spacing w:line="360" w:lineRule="auto"/>
        <w:rPr>
          <w:rFonts w:ascii="Times New Roman" w:hAnsi="Times New Roman"/>
          <w:sz w:val="32"/>
        </w:rPr>
      </w:pPr>
      <w:r>
        <w:rPr>
          <w:rFonts w:ascii="Times New Roman" w:hAnsi="Times New Roman"/>
          <w:sz w:val="32"/>
        </w:rPr>
        <w:t>Rupke, J. 2007. A Companion to Roman Religion. Hoboken: Blackwell Publishing</w:t>
      </w:r>
    </w:p>
    <w:p w14:paraId="76BC512B" w14:textId="47F7E494" w:rsidR="00107FA9" w:rsidRDefault="00107FA9" w:rsidP="00DD452D">
      <w:pPr>
        <w:spacing w:line="360" w:lineRule="auto"/>
        <w:rPr>
          <w:rFonts w:ascii="Times New Roman" w:hAnsi="Times New Roman"/>
          <w:sz w:val="32"/>
        </w:rPr>
      </w:pPr>
      <w:r>
        <w:rPr>
          <w:rFonts w:ascii="Times New Roman" w:hAnsi="Times New Roman"/>
          <w:sz w:val="32"/>
        </w:rPr>
        <w:t>Rupke, J. 2014. From Jupiter to Christ: On the History of Religion in the Roman Imperial Period. Oxford: Oxford University Press</w:t>
      </w:r>
    </w:p>
    <w:p w14:paraId="0C08E413" w14:textId="0260C1BE" w:rsidR="00107FA9" w:rsidRDefault="00107FA9" w:rsidP="00DD452D">
      <w:pPr>
        <w:spacing w:line="360" w:lineRule="auto"/>
        <w:rPr>
          <w:rFonts w:ascii="Times New Roman" w:hAnsi="Times New Roman"/>
          <w:sz w:val="32"/>
        </w:rPr>
      </w:pPr>
      <w:r>
        <w:rPr>
          <w:rFonts w:ascii="Times New Roman" w:hAnsi="Times New Roman"/>
          <w:sz w:val="32"/>
        </w:rPr>
        <w:t xml:space="preserve">Warrior, V. M. Roman Religion: A Sourcebook. </w:t>
      </w:r>
      <w:r w:rsidR="008142D6">
        <w:rPr>
          <w:rFonts w:ascii="Times New Roman" w:hAnsi="Times New Roman"/>
          <w:sz w:val="32"/>
        </w:rPr>
        <w:t>Newburyport: Focus Publishing/R. Pullins Company</w:t>
      </w:r>
      <w:bookmarkStart w:id="1" w:name="_GoBack"/>
      <w:bookmarkEnd w:id="1"/>
    </w:p>
    <w:p w14:paraId="54F55A5B" w14:textId="77777777" w:rsidR="008142D6" w:rsidRPr="00DD452D" w:rsidRDefault="008142D6" w:rsidP="00DD452D">
      <w:pPr>
        <w:spacing w:line="360" w:lineRule="auto"/>
        <w:rPr>
          <w:rFonts w:ascii="Times New Roman" w:hAnsi="Times New Roman"/>
          <w:sz w:val="32"/>
        </w:rPr>
      </w:pPr>
    </w:p>
    <w:sectPr w:rsidR="008142D6" w:rsidRPr="00DD452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DE12F" w14:textId="77777777" w:rsidR="00CF131E" w:rsidRDefault="00CF131E" w:rsidP="00332476">
      <w:pPr>
        <w:spacing w:after="0" w:line="240" w:lineRule="auto"/>
      </w:pPr>
      <w:r>
        <w:separator/>
      </w:r>
    </w:p>
  </w:endnote>
  <w:endnote w:type="continuationSeparator" w:id="0">
    <w:p w14:paraId="18F324B6" w14:textId="77777777" w:rsidR="00CF131E" w:rsidRDefault="00CF131E" w:rsidP="00332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0251108"/>
      <w:docPartObj>
        <w:docPartGallery w:val="Page Numbers (Bottom of Page)"/>
        <w:docPartUnique/>
      </w:docPartObj>
    </w:sdtPr>
    <w:sdtEndPr>
      <w:rPr>
        <w:noProof/>
      </w:rPr>
    </w:sdtEndPr>
    <w:sdtContent>
      <w:p w14:paraId="0EC4E2F1" w14:textId="4B2869C2" w:rsidR="00332476" w:rsidRDefault="00332476">
        <w:pPr>
          <w:pStyle w:val="Footer"/>
          <w:jc w:val="center"/>
        </w:pPr>
        <w:r>
          <w:fldChar w:fldCharType="begin"/>
        </w:r>
        <w:r>
          <w:instrText xml:space="preserve"> PAGE   \* MERGEFORMAT </w:instrText>
        </w:r>
        <w:r>
          <w:fldChar w:fldCharType="separate"/>
        </w:r>
        <w:r w:rsidR="00550A60">
          <w:rPr>
            <w:noProof/>
          </w:rPr>
          <w:t>2</w:t>
        </w:r>
        <w:r>
          <w:rPr>
            <w:noProof/>
          </w:rPr>
          <w:fldChar w:fldCharType="end"/>
        </w:r>
      </w:p>
    </w:sdtContent>
  </w:sdt>
  <w:p w14:paraId="102220F6" w14:textId="77777777" w:rsidR="00332476" w:rsidRDefault="00332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26ECE2" w14:textId="77777777" w:rsidR="00CF131E" w:rsidRDefault="00CF131E" w:rsidP="00332476">
      <w:pPr>
        <w:spacing w:after="0" w:line="240" w:lineRule="auto"/>
      </w:pPr>
      <w:r>
        <w:separator/>
      </w:r>
    </w:p>
  </w:footnote>
  <w:footnote w:type="continuationSeparator" w:id="0">
    <w:p w14:paraId="1E024E8A" w14:textId="77777777" w:rsidR="00CF131E" w:rsidRDefault="00CF131E" w:rsidP="00332476">
      <w:pPr>
        <w:spacing w:after="0" w:line="240" w:lineRule="auto"/>
      </w:pPr>
      <w:r>
        <w:continuationSeparator/>
      </w:r>
    </w:p>
  </w:footnote>
  <w:footnote w:id="1">
    <w:p w14:paraId="5D0026DC" w14:textId="0AAEC58C" w:rsidR="001F3E22" w:rsidRPr="00687E1F" w:rsidRDefault="001F3E22">
      <w:pPr>
        <w:pStyle w:val="FootnoteText"/>
        <w:rPr>
          <w:rFonts w:ascii="Times New Roman" w:hAnsi="Times New Roman" w:cs="Times New Roman"/>
        </w:rPr>
      </w:pPr>
      <w:r>
        <w:rPr>
          <w:rStyle w:val="FootnoteReference"/>
        </w:rPr>
        <w:footnoteRef/>
      </w:r>
      <w:r>
        <w:t xml:space="preserve"> </w:t>
      </w:r>
      <w:r w:rsidR="002B1C42">
        <w:rPr>
          <w:rFonts w:ascii="Times New Roman" w:hAnsi="Times New Roman" w:cs="Times New Roman"/>
        </w:rPr>
        <w:t>Burkert 1985: 333</w:t>
      </w:r>
    </w:p>
  </w:footnote>
  <w:footnote w:id="2">
    <w:p w14:paraId="5DF89F36" w14:textId="5DBA30C1" w:rsidR="002B1C42" w:rsidRDefault="002B1C42">
      <w:pPr>
        <w:pStyle w:val="FootnoteText"/>
      </w:pPr>
      <w:r>
        <w:rPr>
          <w:rStyle w:val="FootnoteReference"/>
        </w:rPr>
        <w:footnoteRef/>
      </w:r>
      <w:r>
        <w:t xml:space="preserve"> </w:t>
      </w:r>
      <w:r>
        <w:rPr>
          <w:rFonts w:ascii="Times New Roman" w:hAnsi="Times New Roman" w:cs="Times New Roman"/>
        </w:rPr>
        <w:t>Burkert 1985: 333</w:t>
      </w:r>
    </w:p>
  </w:footnote>
  <w:footnote w:id="3">
    <w:p w14:paraId="2327DAA0" w14:textId="3A98AE0D" w:rsidR="00A90564" w:rsidRDefault="00A90564">
      <w:pPr>
        <w:pStyle w:val="FootnoteText"/>
      </w:pPr>
      <w:r>
        <w:rPr>
          <w:rStyle w:val="FootnoteReference"/>
        </w:rPr>
        <w:footnoteRef/>
      </w:r>
      <w:r>
        <w:t xml:space="preserve"> </w:t>
      </w:r>
      <w:r>
        <w:rPr>
          <w:rFonts w:ascii="Times New Roman" w:hAnsi="Times New Roman" w:cs="Times New Roman"/>
        </w:rPr>
        <w:t>Burkert 1985: 333</w:t>
      </w:r>
    </w:p>
  </w:footnote>
  <w:footnote w:id="4">
    <w:p w14:paraId="2FBF0D5D" w14:textId="54A85ADE" w:rsidR="00A90564" w:rsidRPr="00551F64" w:rsidRDefault="00A90564">
      <w:pPr>
        <w:pStyle w:val="FootnoteText"/>
        <w:rPr>
          <w:rFonts w:ascii="Times New Roman" w:hAnsi="Times New Roman" w:cs="Times New Roman"/>
        </w:rPr>
      </w:pPr>
      <w:r>
        <w:rPr>
          <w:rStyle w:val="FootnoteReference"/>
        </w:rPr>
        <w:footnoteRef/>
      </w:r>
      <w:r>
        <w:t xml:space="preserve"> </w:t>
      </w:r>
      <w:bookmarkStart w:id="0" w:name="_Hlk509773983"/>
      <w:r w:rsidR="00980035">
        <w:rPr>
          <w:rFonts w:ascii="Times New Roman" w:hAnsi="Times New Roman" w:cs="Times New Roman"/>
        </w:rPr>
        <w:t xml:space="preserve">Rupke 2007: </w:t>
      </w:r>
      <w:bookmarkEnd w:id="0"/>
      <w:r w:rsidR="00980035">
        <w:rPr>
          <w:rFonts w:ascii="Times New Roman" w:hAnsi="Times New Roman" w:cs="Times New Roman"/>
        </w:rPr>
        <w:t>71-83</w:t>
      </w:r>
      <w:r w:rsidR="002E3565">
        <w:rPr>
          <w:rFonts w:ascii="Times New Roman" w:hAnsi="Times New Roman" w:cs="Times New Roman"/>
        </w:rPr>
        <w:t xml:space="preserve"> </w:t>
      </w:r>
      <w:r w:rsidR="00980035">
        <w:rPr>
          <w:rFonts w:ascii="Times New Roman" w:hAnsi="Times New Roman" w:cs="Times New Roman"/>
        </w:rPr>
        <w:t xml:space="preserve"> </w:t>
      </w:r>
    </w:p>
  </w:footnote>
  <w:footnote w:id="5">
    <w:p w14:paraId="6A5583C4" w14:textId="151C3B38" w:rsidR="00980035" w:rsidRDefault="00980035">
      <w:pPr>
        <w:pStyle w:val="FootnoteText"/>
      </w:pPr>
      <w:r>
        <w:rPr>
          <w:rStyle w:val="FootnoteReference"/>
        </w:rPr>
        <w:footnoteRef/>
      </w:r>
      <w:r>
        <w:t xml:space="preserve"> </w:t>
      </w:r>
      <w:r>
        <w:rPr>
          <w:rFonts w:ascii="Times New Roman" w:hAnsi="Times New Roman" w:cs="Times New Roman"/>
        </w:rPr>
        <w:t>Rupke 2007: 39</w:t>
      </w:r>
    </w:p>
  </w:footnote>
  <w:footnote w:id="6">
    <w:p w14:paraId="05910598" w14:textId="06B59ABA" w:rsidR="00980035" w:rsidRPr="00980035" w:rsidRDefault="0098003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Ogden 2007: 186</w:t>
      </w:r>
    </w:p>
  </w:footnote>
  <w:footnote w:id="7">
    <w:p w14:paraId="3C4A8A81" w14:textId="0BB7A1FA" w:rsidR="00980035" w:rsidRDefault="00980035">
      <w:pPr>
        <w:pStyle w:val="FootnoteText"/>
      </w:pPr>
      <w:r>
        <w:rPr>
          <w:rStyle w:val="FootnoteReference"/>
        </w:rPr>
        <w:footnoteRef/>
      </w:r>
      <w:r>
        <w:t xml:space="preserve"> </w:t>
      </w:r>
      <w:r>
        <w:rPr>
          <w:rFonts w:ascii="Times New Roman" w:hAnsi="Times New Roman" w:cs="Times New Roman"/>
        </w:rPr>
        <w:t>Ogden 2007: 224</w:t>
      </w:r>
    </w:p>
  </w:footnote>
  <w:footnote w:id="8">
    <w:p w14:paraId="641381FB" w14:textId="726CD7F2" w:rsidR="002E3565" w:rsidRDefault="002E3565">
      <w:pPr>
        <w:pStyle w:val="FootnoteText"/>
      </w:pPr>
      <w:r>
        <w:rPr>
          <w:rStyle w:val="FootnoteReference"/>
        </w:rPr>
        <w:footnoteRef/>
      </w:r>
      <w:r>
        <w:t xml:space="preserve"> </w:t>
      </w:r>
      <w:r>
        <w:rPr>
          <w:rFonts w:ascii="Times New Roman" w:hAnsi="Times New Roman" w:cs="Times New Roman"/>
        </w:rPr>
        <w:t>Ogden 2007: 224</w:t>
      </w:r>
    </w:p>
  </w:footnote>
  <w:footnote w:id="9">
    <w:p w14:paraId="6855A706" w14:textId="47788178" w:rsidR="002E3565" w:rsidRDefault="002E3565">
      <w:pPr>
        <w:pStyle w:val="FootnoteText"/>
      </w:pPr>
      <w:r>
        <w:rPr>
          <w:rStyle w:val="FootnoteReference"/>
        </w:rPr>
        <w:footnoteRef/>
      </w:r>
      <w:r>
        <w:t xml:space="preserve"> </w:t>
      </w:r>
      <w:r>
        <w:rPr>
          <w:rFonts w:ascii="Times New Roman" w:hAnsi="Times New Roman" w:cs="Times New Roman"/>
        </w:rPr>
        <w:t>Ogden 2007: 185-186</w:t>
      </w:r>
    </w:p>
  </w:footnote>
  <w:footnote w:id="10">
    <w:p w14:paraId="613A9AC6" w14:textId="25CEE03B" w:rsidR="00872B84" w:rsidRPr="00872B84" w:rsidRDefault="00872B8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Warrior 2002: 44</w:t>
      </w:r>
    </w:p>
  </w:footnote>
  <w:footnote w:id="11">
    <w:p w14:paraId="5F91FDEC" w14:textId="2D21A846" w:rsidR="002E3565" w:rsidRPr="002E3565" w:rsidRDefault="002E356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Rupke 2014: 113-136</w:t>
      </w:r>
    </w:p>
  </w:footnote>
  <w:footnote w:id="12">
    <w:p w14:paraId="0783C7AD" w14:textId="1D408F69" w:rsidR="002E3565" w:rsidRDefault="002E3565">
      <w:pPr>
        <w:pStyle w:val="FootnoteText"/>
      </w:pPr>
      <w:r>
        <w:rPr>
          <w:rStyle w:val="FootnoteReference"/>
        </w:rPr>
        <w:footnoteRef/>
      </w:r>
      <w:r>
        <w:t xml:space="preserve"> </w:t>
      </w:r>
      <w:r>
        <w:rPr>
          <w:rFonts w:ascii="Times New Roman" w:hAnsi="Times New Roman" w:cs="Times New Roman"/>
        </w:rPr>
        <w:t>Rupke 2014: 125</w:t>
      </w:r>
    </w:p>
  </w:footnote>
  <w:footnote w:id="13">
    <w:p w14:paraId="08B153F5" w14:textId="5E1F7CC8" w:rsidR="00872B84" w:rsidRDefault="00872B84">
      <w:pPr>
        <w:pStyle w:val="FootnoteText"/>
      </w:pPr>
      <w:r>
        <w:rPr>
          <w:rStyle w:val="FootnoteReference"/>
        </w:rPr>
        <w:footnoteRef/>
      </w:r>
      <w:r>
        <w:t xml:space="preserve"> </w:t>
      </w:r>
      <w:r>
        <w:rPr>
          <w:rFonts w:ascii="Times New Roman" w:hAnsi="Times New Roman" w:cs="Times New Roman"/>
        </w:rPr>
        <w:t>Rupke 2014: 125</w:t>
      </w:r>
    </w:p>
  </w:footnote>
  <w:footnote w:id="14">
    <w:p w14:paraId="7F12D4D0" w14:textId="403D5150" w:rsidR="00872B84" w:rsidRPr="00872B84" w:rsidRDefault="00872B8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Cumont 1956: 22</w:t>
      </w:r>
    </w:p>
  </w:footnote>
  <w:footnote w:id="15">
    <w:p w14:paraId="466F2C27" w14:textId="543F8EFA" w:rsidR="00872B84" w:rsidRDefault="00872B84">
      <w:pPr>
        <w:pStyle w:val="FootnoteText"/>
      </w:pPr>
      <w:r>
        <w:rPr>
          <w:rStyle w:val="FootnoteReference"/>
        </w:rPr>
        <w:footnoteRef/>
      </w:r>
      <w:r>
        <w:t xml:space="preserve"> </w:t>
      </w:r>
      <w:r w:rsidR="00E728E9" w:rsidRPr="00E728E9">
        <w:rPr>
          <w:rFonts w:ascii="Times New Roman" w:hAnsi="Times New Roman" w:cs="Times New Roman"/>
        </w:rPr>
        <w:t>Ferguson 1970: 36</w:t>
      </w:r>
    </w:p>
  </w:footnote>
  <w:footnote w:id="16">
    <w:p w14:paraId="77E76849" w14:textId="7DB96C31" w:rsidR="00E728E9" w:rsidRDefault="00E728E9">
      <w:pPr>
        <w:pStyle w:val="FootnoteText"/>
      </w:pPr>
      <w:r>
        <w:rPr>
          <w:rStyle w:val="FootnoteReference"/>
        </w:rPr>
        <w:footnoteRef/>
      </w:r>
      <w:r>
        <w:t xml:space="preserve"> </w:t>
      </w:r>
      <w:r>
        <w:rPr>
          <w:rFonts w:ascii="Times New Roman" w:hAnsi="Times New Roman" w:cs="Times New Roman"/>
        </w:rPr>
        <w:t>Cumont 1956: 84</w:t>
      </w:r>
    </w:p>
  </w:footnote>
  <w:footnote w:id="17">
    <w:p w14:paraId="226BC339" w14:textId="3E832D1D" w:rsidR="00E728E9" w:rsidRDefault="00E728E9">
      <w:pPr>
        <w:pStyle w:val="FootnoteText"/>
      </w:pPr>
      <w:r>
        <w:rPr>
          <w:rStyle w:val="FootnoteReference"/>
        </w:rPr>
        <w:footnoteRef/>
      </w:r>
      <w:r>
        <w:t xml:space="preserve"> </w:t>
      </w:r>
      <w:r>
        <w:rPr>
          <w:rFonts w:ascii="Times New Roman" w:hAnsi="Times New Roman" w:cs="Times New Roman"/>
        </w:rPr>
        <w:t>Cumont 1956: 84</w:t>
      </w:r>
    </w:p>
  </w:footnote>
  <w:footnote w:id="18">
    <w:p w14:paraId="00173B5E" w14:textId="163F458B" w:rsidR="00E728E9" w:rsidRPr="00CD050C" w:rsidRDefault="00E728E9">
      <w:pPr>
        <w:pStyle w:val="FootnoteText"/>
        <w:rPr>
          <w:rFonts w:ascii="Times New Roman" w:hAnsi="Times New Roman" w:cs="Times New Roman"/>
        </w:rPr>
      </w:pPr>
      <w:r>
        <w:rPr>
          <w:rStyle w:val="FootnoteReference"/>
        </w:rPr>
        <w:footnoteRef/>
      </w:r>
      <w:r>
        <w:t xml:space="preserve"> </w:t>
      </w:r>
      <w:r w:rsidR="00E04458">
        <w:rPr>
          <w:rFonts w:ascii="Times New Roman" w:hAnsi="Times New Roman" w:cs="Times New Roman"/>
        </w:rPr>
        <w:t>Gordon 2000: 21</w:t>
      </w:r>
    </w:p>
  </w:footnote>
  <w:footnote w:id="19">
    <w:p w14:paraId="6C2E9DAE" w14:textId="1FC8F4C5" w:rsidR="00E04458" w:rsidRDefault="00E04458">
      <w:pPr>
        <w:pStyle w:val="FootnoteText"/>
      </w:pPr>
      <w:r>
        <w:rPr>
          <w:rStyle w:val="FootnoteReference"/>
        </w:rPr>
        <w:footnoteRef/>
      </w:r>
      <w:r>
        <w:t xml:space="preserve"> </w:t>
      </w:r>
      <w:r>
        <w:rPr>
          <w:rFonts w:ascii="Times New Roman" w:hAnsi="Times New Roman" w:cs="Times New Roman"/>
        </w:rPr>
        <w:t>Gordon 2000: 21</w:t>
      </w:r>
    </w:p>
  </w:footnote>
  <w:footnote w:id="20">
    <w:p w14:paraId="1D226583" w14:textId="1DD02EC2" w:rsidR="00E04458" w:rsidRDefault="00E04458">
      <w:pPr>
        <w:pStyle w:val="FootnoteText"/>
      </w:pPr>
      <w:r>
        <w:rPr>
          <w:rStyle w:val="FootnoteReference"/>
        </w:rPr>
        <w:footnoteRef/>
      </w:r>
      <w:r>
        <w:t xml:space="preserve"> </w:t>
      </w:r>
      <w:r>
        <w:rPr>
          <w:rFonts w:ascii="Times New Roman" w:hAnsi="Times New Roman" w:cs="Times New Roman"/>
        </w:rPr>
        <w:t>Gordon 2000: 22</w:t>
      </w:r>
    </w:p>
  </w:footnote>
  <w:footnote w:id="21">
    <w:p w14:paraId="1BC091E4" w14:textId="1079C89C" w:rsidR="00E04458" w:rsidRDefault="00E04458">
      <w:pPr>
        <w:pStyle w:val="FootnoteText"/>
      </w:pPr>
      <w:r>
        <w:rPr>
          <w:rStyle w:val="FootnoteReference"/>
        </w:rPr>
        <w:footnoteRef/>
      </w:r>
      <w:r>
        <w:t xml:space="preserve"> </w:t>
      </w:r>
      <w:r>
        <w:rPr>
          <w:rFonts w:ascii="Times New Roman" w:hAnsi="Times New Roman" w:cs="Times New Roman"/>
        </w:rPr>
        <w:t>Gordon 2000: 23</w:t>
      </w:r>
    </w:p>
  </w:footnote>
  <w:footnote w:id="22">
    <w:p w14:paraId="649163F0" w14:textId="5BB3D341" w:rsidR="00431D3F" w:rsidRDefault="00431D3F">
      <w:pPr>
        <w:pStyle w:val="FootnoteText"/>
      </w:pPr>
      <w:r>
        <w:rPr>
          <w:rStyle w:val="FootnoteReference"/>
        </w:rPr>
        <w:footnoteRef/>
      </w:r>
      <w:r>
        <w:t xml:space="preserve"> </w:t>
      </w:r>
      <w:r>
        <w:rPr>
          <w:rFonts w:ascii="Times New Roman" w:hAnsi="Times New Roman" w:cs="Times New Roman"/>
        </w:rPr>
        <w:t>Rupke 2007: 39</w:t>
      </w:r>
    </w:p>
  </w:footnote>
  <w:footnote w:id="23">
    <w:p w14:paraId="00FBE88B" w14:textId="652EA5B1" w:rsidR="00431D3F" w:rsidRDefault="00431D3F">
      <w:pPr>
        <w:pStyle w:val="FootnoteText"/>
      </w:pPr>
      <w:r>
        <w:rPr>
          <w:rStyle w:val="FootnoteReference"/>
        </w:rPr>
        <w:footnoteRef/>
      </w:r>
      <w:r>
        <w:t xml:space="preserve"> </w:t>
      </w:r>
      <w:r>
        <w:rPr>
          <w:rFonts w:ascii="Times New Roman" w:hAnsi="Times New Roman" w:cs="Times New Roman"/>
        </w:rPr>
        <w:t>Rupke 2014: 125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84EC9"/>
    <w:rsid w:val="00005D19"/>
    <w:rsid w:val="0003496E"/>
    <w:rsid w:val="000F3E57"/>
    <w:rsid w:val="000F4A2B"/>
    <w:rsid w:val="00107FA9"/>
    <w:rsid w:val="001155C6"/>
    <w:rsid w:val="00176E87"/>
    <w:rsid w:val="00191FCD"/>
    <w:rsid w:val="001E675B"/>
    <w:rsid w:val="001F3E22"/>
    <w:rsid w:val="00224489"/>
    <w:rsid w:val="002431CF"/>
    <w:rsid w:val="002B1C42"/>
    <w:rsid w:val="002E3565"/>
    <w:rsid w:val="0032432D"/>
    <w:rsid w:val="00332476"/>
    <w:rsid w:val="00373696"/>
    <w:rsid w:val="003D7053"/>
    <w:rsid w:val="004001DA"/>
    <w:rsid w:val="004031F3"/>
    <w:rsid w:val="00431D3F"/>
    <w:rsid w:val="004E5B7B"/>
    <w:rsid w:val="004F1F9C"/>
    <w:rsid w:val="00515FB0"/>
    <w:rsid w:val="005236CA"/>
    <w:rsid w:val="00550A60"/>
    <w:rsid w:val="00551F64"/>
    <w:rsid w:val="00575F64"/>
    <w:rsid w:val="005B3BA0"/>
    <w:rsid w:val="005C0BBB"/>
    <w:rsid w:val="00633820"/>
    <w:rsid w:val="006438BD"/>
    <w:rsid w:val="00687E1F"/>
    <w:rsid w:val="006D0BCA"/>
    <w:rsid w:val="006D2B99"/>
    <w:rsid w:val="00784EC9"/>
    <w:rsid w:val="00795024"/>
    <w:rsid w:val="00797361"/>
    <w:rsid w:val="007C64AF"/>
    <w:rsid w:val="007E0212"/>
    <w:rsid w:val="007E45EF"/>
    <w:rsid w:val="007E6CF3"/>
    <w:rsid w:val="008142D6"/>
    <w:rsid w:val="0082088E"/>
    <w:rsid w:val="00852B1C"/>
    <w:rsid w:val="00872B84"/>
    <w:rsid w:val="008B77CF"/>
    <w:rsid w:val="008C7CAC"/>
    <w:rsid w:val="008E29F7"/>
    <w:rsid w:val="00931434"/>
    <w:rsid w:val="009608B8"/>
    <w:rsid w:val="00980035"/>
    <w:rsid w:val="009C4460"/>
    <w:rsid w:val="009F3EBD"/>
    <w:rsid w:val="009F6E3A"/>
    <w:rsid w:val="00A05517"/>
    <w:rsid w:val="00A06A0F"/>
    <w:rsid w:val="00A44BAC"/>
    <w:rsid w:val="00A8041B"/>
    <w:rsid w:val="00A85197"/>
    <w:rsid w:val="00A85F5B"/>
    <w:rsid w:val="00A90564"/>
    <w:rsid w:val="00A972F3"/>
    <w:rsid w:val="00AD5E99"/>
    <w:rsid w:val="00B02B59"/>
    <w:rsid w:val="00B33AE1"/>
    <w:rsid w:val="00BF3CA8"/>
    <w:rsid w:val="00C00980"/>
    <w:rsid w:val="00CB3FF7"/>
    <w:rsid w:val="00CC45D7"/>
    <w:rsid w:val="00CD050C"/>
    <w:rsid w:val="00CF131E"/>
    <w:rsid w:val="00CF4F1A"/>
    <w:rsid w:val="00CF56C8"/>
    <w:rsid w:val="00D50885"/>
    <w:rsid w:val="00D56626"/>
    <w:rsid w:val="00D8742D"/>
    <w:rsid w:val="00DB12FB"/>
    <w:rsid w:val="00DD452D"/>
    <w:rsid w:val="00E0435C"/>
    <w:rsid w:val="00E04458"/>
    <w:rsid w:val="00E16946"/>
    <w:rsid w:val="00E728E9"/>
    <w:rsid w:val="00E86691"/>
    <w:rsid w:val="00E91285"/>
    <w:rsid w:val="00F44419"/>
    <w:rsid w:val="00F704FB"/>
    <w:rsid w:val="00FE0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FD219"/>
  <w15:docId w15:val="{7CFD7F0A-25CA-484D-9763-79FDA3A9B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2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476"/>
  </w:style>
  <w:style w:type="paragraph" w:styleId="Footer">
    <w:name w:val="footer"/>
    <w:basedOn w:val="Normal"/>
    <w:link w:val="FooterChar"/>
    <w:uiPriority w:val="99"/>
    <w:unhideWhenUsed/>
    <w:rsid w:val="00332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476"/>
  </w:style>
  <w:style w:type="character" w:styleId="CommentReference">
    <w:name w:val="annotation reference"/>
    <w:basedOn w:val="DefaultParagraphFont"/>
    <w:uiPriority w:val="99"/>
    <w:semiHidden/>
    <w:unhideWhenUsed/>
    <w:rsid w:val="00332476"/>
    <w:rPr>
      <w:sz w:val="16"/>
      <w:szCs w:val="16"/>
    </w:rPr>
  </w:style>
  <w:style w:type="paragraph" w:styleId="CommentText">
    <w:name w:val="annotation text"/>
    <w:basedOn w:val="Normal"/>
    <w:link w:val="CommentTextChar"/>
    <w:uiPriority w:val="99"/>
    <w:semiHidden/>
    <w:unhideWhenUsed/>
    <w:rsid w:val="00332476"/>
    <w:pPr>
      <w:spacing w:line="240" w:lineRule="auto"/>
    </w:pPr>
    <w:rPr>
      <w:sz w:val="20"/>
      <w:szCs w:val="20"/>
    </w:rPr>
  </w:style>
  <w:style w:type="character" w:customStyle="1" w:styleId="CommentTextChar">
    <w:name w:val="Comment Text Char"/>
    <w:basedOn w:val="DefaultParagraphFont"/>
    <w:link w:val="CommentText"/>
    <w:uiPriority w:val="99"/>
    <w:semiHidden/>
    <w:rsid w:val="00332476"/>
    <w:rPr>
      <w:sz w:val="20"/>
      <w:szCs w:val="20"/>
    </w:rPr>
  </w:style>
  <w:style w:type="paragraph" w:styleId="CommentSubject">
    <w:name w:val="annotation subject"/>
    <w:basedOn w:val="CommentText"/>
    <w:next w:val="CommentText"/>
    <w:link w:val="CommentSubjectChar"/>
    <w:uiPriority w:val="99"/>
    <w:semiHidden/>
    <w:unhideWhenUsed/>
    <w:rsid w:val="00332476"/>
    <w:rPr>
      <w:b/>
      <w:bCs/>
    </w:rPr>
  </w:style>
  <w:style w:type="character" w:customStyle="1" w:styleId="CommentSubjectChar">
    <w:name w:val="Comment Subject Char"/>
    <w:basedOn w:val="CommentTextChar"/>
    <w:link w:val="CommentSubject"/>
    <w:uiPriority w:val="99"/>
    <w:semiHidden/>
    <w:rsid w:val="00332476"/>
    <w:rPr>
      <w:b/>
      <w:bCs/>
      <w:sz w:val="20"/>
      <w:szCs w:val="20"/>
    </w:rPr>
  </w:style>
  <w:style w:type="paragraph" w:styleId="BalloonText">
    <w:name w:val="Balloon Text"/>
    <w:basedOn w:val="Normal"/>
    <w:link w:val="BalloonTextChar"/>
    <w:uiPriority w:val="99"/>
    <w:semiHidden/>
    <w:unhideWhenUsed/>
    <w:rsid w:val="003324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2476"/>
    <w:rPr>
      <w:rFonts w:ascii="Tahoma" w:hAnsi="Tahoma" w:cs="Tahoma"/>
      <w:sz w:val="16"/>
      <w:szCs w:val="16"/>
    </w:rPr>
  </w:style>
  <w:style w:type="paragraph" w:styleId="FootnoteText">
    <w:name w:val="footnote text"/>
    <w:basedOn w:val="Normal"/>
    <w:link w:val="FootnoteTextChar"/>
    <w:uiPriority w:val="99"/>
    <w:semiHidden/>
    <w:unhideWhenUsed/>
    <w:rsid w:val="001F3E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3E22"/>
    <w:rPr>
      <w:sz w:val="20"/>
      <w:szCs w:val="20"/>
    </w:rPr>
  </w:style>
  <w:style w:type="character" w:styleId="FootnoteReference">
    <w:name w:val="footnote reference"/>
    <w:basedOn w:val="DefaultParagraphFont"/>
    <w:uiPriority w:val="99"/>
    <w:semiHidden/>
    <w:unhideWhenUsed/>
    <w:rsid w:val="001F3E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7C17A-A109-436F-A26E-3143A4784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4</Pages>
  <Words>891</Words>
  <Characters>5083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SPUD</dc:creator>
  <cp:lastModifiedBy>SPUD</cp:lastModifiedBy>
  <cp:revision>9</cp:revision>
  <dcterms:created xsi:type="dcterms:W3CDTF">2018-03-23T13:00:00Z</dcterms:created>
  <dcterms:modified xsi:type="dcterms:W3CDTF">2018-03-25T21:38:00Z</dcterms:modified>
</cp:coreProperties>
</file>