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50578C" w14:textId="71D5FA23" w:rsidR="009C6AE6" w:rsidRDefault="009C6AE6" w:rsidP="009C6AE6">
      <w:pPr>
        <w:pStyle w:val="Title"/>
        <w:spacing w:line="360" w:lineRule="auto"/>
        <w:jc w:val="center"/>
        <w:rPr>
          <w:rFonts w:cs="Arial"/>
        </w:rPr>
      </w:pPr>
      <w:bookmarkStart w:id="0" w:name="_Hlk237513574"/>
      <w:r>
        <w:rPr>
          <w:noProof/>
          <w:sz w:val="20"/>
        </w:rPr>
        <w:drawing>
          <wp:inline distT="0" distB="0" distL="0" distR="0" wp14:anchorId="25BC7075" wp14:editId="4932FCB0">
            <wp:extent cx="1816607" cy="637031"/>
            <wp:effectExtent l="0" t="0" r="0" b="0"/>
            <wp:docPr id="240834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cstate="print"/>
                    <a:stretch>
                      <a:fillRect/>
                    </a:stretch>
                  </pic:blipFill>
                  <pic:spPr>
                    <a:xfrm>
                      <a:off x="0" y="0"/>
                      <a:ext cx="1816607" cy="637031"/>
                    </a:xfrm>
                    <a:prstGeom prst="rect">
                      <a:avLst/>
                    </a:prstGeom>
                  </pic:spPr>
                </pic:pic>
              </a:graphicData>
            </a:graphic>
          </wp:inline>
        </w:drawing>
      </w:r>
    </w:p>
    <w:p w14:paraId="623B7158" w14:textId="77777777" w:rsidR="009C6AE6" w:rsidRDefault="009C6AE6" w:rsidP="009C6AE6">
      <w:pPr>
        <w:pStyle w:val="Title"/>
        <w:spacing w:line="360" w:lineRule="auto"/>
        <w:jc w:val="center"/>
        <w:rPr>
          <w:b/>
          <w:sz w:val="22"/>
        </w:rPr>
      </w:pPr>
    </w:p>
    <w:p w14:paraId="68DECDFC" w14:textId="77777777" w:rsidR="009C6AE6" w:rsidRPr="009C6AE6" w:rsidRDefault="009C6AE6" w:rsidP="009C6AE6">
      <w:pPr>
        <w:pStyle w:val="Title"/>
        <w:spacing w:line="360" w:lineRule="auto"/>
        <w:jc w:val="center"/>
        <w:rPr>
          <w:sz w:val="40"/>
          <w:szCs w:val="40"/>
        </w:rPr>
      </w:pPr>
      <w:r w:rsidRPr="009C6AE6">
        <w:rPr>
          <w:rFonts w:eastAsia="Arial"/>
          <w:sz w:val="40"/>
          <w:szCs w:val="40"/>
        </w:rPr>
        <w:t>InterContinental Hotels Group PLC</w:t>
      </w:r>
    </w:p>
    <w:p w14:paraId="46913C13" w14:textId="77777777" w:rsidR="009C6AE6" w:rsidRPr="009C6AE6" w:rsidRDefault="009C6AE6" w:rsidP="009C6AE6">
      <w:pPr>
        <w:pStyle w:val="Title"/>
        <w:spacing w:line="360" w:lineRule="auto"/>
        <w:jc w:val="center"/>
        <w:rPr>
          <w:sz w:val="40"/>
          <w:szCs w:val="40"/>
        </w:rPr>
      </w:pPr>
      <w:r w:rsidRPr="009C6AE6">
        <w:rPr>
          <w:rFonts w:eastAsia="Arial"/>
          <w:color w:val="444444"/>
          <w:sz w:val="40"/>
          <w:szCs w:val="40"/>
        </w:rPr>
        <w:t>Key Financial Ratios — Investment &amp; Cash Flow Analysis</w:t>
      </w:r>
    </w:p>
    <w:p w14:paraId="4CBA8496" w14:textId="77777777" w:rsidR="009C6AE6" w:rsidRPr="009C6AE6" w:rsidRDefault="009C6AE6" w:rsidP="009C6AE6">
      <w:pPr>
        <w:pStyle w:val="Title"/>
        <w:spacing w:line="360" w:lineRule="auto"/>
        <w:jc w:val="center"/>
        <w:rPr>
          <w:rFonts w:eastAsia="Arial"/>
          <w:i/>
          <w:iCs/>
          <w:color w:val="595959"/>
          <w:sz w:val="40"/>
          <w:szCs w:val="40"/>
        </w:rPr>
      </w:pPr>
      <w:r w:rsidRPr="009C6AE6">
        <w:rPr>
          <w:rFonts w:eastAsia="Arial"/>
          <w:i/>
          <w:iCs/>
          <w:color w:val="595959"/>
          <w:sz w:val="40"/>
          <w:szCs w:val="40"/>
        </w:rPr>
        <w:t>5-Year Summary, FY2020–FY2024 ($ millions basis, except per-share and ratio figures)</w:t>
      </w:r>
    </w:p>
    <w:p w14:paraId="5D7B93B7" w14:textId="77777777" w:rsidR="009C6AE6" w:rsidRDefault="009C6AE6" w:rsidP="009C6AE6">
      <w:pPr>
        <w:pStyle w:val="Title"/>
        <w:spacing w:line="360" w:lineRule="auto"/>
        <w:rPr>
          <w:b/>
          <w:sz w:val="22"/>
        </w:rPr>
      </w:pPr>
    </w:p>
    <w:p w14:paraId="667E06F3" w14:textId="5D03BAF8" w:rsidR="009C6AE6" w:rsidRPr="005F6E3B" w:rsidRDefault="009C6AE6" w:rsidP="009C6AE6">
      <w:pPr>
        <w:pStyle w:val="Title"/>
        <w:spacing w:line="360" w:lineRule="auto"/>
        <w:rPr>
          <w:bCs/>
          <w:spacing w:val="-2"/>
          <w:sz w:val="28"/>
          <w:szCs w:val="28"/>
        </w:rPr>
      </w:pPr>
      <w:r w:rsidRPr="003A4F70">
        <w:rPr>
          <w:b/>
          <w:sz w:val="28"/>
          <w:szCs w:val="28"/>
        </w:rPr>
        <w:t>Student</w:t>
      </w:r>
      <w:r w:rsidRPr="003A4F70">
        <w:rPr>
          <w:b/>
          <w:spacing w:val="-3"/>
          <w:sz w:val="28"/>
          <w:szCs w:val="28"/>
        </w:rPr>
        <w:t xml:space="preserve"> </w:t>
      </w:r>
      <w:r w:rsidRPr="003A4F70">
        <w:rPr>
          <w:b/>
          <w:spacing w:val="-2"/>
          <w:sz w:val="28"/>
          <w:szCs w:val="28"/>
        </w:rPr>
        <w:t>name:</w:t>
      </w:r>
      <w:r w:rsidRPr="005F6E3B">
        <w:t xml:space="preserve"> </w:t>
      </w:r>
      <w:r w:rsidRPr="009C6AE6">
        <w:rPr>
          <w:bCs/>
          <w:spacing w:val="-2"/>
          <w:sz w:val="28"/>
          <w:szCs w:val="28"/>
        </w:rPr>
        <w:t>Prasanna Panthee</w:t>
      </w:r>
    </w:p>
    <w:p w14:paraId="5245B964" w14:textId="77777777" w:rsidR="009C6AE6" w:rsidRDefault="009C6AE6" w:rsidP="009C6AE6">
      <w:pPr>
        <w:pStyle w:val="TableParagraph"/>
        <w:spacing w:before="120" w:line="360" w:lineRule="auto"/>
        <w:rPr>
          <w:rFonts w:ascii="Arial"/>
          <w:bCs/>
          <w:spacing w:val="-2"/>
          <w:sz w:val="28"/>
          <w:szCs w:val="28"/>
        </w:rPr>
      </w:pPr>
      <w:r w:rsidRPr="003A4F70">
        <w:rPr>
          <w:rFonts w:ascii="Arial"/>
          <w:b/>
          <w:sz w:val="28"/>
          <w:szCs w:val="28"/>
        </w:rPr>
        <w:t>Student</w:t>
      </w:r>
      <w:r w:rsidRPr="003A4F70">
        <w:rPr>
          <w:rFonts w:ascii="Arial"/>
          <w:b/>
          <w:spacing w:val="-3"/>
          <w:sz w:val="28"/>
          <w:szCs w:val="28"/>
        </w:rPr>
        <w:t xml:space="preserve"> </w:t>
      </w:r>
      <w:r w:rsidRPr="003A4F70">
        <w:rPr>
          <w:rFonts w:ascii="Arial"/>
          <w:b/>
          <w:sz w:val="28"/>
          <w:szCs w:val="28"/>
        </w:rPr>
        <w:t xml:space="preserve">ID </w:t>
      </w:r>
      <w:r w:rsidRPr="003A4F70">
        <w:rPr>
          <w:rFonts w:ascii="Arial"/>
          <w:b/>
          <w:spacing w:val="-2"/>
          <w:sz w:val="28"/>
          <w:szCs w:val="28"/>
        </w:rPr>
        <w:t>number:</w:t>
      </w:r>
      <w:r>
        <w:rPr>
          <w:rFonts w:ascii="Arial"/>
          <w:b/>
          <w:spacing w:val="-2"/>
          <w:sz w:val="28"/>
          <w:szCs w:val="28"/>
        </w:rPr>
        <w:t xml:space="preserve"> </w:t>
      </w:r>
      <w:r w:rsidRPr="009C6AE6">
        <w:rPr>
          <w:rFonts w:ascii="Arial"/>
          <w:bCs/>
          <w:spacing w:val="-2"/>
          <w:sz w:val="28"/>
          <w:szCs w:val="28"/>
        </w:rPr>
        <w:t>2541875</w:t>
      </w:r>
    </w:p>
    <w:p w14:paraId="4E2CC3FF" w14:textId="1781311C" w:rsidR="009C6AE6" w:rsidRPr="003A4F70" w:rsidRDefault="009C6AE6" w:rsidP="009C6AE6">
      <w:pPr>
        <w:pStyle w:val="TableParagraph"/>
        <w:spacing w:before="120" w:line="360" w:lineRule="auto"/>
        <w:rPr>
          <w:rFonts w:ascii="Arial"/>
          <w:b/>
          <w:sz w:val="28"/>
          <w:szCs w:val="28"/>
        </w:rPr>
      </w:pPr>
      <w:r w:rsidRPr="003A4F70">
        <w:rPr>
          <w:rFonts w:ascii="Arial"/>
          <w:b/>
          <w:spacing w:val="-2"/>
          <w:sz w:val="28"/>
          <w:szCs w:val="28"/>
        </w:rPr>
        <w:t>Programme:</w:t>
      </w:r>
      <w:r w:rsidRPr="003A4F70">
        <w:rPr>
          <w:rFonts w:ascii="Arial"/>
          <w:b/>
          <w:sz w:val="28"/>
          <w:szCs w:val="28"/>
        </w:rPr>
        <w:t xml:space="preserve"> </w:t>
      </w:r>
      <w:r w:rsidRPr="003A4F70">
        <w:rPr>
          <w:rFonts w:ascii="Arial"/>
          <w:bCs/>
          <w:sz w:val="28"/>
          <w:szCs w:val="28"/>
        </w:rPr>
        <w:t>Master</w:t>
      </w:r>
      <w:r w:rsidRPr="003A4F70">
        <w:rPr>
          <w:rFonts w:ascii="Arial"/>
          <w:bCs/>
          <w:spacing w:val="-2"/>
          <w:sz w:val="28"/>
          <w:szCs w:val="28"/>
        </w:rPr>
        <w:t xml:space="preserve"> </w:t>
      </w:r>
      <w:r w:rsidRPr="003A4F70">
        <w:rPr>
          <w:rFonts w:ascii="Arial"/>
          <w:bCs/>
          <w:sz w:val="28"/>
          <w:szCs w:val="28"/>
        </w:rPr>
        <w:t>of</w:t>
      </w:r>
      <w:r w:rsidRPr="003A4F70">
        <w:rPr>
          <w:rFonts w:ascii="Arial"/>
          <w:bCs/>
          <w:spacing w:val="-5"/>
          <w:sz w:val="28"/>
          <w:szCs w:val="28"/>
        </w:rPr>
        <w:t xml:space="preserve"> </w:t>
      </w:r>
      <w:r w:rsidRPr="003A4F70">
        <w:rPr>
          <w:rFonts w:ascii="Arial"/>
          <w:bCs/>
          <w:sz w:val="28"/>
          <w:szCs w:val="28"/>
        </w:rPr>
        <w:t>Business</w:t>
      </w:r>
      <w:r w:rsidRPr="003A4F70">
        <w:rPr>
          <w:rFonts w:ascii="Arial"/>
          <w:bCs/>
          <w:spacing w:val="-5"/>
          <w:sz w:val="28"/>
          <w:szCs w:val="28"/>
        </w:rPr>
        <w:t xml:space="preserve"> </w:t>
      </w:r>
      <w:r w:rsidRPr="003A4F70">
        <w:rPr>
          <w:rFonts w:ascii="Arial"/>
          <w:bCs/>
          <w:spacing w:val="-2"/>
          <w:sz w:val="28"/>
          <w:szCs w:val="28"/>
        </w:rPr>
        <w:t>Administration</w:t>
      </w:r>
    </w:p>
    <w:p w14:paraId="2667DA4A" w14:textId="77777777" w:rsidR="009C6AE6" w:rsidRPr="003A4F70" w:rsidRDefault="009C6AE6" w:rsidP="009C6AE6">
      <w:pPr>
        <w:spacing w:line="360" w:lineRule="auto"/>
        <w:rPr>
          <w:bCs/>
          <w:spacing w:val="-2"/>
          <w:sz w:val="28"/>
          <w:szCs w:val="28"/>
        </w:rPr>
      </w:pPr>
      <w:r w:rsidRPr="003A4F70">
        <w:rPr>
          <w:b/>
          <w:spacing w:val="-2"/>
          <w:sz w:val="28"/>
          <w:szCs w:val="28"/>
        </w:rPr>
        <w:t xml:space="preserve">Module: </w:t>
      </w:r>
      <w:r w:rsidRPr="003A4F70">
        <w:rPr>
          <w:bCs/>
          <w:sz w:val="28"/>
          <w:szCs w:val="28"/>
        </w:rPr>
        <w:t>Financial</w:t>
      </w:r>
      <w:r w:rsidRPr="003A4F70">
        <w:rPr>
          <w:bCs/>
          <w:spacing w:val="-7"/>
          <w:sz w:val="28"/>
          <w:szCs w:val="28"/>
        </w:rPr>
        <w:t xml:space="preserve"> </w:t>
      </w:r>
      <w:r w:rsidRPr="003A4F70">
        <w:rPr>
          <w:bCs/>
          <w:spacing w:val="-2"/>
          <w:sz w:val="28"/>
          <w:szCs w:val="28"/>
        </w:rPr>
        <w:t>Management</w:t>
      </w:r>
    </w:p>
    <w:p w14:paraId="792E1BC0" w14:textId="77777777" w:rsidR="009C6AE6" w:rsidRPr="003A4F70" w:rsidRDefault="009C6AE6" w:rsidP="009C6AE6">
      <w:pPr>
        <w:spacing w:line="360" w:lineRule="auto"/>
        <w:rPr>
          <w:bCs/>
          <w:spacing w:val="-4"/>
          <w:sz w:val="28"/>
          <w:szCs w:val="28"/>
        </w:rPr>
      </w:pPr>
      <w:r w:rsidRPr="003A4F70">
        <w:rPr>
          <w:b/>
          <w:sz w:val="28"/>
          <w:szCs w:val="28"/>
        </w:rPr>
        <w:t>Module</w:t>
      </w:r>
      <w:r w:rsidRPr="003A4F70">
        <w:rPr>
          <w:b/>
          <w:spacing w:val="-4"/>
          <w:sz w:val="28"/>
          <w:szCs w:val="28"/>
        </w:rPr>
        <w:t xml:space="preserve"> code</w:t>
      </w:r>
      <w:r w:rsidRPr="003A4F70">
        <w:rPr>
          <w:bCs/>
          <w:spacing w:val="-4"/>
          <w:sz w:val="28"/>
          <w:szCs w:val="28"/>
        </w:rPr>
        <w:t xml:space="preserve">: </w:t>
      </w:r>
      <w:r w:rsidRPr="003A4F70">
        <w:rPr>
          <w:bCs/>
          <w:spacing w:val="-2"/>
          <w:sz w:val="28"/>
          <w:szCs w:val="28"/>
        </w:rPr>
        <w:t>LCMB7002</w:t>
      </w:r>
    </w:p>
    <w:p w14:paraId="78EB90E7" w14:textId="77777777" w:rsidR="009C6AE6" w:rsidRPr="003A4F70" w:rsidRDefault="009C6AE6" w:rsidP="009C6AE6">
      <w:pPr>
        <w:spacing w:line="360" w:lineRule="auto"/>
        <w:rPr>
          <w:bCs/>
          <w:spacing w:val="-2"/>
          <w:sz w:val="28"/>
          <w:szCs w:val="28"/>
        </w:rPr>
      </w:pPr>
      <w:r w:rsidRPr="003A4F70">
        <w:rPr>
          <w:b/>
          <w:spacing w:val="-2"/>
          <w:sz w:val="28"/>
          <w:szCs w:val="28"/>
        </w:rPr>
        <w:t xml:space="preserve">Lecturer: </w:t>
      </w:r>
      <w:r w:rsidRPr="003A4F70">
        <w:rPr>
          <w:bCs/>
          <w:sz w:val="28"/>
          <w:szCs w:val="28"/>
        </w:rPr>
        <w:t>Shengfeng</w:t>
      </w:r>
      <w:r w:rsidRPr="003A4F70">
        <w:rPr>
          <w:bCs/>
          <w:spacing w:val="-11"/>
          <w:sz w:val="28"/>
          <w:szCs w:val="28"/>
        </w:rPr>
        <w:t xml:space="preserve"> </w:t>
      </w:r>
      <w:r w:rsidRPr="003A4F70">
        <w:rPr>
          <w:bCs/>
          <w:sz w:val="28"/>
          <w:szCs w:val="28"/>
        </w:rPr>
        <w:t>Mei</w:t>
      </w:r>
    </w:p>
    <w:p w14:paraId="0022ED60" w14:textId="77777777" w:rsidR="009C6AE6" w:rsidRDefault="009C6AE6" w:rsidP="009C6AE6">
      <w:pPr>
        <w:spacing w:line="360" w:lineRule="auto"/>
        <w:rPr>
          <w:bCs/>
          <w:spacing w:val="-2"/>
          <w:sz w:val="28"/>
          <w:szCs w:val="28"/>
        </w:rPr>
      </w:pPr>
      <w:r w:rsidRPr="003A4F70">
        <w:rPr>
          <w:b/>
          <w:sz w:val="28"/>
          <w:szCs w:val="28"/>
        </w:rPr>
        <w:t>Assignment</w:t>
      </w:r>
      <w:r w:rsidRPr="003A4F70">
        <w:rPr>
          <w:b/>
          <w:spacing w:val="-8"/>
          <w:sz w:val="28"/>
          <w:szCs w:val="28"/>
        </w:rPr>
        <w:t xml:space="preserve"> </w:t>
      </w:r>
      <w:r w:rsidRPr="003A4F70">
        <w:rPr>
          <w:b/>
          <w:spacing w:val="-2"/>
          <w:sz w:val="28"/>
          <w:szCs w:val="28"/>
        </w:rPr>
        <w:t xml:space="preserve">Title:  </w:t>
      </w:r>
      <w:r w:rsidRPr="003A4F70">
        <w:rPr>
          <w:bCs/>
          <w:sz w:val="28"/>
          <w:szCs w:val="28"/>
        </w:rPr>
        <w:t>Assessment component: Financial</w:t>
      </w:r>
      <w:r w:rsidRPr="003A4F70">
        <w:rPr>
          <w:bCs/>
          <w:spacing w:val="-16"/>
          <w:sz w:val="28"/>
          <w:szCs w:val="28"/>
        </w:rPr>
        <w:t xml:space="preserve"> </w:t>
      </w:r>
      <w:r w:rsidRPr="003A4F70">
        <w:rPr>
          <w:bCs/>
          <w:sz w:val="28"/>
          <w:szCs w:val="28"/>
        </w:rPr>
        <w:t>performance</w:t>
      </w:r>
      <w:r w:rsidRPr="003A4F70">
        <w:rPr>
          <w:bCs/>
          <w:spacing w:val="-15"/>
          <w:sz w:val="28"/>
          <w:szCs w:val="28"/>
        </w:rPr>
        <w:t xml:space="preserve"> </w:t>
      </w:r>
      <w:r w:rsidRPr="003A4F70">
        <w:rPr>
          <w:bCs/>
          <w:sz w:val="28"/>
          <w:szCs w:val="28"/>
        </w:rPr>
        <w:t xml:space="preserve">and </w:t>
      </w:r>
      <w:r w:rsidRPr="003A4F70">
        <w:rPr>
          <w:bCs/>
          <w:spacing w:val="-2"/>
          <w:sz w:val="28"/>
          <w:szCs w:val="28"/>
        </w:rPr>
        <w:t>management</w:t>
      </w:r>
    </w:p>
    <w:p w14:paraId="56F92E4D" w14:textId="04C93727" w:rsidR="009C6AE6" w:rsidRPr="002653EC" w:rsidRDefault="009C6AE6" w:rsidP="009C6AE6">
      <w:pPr>
        <w:spacing w:line="360" w:lineRule="auto"/>
        <w:rPr>
          <w:b/>
          <w:spacing w:val="-2"/>
          <w:sz w:val="28"/>
          <w:szCs w:val="28"/>
        </w:rPr>
      </w:pPr>
      <w:r w:rsidRPr="002653EC">
        <w:rPr>
          <w:b/>
          <w:spacing w:val="-2"/>
          <w:sz w:val="28"/>
          <w:szCs w:val="28"/>
        </w:rPr>
        <w:t>Word Count</w:t>
      </w:r>
      <w:r>
        <w:rPr>
          <w:b/>
          <w:spacing w:val="-2"/>
          <w:sz w:val="28"/>
          <w:szCs w:val="28"/>
        </w:rPr>
        <w:t xml:space="preserve">: </w:t>
      </w:r>
      <w:r>
        <w:rPr>
          <w:bCs/>
          <w:spacing w:val="-2"/>
          <w:sz w:val="28"/>
          <w:szCs w:val="28"/>
        </w:rPr>
        <w:t>5020</w:t>
      </w:r>
    </w:p>
    <w:p w14:paraId="3072232E" w14:textId="77777777" w:rsidR="009C6AE6" w:rsidRPr="005F6E3B" w:rsidRDefault="009C6AE6" w:rsidP="009C6AE6">
      <w:pPr>
        <w:spacing w:line="360" w:lineRule="auto"/>
        <w:rPr>
          <w:bCs/>
          <w:spacing w:val="-2"/>
          <w:sz w:val="28"/>
          <w:szCs w:val="28"/>
        </w:rPr>
      </w:pPr>
      <w:r w:rsidRPr="003A4F70">
        <w:rPr>
          <w:b/>
          <w:spacing w:val="-2"/>
          <w:sz w:val="28"/>
          <w:szCs w:val="28"/>
        </w:rPr>
        <w:t xml:space="preserve">Submission deadline: </w:t>
      </w:r>
      <w:r w:rsidRPr="005F6E3B">
        <w:rPr>
          <w:bCs/>
          <w:spacing w:val="-2"/>
          <w:sz w:val="28"/>
          <w:szCs w:val="28"/>
        </w:rPr>
        <w:t>08/13/2026</w:t>
      </w:r>
    </w:p>
    <w:p w14:paraId="14CD49FE" w14:textId="77777777" w:rsidR="00B241A8" w:rsidRPr="009C6AE6" w:rsidRDefault="00B241A8" w:rsidP="00F73003">
      <w:pPr>
        <w:spacing w:before="240" w:line="360" w:lineRule="auto"/>
        <w:jc w:val="both"/>
        <w:rPr>
          <w:rFonts w:eastAsia="Arial"/>
          <w:i/>
          <w:iCs/>
          <w:color w:val="595959"/>
          <w:sz w:val="40"/>
          <w:szCs w:val="40"/>
        </w:rPr>
      </w:pPr>
      <w:r w:rsidRPr="009C6AE6">
        <w:rPr>
          <w:rFonts w:eastAsia="Arial"/>
          <w:i/>
          <w:iCs/>
          <w:color w:val="595959"/>
          <w:sz w:val="40"/>
          <w:szCs w:val="40"/>
        </w:rPr>
        <w:br w:type="page"/>
      </w:r>
    </w:p>
    <w:sdt>
      <w:sdtPr>
        <w:rPr>
          <w:rFonts w:ascii="Arial" w:eastAsia="Times New Roman" w:hAnsi="Arial" w:cs="Times New Roman"/>
          <w:color w:val="auto"/>
          <w:sz w:val="24"/>
          <w:szCs w:val="20"/>
          <w:lang w:val="en-IN" w:eastAsia="en-IN" w:bidi="ne-NP"/>
        </w:rPr>
        <w:id w:val="257258180"/>
        <w:docPartObj>
          <w:docPartGallery w:val="Table of Contents"/>
          <w:docPartUnique/>
        </w:docPartObj>
      </w:sdtPr>
      <w:sdtEndPr>
        <w:rPr>
          <w:noProof/>
        </w:rPr>
      </w:sdtEndPr>
      <w:sdtContent>
        <w:p w14:paraId="58352E9D" w14:textId="51355FD7" w:rsidR="00B241A8" w:rsidRDefault="00B241A8" w:rsidP="00F73003">
          <w:pPr>
            <w:pStyle w:val="TOCHeading"/>
            <w:spacing w:line="360" w:lineRule="auto"/>
            <w:jc w:val="both"/>
          </w:pPr>
          <w:r>
            <w:t>Table of Contents</w:t>
          </w:r>
        </w:p>
        <w:p w14:paraId="67654E00" w14:textId="3FC1EE48" w:rsidR="00601FAF" w:rsidRPr="00601FAF" w:rsidRDefault="00B241A8">
          <w:pPr>
            <w:pStyle w:val="TOC1"/>
            <w:tabs>
              <w:tab w:val="right" w:leader="dot" w:pos="9016"/>
            </w:tabs>
            <w:rPr>
              <w:rFonts w:asciiTheme="minorHAnsi" w:eastAsiaTheme="minorEastAsia" w:hAnsiTheme="minorHAnsi" w:cstheme="minorBidi"/>
              <w:noProof/>
              <w:kern w:val="2"/>
              <w:szCs w:val="24"/>
              <w:lang w:val="en-US" w:eastAsia="en-US" w:bidi="ar-SA"/>
              <w14:ligatures w14:val="standardContextual"/>
            </w:rPr>
          </w:pPr>
          <w:r w:rsidRPr="00601FAF">
            <w:fldChar w:fldCharType="begin"/>
          </w:r>
          <w:r w:rsidRPr="00601FAF">
            <w:instrText xml:space="preserve"> TOC \o "1-3" \h \z \u </w:instrText>
          </w:r>
          <w:r w:rsidRPr="00601FAF">
            <w:fldChar w:fldCharType="separate"/>
          </w:r>
          <w:hyperlink w:anchor="_Toc237523882" w:history="1">
            <w:r w:rsidR="00601FAF" w:rsidRPr="00601FAF">
              <w:rPr>
                <w:rStyle w:val="Hyperlink"/>
                <w:noProof/>
              </w:rPr>
              <w:t>Investment</w:t>
            </w:r>
            <w:r w:rsidR="00601FAF" w:rsidRPr="00601FAF">
              <w:rPr>
                <w:rStyle w:val="Hyperlink"/>
                <w:rFonts w:eastAsia="Arial"/>
                <w:noProof/>
              </w:rPr>
              <w:t xml:space="preserve"> Ratios</w:t>
            </w:r>
            <w:r w:rsidR="00601FAF" w:rsidRPr="00601FAF">
              <w:rPr>
                <w:noProof/>
                <w:webHidden/>
              </w:rPr>
              <w:tab/>
            </w:r>
            <w:r w:rsidR="00601FAF" w:rsidRPr="00601FAF">
              <w:rPr>
                <w:noProof/>
                <w:webHidden/>
              </w:rPr>
              <w:fldChar w:fldCharType="begin"/>
            </w:r>
            <w:r w:rsidR="00601FAF" w:rsidRPr="00601FAF">
              <w:rPr>
                <w:noProof/>
                <w:webHidden/>
              </w:rPr>
              <w:instrText xml:space="preserve"> PAGEREF _Toc237523882 \h </w:instrText>
            </w:r>
            <w:r w:rsidR="00601FAF" w:rsidRPr="00601FAF">
              <w:rPr>
                <w:noProof/>
                <w:webHidden/>
              </w:rPr>
            </w:r>
            <w:r w:rsidR="00601FAF" w:rsidRPr="00601FAF">
              <w:rPr>
                <w:noProof/>
                <w:webHidden/>
              </w:rPr>
              <w:fldChar w:fldCharType="separate"/>
            </w:r>
            <w:r w:rsidR="00601FAF" w:rsidRPr="00601FAF">
              <w:rPr>
                <w:noProof/>
                <w:webHidden/>
              </w:rPr>
              <w:t>1</w:t>
            </w:r>
            <w:r w:rsidR="00601FAF" w:rsidRPr="00601FAF">
              <w:rPr>
                <w:noProof/>
                <w:webHidden/>
              </w:rPr>
              <w:fldChar w:fldCharType="end"/>
            </w:r>
          </w:hyperlink>
        </w:p>
        <w:p w14:paraId="346E383B" w14:textId="400F7EAD" w:rsidR="00601FAF" w:rsidRPr="00601FAF" w:rsidRDefault="00601FAF">
          <w:pPr>
            <w:pStyle w:val="TOC1"/>
            <w:tabs>
              <w:tab w:val="right" w:leader="dot" w:pos="9016"/>
            </w:tabs>
            <w:rPr>
              <w:rFonts w:asciiTheme="minorHAnsi" w:eastAsiaTheme="minorEastAsia" w:hAnsiTheme="minorHAnsi" w:cstheme="minorBidi"/>
              <w:noProof/>
              <w:kern w:val="2"/>
              <w:szCs w:val="24"/>
              <w:lang w:val="en-US" w:eastAsia="en-US" w:bidi="ar-SA"/>
              <w14:ligatures w14:val="standardContextual"/>
            </w:rPr>
          </w:pPr>
          <w:hyperlink w:anchor="_Toc237523883" w:history="1">
            <w:r w:rsidRPr="00601FAF">
              <w:rPr>
                <w:rStyle w:val="Hyperlink"/>
                <w:rFonts w:eastAsia="Arial"/>
                <w:noProof/>
              </w:rPr>
              <w:t xml:space="preserve">Cash </w:t>
            </w:r>
            <w:r w:rsidRPr="00601FAF">
              <w:rPr>
                <w:rStyle w:val="Hyperlink"/>
                <w:noProof/>
              </w:rPr>
              <w:t>Flow</w:t>
            </w:r>
            <w:r w:rsidRPr="00601FAF">
              <w:rPr>
                <w:rStyle w:val="Hyperlink"/>
                <w:rFonts w:eastAsia="Arial"/>
                <w:noProof/>
              </w:rPr>
              <w:t xml:space="preserve"> </w:t>
            </w:r>
            <w:r w:rsidRPr="00601FAF">
              <w:rPr>
                <w:rStyle w:val="Hyperlink"/>
                <w:noProof/>
              </w:rPr>
              <w:t>Ratios</w:t>
            </w:r>
            <w:r w:rsidRPr="00601FAF">
              <w:rPr>
                <w:noProof/>
                <w:webHidden/>
              </w:rPr>
              <w:tab/>
            </w:r>
            <w:r w:rsidRPr="00601FAF">
              <w:rPr>
                <w:noProof/>
                <w:webHidden/>
              </w:rPr>
              <w:fldChar w:fldCharType="begin"/>
            </w:r>
            <w:r w:rsidRPr="00601FAF">
              <w:rPr>
                <w:noProof/>
                <w:webHidden/>
              </w:rPr>
              <w:instrText xml:space="preserve"> PAGEREF _Toc237523883 \h </w:instrText>
            </w:r>
            <w:r w:rsidRPr="00601FAF">
              <w:rPr>
                <w:noProof/>
                <w:webHidden/>
              </w:rPr>
            </w:r>
            <w:r w:rsidRPr="00601FAF">
              <w:rPr>
                <w:noProof/>
                <w:webHidden/>
              </w:rPr>
              <w:fldChar w:fldCharType="separate"/>
            </w:r>
            <w:r w:rsidRPr="00601FAF">
              <w:rPr>
                <w:noProof/>
                <w:webHidden/>
              </w:rPr>
              <w:t>1</w:t>
            </w:r>
            <w:r w:rsidRPr="00601FAF">
              <w:rPr>
                <w:noProof/>
                <w:webHidden/>
              </w:rPr>
              <w:fldChar w:fldCharType="end"/>
            </w:r>
          </w:hyperlink>
        </w:p>
        <w:p w14:paraId="03700E4C" w14:textId="761C2144" w:rsidR="00601FAF" w:rsidRPr="00601FAF" w:rsidRDefault="00601FAF">
          <w:pPr>
            <w:pStyle w:val="TOC1"/>
            <w:tabs>
              <w:tab w:val="right" w:leader="dot" w:pos="9016"/>
            </w:tabs>
            <w:rPr>
              <w:rFonts w:asciiTheme="minorHAnsi" w:eastAsiaTheme="minorEastAsia" w:hAnsiTheme="minorHAnsi" w:cstheme="minorBidi"/>
              <w:noProof/>
              <w:kern w:val="2"/>
              <w:szCs w:val="24"/>
              <w:lang w:val="en-US" w:eastAsia="en-US" w:bidi="ar-SA"/>
              <w14:ligatures w14:val="standardContextual"/>
            </w:rPr>
          </w:pPr>
          <w:hyperlink w:anchor="_Toc237523884" w:history="1">
            <w:r w:rsidRPr="00601FAF">
              <w:rPr>
                <w:rStyle w:val="Hyperlink"/>
                <w:rFonts w:eastAsia="Arial"/>
                <w:noProof/>
              </w:rPr>
              <w:t xml:space="preserve">Trend </w:t>
            </w:r>
            <w:r w:rsidRPr="00601FAF">
              <w:rPr>
                <w:rStyle w:val="Hyperlink"/>
                <w:noProof/>
              </w:rPr>
              <w:t>Commentary</w:t>
            </w:r>
            <w:r w:rsidRPr="00601FAF">
              <w:rPr>
                <w:noProof/>
                <w:webHidden/>
              </w:rPr>
              <w:tab/>
            </w:r>
            <w:r w:rsidRPr="00601FAF">
              <w:rPr>
                <w:noProof/>
                <w:webHidden/>
              </w:rPr>
              <w:fldChar w:fldCharType="begin"/>
            </w:r>
            <w:r w:rsidRPr="00601FAF">
              <w:rPr>
                <w:noProof/>
                <w:webHidden/>
              </w:rPr>
              <w:instrText xml:space="preserve"> PAGEREF _Toc237523884 \h </w:instrText>
            </w:r>
            <w:r w:rsidRPr="00601FAF">
              <w:rPr>
                <w:noProof/>
                <w:webHidden/>
              </w:rPr>
            </w:r>
            <w:r w:rsidRPr="00601FAF">
              <w:rPr>
                <w:noProof/>
                <w:webHidden/>
              </w:rPr>
              <w:fldChar w:fldCharType="separate"/>
            </w:r>
            <w:r w:rsidRPr="00601FAF">
              <w:rPr>
                <w:noProof/>
                <w:webHidden/>
              </w:rPr>
              <w:t>1</w:t>
            </w:r>
            <w:r w:rsidRPr="00601FAF">
              <w:rPr>
                <w:noProof/>
                <w:webHidden/>
              </w:rPr>
              <w:fldChar w:fldCharType="end"/>
            </w:r>
          </w:hyperlink>
        </w:p>
        <w:p w14:paraId="7CE12B6F" w14:textId="7F40DC4A" w:rsidR="00601FAF" w:rsidRPr="00601FAF" w:rsidRDefault="00601FAF">
          <w:pPr>
            <w:pStyle w:val="TOC2"/>
            <w:rPr>
              <w:rFonts w:asciiTheme="minorHAnsi" w:eastAsiaTheme="minorEastAsia" w:hAnsiTheme="minorHAnsi" w:cstheme="minorBidi"/>
              <w:b w:val="0"/>
              <w:bCs w:val="0"/>
              <w:kern w:val="2"/>
              <w:szCs w:val="24"/>
              <w:lang w:val="en-US" w:eastAsia="en-US" w:bidi="ar-SA"/>
              <w14:ligatures w14:val="standardContextual"/>
            </w:rPr>
          </w:pPr>
          <w:hyperlink w:anchor="_Toc237523885" w:history="1">
            <w:r w:rsidRPr="00601FAF">
              <w:rPr>
                <w:rStyle w:val="Hyperlink"/>
                <w:rFonts w:eastAsia="Arial"/>
                <w:b w:val="0"/>
                <w:bCs w:val="0"/>
              </w:rPr>
              <w:t xml:space="preserve">Return on </w:t>
            </w:r>
            <w:r w:rsidRPr="00601FAF">
              <w:rPr>
                <w:rStyle w:val="Hyperlink"/>
                <w:b w:val="0"/>
                <w:bCs w:val="0"/>
              </w:rPr>
              <w:t>Equity</w:t>
            </w:r>
            <w:r w:rsidRPr="00601FAF">
              <w:rPr>
                <w:rStyle w:val="Hyperlink"/>
                <w:rFonts w:eastAsia="Arial"/>
                <w:b w:val="0"/>
                <w:bCs w:val="0"/>
              </w:rPr>
              <w:t xml:space="preserve"> (ROE) &amp; </w:t>
            </w:r>
            <w:r w:rsidRPr="00601FAF">
              <w:rPr>
                <w:rStyle w:val="Hyperlink"/>
                <w:b w:val="0"/>
                <w:bCs w:val="0"/>
              </w:rPr>
              <w:t>Return</w:t>
            </w:r>
            <w:r w:rsidRPr="00601FAF">
              <w:rPr>
                <w:rStyle w:val="Hyperlink"/>
                <w:rFonts w:eastAsia="Arial"/>
                <w:b w:val="0"/>
                <w:bCs w:val="0"/>
              </w:rPr>
              <w:t xml:space="preserve"> on Assets (ROA)</w:t>
            </w:r>
            <w:r w:rsidRPr="00601FAF">
              <w:rPr>
                <w:b w:val="0"/>
                <w:bCs w:val="0"/>
                <w:webHidden/>
              </w:rPr>
              <w:tab/>
            </w:r>
            <w:r w:rsidRPr="00601FAF">
              <w:rPr>
                <w:b w:val="0"/>
                <w:bCs w:val="0"/>
                <w:webHidden/>
              </w:rPr>
              <w:fldChar w:fldCharType="begin"/>
            </w:r>
            <w:r w:rsidRPr="00601FAF">
              <w:rPr>
                <w:b w:val="0"/>
                <w:bCs w:val="0"/>
                <w:webHidden/>
              </w:rPr>
              <w:instrText xml:space="preserve"> PAGEREF _Toc237523885 \h </w:instrText>
            </w:r>
            <w:r w:rsidRPr="00601FAF">
              <w:rPr>
                <w:b w:val="0"/>
                <w:bCs w:val="0"/>
                <w:webHidden/>
              </w:rPr>
            </w:r>
            <w:r w:rsidRPr="00601FAF">
              <w:rPr>
                <w:b w:val="0"/>
                <w:bCs w:val="0"/>
                <w:webHidden/>
              </w:rPr>
              <w:fldChar w:fldCharType="separate"/>
            </w:r>
            <w:r w:rsidRPr="00601FAF">
              <w:rPr>
                <w:b w:val="0"/>
                <w:bCs w:val="0"/>
                <w:webHidden/>
              </w:rPr>
              <w:t>1</w:t>
            </w:r>
            <w:r w:rsidRPr="00601FAF">
              <w:rPr>
                <w:b w:val="0"/>
                <w:bCs w:val="0"/>
                <w:webHidden/>
              </w:rPr>
              <w:fldChar w:fldCharType="end"/>
            </w:r>
          </w:hyperlink>
        </w:p>
        <w:p w14:paraId="654C3982" w14:textId="753D240D" w:rsidR="00601FAF" w:rsidRPr="00601FAF" w:rsidRDefault="00601FAF">
          <w:pPr>
            <w:pStyle w:val="TOC2"/>
            <w:rPr>
              <w:rFonts w:asciiTheme="minorHAnsi" w:eastAsiaTheme="minorEastAsia" w:hAnsiTheme="minorHAnsi" w:cstheme="minorBidi"/>
              <w:b w:val="0"/>
              <w:bCs w:val="0"/>
              <w:kern w:val="2"/>
              <w:szCs w:val="24"/>
              <w:lang w:val="en-US" w:eastAsia="en-US" w:bidi="ar-SA"/>
              <w14:ligatures w14:val="standardContextual"/>
            </w:rPr>
          </w:pPr>
          <w:hyperlink w:anchor="_Toc237523886" w:history="1">
            <w:r w:rsidRPr="00601FAF">
              <w:rPr>
                <w:rStyle w:val="Hyperlink"/>
                <w:rFonts w:eastAsia="Arial"/>
                <w:b w:val="0"/>
                <w:bCs w:val="0"/>
              </w:rPr>
              <w:t xml:space="preserve">Price / </w:t>
            </w:r>
            <w:r w:rsidRPr="00601FAF">
              <w:rPr>
                <w:rStyle w:val="Hyperlink"/>
                <w:b w:val="0"/>
                <w:bCs w:val="0"/>
              </w:rPr>
              <w:t>Earnings</w:t>
            </w:r>
            <w:r w:rsidRPr="00601FAF">
              <w:rPr>
                <w:rStyle w:val="Hyperlink"/>
                <w:rFonts w:eastAsia="Arial"/>
                <w:b w:val="0"/>
                <w:bCs w:val="0"/>
              </w:rPr>
              <w:t xml:space="preserve"> (P/E)</w:t>
            </w:r>
            <w:r w:rsidRPr="00601FAF">
              <w:rPr>
                <w:b w:val="0"/>
                <w:bCs w:val="0"/>
                <w:webHidden/>
              </w:rPr>
              <w:tab/>
            </w:r>
            <w:r w:rsidRPr="00601FAF">
              <w:rPr>
                <w:b w:val="0"/>
                <w:bCs w:val="0"/>
                <w:webHidden/>
              </w:rPr>
              <w:fldChar w:fldCharType="begin"/>
            </w:r>
            <w:r w:rsidRPr="00601FAF">
              <w:rPr>
                <w:b w:val="0"/>
                <w:bCs w:val="0"/>
                <w:webHidden/>
              </w:rPr>
              <w:instrText xml:space="preserve"> PAGEREF _Toc237523886 \h </w:instrText>
            </w:r>
            <w:r w:rsidRPr="00601FAF">
              <w:rPr>
                <w:b w:val="0"/>
                <w:bCs w:val="0"/>
                <w:webHidden/>
              </w:rPr>
            </w:r>
            <w:r w:rsidRPr="00601FAF">
              <w:rPr>
                <w:b w:val="0"/>
                <w:bCs w:val="0"/>
                <w:webHidden/>
              </w:rPr>
              <w:fldChar w:fldCharType="separate"/>
            </w:r>
            <w:r w:rsidRPr="00601FAF">
              <w:rPr>
                <w:b w:val="0"/>
                <w:bCs w:val="0"/>
                <w:webHidden/>
              </w:rPr>
              <w:t>2</w:t>
            </w:r>
            <w:r w:rsidRPr="00601FAF">
              <w:rPr>
                <w:b w:val="0"/>
                <w:bCs w:val="0"/>
                <w:webHidden/>
              </w:rPr>
              <w:fldChar w:fldCharType="end"/>
            </w:r>
          </w:hyperlink>
        </w:p>
        <w:p w14:paraId="3847178E" w14:textId="32D212D9" w:rsidR="00601FAF" w:rsidRPr="00601FAF" w:rsidRDefault="00601FAF">
          <w:pPr>
            <w:pStyle w:val="TOC2"/>
            <w:rPr>
              <w:rFonts w:asciiTheme="minorHAnsi" w:eastAsiaTheme="minorEastAsia" w:hAnsiTheme="minorHAnsi" w:cstheme="minorBidi"/>
              <w:b w:val="0"/>
              <w:bCs w:val="0"/>
              <w:kern w:val="2"/>
              <w:szCs w:val="24"/>
              <w:lang w:val="en-US" w:eastAsia="en-US" w:bidi="ar-SA"/>
              <w14:ligatures w14:val="standardContextual"/>
            </w:rPr>
          </w:pPr>
          <w:hyperlink w:anchor="_Toc237523887" w:history="1">
            <w:r w:rsidRPr="00601FAF">
              <w:rPr>
                <w:rStyle w:val="Hyperlink"/>
                <w:rFonts w:eastAsia="Arial"/>
                <w:b w:val="0"/>
                <w:bCs w:val="0"/>
              </w:rPr>
              <w:t xml:space="preserve">Operating </w:t>
            </w:r>
            <w:r w:rsidRPr="00601FAF">
              <w:rPr>
                <w:rStyle w:val="Hyperlink"/>
                <w:b w:val="0"/>
                <w:bCs w:val="0"/>
              </w:rPr>
              <w:t>Cash</w:t>
            </w:r>
            <w:r w:rsidRPr="00601FAF">
              <w:rPr>
                <w:rStyle w:val="Hyperlink"/>
                <w:rFonts w:eastAsia="Arial"/>
                <w:b w:val="0"/>
                <w:bCs w:val="0"/>
              </w:rPr>
              <w:t xml:space="preserve"> Flow Ratio</w:t>
            </w:r>
            <w:r w:rsidRPr="00601FAF">
              <w:rPr>
                <w:b w:val="0"/>
                <w:bCs w:val="0"/>
                <w:webHidden/>
              </w:rPr>
              <w:tab/>
            </w:r>
            <w:r w:rsidRPr="00601FAF">
              <w:rPr>
                <w:b w:val="0"/>
                <w:bCs w:val="0"/>
                <w:webHidden/>
              </w:rPr>
              <w:fldChar w:fldCharType="begin"/>
            </w:r>
            <w:r w:rsidRPr="00601FAF">
              <w:rPr>
                <w:b w:val="0"/>
                <w:bCs w:val="0"/>
                <w:webHidden/>
              </w:rPr>
              <w:instrText xml:space="preserve"> PAGEREF _Toc237523887 \h </w:instrText>
            </w:r>
            <w:r w:rsidRPr="00601FAF">
              <w:rPr>
                <w:b w:val="0"/>
                <w:bCs w:val="0"/>
                <w:webHidden/>
              </w:rPr>
            </w:r>
            <w:r w:rsidRPr="00601FAF">
              <w:rPr>
                <w:b w:val="0"/>
                <w:bCs w:val="0"/>
                <w:webHidden/>
              </w:rPr>
              <w:fldChar w:fldCharType="separate"/>
            </w:r>
            <w:r w:rsidRPr="00601FAF">
              <w:rPr>
                <w:b w:val="0"/>
                <w:bCs w:val="0"/>
                <w:webHidden/>
              </w:rPr>
              <w:t>3</w:t>
            </w:r>
            <w:r w:rsidRPr="00601FAF">
              <w:rPr>
                <w:b w:val="0"/>
                <w:bCs w:val="0"/>
                <w:webHidden/>
              </w:rPr>
              <w:fldChar w:fldCharType="end"/>
            </w:r>
          </w:hyperlink>
        </w:p>
        <w:p w14:paraId="1A5F6892" w14:textId="20B0989A" w:rsidR="00601FAF" w:rsidRPr="00601FAF" w:rsidRDefault="00601FAF">
          <w:pPr>
            <w:pStyle w:val="TOC2"/>
            <w:rPr>
              <w:rFonts w:asciiTheme="minorHAnsi" w:eastAsiaTheme="minorEastAsia" w:hAnsiTheme="minorHAnsi" w:cstheme="minorBidi"/>
              <w:b w:val="0"/>
              <w:bCs w:val="0"/>
              <w:kern w:val="2"/>
              <w:szCs w:val="24"/>
              <w:lang w:val="en-US" w:eastAsia="en-US" w:bidi="ar-SA"/>
              <w14:ligatures w14:val="standardContextual"/>
            </w:rPr>
          </w:pPr>
          <w:hyperlink w:anchor="_Toc237523888" w:history="1">
            <w:r w:rsidRPr="00601FAF">
              <w:rPr>
                <w:rStyle w:val="Hyperlink"/>
                <w:rFonts w:eastAsia="Arial"/>
                <w:b w:val="0"/>
                <w:bCs w:val="0"/>
              </w:rPr>
              <w:t xml:space="preserve">Free Cash </w:t>
            </w:r>
            <w:r w:rsidRPr="00601FAF">
              <w:rPr>
                <w:rStyle w:val="Hyperlink"/>
                <w:b w:val="0"/>
                <w:bCs w:val="0"/>
              </w:rPr>
              <w:t>Flow</w:t>
            </w:r>
            <w:r w:rsidRPr="00601FAF">
              <w:rPr>
                <w:rStyle w:val="Hyperlink"/>
                <w:rFonts w:eastAsia="Arial"/>
                <w:b w:val="0"/>
                <w:bCs w:val="0"/>
              </w:rPr>
              <w:t xml:space="preserve"> Margin</w:t>
            </w:r>
            <w:r w:rsidRPr="00601FAF">
              <w:rPr>
                <w:b w:val="0"/>
                <w:bCs w:val="0"/>
                <w:webHidden/>
              </w:rPr>
              <w:tab/>
            </w:r>
            <w:r w:rsidRPr="00601FAF">
              <w:rPr>
                <w:b w:val="0"/>
                <w:bCs w:val="0"/>
                <w:webHidden/>
              </w:rPr>
              <w:fldChar w:fldCharType="begin"/>
            </w:r>
            <w:r w:rsidRPr="00601FAF">
              <w:rPr>
                <w:b w:val="0"/>
                <w:bCs w:val="0"/>
                <w:webHidden/>
              </w:rPr>
              <w:instrText xml:space="preserve"> PAGEREF _Toc237523888 \h </w:instrText>
            </w:r>
            <w:r w:rsidRPr="00601FAF">
              <w:rPr>
                <w:b w:val="0"/>
                <w:bCs w:val="0"/>
                <w:webHidden/>
              </w:rPr>
            </w:r>
            <w:r w:rsidRPr="00601FAF">
              <w:rPr>
                <w:b w:val="0"/>
                <w:bCs w:val="0"/>
                <w:webHidden/>
              </w:rPr>
              <w:fldChar w:fldCharType="separate"/>
            </w:r>
            <w:r w:rsidRPr="00601FAF">
              <w:rPr>
                <w:b w:val="0"/>
                <w:bCs w:val="0"/>
                <w:webHidden/>
              </w:rPr>
              <w:t>4</w:t>
            </w:r>
            <w:r w:rsidRPr="00601FAF">
              <w:rPr>
                <w:b w:val="0"/>
                <w:bCs w:val="0"/>
                <w:webHidden/>
              </w:rPr>
              <w:fldChar w:fldCharType="end"/>
            </w:r>
          </w:hyperlink>
        </w:p>
        <w:p w14:paraId="593B758A" w14:textId="3B31F0A3" w:rsidR="00601FAF" w:rsidRPr="00601FAF" w:rsidRDefault="00601FAF">
          <w:pPr>
            <w:pStyle w:val="TOC1"/>
            <w:tabs>
              <w:tab w:val="right" w:leader="dot" w:pos="9016"/>
            </w:tabs>
            <w:rPr>
              <w:rFonts w:asciiTheme="minorHAnsi" w:eastAsiaTheme="minorEastAsia" w:hAnsiTheme="minorHAnsi" w:cstheme="minorBidi"/>
              <w:noProof/>
              <w:kern w:val="2"/>
              <w:szCs w:val="24"/>
              <w:lang w:val="en-US" w:eastAsia="en-US" w:bidi="ar-SA"/>
              <w14:ligatures w14:val="standardContextual"/>
            </w:rPr>
          </w:pPr>
          <w:hyperlink w:anchor="_Toc237523889" w:history="1">
            <w:r w:rsidRPr="00601FAF">
              <w:rPr>
                <w:rStyle w:val="Hyperlink"/>
                <w:rFonts w:eastAsia="Arial"/>
                <w:noProof/>
              </w:rPr>
              <w:t xml:space="preserve">Notes &amp; </w:t>
            </w:r>
            <w:r w:rsidRPr="00601FAF">
              <w:rPr>
                <w:rStyle w:val="Hyperlink"/>
                <w:noProof/>
              </w:rPr>
              <w:t>Assumptions</w:t>
            </w:r>
            <w:r w:rsidRPr="00601FAF">
              <w:rPr>
                <w:noProof/>
                <w:webHidden/>
              </w:rPr>
              <w:tab/>
            </w:r>
            <w:r w:rsidRPr="00601FAF">
              <w:rPr>
                <w:noProof/>
                <w:webHidden/>
              </w:rPr>
              <w:fldChar w:fldCharType="begin"/>
            </w:r>
            <w:r w:rsidRPr="00601FAF">
              <w:rPr>
                <w:noProof/>
                <w:webHidden/>
              </w:rPr>
              <w:instrText xml:space="preserve"> PAGEREF _Toc237523889 \h </w:instrText>
            </w:r>
            <w:r w:rsidRPr="00601FAF">
              <w:rPr>
                <w:noProof/>
                <w:webHidden/>
              </w:rPr>
            </w:r>
            <w:r w:rsidRPr="00601FAF">
              <w:rPr>
                <w:noProof/>
                <w:webHidden/>
              </w:rPr>
              <w:fldChar w:fldCharType="separate"/>
            </w:r>
            <w:r w:rsidRPr="00601FAF">
              <w:rPr>
                <w:noProof/>
                <w:webHidden/>
              </w:rPr>
              <w:t>5</w:t>
            </w:r>
            <w:r w:rsidRPr="00601FAF">
              <w:rPr>
                <w:noProof/>
                <w:webHidden/>
              </w:rPr>
              <w:fldChar w:fldCharType="end"/>
            </w:r>
          </w:hyperlink>
        </w:p>
        <w:p w14:paraId="59191A6E" w14:textId="686F46EB" w:rsidR="00601FAF" w:rsidRPr="00601FAF" w:rsidRDefault="00601FAF">
          <w:pPr>
            <w:pStyle w:val="TOC1"/>
            <w:tabs>
              <w:tab w:val="right" w:leader="dot" w:pos="9016"/>
            </w:tabs>
            <w:rPr>
              <w:rFonts w:asciiTheme="minorHAnsi" w:eastAsiaTheme="minorEastAsia" w:hAnsiTheme="minorHAnsi" w:cstheme="minorBidi"/>
              <w:noProof/>
              <w:kern w:val="2"/>
              <w:szCs w:val="24"/>
              <w:lang w:val="en-US" w:eastAsia="en-US" w:bidi="ar-SA"/>
              <w14:ligatures w14:val="standardContextual"/>
            </w:rPr>
          </w:pPr>
          <w:hyperlink w:anchor="_Toc237523890" w:history="1">
            <w:r w:rsidRPr="00601FAF">
              <w:rPr>
                <w:rStyle w:val="Hyperlink"/>
                <w:noProof/>
              </w:rPr>
              <w:t>IHG plc — Cash Conversion Cycle (CCC) Analysis, FY2020–FY2024</w:t>
            </w:r>
            <w:r w:rsidRPr="00601FAF">
              <w:rPr>
                <w:noProof/>
                <w:webHidden/>
              </w:rPr>
              <w:tab/>
            </w:r>
            <w:r w:rsidRPr="00601FAF">
              <w:rPr>
                <w:noProof/>
                <w:webHidden/>
              </w:rPr>
              <w:fldChar w:fldCharType="begin"/>
            </w:r>
            <w:r w:rsidRPr="00601FAF">
              <w:rPr>
                <w:noProof/>
                <w:webHidden/>
              </w:rPr>
              <w:instrText xml:space="preserve"> PAGEREF _Toc237523890 \h </w:instrText>
            </w:r>
            <w:r w:rsidRPr="00601FAF">
              <w:rPr>
                <w:noProof/>
                <w:webHidden/>
              </w:rPr>
            </w:r>
            <w:r w:rsidRPr="00601FAF">
              <w:rPr>
                <w:noProof/>
                <w:webHidden/>
              </w:rPr>
              <w:fldChar w:fldCharType="separate"/>
            </w:r>
            <w:r w:rsidRPr="00601FAF">
              <w:rPr>
                <w:noProof/>
                <w:webHidden/>
              </w:rPr>
              <w:t>6</w:t>
            </w:r>
            <w:r w:rsidRPr="00601FAF">
              <w:rPr>
                <w:noProof/>
                <w:webHidden/>
              </w:rPr>
              <w:fldChar w:fldCharType="end"/>
            </w:r>
          </w:hyperlink>
        </w:p>
        <w:p w14:paraId="3317CBFF" w14:textId="039AAD0D" w:rsidR="00601FAF" w:rsidRPr="00601FAF" w:rsidRDefault="00601FAF">
          <w:pPr>
            <w:pStyle w:val="TOC1"/>
            <w:tabs>
              <w:tab w:val="right" w:leader="dot" w:pos="9016"/>
            </w:tabs>
            <w:rPr>
              <w:rFonts w:asciiTheme="minorHAnsi" w:eastAsiaTheme="minorEastAsia" w:hAnsiTheme="minorHAnsi" w:cstheme="minorBidi"/>
              <w:noProof/>
              <w:kern w:val="2"/>
              <w:szCs w:val="24"/>
              <w:lang w:val="en-US" w:eastAsia="en-US" w:bidi="ar-SA"/>
              <w14:ligatures w14:val="standardContextual"/>
            </w:rPr>
          </w:pPr>
          <w:hyperlink w:anchor="_Toc237523891" w:history="1">
            <w:r w:rsidRPr="00601FAF">
              <w:rPr>
                <w:rStyle w:val="Hyperlink"/>
                <w:noProof/>
              </w:rPr>
              <w:t>1. Method and Formula</w:t>
            </w:r>
            <w:r w:rsidRPr="00601FAF">
              <w:rPr>
                <w:noProof/>
                <w:webHidden/>
              </w:rPr>
              <w:tab/>
            </w:r>
            <w:r w:rsidRPr="00601FAF">
              <w:rPr>
                <w:noProof/>
                <w:webHidden/>
              </w:rPr>
              <w:fldChar w:fldCharType="begin"/>
            </w:r>
            <w:r w:rsidRPr="00601FAF">
              <w:rPr>
                <w:noProof/>
                <w:webHidden/>
              </w:rPr>
              <w:instrText xml:space="preserve"> PAGEREF _Toc237523891 \h </w:instrText>
            </w:r>
            <w:r w:rsidRPr="00601FAF">
              <w:rPr>
                <w:noProof/>
                <w:webHidden/>
              </w:rPr>
            </w:r>
            <w:r w:rsidRPr="00601FAF">
              <w:rPr>
                <w:noProof/>
                <w:webHidden/>
              </w:rPr>
              <w:fldChar w:fldCharType="separate"/>
            </w:r>
            <w:r w:rsidRPr="00601FAF">
              <w:rPr>
                <w:noProof/>
                <w:webHidden/>
              </w:rPr>
              <w:t>6</w:t>
            </w:r>
            <w:r w:rsidRPr="00601FAF">
              <w:rPr>
                <w:noProof/>
                <w:webHidden/>
              </w:rPr>
              <w:fldChar w:fldCharType="end"/>
            </w:r>
          </w:hyperlink>
        </w:p>
        <w:p w14:paraId="32F9CDE7" w14:textId="37D91ACF" w:rsidR="00601FAF" w:rsidRPr="00601FAF" w:rsidRDefault="00601FAF">
          <w:pPr>
            <w:pStyle w:val="TOC1"/>
            <w:tabs>
              <w:tab w:val="right" w:leader="dot" w:pos="9016"/>
            </w:tabs>
            <w:rPr>
              <w:rFonts w:asciiTheme="minorHAnsi" w:eastAsiaTheme="minorEastAsia" w:hAnsiTheme="minorHAnsi" w:cstheme="minorBidi"/>
              <w:noProof/>
              <w:kern w:val="2"/>
              <w:szCs w:val="24"/>
              <w:lang w:val="en-US" w:eastAsia="en-US" w:bidi="ar-SA"/>
              <w14:ligatures w14:val="standardContextual"/>
            </w:rPr>
          </w:pPr>
          <w:hyperlink w:anchor="_Toc237523892" w:history="1">
            <w:r w:rsidRPr="00601FAF">
              <w:rPr>
                <w:rStyle w:val="Hyperlink"/>
                <w:noProof/>
              </w:rPr>
              <w:t>2. Inputs Used</w:t>
            </w:r>
            <w:r w:rsidRPr="00601FAF">
              <w:rPr>
                <w:noProof/>
                <w:webHidden/>
              </w:rPr>
              <w:tab/>
            </w:r>
            <w:r w:rsidRPr="00601FAF">
              <w:rPr>
                <w:noProof/>
                <w:webHidden/>
              </w:rPr>
              <w:fldChar w:fldCharType="begin"/>
            </w:r>
            <w:r w:rsidRPr="00601FAF">
              <w:rPr>
                <w:noProof/>
                <w:webHidden/>
              </w:rPr>
              <w:instrText xml:space="preserve"> PAGEREF _Toc237523892 \h </w:instrText>
            </w:r>
            <w:r w:rsidRPr="00601FAF">
              <w:rPr>
                <w:noProof/>
                <w:webHidden/>
              </w:rPr>
            </w:r>
            <w:r w:rsidRPr="00601FAF">
              <w:rPr>
                <w:noProof/>
                <w:webHidden/>
              </w:rPr>
              <w:fldChar w:fldCharType="separate"/>
            </w:r>
            <w:r w:rsidRPr="00601FAF">
              <w:rPr>
                <w:noProof/>
                <w:webHidden/>
              </w:rPr>
              <w:t>7</w:t>
            </w:r>
            <w:r w:rsidRPr="00601FAF">
              <w:rPr>
                <w:noProof/>
                <w:webHidden/>
              </w:rPr>
              <w:fldChar w:fldCharType="end"/>
            </w:r>
          </w:hyperlink>
        </w:p>
        <w:p w14:paraId="345CEFB6" w14:textId="03472F40" w:rsidR="00601FAF" w:rsidRPr="00601FAF" w:rsidRDefault="00601FAF">
          <w:pPr>
            <w:pStyle w:val="TOC1"/>
            <w:tabs>
              <w:tab w:val="right" w:leader="dot" w:pos="9016"/>
            </w:tabs>
            <w:rPr>
              <w:rFonts w:asciiTheme="minorHAnsi" w:eastAsiaTheme="minorEastAsia" w:hAnsiTheme="minorHAnsi" w:cstheme="minorBidi"/>
              <w:noProof/>
              <w:kern w:val="2"/>
              <w:szCs w:val="24"/>
              <w:lang w:val="en-US" w:eastAsia="en-US" w:bidi="ar-SA"/>
              <w14:ligatures w14:val="standardContextual"/>
            </w:rPr>
          </w:pPr>
          <w:hyperlink w:anchor="_Toc237523893" w:history="1">
            <w:r w:rsidRPr="00601FAF">
              <w:rPr>
                <w:rStyle w:val="Hyperlink"/>
                <w:noProof/>
              </w:rPr>
              <w:t>3. CCC Results, FY2020–FY2024</w:t>
            </w:r>
            <w:r w:rsidRPr="00601FAF">
              <w:rPr>
                <w:noProof/>
                <w:webHidden/>
              </w:rPr>
              <w:tab/>
            </w:r>
            <w:r w:rsidRPr="00601FAF">
              <w:rPr>
                <w:noProof/>
                <w:webHidden/>
              </w:rPr>
              <w:fldChar w:fldCharType="begin"/>
            </w:r>
            <w:r w:rsidRPr="00601FAF">
              <w:rPr>
                <w:noProof/>
                <w:webHidden/>
              </w:rPr>
              <w:instrText xml:space="preserve"> PAGEREF _Toc237523893 \h </w:instrText>
            </w:r>
            <w:r w:rsidRPr="00601FAF">
              <w:rPr>
                <w:noProof/>
                <w:webHidden/>
              </w:rPr>
            </w:r>
            <w:r w:rsidRPr="00601FAF">
              <w:rPr>
                <w:noProof/>
                <w:webHidden/>
              </w:rPr>
              <w:fldChar w:fldCharType="separate"/>
            </w:r>
            <w:r w:rsidRPr="00601FAF">
              <w:rPr>
                <w:noProof/>
                <w:webHidden/>
              </w:rPr>
              <w:t>7</w:t>
            </w:r>
            <w:r w:rsidRPr="00601FAF">
              <w:rPr>
                <w:noProof/>
                <w:webHidden/>
              </w:rPr>
              <w:fldChar w:fldCharType="end"/>
            </w:r>
          </w:hyperlink>
        </w:p>
        <w:p w14:paraId="6C64D5F5" w14:textId="732D963C" w:rsidR="00601FAF" w:rsidRPr="00601FAF" w:rsidRDefault="00601FAF">
          <w:pPr>
            <w:pStyle w:val="TOC1"/>
            <w:tabs>
              <w:tab w:val="right" w:leader="dot" w:pos="9016"/>
            </w:tabs>
            <w:rPr>
              <w:rFonts w:asciiTheme="minorHAnsi" w:eastAsiaTheme="minorEastAsia" w:hAnsiTheme="minorHAnsi" w:cstheme="minorBidi"/>
              <w:noProof/>
              <w:kern w:val="2"/>
              <w:szCs w:val="24"/>
              <w:lang w:val="en-US" w:eastAsia="en-US" w:bidi="ar-SA"/>
              <w14:ligatures w14:val="standardContextual"/>
            </w:rPr>
          </w:pPr>
          <w:hyperlink w:anchor="_Toc237523894" w:history="1">
            <w:r w:rsidRPr="00601FAF">
              <w:rPr>
                <w:rStyle w:val="Hyperlink"/>
                <w:noProof/>
              </w:rPr>
              <w:t>4. Significant Year-on-Year Changes</w:t>
            </w:r>
            <w:r w:rsidRPr="00601FAF">
              <w:rPr>
                <w:noProof/>
                <w:webHidden/>
              </w:rPr>
              <w:tab/>
            </w:r>
            <w:r w:rsidRPr="00601FAF">
              <w:rPr>
                <w:noProof/>
                <w:webHidden/>
              </w:rPr>
              <w:fldChar w:fldCharType="begin"/>
            </w:r>
            <w:r w:rsidRPr="00601FAF">
              <w:rPr>
                <w:noProof/>
                <w:webHidden/>
              </w:rPr>
              <w:instrText xml:space="preserve"> PAGEREF _Toc237523894 \h </w:instrText>
            </w:r>
            <w:r w:rsidRPr="00601FAF">
              <w:rPr>
                <w:noProof/>
                <w:webHidden/>
              </w:rPr>
            </w:r>
            <w:r w:rsidRPr="00601FAF">
              <w:rPr>
                <w:noProof/>
                <w:webHidden/>
              </w:rPr>
              <w:fldChar w:fldCharType="separate"/>
            </w:r>
            <w:r w:rsidRPr="00601FAF">
              <w:rPr>
                <w:noProof/>
                <w:webHidden/>
              </w:rPr>
              <w:t>8</w:t>
            </w:r>
            <w:r w:rsidRPr="00601FAF">
              <w:rPr>
                <w:noProof/>
                <w:webHidden/>
              </w:rPr>
              <w:fldChar w:fldCharType="end"/>
            </w:r>
          </w:hyperlink>
        </w:p>
        <w:p w14:paraId="737104B9" w14:textId="32028EE4" w:rsidR="00601FAF" w:rsidRPr="00601FAF" w:rsidRDefault="00601FAF">
          <w:pPr>
            <w:pStyle w:val="TOC2"/>
            <w:rPr>
              <w:rFonts w:asciiTheme="minorHAnsi" w:eastAsiaTheme="minorEastAsia" w:hAnsiTheme="minorHAnsi" w:cstheme="minorBidi"/>
              <w:b w:val="0"/>
              <w:bCs w:val="0"/>
              <w:kern w:val="2"/>
              <w:szCs w:val="24"/>
              <w:lang w:val="en-US" w:eastAsia="en-US" w:bidi="ar-SA"/>
              <w14:ligatures w14:val="standardContextual"/>
            </w:rPr>
          </w:pPr>
          <w:hyperlink w:anchor="_Toc237523895" w:history="1">
            <w:r w:rsidRPr="00601FAF">
              <w:rPr>
                <w:rStyle w:val="Hyperlink"/>
                <w:b w:val="0"/>
                <w:bCs w:val="0"/>
              </w:rPr>
              <w:t>2020 → 2021: CCC improves from (397.0) to (359.8) days — a 37.2-day improvement</w:t>
            </w:r>
            <w:r w:rsidRPr="00601FAF">
              <w:rPr>
                <w:b w:val="0"/>
                <w:bCs w:val="0"/>
                <w:webHidden/>
              </w:rPr>
              <w:tab/>
            </w:r>
            <w:r w:rsidRPr="00601FAF">
              <w:rPr>
                <w:b w:val="0"/>
                <w:bCs w:val="0"/>
                <w:webHidden/>
              </w:rPr>
              <w:fldChar w:fldCharType="begin"/>
            </w:r>
            <w:r w:rsidRPr="00601FAF">
              <w:rPr>
                <w:b w:val="0"/>
                <w:bCs w:val="0"/>
                <w:webHidden/>
              </w:rPr>
              <w:instrText xml:space="preserve"> PAGEREF _Toc237523895 \h </w:instrText>
            </w:r>
            <w:r w:rsidRPr="00601FAF">
              <w:rPr>
                <w:b w:val="0"/>
                <w:bCs w:val="0"/>
                <w:webHidden/>
              </w:rPr>
            </w:r>
            <w:r w:rsidRPr="00601FAF">
              <w:rPr>
                <w:b w:val="0"/>
                <w:bCs w:val="0"/>
                <w:webHidden/>
              </w:rPr>
              <w:fldChar w:fldCharType="separate"/>
            </w:r>
            <w:r w:rsidRPr="00601FAF">
              <w:rPr>
                <w:b w:val="0"/>
                <w:bCs w:val="0"/>
                <w:webHidden/>
              </w:rPr>
              <w:t>8</w:t>
            </w:r>
            <w:r w:rsidRPr="00601FAF">
              <w:rPr>
                <w:b w:val="0"/>
                <w:bCs w:val="0"/>
                <w:webHidden/>
              </w:rPr>
              <w:fldChar w:fldCharType="end"/>
            </w:r>
          </w:hyperlink>
        </w:p>
        <w:p w14:paraId="51CF1CA0" w14:textId="0E9C0471" w:rsidR="00601FAF" w:rsidRPr="00601FAF" w:rsidRDefault="00601FAF">
          <w:pPr>
            <w:pStyle w:val="TOC2"/>
            <w:rPr>
              <w:rFonts w:asciiTheme="minorHAnsi" w:eastAsiaTheme="minorEastAsia" w:hAnsiTheme="minorHAnsi" w:cstheme="minorBidi"/>
              <w:b w:val="0"/>
              <w:bCs w:val="0"/>
              <w:kern w:val="2"/>
              <w:szCs w:val="24"/>
              <w:lang w:val="en-US" w:eastAsia="en-US" w:bidi="ar-SA"/>
              <w14:ligatures w14:val="standardContextual"/>
            </w:rPr>
          </w:pPr>
          <w:hyperlink w:anchor="_Toc237523896" w:history="1">
            <w:r w:rsidRPr="00601FAF">
              <w:rPr>
                <w:rStyle w:val="Hyperlink"/>
                <w:b w:val="0"/>
                <w:bCs w:val="0"/>
              </w:rPr>
              <w:t>2021 → 2022: CCC improves from (359.8) to (329.8) days — a 30.0-day improvement</w:t>
            </w:r>
            <w:r w:rsidRPr="00601FAF">
              <w:rPr>
                <w:b w:val="0"/>
                <w:bCs w:val="0"/>
                <w:webHidden/>
              </w:rPr>
              <w:tab/>
            </w:r>
            <w:r w:rsidRPr="00601FAF">
              <w:rPr>
                <w:b w:val="0"/>
                <w:bCs w:val="0"/>
                <w:webHidden/>
              </w:rPr>
              <w:fldChar w:fldCharType="begin"/>
            </w:r>
            <w:r w:rsidRPr="00601FAF">
              <w:rPr>
                <w:b w:val="0"/>
                <w:bCs w:val="0"/>
                <w:webHidden/>
              </w:rPr>
              <w:instrText xml:space="preserve"> PAGEREF _Toc237523896 \h </w:instrText>
            </w:r>
            <w:r w:rsidRPr="00601FAF">
              <w:rPr>
                <w:b w:val="0"/>
                <w:bCs w:val="0"/>
                <w:webHidden/>
              </w:rPr>
            </w:r>
            <w:r w:rsidRPr="00601FAF">
              <w:rPr>
                <w:b w:val="0"/>
                <w:bCs w:val="0"/>
                <w:webHidden/>
              </w:rPr>
              <w:fldChar w:fldCharType="separate"/>
            </w:r>
            <w:r w:rsidRPr="00601FAF">
              <w:rPr>
                <w:b w:val="0"/>
                <w:bCs w:val="0"/>
                <w:webHidden/>
              </w:rPr>
              <w:t>9</w:t>
            </w:r>
            <w:r w:rsidRPr="00601FAF">
              <w:rPr>
                <w:b w:val="0"/>
                <w:bCs w:val="0"/>
                <w:webHidden/>
              </w:rPr>
              <w:fldChar w:fldCharType="end"/>
            </w:r>
          </w:hyperlink>
        </w:p>
        <w:p w14:paraId="118A03DD" w14:textId="016947EE" w:rsidR="00601FAF" w:rsidRPr="00601FAF" w:rsidRDefault="00601FAF">
          <w:pPr>
            <w:pStyle w:val="TOC2"/>
            <w:rPr>
              <w:rFonts w:asciiTheme="minorHAnsi" w:eastAsiaTheme="minorEastAsia" w:hAnsiTheme="minorHAnsi" w:cstheme="minorBidi"/>
              <w:b w:val="0"/>
              <w:bCs w:val="0"/>
              <w:kern w:val="2"/>
              <w:szCs w:val="24"/>
              <w:lang w:val="en-US" w:eastAsia="en-US" w:bidi="ar-SA"/>
              <w14:ligatures w14:val="standardContextual"/>
            </w:rPr>
          </w:pPr>
          <w:hyperlink w:anchor="_Toc237523897" w:history="1">
            <w:r w:rsidRPr="00601FAF">
              <w:rPr>
                <w:rStyle w:val="Hyperlink"/>
                <w:b w:val="0"/>
                <w:bCs w:val="0"/>
              </w:rPr>
              <w:t>2022 → 2023: CCC improves from (329.8) to (288.9) days — a 40.9-day improvement (the largest single-year change)</w:t>
            </w:r>
            <w:r w:rsidRPr="00601FAF">
              <w:rPr>
                <w:b w:val="0"/>
                <w:bCs w:val="0"/>
                <w:webHidden/>
              </w:rPr>
              <w:tab/>
            </w:r>
            <w:r w:rsidRPr="00601FAF">
              <w:rPr>
                <w:b w:val="0"/>
                <w:bCs w:val="0"/>
                <w:webHidden/>
              </w:rPr>
              <w:fldChar w:fldCharType="begin"/>
            </w:r>
            <w:r w:rsidRPr="00601FAF">
              <w:rPr>
                <w:b w:val="0"/>
                <w:bCs w:val="0"/>
                <w:webHidden/>
              </w:rPr>
              <w:instrText xml:space="preserve"> PAGEREF _Toc237523897 \h </w:instrText>
            </w:r>
            <w:r w:rsidRPr="00601FAF">
              <w:rPr>
                <w:b w:val="0"/>
                <w:bCs w:val="0"/>
                <w:webHidden/>
              </w:rPr>
            </w:r>
            <w:r w:rsidRPr="00601FAF">
              <w:rPr>
                <w:b w:val="0"/>
                <w:bCs w:val="0"/>
                <w:webHidden/>
              </w:rPr>
              <w:fldChar w:fldCharType="separate"/>
            </w:r>
            <w:r w:rsidRPr="00601FAF">
              <w:rPr>
                <w:b w:val="0"/>
                <w:bCs w:val="0"/>
                <w:webHidden/>
              </w:rPr>
              <w:t>9</w:t>
            </w:r>
            <w:r w:rsidRPr="00601FAF">
              <w:rPr>
                <w:b w:val="0"/>
                <w:bCs w:val="0"/>
                <w:webHidden/>
              </w:rPr>
              <w:fldChar w:fldCharType="end"/>
            </w:r>
          </w:hyperlink>
        </w:p>
        <w:p w14:paraId="76C2F1AD" w14:textId="782B6AC7" w:rsidR="00601FAF" w:rsidRPr="00601FAF" w:rsidRDefault="00601FAF">
          <w:pPr>
            <w:pStyle w:val="TOC2"/>
            <w:rPr>
              <w:rFonts w:asciiTheme="minorHAnsi" w:eastAsiaTheme="minorEastAsia" w:hAnsiTheme="minorHAnsi" w:cstheme="minorBidi"/>
              <w:b w:val="0"/>
              <w:bCs w:val="0"/>
              <w:kern w:val="2"/>
              <w:szCs w:val="24"/>
              <w:lang w:val="en-US" w:eastAsia="en-US" w:bidi="ar-SA"/>
              <w14:ligatures w14:val="standardContextual"/>
            </w:rPr>
          </w:pPr>
          <w:hyperlink w:anchor="_Toc237523898" w:history="1">
            <w:r w:rsidRPr="00601FAF">
              <w:rPr>
                <w:rStyle w:val="Hyperlink"/>
                <w:b w:val="0"/>
                <w:bCs w:val="0"/>
              </w:rPr>
              <w:t>2023 → 2024: CCC improves from (288.9) to (258.3) days — a 30.6-day improvement</w:t>
            </w:r>
            <w:r w:rsidRPr="00601FAF">
              <w:rPr>
                <w:b w:val="0"/>
                <w:bCs w:val="0"/>
                <w:webHidden/>
              </w:rPr>
              <w:tab/>
            </w:r>
            <w:r w:rsidRPr="00601FAF">
              <w:rPr>
                <w:b w:val="0"/>
                <w:bCs w:val="0"/>
                <w:webHidden/>
              </w:rPr>
              <w:fldChar w:fldCharType="begin"/>
            </w:r>
            <w:r w:rsidRPr="00601FAF">
              <w:rPr>
                <w:b w:val="0"/>
                <w:bCs w:val="0"/>
                <w:webHidden/>
              </w:rPr>
              <w:instrText xml:space="preserve"> PAGEREF _Toc237523898 \h </w:instrText>
            </w:r>
            <w:r w:rsidRPr="00601FAF">
              <w:rPr>
                <w:b w:val="0"/>
                <w:bCs w:val="0"/>
                <w:webHidden/>
              </w:rPr>
            </w:r>
            <w:r w:rsidRPr="00601FAF">
              <w:rPr>
                <w:b w:val="0"/>
                <w:bCs w:val="0"/>
                <w:webHidden/>
              </w:rPr>
              <w:fldChar w:fldCharType="separate"/>
            </w:r>
            <w:r w:rsidRPr="00601FAF">
              <w:rPr>
                <w:b w:val="0"/>
                <w:bCs w:val="0"/>
                <w:webHidden/>
              </w:rPr>
              <w:t>10</w:t>
            </w:r>
            <w:r w:rsidRPr="00601FAF">
              <w:rPr>
                <w:b w:val="0"/>
                <w:bCs w:val="0"/>
                <w:webHidden/>
              </w:rPr>
              <w:fldChar w:fldCharType="end"/>
            </w:r>
          </w:hyperlink>
        </w:p>
        <w:p w14:paraId="2FBE6320" w14:textId="53910E1B" w:rsidR="00601FAF" w:rsidRPr="00601FAF" w:rsidRDefault="00601FAF">
          <w:pPr>
            <w:pStyle w:val="TOC1"/>
            <w:tabs>
              <w:tab w:val="right" w:leader="dot" w:pos="9016"/>
            </w:tabs>
            <w:rPr>
              <w:rFonts w:asciiTheme="minorHAnsi" w:eastAsiaTheme="minorEastAsia" w:hAnsiTheme="minorHAnsi" w:cstheme="minorBidi"/>
              <w:noProof/>
              <w:kern w:val="2"/>
              <w:szCs w:val="24"/>
              <w:lang w:val="en-US" w:eastAsia="en-US" w:bidi="ar-SA"/>
              <w14:ligatures w14:val="standardContextual"/>
            </w:rPr>
          </w:pPr>
          <w:hyperlink w:anchor="_Toc237523899" w:history="1">
            <w:r w:rsidRPr="00601FAF">
              <w:rPr>
                <w:rStyle w:val="Hyperlink"/>
                <w:noProof/>
              </w:rPr>
              <w:t>5. Overall Pattern and Interpretation</w:t>
            </w:r>
            <w:r w:rsidRPr="00601FAF">
              <w:rPr>
                <w:noProof/>
                <w:webHidden/>
              </w:rPr>
              <w:tab/>
            </w:r>
            <w:r w:rsidRPr="00601FAF">
              <w:rPr>
                <w:noProof/>
                <w:webHidden/>
              </w:rPr>
              <w:fldChar w:fldCharType="begin"/>
            </w:r>
            <w:r w:rsidRPr="00601FAF">
              <w:rPr>
                <w:noProof/>
                <w:webHidden/>
              </w:rPr>
              <w:instrText xml:space="preserve"> PAGEREF _Toc237523899 \h </w:instrText>
            </w:r>
            <w:r w:rsidRPr="00601FAF">
              <w:rPr>
                <w:noProof/>
                <w:webHidden/>
              </w:rPr>
            </w:r>
            <w:r w:rsidRPr="00601FAF">
              <w:rPr>
                <w:noProof/>
                <w:webHidden/>
              </w:rPr>
              <w:fldChar w:fldCharType="separate"/>
            </w:r>
            <w:r w:rsidRPr="00601FAF">
              <w:rPr>
                <w:noProof/>
                <w:webHidden/>
              </w:rPr>
              <w:t>11</w:t>
            </w:r>
            <w:r w:rsidRPr="00601FAF">
              <w:rPr>
                <w:noProof/>
                <w:webHidden/>
              </w:rPr>
              <w:fldChar w:fldCharType="end"/>
            </w:r>
          </w:hyperlink>
        </w:p>
        <w:p w14:paraId="35ED7E0B" w14:textId="18DFBCB6" w:rsidR="00601FAF" w:rsidRPr="00601FAF" w:rsidRDefault="00601FAF">
          <w:pPr>
            <w:pStyle w:val="TOC2"/>
            <w:rPr>
              <w:rFonts w:asciiTheme="minorHAnsi" w:eastAsiaTheme="minorEastAsia" w:hAnsiTheme="minorHAnsi" w:cstheme="minorBidi"/>
              <w:b w:val="0"/>
              <w:bCs w:val="0"/>
              <w:kern w:val="2"/>
              <w:szCs w:val="24"/>
              <w:lang w:val="en-US" w:eastAsia="en-US" w:bidi="ar-SA"/>
              <w14:ligatures w14:val="standardContextual"/>
            </w:rPr>
          </w:pPr>
          <w:hyperlink w:anchor="_Toc237523900" w:history="1">
            <w:r w:rsidRPr="00601FAF">
              <w:rPr>
                <w:rStyle w:val="Hyperlink"/>
                <w:b w:val="0"/>
                <w:bCs w:val="0"/>
              </w:rPr>
              <w:t>A note on IHG's balance sheet structure</w:t>
            </w:r>
            <w:r w:rsidRPr="00601FAF">
              <w:rPr>
                <w:b w:val="0"/>
                <w:bCs w:val="0"/>
                <w:webHidden/>
              </w:rPr>
              <w:tab/>
            </w:r>
            <w:r w:rsidRPr="00601FAF">
              <w:rPr>
                <w:b w:val="0"/>
                <w:bCs w:val="0"/>
                <w:webHidden/>
              </w:rPr>
              <w:fldChar w:fldCharType="begin"/>
            </w:r>
            <w:r w:rsidRPr="00601FAF">
              <w:rPr>
                <w:b w:val="0"/>
                <w:bCs w:val="0"/>
                <w:webHidden/>
              </w:rPr>
              <w:instrText xml:space="preserve"> PAGEREF _Toc237523900 \h </w:instrText>
            </w:r>
            <w:r w:rsidRPr="00601FAF">
              <w:rPr>
                <w:b w:val="0"/>
                <w:bCs w:val="0"/>
                <w:webHidden/>
              </w:rPr>
            </w:r>
            <w:r w:rsidRPr="00601FAF">
              <w:rPr>
                <w:b w:val="0"/>
                <w:bCs w:val="0"/>
                <w:webHidden/>
              </w:rPr>
              <w:fldChar w:fldCharType="separate"/>
            </w:r>
            <w:r w:rsidRPr="00601FAF">
              <w:rPr>
                <w:b w:val="0"/>
                <w:bCs w:val="0"/>
                <w:webHidden/>
              </w:rPr>
              <w:t>12</w:t>
            </w:r>
            <w:r w:rsidRPr="00601FAF">
              <w:rPr>
                <w:b w:val="0"/>
                <w:bCs w:val="0"/>
                <w:webHidden/>
              </w:rPr>
              <w:fldChar w:fldCharType="end"/>
            </w:r>
          </w:hyperlink>
        </w:p>
        <w:p w14:paraId="73094768" w14:textId="63A50C67" w:rsidR="00601FAF" w:rsidRPr="00601FAF" w:rsidRDefault="00601FAF">
          <w:pPr>
            <w:pStyle w:val="TOC1"/>
            <w:tabs>
              <w:tab w:val="right" w:leader="dot" w:pos="9016"/>
            </w:tabs>
            <w:rPr>
              <w:rFonts w:asciiTheme="minorHAnsi" w:eastAsiaTheme="minorEastAsia" w:hAnsiTheme="minorHAnsi" w:cstheme="minorBidi"/>
              <w:noProof/>
              <w:kern w:val="2"/>
              <w:szCs w:val="24"/>
              <w:lang w:val="en-US" w:eastAsia="en-US" w:bidi="ar-SA"/>
              <w14:ligatures w14:val="standardContextual"/>
            </w:rPr>
          </w:pPr>
          <w:hyperlink w:anchor="_Toc237523901" w:history="1">
            <w:r w:rsidRPr="00601FAF">
              <w:rPr>
                <w:rStyle w:val="Hyperlink"/>
                <w:noProof/>
              </w:rPr>
              <w:t>1. Profitability Ratios</w:t>
            </w:r>
            <w:r w:rsidRPr="00601FAF">
              <w:rPr>
                <w:noProof/>
                <w:webHidden/>
              </w:rPr>
              <w:tab/>
            </w:r>
            <w:r w:rsidRPr="00601FAF">
              <w:rPr>
                <w:noProof/>
                <w:webHidden/>
              </w:rPr>
              <w:fldChar w:fldCharType="begin"/>
            </w:r>
            <w:r w:rsidRPr="00601FAF">
              <w:rPr>
                <w:noProof/>
                <w:webHidden/>
              </w:rPr>
              <w:instrText xml:space="preserve"> PAGEREF _Toc237523901 \h </w:instrText>
            </w:r>
            <w:r w:rsidRPr="00601FAF">
              <w:rPr>
                <w:noProof/>
                <w:webHidden/>
              </w:rPr>
            </w:r>
            <w:r w:rsidRPr="00601FAF">
              <w:rPr>
                <w:noProof/>
                <w:webHidden/>
              </w:rPr>
              <w:fldChar w:fldCharType="separate"/>
            </w:r>
            <w:r w:rsidRPr="00601FAF">
              <w:rPr>
                <w:noProof/>
                <w:webHidden/>
              </w:rPr>
              <w:t>12</w:t>
            </w:r>
            <w:r w:rsidRPr="00601FAF">
              <w:rPr>
                <w:noProof/>
                <w:webHidden/>
              </w:rPr>
              <w:fldChar w:fldCharType="end"/>
            </w:r>
          </w:hyperlink>
        </w:p>
        <w:p w14:paraId="460551B3" w14:textId="347FC5CD" w:rsidR="00601FAF" w:rsidRPr="00601FAF" w:rsidRDefault="00601FAF">
          <w:pPr>
            <w:pStyle w:val="TOC2"/>
            <w:rPr>
              <w:rFonts w:asciiTheme="minorHAnsi" w:eastAsiaTheme="minorEastAsia" w:hAnsiTheme="minorHAnsi" w:cstheme="minorBidi"/>
              <w:b w:val="0"/>
              <w:bCs w:val="0"/>
              <w:kern w:val="2"/>
              <w:szCs w:val="24"/>
              <w:lang w:val="en-US" w:eastAsia="en-US" w:bidi="ar-SA"/>
              <w14:ligatures w14:val="standardContextual"/>
            </w:rPr>
          </w:pPr>
          <w:hyperlink w:anchor="_Toc237523902" w:history="1">
            <w:r w:rsidRPr="00601FAF">
              <w:rPr>
                <w:rStyle w:val="Hyperlink"/>
                <w:b w:val="0"/>
                <w:bCs w:val="0"/>
              </w:rPr>
              <w:t>Key changes and explanations</w:t>
            </w:r>
            <w:r w:rsidRPr="00601FAF">
              <w:rPr>
                <w:b w:val="0"/>
                <w:bCs w:val="0"/>
                <w:webHidden/>
              </w:rPr>
              <w:tab/>
            </w:r>
            <w:r w:rsidRPr="00601FAF">
              <w:rPr>
                <w:b w:val="0"/>
                <w:bCs w:val="0"/>
                <w:webHidden/>
              </w:rPr>
              <w:fldChar w:fldCharType="begin"/>
            </w:r>
            <w:r w:rsidRPr="00601FAF">
              <w:rPr>
                <w:b w:val="0"/>
                <w:bCs w:val="0"/>
                <w:webHidden/>
              </w:rPr>
              <w:instrText xml:space="preserve"> PAGEREF _Toc237523902 \h </w:instrText>
            </w:r>
            <w:r w:rsidRPr="00601FAF">
              <w:rPr>
                <w:b w:val="0"/>
                <w:bCs w:val="0"/>
                <w:webHidden/>
              </w:rPr>
            </w:r>
            <w:r w:rsidRPr="00601FAF">
              <w:rPr>
                <w:b w:val="0"/>
                <w:bCs w:val="0"/>
                <w:webHidden/>
              </w:rPr>
              <w:fldChar w:fldCharType="separate"/>
            </w:r>
            <w:r w:rsidRPr="00601FAF">
              <w:rPr>
                <w:b w:val="0"/>
                <w:bCs w:val="0"/>
                <w:webHidden/>
              </w:rPr>
              <w:t>13</w:t>
            </w:r>
            <w:r w:rsidRPr="00601FAF">
              <w:rPr>
                <w:b w:val="0"/>
                <w:bCs w:val="0"/>
                <w:webHidden/>
              </w:rPr>
              <w:fldChar w:fldCharType="end"/>
            </w:r>
          </w:hyperlink>
        </w:p>
        <w:p w14:paraId="551C0FAD" w14:textId="77A69964" w:rsidR="00601FAF" w:rsidRPr="00601FAF" w:rsidRDefault="00601FAF">
          <w:pPr>
            <w:pStyle w:val="TOC1"/>
            <w:tabs>
              <w:tab w:val="right" w:leader="dot" w:pos="9016"/>
            </w:tabs>
            <w:rPr>
              <w:rFonts w:asciiTheme="minorHAnsi" w:eastAsiaTheme="minorEastAsia" w:hAnsiTheme="minorHAnsi" w:cstheme="minorBidi"/>
              <w:noProof/>
              <w:kern w:val="2"/>
              <w:szCs w:val="24"/>
              <w:lang w:val="en-US" w:eastAsia="en-US" w:bidi="ar-SA"/>
              <w14:ligatures w14:val="standardContextual"/>
            </w:rPr>
          </w:pPr>
          <w:hyperlink w:anchor="_Toc237523903" w:history="1">
            <w:r w:rsidRPr="00601FAF">
              <w:rPr>
                <w:rStyle w:val="Hyperlink"/>
                <w:noProof/>
              </w:rPr>
              <w:t>2. Liquidity Ratios</w:t>
            </w:r>
            <w:r w:rsidRPr="00601FAF">
              <w:rPr>
                <w:noProof/>
                <w:webHidden/>
              </w:rPr>
              <w:tab/>
            </w:r>
            <w:r w:rsidRPr="00601FAF">
              <w:rPr>
                <w:noProof/>
                <w:webHidden/>
              </w:rPr>
              <w:fldChar w:fldCharType="begin"/>
            </w:r>
            <w:r w:rsidRPr="00601FAF">
              <w:rPr>
                <w:noProof/>
                <w:webHidden/>
              </w:rPr>
              <w:instrText xml:space="preserve"> PAGEREF _Toc237523903 \h </w:instrText>
            </w:r>
            <w:r w:rsidRPr="00601FAF">
              <w:rPr>
                <w:noProof/>
                <w:webHidden/>
              </w:rPr>
            </w:r>
            <w:r w:rsidRPr="00601FAF">
              <w:rPr>
                <w:noProof/>
                <w:webHidden/>
              </w:rPr>
              <w:fldChar w:fldCharType="separate"/>
            </w:r>
            <w:r w:rsidRPr="00601FAF">
              <w:rPr>
                <w:noProof/>
                <w:webHidden/>
              </w:rPr>
              <w:t>13</w:t>
            </w:r>
            <w:r w:rsidRPr="00601FAF">
              <w:rPr>
                <w:noProof/>
                <w:webHidden/>
              </w:rPr>
              <w:fldChar w:fldCharType="end"/>
            </w:r>
          </w:hyperlink>
        </w:p>
        <w:p w14:paraId="30923CE9" w14:textId="2F88CD6B" w:rsidR="00601FAF" w:rsidRPr="00601FAF" w:rsidRDefault="00601FAF">
          <w:pPr>
            <w:pStyle w:val="TOC2"/>
            <w:rPr>
              <w:rFonts w:asciiTheme="minorHAnsi" w:eastAsiaTheme="minorEastAsia" w:hAnsiTheme="minorHAnsi" w:cstheme="minorBidi"/>
              <w:b w:val="0"/>
              <w:bCs w:val="0"/>
              <w:kern w:val="2"/>
              <w:szCs w:val="24"/>
              <w:lang w:val="en-US" w:eastAsia="en-US" w:bidi="ar-SA"/>
              <w14:ligatures w14:val="standardContextual"/>
            </w:rPr>
          </w:pPr>
          <w:hyperlink w:anchor="_Toc237523904" w:history="1">
            <w:r w:rsidRPr="00601FAF">
              <w:rPr>
                <w:rStyle w:val="Hyperlink"/>
                <w:b w:val="0"/>
                <w:bCs w:val="0"/>
              </w:rPr>
              <w:t>Key changes and explanations</w:t>
            </w:r>
            <w:r w:rsidRPr="00601FAF">
              <w:rPr>
                <w:b w:val="0"/>
                <w:bCs w:val="0"/>
                <w:webHidden/>
              </w:rPr>
              <w:tab/>
            </w:r>
            <w:r w:rsidRPr="00601FAF">
              <w:rPr>
                <w:b w:val="0"/>
                <w:bCs w:val="0"/>
                <w:webHidden/>
              </w:rPr>
              <w:fldChar w:fldCharType="begin"/>
            </w:r>
            <w:r w:rsidRPr="00601FAF">
              <w:rPr>
                <w:b w:val="0"/>
                <w:bCs w:val="0"/>
                <w:webHidden/>
              </w:rPr>
              <w:instrText xml:space="preserve"> PAGEREF _Toc237523904 \h </w:instrText>
            </w:r>
            <w:r w:rsidRPr="00601FAF">
              <w:rPr>
                <w:b w:val="0"/>
                <w:bCs w:val="0"/>
                <w:webHidden/>
              </w:rPr>
            </w:r>
            <w:r w:rsidRPr="00601FAF">
              <w:rPr>
                <w:b w:val="0"/>
                <w:bCs w:val="0"/>
                <w:webHidden/>
              </w:rPr>
              <w:fldChar w:fldCharType="separate"/>
            </w:r>
            <w:r w:rsidRPr="00601FAF">
              <w:rPr>
                <w:b w:val="0"/>
                <w:bCs w:val="0"/>
                <w:webHidden/>
              </w:rPr>
              <w:t>14</w:t>
            </w:r>
            <w:r w:rsidRPr="00601FAF">
              <w:rPr>
                <w:b w:val="0"/>
                <w:bCs w:val="0"/>
                <w:webHidden/>
              </w:rPr>
              <w:fldChar w:fldCharType="end"/>
            </w:r>
          </w:hyperlink>
        </w:p>
        <w:p w14:paraId="7537810C" w14:textId="019E162F" w:rsidR="00601FAF" w:rsidRPr="00601FAF" w:rsidRDefault="00601FAF">
          <w:pPr>
            <w:pStyle w:val="TOC1"/>
            <w:tabs>
              <w:tab w:val="right" w:leader="dot" w:pos="9016"/>
            </w:tabs>
            <w:rPr>
              <w:rFonts w:asciiTheme="minorHAnsi" w:eastAsiaTheme="minorEastAsia" w:hAnsiTheme="minorHAnsi" w:cstheme="minorBidi"/>
              <w:noProof/>
              <w:kern w:val="2"/>
              <w:szCs w:val="24"/>
              <w:lang w:val="en-US" w:eastAsia="en-US" w:bidi="ar-SA"/>
              <w14:ligatures w14:val="standardContextual"/>
            </w:rPr>
          </w:pPr>
          <w:hyperlink w:anchor="_Toc237523905" w:history="1">
            <w:r w:rsidRPr="00601FAF">
              <w:rPr>
                <w:rStyle w:val="Hyperlink"/>
                <w:noProof/>
              </w:rPr>
              <w:t>3. Efficiency Ratios</w:t>
            </w:r>
            <w:r w:rsidRPr="00601FAF">
              <w:rPr>
                <w:noProof/>
                <w:webHidden/>
              </w:rPr>
              <w:tab/>
            </w:r>
            <w:r w:rsidRPr="00601FAF">
              <w:rPr>
                <w:noProof/>
                <w:webHidden/>
              </w:rPr>
              <w:fldChar w:fldCharType="begin"/>
            </w:r>
            <w:r w:rsidRPr="00601FAF">
              <w:rPr>
                <w:noProof/>
                <w:webHidden/>
              </w:rPr>
              <w:instrText xml:space="preserve"> PAGEREF _Toc237523905 \h </w:instrText>
            </w:r>
            <w:r w:rsidRPr="00601FAF">
              <w:rPr>
                <w:noProof/>
                <w:webHidden/>
              </w:rPr>
            </w:r>
            <w:r w:rsidRPr="00601FAF">
              <w:rPr>
                <w:noProof/>
                <w:webHidden/>
              </w:rPr>
              <w:fldChar w:fldCharType="separate"/>
            </w:r>
            <w:r w:rsidRPr="00601FAF">
              <w:rPr>
                <w:noProof/>
                <w:webHidden/>
              </w:rPr>
              <w:t>14</w:t>
            </w:r>
            <w:r w:rsidRPr="00601FAF">
              <w:rPr>
                <w:noProof/>
                <w:webHidden/>
              </w:rPr>
              <w:fldChar w:fldCharType="end"/>
            </w:r>
          </w:hyperlink>
        </w:p>
        <w:p w14:paraId="6D5E915B" w14:textId="438EEE07" w:rsidR="00601FAF" w:rsidRPr="00601FAF" w:rsidRDefault="00601FAF">
          <w:pPr>
            <w:pStyle w:val="TOC1"/>
            <w:tabs>
              <w:tab w:val="right" w:leader="dot" w:pos="9016"/>
            </w:tabs>
            <w:rPr>
              <w:rFonts w:asciiTheme="minorHAnsi" w:eastAsiaTheme="minorEastAsia" w:hAnsiTheme="minorHAnsi" w:cstheme="minorBidi"/>
              <w:noProof/>
              <w:kern w:val="2"/>
              <w:szCs w:val="24"/>
              <w:lang w:val="en-US" w:eastAsia="en-US" w:bidi="ar-SA"/>
              <w14:ligatures w14:val="standardContextual"/>
            </w:rPr>
          </w:pPr>
          <w:hyperlink w:anchor="_Toc237523906" w:history="1">
            <w:r w:rsidRPr="00601FAF">
              <w:rPr>
                <w:rStyle w:val="Hyperlink"/>
                <w:noProof/>
              </w:rPr>
              <w:t>Key changes and explanations</w:t>
            </w:r>
            <w:r w:rsidRPr="00601FAF">
              <w:rPr>
                <w:noProof/>
                <w:webHidden/>
              </w:rPr>
              <w:tab/>
            </w:r>
            <w:r w:rsidRPr="00601FAF">
              <w:rPr>
                <w:noProof/>
                <w:webHidden/>
              </w:rPr>
              <w:fldChar w:fldCharType="begin"/>
            </w:r>
            <w:r w:rsidRPr="00601FAF">
              <w:rPr>
                <w:noProof/>
                <w:webHidden/>
              </w:rPr>
              <w:instrText xml:space="preserve"> PAGEREF _Toc237523906 \h </w:instrText>
            </w:r>
            <w:r w:rsidRPr="00601FAF">
              <w:rPr>
                <w:noProof/>
                <w:webHidden/>
              </w:rPr>
            </w:r>
            <w:r w:rsidRPr="00601FAF">
              <w:rPr>
                <w:noProof/>
                <w:webHidden/>
              </w:rPr>
              <w:fldChar w:fldCharType="separate"/>
            </w:r>
            <w:r w:rsidRPr="00601FAF">
              <w:rPr>
                <w:noProof/>
                <w:webHidden/>
              </w:rPr>
              <w:t>14</w:t>
            </w:r>
            <w:r w:rsidRPr="00601FAF">
              <w:rPr>
                <w:noProof/>
                <w:webHidden/>
              </w:rPr>
              <w:fldChar w:fldCharType="end"/>
            </w:r>
          </w:hyperlink>
        </w:p>
        <w:p w14:paraId="5FFB54C1" w14:textId="2167A6BE" w:rsidR="00601FAF" w:rsidRPr="00601FAF" w:rsidRDefault="00601FAF">
          <w:pPr>
            <w:pStyle w:val="TOC1"/>
            <w:tabs>
              <w:tab w:val="right" w:leader="dot" w:pos="9016"/>
            </w:tabs>
            <w:rPr>
              <w:rFonts w:asciiTheme="minorHAnsi" w:eastAsiaTheme="minorEastAsia" w:hAnsiTheme="minorHAnsi" w:cstheme="minorBidi"/>
              <w:noProof/>
              <w:kern w:val="2"/>
              <w:szCs w:val="24"/>
              <w:lang w:val="en-US" w:eastAsia="en-US" w:bidi="ar-SA"/>
              <w14:ligatures w14:val="standardContextual"/>
            </w:rPr>
          </w:pPr>
          <w:hyperlink w:anchor="_Toc237523907" w:history="1">
            <w:r w:rsidRPr="00601FAF">
              <w:rPr>
                <w:rStyle w:val="Hyperlink"/>
                <w:noProof/>
              </w:rPr>
              <w:t>4. Leverage Ratios</w:t>
            </w:r>
            <w:r w:rsidRPr="00601FAF">
              <w:rPr>
                <w:noProof/>
                <w:webHidden/>
              </w:rPr>
              <w:tab/>
            </w:r>
            <w:r w:rsidRPr="00601FAF">
              <w:rPr>
                <w:noProof/>
                <w:webHidden/>
              </w:rPr>
              <w:fldChar w:fldCharType="begin"/>
            </w:r>
            <w:r w:rsidRPr="00601FAF">
              <w:rPr>
                <w:noProof/>
                <w:webHidden/>
              </w:rPr>
              <w:instrText xml:space="preserve"> PAGEREF _Toc237523907 \h </w:instrText>
            </w:r>
            <w:r w:rsidRPr="00601FAF">
              <w:rPr>
                <w:noProof/>
                <w:webHidden/>
              </w:rPr>
            </w:r>
            <w:r w:rsidRPr="00601FAF">
              <w:rPr>
                <w:noProof/>
                <w:webHidden/>
              </w:rPr>
              <w:fldChar w:fldCharType="separate"/>
            </w:r>
            <w:r w:rsidRPr="00601FAF">
              <w:rPr>
                <w:noProof/>
                <w:webHidden/>
              </w:rPr>
              <w:t>15</w:t>
            </w:r>
            <w:r w:rsidRPr="00601FAF">
              <w:rPr>
                <w:noProof/>
                <w:webHidden/>
              </w:rPr>
              <w:fldChar w:fldCharType="end"/>
            </w:r>
          </w:hyperlink>
        </w:p>
        <w:p w14:paraId="47EF6454" w14:textId="341B5DAB" w:rsidR="00601FAF" w:rsidRPr="00601FAF" w:rsidRDefault="00601FAF">
          <w:pPr>
            <w:pStyle w:val="TOC2"/>
            <w:rPr>
              <w:rFonts w:asciiTheme="minorHAnsi" w:eastAsiaTheme="minorEastAsia" w:hAnsiTheme="minorHAnsi" w:cstheme="minorBidi"/>
              <w:b w:val="0"/>
              <w:bCs w:val="0"/>
              <w:kern w:val="2"/>
              <w:szCs w:val="24"/>
              <w:lang w:val="en-US" w:eastAsia="en-US" w:bidi="ar-SA"/>
              <w14:ligatures w14:val="standardContextual"/>
            </w:rPr>
          </w:pPr>
          <w:hyperlink w:anchor="_Toc237523908" w:history="1">
            <w:r w:rsidRPr="00601FAF">
              <w:rPr>
                <w:rStyle w:val="Hyperlink"/>
                <w:b w:val="0"/>
                <w:bCs w:val="0"/>
              </w:rPr>
              <w:t>Key changes and explanations</w:t>
            </w:r>
            <w:r w:rsidRPr="00601FAF">
              <w:rPr>
                <w:b w:val="0"/>
                <w:bCs w:val="0"/>
                <w:webHidden/>
              </w:rPr>
              <w:tab/>
            </w:r>
            <w:r w:rsidRPr="00601FAF">
              <w:rPr>
                <w:b w:val="0"/>
                <w:bCs w:val="0"/>
                <w:webHidden/>
              </w:rPr>
              <w:fldChar w:fldCharType="begin"/>
            </w:r>
            <w:r w:rsidRPr="00601FAF">
              <w:rPr>
                <w:b w:val="0"/>
                <w:bCs w:val="0"/>
                <w:webHidden/>
              </w:rPr>
              <w:instrText xml:space="preserve"> PAGEREF _Toc237523908 \h </w:instrText>
            </w:r>
            <w:r w:rsidRPr="00601FAF">
              <w:rPr>
                <w:b w:val="0"/>
                <w:bCs w:val="0"/>
                <w:webHidden/>
              </w:rPr>
            </w:r>
            <w:r w:rsidRPr="00601FAF">
              <w:rPr>
                <w:b w:val="0"/>
                <w:bCs w:val="0"/>
                <w:webHidden/>
              </w:rPr>
              <w:fldChar w:fldCharType="separate"/>
            </w:r>
            <w:r w:rsidRPr="00601FAF">
              <w:rPr>
                <w:b w:val="0"/>
                <w:bCs w:val="0"/>
                <w:webHidden/>
              </w:rPr>
              <w:t>15</w:t>
            </w:r>
            <w:r w:rsidRPr="00601FAF">
              <w:rPr>
                <w:b w:val="0"/>
                <w:bCs w:val="0"/>
                <w:webHidden/>
              </w:rPr>
              <w:fldChar w:fldCharType="end"/>
            </w:r>
          </w:hyperlink>
        </w:p>
        <w:p w14:paraId="45E8B9CA" w14:textId="2AAED26D" w:rsidR="00601FAF" w:rsidRPr="00601FAF" w:rsidRDefault="00601FAF">
          <w:pPr>
            <w:pStyle w:val="TOC1"/>
            <w:tabs>
              <w:tab w:val="right" w:leader="dot" w:pos="9016"/>
            </w:tabs>
            <w:rPr>
              <w:rFonts w:asciiTheme="minorHAnsi" w:eastAsiaTheme="minorEastAsia" w:hAnsiTheme="minorHAnsi" w:cstheme="minorBidi"/>
              <w:noProof/>
              <w:kern w:val="2"/>
              <w:szCs w:val="24"/>
              <w:lang w:val="en-US" w:eastAsia="en-US" w:bidi="ar-SA"/>
              <w14:ligatures w14:val="standardContextual"/>
            </w:rPr>
          </w:pPr>
          <w:hyperlink w:anchor="_Toc237523909" w:history="1">
            <w:r w:rsidRPr="00601FAF">
              <w:rPr>
                <w:rStyle w:val="Hyperlink"/>
                <w:noProof/>
              </w:rPr>
              <w:t>Bottom Line</w:t>
            </w:r>
            <w:r w:rsidRPr="00601FAF">
              <w:rPr>
                <w:noProof/>
                <w:webHidden/>
              </w:rPr>
              <w:tab/>
            </w:r>
            <w:r w:rsidRPr="00601FAF">
              <w:rPr>
                <w:noProof/>
                <w:webHidden/>
              </w:rPr>
              <w:fldChar w:fldCharType="begin"/>
            </w:r>
            <w:r w:rsidRPr="00601FAF">
              <w:rPr>
                <w:noProof/>
                <w:webHidden/>
              </w:rPr>
              <w:instrText xml:space="preserve"> PAGEREF _Toc237523909 \h </w:instrText>
            </w:r>
            <w:r w:rsidRPr="00601FAF">
              <w:rPr>
                <w:noProof/>
                <w:webHidden/>
              </w:rPr>
            </w:r>
            <w:r w:rsidRPr="00601FAF">
              <w:rPr>
                <w:noProof/>
                <w:webHidden/>
              </w:rPr>
              <w:fldChar w:fldCharType="separate"/>
            </w:r>
            <w:r w:rsidRPr="00601FAF">
              <w:rPr>
                <w:noProof/>
                <w:webHidden/>
              </w:rPr>
              <w:t>16</w:t>
            </w:r>
            <w:r w:rsidRPr="00601FAF">
              <w:rPr>
                <w:noProof/>
                <w:webHidden/>
              </w:rPr>
              <w:fldChar w:fldCharType="end"/>
            </w:r>
          </w:hyperlink>
        </w:p>
        <w:p w14:paraId="0C2C5AF8" w14:textId="08557986" w:rsidR="00601FAF" w:rsidRPr="00601FAF" w:rsidRDefault="00601FAF">
          <w:pPr>
            <w:pStyle w:val="TOC1"/>
            <w:tabs>
              <w:tab w:val="right" w:leader="dot" w:pos="9016"/>
            </w:tabs>
            <w:rPr>
              <w:rFonts w:asciiTheme="minorHAnsi" w:eastAsiaTheme="minorEastAsia" w:hAnsiTheme="minorHAnsi" w:cstheme="minorBidi"/>
              <w:noProof/>
              <w:kern w:val="2"/>
              <w:szCs w:val="24"/>
              <w:lang w:val="en-US" w:eastAsia="en-US" w:bidi="ar-SA"/>
              <w14:ligatures w14:val="standardContextual"/>
            </w:rPr>
          </w:pPr>
          <w:hyperlink w:anchor="_Toc237523910" w:history="1">
            <w:r w:rsidRPr="00601FAF">
              <w:rPr>
                <w:rStyle w:val="Hyperlink"/>
                <w:noProof/>
              </w:rPr>
              <w:t>References:</w:t>
            </w:r>
            <w:r w:rsidRPr="00601FAF">
              <w:rPr>
                <w:noProof/>
                <w:webHidden/>
              </w:rPr>
              <w:tab/>
            </w:r>
            <w:r w:rsidRPr="00601FAF">
              <w:rPr>
                <w:noProof/>
                <w:webHidden/>
              </w:rPr>
              <w:fldChar w:fldCharType="begin"/>
            </w:r>
            <w:r w:rsidRPr="00601FAF">
              <w:rPr>
                <w:noProof/>
                <w:webHidden/>
              </w:rPr>
              <w:instrText xml:space="preserve"> PAGEREF _Toc237523910 \h </w:instrText>
            </w:r>
            <w:r w:rsidRPr="00601FAF">
              <w:rPr>
                <w:noProof/>
                <w:webHidden/>
              </w:rPr>
            </w:r>
            <w:r w:rsidRPr="00601FAF">
              <w:rPr>
                <w:noProof/>
                <w:webHidden/>
              </w:rPr>
              <w:fldChar w:fldCharType="separate"/>
            </w:r>
            <w:r w:rsidRPr="00601FAF">
              <w:rPr>
                <w:noProof/>
                <w:webHidden/>
              </w:rPr>
              <w:t>17</w:t>
            </w:r>
            <w:r w:rsidRPr="00601FAF">
              <w:rPr>
                <w:noProof/>
                <w:webHidden/>
              </w:rPr>
              <w:fldChar w:fldCharType="end"/>
            </w:r>
          </w:hyperlink>
        </w:p>
        <w:p w14:paraId="1CAA94BE" w14:textId="4027F8B0" w:rsidR="00601FAF" w:rsidRPr="00601FAF" w:rsidRDefault="00601FAF">
          <w:pPr>
            <w:pStyle w:val="TOC1"/>
            <w:tabs>
              <w:tab w:val="right" w:leader="dot" w:pos="9016"/>
            </w:tabs>
            <w:rPr>
              <w:rFonts w:asciiTheme="minorHAnsi" w:eastAsiaTheme="minorEastAsia" w:hAnsiTheme="minorHAnsi" w:cstheme="minorBidi"/>
              <w:noProof/>
              <w:kern w:val="2"/>
              <w:szCs w:val="24"/>
              <w:lang w:val="en-US" w:eastAsia="en-US" w:bidi="ar-SA"/>
              <w14:ligatures w14:val="standardContextual"/>
            </w:rPr>
          </w:pPr>
          <w:hyperlink w:anchor="_Toc237523911" w:history="1">
            <w:r w:rsidRPr="00601FAF">
              <w:rPr>
                <w:rStyle w:val="Hyperlink"/>
                <w:noProof/>
              </w:rPr>
              <w:t>Appendix:</w:t>
            </w:r>
            <w:r w:rsidRPr="00601FAF">
              <w:rPr>
                <w:noProof/>
                <w:webHidden/>
              </w:rPr>
              <w:tab/>
            </w:r>
            <w:r w:rsidRPr="00601FAF">
              <w:rPr>
                <w:noProof/>
                <w:webHidden/>
              </w:rPr>
              <w:fldChar w:fldCharType="begin"/>
            </w:r>
            <w:r w:rsidRPr="00601FAF">
              <w:rPr>
                <w:noProof/>
                <w:webHidden/>
              </w:rPr>
              <w:instrText xml:space="preserve"> PAGEREF _Toc237523911 \h </w:instrText>
            </w:r>
            <w:r w:rsidRPr="00601FAF">
              <w:rPr>
                <w:noProof/>
                <w:webHidden/>
              </w:rPr>
            </w:r>
            <w:r w:rsidRPr="00601FAF">
              <w:rPr>
                <w:noProof/>
                <w:webHidden/>
              </w:rPr>
              <w:fldChar w:fldCharType="separate"/>
            </w:r>
            <w:r w:rsidRPr="00601FAF">
              <w:rPr>
                <w:noProof/>
                <w:webHidden/>
              </w:rPr>
              <w:t>19</w:t>
            </w:r>
            <w:r w:rsidRPr="00601FAF">
              <w:rPr>
                <w:noProof/>
                <w:webHidden/>
              </w:rPr>
              <w:fldChar w:fldCharType="end"/>
            </w:r>
          </w:hyperlink>
        </w:p>
        <w:p w14:paraId="0B4A287C" w14:textId="5718FCC9" w:rsidR="00B241A8" w:rsidRPr="00601FAF" w:rsidRDefault="00B241A8" w:rsidP="00F73003">
          <w:pPr>
            <w:spacing w:line="360" w:lineRule="auto"/>
            <w:jc w:val="both"/>
          </w:pPr>
          <w:r w:rsidRPr="00601FAF">
            <w:rPr>
              <w:noProof/>
            </w:rPr>
            <w:fldChar w:fldCharType="end"/>
          </w:r>
        </w:p>
      </w:sdtContent>
    </w:sdt>
    <w:p w14:paraId="59926663" w14:textId="77777777" w:rsidR="00B241A8" w:rsidRPr="00601FAF" w:rsidRDefault="00B241A8" w:rsidP="00F73003">
      <w:pPr>
        <w:pStyle w:val="Title"/>
        <w:spacing w:line="360" w:lineRule="auto"/>
        <w:jc w:val="both"/>
        <w:rPr>
          <w:rFonts w:eastAsia="Arial"/>
          <w:i/>
          <w:iCs/>
          <w:color w:val="595959"/>
        </w:rPr>
      </w:pPr>
    </w:p>
    <w:p w14:paraId="6096D8DC" w14:textId="77777777" w:rsidR="009C6AE6" w:rsidRPr="00601FAF" w:rsidRDefault="009C6AE6" w:rsidP="009C6AE6">
      <w:pPr>
        <w:spacing w:before="240" w:line="360" w:lineRule="auto"/>
        <w:jc w:val="both"/>
        <w:sectPr w:rsidR="009C6AE6" w:rsidRPr="00601FAF">
          <w:footerReference w:type="default" r:id="rId9"/>
          <w:pgSz w:w="11906" w:h="16838"/>
          <w:pgMar w:top="1440" w:right="1440" w:bottom="1440" w:left="1440" w:header="708" w:footer="708" w:gutter="0"/>
          <w:cols w:space="708"/>
          <w:docGrid w:linePitch="360"/>
        </w:sectPr>
      </w:pPr>
    </w:p>
    <w:p w14:paraId="2614F508" w14:textId="2DB1D9B2" w:rsidR="00A31277" w:rsidRPr="00601FAF" w:rsidRDefault="00A31277" w:rsidP="009C6AE6">
      <w:pPr>
        <w:pStyle w:val="Heading1"/>
        <w:rPr>
          <w:rFonts w:eastAsia="Arial" w:cs="Arial"/>
          <w:i/>
          <w:iCs/>
          <w:color w:val="595959"/>
          <w:szCs w:val="24"/>
        </w:rPr>
      </w:pPr>
      <w:bookmarkStart w:id="1" w:name="_Toc237523882"/>
      <w:r w:rsidRPr="00601FAF">
        <w:lastRenderedPageBreak/>
        <w:t>Investment</w:t>
      </w:r>
      <w:r w:rsidRPr="00601FAF">
        <w:rPr>
          <w:rFonts w:eastAsia="Arial"/>
        </w:rPr>
        <w:t xml:space="preserve"> Ratios</w:t>
      </w:r>
      <w:bookmarkEnd w:id="1"/>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00"/>
        <w:gridCol w:w="1520"/>
        <w:gridCol w:w="1520"/>
        <w:gridCol w:w="1520"/>
        <w:gridCol w:w="1520"/>
        <w:gridCol w:w="1520"/>
      </w:tblGrid>
      <w:tr w:rsidR="00A31277" w:rsidRPr="00B241A8" w14:paraId="591FB8BD" w14:textId="77777777" w:rsidTr="00A31277">
        <w:trPr>
          <w:tblHeader/>
        </w:trPr>
        <w:tc>
          <w:tcPr>
            <w:tcW w:w="3200" w:type="dxa"/>
            <w:tcBorders>
              <w:top w:val="single" w:sz="4" w:space="0" w:color="auto"/>
              <w:left w:val="single" w:sz="4" w:space="0" w:color="auto"/>
              <w:bottom w:val="single" w:sz="4" w:space="0" w:color="auto"/>
              <w:right w:val="single" w:sz="4" w:space="0" w:color="auto"/>
            </w:tcBorders>
            <w:shd w:val="clear" w:color="auto" w:fill="1F3864"/>
            <w:tcMar>
              <w:top w:w="80" w:type="dxa"/>
              <w:left w:w="100" w:type="dxa"/>
              <w:bottom w:w="80" w:type="dxa"/>
              <w:right w:w="100" w:type="dxa"/>
            </w:tcMar>
            <w:vAlign w:val="center"/>
            <w:hideMark/>
          </w:tcPr>
          <w:p w14:paraId="0D08F8EB" w14:textId="77777777" w:rsidR="00A31277" w:rsidRPr="00B241A8" w:rsidRDefault="00A31277" w:rsidP="00F73003">
            <w:pPr>
              <w:spacing w:line="360" w:lineRule="auto"/>
              <w:jc w:val="both"/>
              <w:rPr>
                <w:rFonts w:cs="Arial"/>
                <w:szCs w:val="24"/>
              </w:rPr>
            </w:pPr>
            <w:r w:rsidRPr="00B241A8">
              <w:rPr>
                <w:rFonts w:eastAsia="Arial" w:cs="Arial"/>
                <w:b/>
                <w:bCs/>
                <w:color w:val="FFFFFF"/>
                <w:szCs w:val="24"/>
              </w:rPr>
              <w:t>Ratio</w:t>
            </w:r>
          </w:p>
        </w:tc>
        <w:tc>
          <w:tcPr>
            <w:tcW w:w="1520" w:type="dxa"/>
            <w:tcBorders>
              <w:top w:val="single" w:sz="4" w:space="0" w:color="auto"/>
              <w:left w:val="single" w:sz="4" w:space="0" w:color="auto"/>
              <w:bottom w:val="single" w:sz="4" w:space="0" w:color="auto"/>
              <w:right w:val="single" w:sz="4" w:space="0" w:color="auto"/>
            </w:tcBorders>
            <w:shd w:val="clear" w:color="auto" w:fill="1F3864"/>
            <w:tcMar>
              <w:top w:w="80" w:type="dxa"/>
              <w:left w:w="100" w:type="dxa"/>
              <w:bottom w:w="80" w:type="dxa"/>
              <w:right w:w="100" w:type="dxa"/>
            </w:tcMar>
            <w:vAlign w:val="center"/>
            <w:hideMark/>
          </w:tcPr>
          <w:p w14:paraId="2C420E03" w14:textId="77777777" w:rsidR="00A31277" w:rsidRPr="00B241A8" w:rsidRDefault="00A31277" w:rsidP="00F73003">
            <w:pPr>
              <w:spacing w:line="360" w:lineRule="auto"/>
              <w:jc w:val="both"/>
              <w:rPr>
                <w:rFonts w:cs="Arial"/>
                <w:szCs w:val="24"/>
              </w:rPr>
            </w:pPr>
            <w:r w:rsidRPr="00B241A8">
              <w:rPr>
                <w:rFonts w:eastAsia="Arial" w:cs="Arial"/>
                <w:b/>
                <w:bCs/>
                <w:color w:val="FFFFFF"/>
                <w:szCs w:val="24"/>
              </w:rPr>
              <w:t>2020</w:t>
            </w:r>
          </w:p>
        </w:tc>
        <w:tc>
          <w:tcPr>
            <w:tcW w:w="1520" w:type="dxa"/>
            <w:tcBorders>
              <w:top w:val="single" w:sz="4" w:space="0" w:color="auto"/>
              <w:left w:val="single" w:sz="4" w:space="0" w:color="auto"/>
              <w:bottom w:val="single" w:sz="4" w:space="0" w:color="auto"/>
              <w:right w:val="single" w:sz="4" w:space="0" w:color="auto"/>
            </w:tcBorders>
            <w:shd w:val="clear" w:color="auto" w:fill="1F3864"/>
            <w:tcMar>
              <w:top w:w="80" w:type="dxa"/>
              <w:left w:w="100" w:type="dxa"/>
              <w:bottom w:w="80" w:type="dxa"/>
              <w:right w:w="100" w:type="dxa"/>
            </w:tcMar>
            <w:vAlign w:val="center"/>
            <w:hideMark/>
          </w:tcPr>
          <w:p w14:paraId="7D205D3B" w14:textId="77777777" w:rsidR="00A31277" w:rsidRPr="00B241A8" w:rsidRDefault="00A31277" w:rsidP="00F73003">
            <w:pPr>
              <w:spacing w:line="360" w:lineRule="auto"/>
              <w:jc w:val="both"/>
              <w:rPr>
                <w:rFonts w:cs="Arial"/>
                <w:szCs w:val="24"/>
              </w:rPr>
            </w:pPr>
            <w:r w:rsidRPr="00B241A8">
              <w:rPr>
                <w:rFonts w:eastAsia="Arial" w:cs="Arial"/>
                <w:b/>
                <w:bCs/>
                <w:color w:val="FFFFFF"/>
                <w:szCs w:val="24"/>
              </w:rPr>
              <w:t>2021</w:t>
            </w:r>
          </w:p>
        </w:tc>
        <w:tc>
          <w:tcPr>
            <w:tcW w:w="1520" w:type="dxa"/>
            <w:tcBorders>
              <w:top w:val="single" w:sz="4" w:space="0" w:color="auto"/>
              <w:left w:val="single" w:sz="4" w:space="0" w:color="auto"/>
              <w:bottom w:val="single" w:sz="4" w:space="0" w:color="auto"/>
              <w:right w:val="single" w:sz="4" w:space="0" w:color="auto"/>
            </w:tcBorders>
            <w:shd w:val="clear" w:color="auto" w:fill="1F3864"/>
            <w:tcMar>
              <w:top w:w="80" w:type="dxa"/>
              <w:left w:w="100" w:type="dxa"/>
              <w:bottom w:w="80" w:type="dxa"/>
              <w:right w:w="100" w:type="dxa"/>
            </w:tcMar>
            <w:vAlign w:val="center"/>
            <w:hideMark/>
          </w:tcPr>
          <w:p w14:paraId="5DA59FF6" w14:textId="77777777" w:rsidR="00A31277" w:rsidRPr="00B241A8" w:rsidRDefault="00A31277" w:rsidP="00F73003">
            <w:pPr>
              <w:spacing w:line="360" w:lineRule="auto"/>
              <w:jc w:val="both"/>
              <w:rPr>
                <w:rFonts w:cs="Arial"/>
                <w:szCs w:val="24"/>
              </w:rPr>
            </w:pPr>
            <w:r w:rsidRPr="00B241A8">
              <w:rPr>
                <w:rFonts w:eastAsia="Arial" w:cs="Arial"/>
                <w:b/>
                <w:bCs/>
                <w:color w:val="FFFFFF"/>
                <w:szCs w:val="24"/>
              </w:rPr>
              <w:t>2022</w:t>
            </w:r>
          </w:p>
        </w:tc>
        <w:tc>
          <w:tcPr>
            <w:tcW w:w="1520" w:type="dxa"/>
            <w:tcBorders>
              <w:top w:val="single" w:sz="4" w:space="0" w:color="auto"/>
              <w:left w:val="single" w:sz="4" w:space="0" w:color="auto"/>
              <w:bottom w:val="single" w:sz="4" w:space="0" w:color="auto"/>
              <w:right w:val="single" w:sz="4" w:space="0" w:color="auto"/>
            </w:tcBorders>
            <w:shd w:val="clear" w:color="auto" w:fill="1F3864"/>
            <w:tcMar>
              <w:top w:w="80" w:type="dxa"/>
              <w:left w:w="100" w:type="dxa"/>
              <w:bottom w:w="80" w:type="dxa"/>
              <w:right w:w="100" w:type="dxa"/>
            </w:tcMar>
            <w:vAlign w:val="center"/>
            <w:hideMark/>
          </w:tcPr>
          <w:p w14:paraId="35F68034" w14:textId="77777777" w:rsidR="00A31277" w:rsidRPr="00B241A8" w:rsidRDefault="00A31277" w:rsidP="00F73003">
            <w:pPr>
              <w:spacing w:line="360" w:lineRule="auto"/>
              <w:jc w:val="both"/>
              <w:rPr>
                <w:rFonts w:cs="Arial"/>
                <w:szCs w:val="24"/>
              </w:rPr>
            </w:pPr>
            <w:r w:rsidRPr="00B241A8">
              <w:rPr>
                <w:rFonts w:eastAsia="Arial" w:cs="Arial"/>
                <w:b/>
                <w:bCs/>
                <w:color w:val="FFFFFF"/>
                <w:szCs w:val="24"/>
              </w:rPr>
              <w:t>2023</w:t>
            </w:r>
          </w:p>
        </w:tc>
        <w:tc>
          <w:tcPr>
            <w:tcW w:w="1520" w:type="dxa"/>
            <w:tcBorders>
              <w:top w:val="single" w:sz="4" w:space="0" w:color="auto"/>
              <w:left w:val="single" w:sz="4" w:space="0" w:color="auto"/>
              <w:bottom w:val="single" w:sz="4" w:space="0" w:color="auto"/>
              <w:right w:val="single" w:sz="4" w:space="0" w:color="auto"/>
            </w:tcBorders>
            <w:shd w:val="clear" w:color="auto" w:fill="1F3864"/>
            <w:tcMar>
              <w:top w:w="80" w:type="dxa"/>
              <w:left w:w="100" w:type="dxa"/>
              <w:bottom w:w="80" w:type="dxa"/>
              <w:right w:w="100" w:type="dxa"/>
            </w:tcMar>
            <w:vAlign w:val="center"/>
            <w:hideMark/>
          </w:tcPr>
          <w:p w14:paraId="4CA10A94" w14:textId="77777777" w:rsidR="00A31277" w:rsidRPr="00B241A8" w:rsidRDefault="00A31277" w:rsidP="00F73003">
            <w:pPr>
              <w:spacing w:line="360" w:lineRule="auto"/>
              <w:jc w:val="both"/>
              <w:rPr>
                <w:rFonts w:cs="Arial"/>
                <w:szCs w:val="24"/>
              </w:rPr>
            </w:pPr>
            <w:r w:rsidRPr="00B241A8">
              <w:rPr>
                <w:rFonts w:eastAsia="Arial" w:cs="Arial"/>
                <w:b/>
                <w:bCs/>
                <w:color w:val="FFFFFF"/>
                <w:szCs w:val="24"/>
              </w:rPr>
              <w:t>2024</w:t>
            </w:r>
          </w:p>
        </w:tc>
      </w:tr>
      <w:tr w:rsidR="00A31277" w:rsidRPr="00B241A8" w14:paraId="3804C87B" w14:textId="77777777" w:rsidTr="00A31277">
        <w:tc>
          <w:tcPr>
            <w:tcW w:w="320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vAlign w:val="center"/>
            <w:hideMark/>
          </w:tcPr>
          <w:p w14:paraId="30FF16DC" w14:textId="77777777" w:rsidR="00A31277" w:rsidRPr="00B241A8" w:rsidRDefault="00A31277" w:rsidP="00F73003">
            <w:pPr>
              <w:spacing w:line="360" w:lineRule="auto"/>
              <w:jc w:val="both"/>
              <w:rPr>
                <w:rFonts w:cs="Arial"/>
                <w:szCs w:val="24"/>
              </w:rPr>
            </w:pPr>
            <w:r w:rsidRPr="00B241A8">
              <w:rPr>
                <w:rFonts w:eastAsia="Arial" w:cs="Arial"/>
                <w:b/>
                <w:bCs/>
                <w:color w:val="111111"/>
                <w:szCs w:val="24"/>
              </w:rPr>
              <w:t>Return on Equity (ROE)</w:t>
            </w:r>
          </w:p>
        </w:tc>
        <w:tc>
          <w:tcPr>
            <w:tcW w:w="152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vAlign w:val="center"/>
            <w:hideMark/>
          </w:tcPr>
          <w:p w14:paraId="451CB47D" w14:textId="77777777" w:rsidR="00A31277" w:rsidRPr="00B241A8" w:rsidRDefault="00A31277" w:rsidP="00F73003">
            <w:pPr>
              <w:spacing w:line="360" w:lineRule="auto"/>
              <w:jc w:val="both"/>
              <w:rPr>
                <w:rFonts w:cs="Arial"/>
                <w:szCs w:val="24"/>
              </w:rPr>
            </w:pPr>
            <w:r w:rsidRPr="00B241A8">
              <w:rPr>
                <w:rFonts w:eastAsia="Arial" w:cs="Arial"/>
                <w:color w:val="217346"/>
                <w:szCs w:val="24"/>
              </w:rPr>
              <w:t>14.1%*</w:t>
            </w:r>
          </w:p>
        </w:tc>
        <w:tc>
          <w:tcPr>
            <w:tcW w:w="152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vAlign w:val="center"/>
            <w:hideMark/>
          </w:tcPr>
          <w:p w14:paraId="7944EC95" w14:textId="77777777" w:rsidR="00A31277" w:rsidRPr="00B241A8" w:rsidRDefault="00A31277" w:rsidP="00F73003">
            <w:pPr>
              <w:spacing w:line="360" w:lineRule="auto"/>
              <w:jc w:val="both"/>
              <w:rPr>
                <w:rFonts w:cs="Arial"/>
                <w:szCs w:val="24"/>
              </w:rPr>
            </w:pPr>
            <w:r w:rsidRPr="00B241A8">
              <w:rPr>
                <w:rFonts w:eastAsia="Arial" w:cs="Arial"/>
                <w:color w:val="217346"/>
                <w:szCs w:val="24"/>
              </w:rPr>
              <w:t>-18.0%</w:t>
            </w:r>
          </w:p>
        </w:tc>
        <w:tc>
          <w:tcPr>
            <w:tcW w:w="152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vAlign w:val="center"/>
            <w:hideMark/>
          </w:tcPr>
          <w:p w14:paraId="643513C7" w14:textId="77777777" w:rsidR="00A31277" w:rsidRPr="00B241A8" w:rsidRDefault="00A31277" w:rsidP="00F73003">
            <w:pPr>
              <w:spacing w:line="360" w:lineRule="auto"/>
              <w:jc w:val="both"/>
              <w:rPr>
                <w:rFonts w:cs="Arial"/>
                <w:szCs w:val="24"/>
              </w:rPr>
            </w:pPr>
            <w:r w:rsidRPr="00B241A8">
              <w:rPr>
                <w:rFonts w:eastAsia="Arial" w:cs="Arial"/>
                <w:color w:val="217346"/>
                <w:szCs w:val="24"/>
              </w:rPr>
              <w:t>-23.4%</w:t>
            </w:r>
          </w:p>
        </w:tc>
        <w:tc>
          <w:tcPr>
            <w:tcW w:w="152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vAlign w:val="center"/>
            <w:hideMark/>
          </w:tcPr>
          <w:p w14:paraId="634498AD" w14:textId="77777777" w:rsidR="00A31277" w:rsidRPr="00B241A8" w:rsidRDefault="00A31277" w:rsidP="00F73003">
            <w:pPr>
              <w:spacing w:line="360" w:lineRule="auto"/>
              <w:jc w:val="both"/>
              <w:rPr>
                <w:rFonts w:cs="Arial"/>
                <w:szCs w:val="24"/>
              </w:rPr>
            </w:pPr>
            <w:r w:rsidRPr="00B241A8">
              <w:rPr>
                <w:rFonts w:eastAsia="Arial" w:cs="Arial"/>
                <w:color w:val="217346"/>
                <w:szCs w:val="24"/>
              </w:rPr>
              <w:t>-38.5%</w:t>
            </w:r>
          </w:p>
        </w:tc>
        <w:tc>
          <w:tcPr>
            <w:tcW w:w="152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vAlign w:val="center"/>
            <w:hideMark/>
          </w:tcPr>
          <w:p w14:paraId="59A20774" w14:textId="77777777" w:rsidR="00A31277" w:rsidRPr="00B241A8" w:rsidRDefault="00A31277" w:rsidP="00F73003">
            <w:pPr>
              <w:spacing w:line="360" w:lineRule="auto"/>
              <w:jc w:val="both"/>
              <w:rPr>
                <w:rFonts w:cs="Arial"/>
                <w:szCs w:val="24"/>
              </w:rPr>
            </w:pPr>
            <w:r w:rsidRPr="00B241A8">
              <w:rPr>
                <w:rFonts w:eastAsia="Arial" w:cs="Arial"/>
                <w:color w:val="217346"/>
                <w:szCs w:val="24"/>
              </w:rPr>
              <w:t>-27.2%</w:t>
            </w:r>
          </w:p>
        </w:tc>
      </w:tr>
      <w:tr w:rsidR="00A31277" w:rsidRPr="00B241A8" w14:paraId="79757774" w14:textId="77777777" w:rsidTr="00A31277">
        <w:tc>
          <w:tcPr>
            <w:tcW w:w="3200" w:type="dxa"/>
            <w:tcBorders>
              <w:top w:val="single" w:sz="4" w:space="0" w:color="auto"/>
              <w:left w:val="single" w:sz="4" w:space="0" w:color="auto"/>
              <w:bottom w:val="single" w:sz="4" w:space="0" w:color="auto"/>
              <w:right w:val="single" w:sz="4" w:space="0" w:color="auto"/>
            </w:tcBorders>
            <w:shd w:val="clear" w:color="auto" w:fill="F2F2F2"/>
            <w:tcMar>
              <w:top w:w="70" w:type="dxa"/>
              <w:left w:w="100" w:type="dxa"/>
              <w:bottom w:w="70" w:type="dxa"/>
              <w:right w:w="100" w:type="dxa"/>
            </w:tcMar>
            <w:vAlign w:val="center"/>
            <w:hideMark/>
          </w:tcPr>
          <w:p w14:paraId="2A8BDA45" w14:textId="77777777" w:rsidR="00A31277" w:rsidRPr="00B241A8" w:rsidRDefault="00A31277" w:rsidP="00F73003">
            <w:pPr>
              <w:spacing w:line="360" w:lineRule="auto"/>
              <w:jc w:val="both"/>
              <w:rPr>
                <w:rFonts w:cs="Arial"/>
                <w:szCs w:val="24"/>
              </w:rPr>
            </w:pPr>
            <w:r w:rsidRPr="00B241A8">
              <w:rPr>
                <w:rFonts w:eastAsia="Arial" w:cs="Arial"/>
                <w:b/>
                <w:bCs/>
                <w:color w:val="111111"/>
                <w:szCs w:val="24"/>
              </w:rPr>
              <w:t>Return on Assets (ROA)</w:t>
            </w:r>
          </w:p>
        </w:tc>
        <w:tc>
          <w:tcPr>
            <w:tcW w:w="1520" w:type="dxa"/>
            <w:tcBorders>
              <w:top w:val="single" w:sz="4" w:space="0" w:color="auto"/>
              <w:left w:val="single" w:sz="4" w:space="0" w:color="auto"/>
              <w:bottom w:val="single" w:sz="4" w:space="0" w:color="auto"/>
              <w:right w:val="single" w:sz="4" w:space="0" w:color="auto"/>
            </w:tcBorders>
            <w:shd w:val="clear" w:color="auto" w:fill="F2F2F2"/>
            <w:tcMar>
              <w:top w:w="70" w:type="dxa"/>
              <w:left w:w="100" w:type="dxa"/>
              <w:bottom w:w="70" w:type="dxa"/>
              <w:right w:w="100" w:type="dxa"/>
            </w:tcMar>
            <w:vAlign w:val="center"/>
            <w:hideMark/>
          </w:tcPr>
          <w:p w14:paraId="52415CC3" w14:textId="77777777" w:rsidR="00A31277" w:rsidRPr="00B241A8" w:rsidRDefault="00A31277" w:rsidP="00F73003">
            <w:pPr>
              <w:spacing w:line="360" w:lineRule="auto"/>
              <w:jc w:val="both"/>
              <w:rPr>
                <w:rFonts w:cs="Arial"/>
                <w:szCs w:val="24"/>
              </w:rPr>
            </w:pPr>
            <w:r w:rsidRPr="00B241A8">
              <w:rPr>
                <w:rFonts w:eastAsia="Arial" w:cs="Arial"/>
                <w:color w:val="217346"/>
                <w:szCs w:val="24"/>
              </w:rPr>
              <w:t>-5.2%</w:t>
            </w:r>
          </w:p>
        </w:tc>
        <w:tc>
          <w:tcPr>
            <w:tcW w:w="1520" w:type="dxa"/>
            <w:tcBorders>
              <w:top w:val="single" w:sz="4" w:space="0" w:color="auto"/>
              <w:left w:val="single" w:sz="4" w:space="0" w:color="auto"/>
              <w:bottom w:val="single" w:sz="4" w:space="0" w:color="auto"/>
              <w:right w:val="single" w:sz="4" w:space="0" w:color="auto"/>
            </w:tcBorders>
            <w:shd w:val="clear" w:color="auto" w:fill="F2F2F2"/>
            <w:tcMar>
              <w:top w:w="70" w:type="dxa"/>
              <w:left w:w="100" w:type="dxa"/>
              <w:bottom w:w="70" w:type="dxa"/>
              <w:right w:w="100" w:type="dxa"/>
            </w:tcMar>
            <w:vAlign w:val="center"/>
            <w:hideMark/>
          </w:tcPr>
          <w:p w14:paraId="30907A8F" w14:textId="77777777" w:rsidR="00A31277" w:rsidRPr="00B241A8" w:rsidRDefault="00A31277" w:rsidP="00F73003">
            <w:pPr>
              <w:spacing w:line="360" w:lineRule="auto"/>
              <w:jc w:val="both"/>
              <w:rPr>
                <w:rFonts w:cs="Arial"/>
                <w:szCs w:val="24"/>
              </w:rPr>
            </w:pPr>
            <w:r w:rsidRPr="00B241A8">
              <w:rPr>
                <w:rFonts w:eastAsia="Arial" w:cs="Arial"/>
                <w:color w:val="217346"/>
                <w:szCs w:val="24"/>
              </w:rPr>
              <w:t>5.6%</w:t>
            </w:r>
          </w:p>
        </w:tc>
        <w:tc>
          <w:tcPr>
            <w:tcW w:w="1520" w:type="dxa"/>
            <w:tcBorders>
              <w:top w:val="single" w:sz="4" w:space="0" w:color="auto"/>
              <w:left w:val="single" w:sz="4" w:space="0" w:color="auto"/>
              <w:bottom w:val="single" w:sz="4" w:space="0" w:color="auto"/>
              <w:right w:val="single" w:sz="4" w:space="0" w:color="auto"/>
            </w:tcBorders>
            <w:shd w:val="clear" w:color="auto" w:fill="F2F2F2"/>
            <w:tcMar>
              <w:top w:w="70" w:type="dxa"/>
              <w:left w:w="100" w:type="dxa"/>
              <w:bottom w:w="70" w:type="dxa"/>
              <w:right w:w="100" w:type="dxa"/>
            </w:tcMar>
            <w:vAlign w:val="center"/>
            <w:hideMark/>
          </w:tcPr>
          <w:p w14:paraId="31BA91FF" w14:textId="77777777" w:rsidR="00A31277" w:rsidRPr="00B241A8" w:rsidRDefault="00A31277" w:rsidP="00F73003">
            <w:pPr>
              <w:spacing w:line="360" w:lineRule="auto"/>
              <w:jc w:val="both"/>
              <w:rPr>
                <w:rFonts w:cs="Arial"/>
                <w:szCs w:val="24"/>
              </w:rPr>
            </w:pPr>
            <w:r w:rsidRPr="00B241A8">
              <w:rPr>
                <w:rFonts w:eastAsia="Arial" w:cs="Arial"/>
                <w:color w:val="217346"/>
                <w:szCs w:val="24"/>
              </w:rPr>
              <w:t>8.9%</w:t>
            </w:r>
          </w:p>
        </w:tc>
        <w:tc>
          <w:tcPr>
            <w:tcW w:w="1520" w:type="dxa"/>
            <w:tcBorders>
              <w:top w:val="single" w:sz="4" w:space="0" w:color="auto"/>
              <w:left w:val="single" w:sz="4" w:space="0" w:color="auto"/>
              <w:bottom w:val="single" w:sz="4" w:space="0" w:color="auto"/>
              <w:right w:val="single" w:sz="4" w:space="0" w:color="auto"/>
            </w:tcBorders>
            <w:shd w:val="clear" w:color="auto" w:fill="F2F2F2"/>
            <w:tcMar>
              <w:top w:w="70" w:type="dxa"/>
              <w:left w:w="100" w:type="dxa"/>
              <w:bottom w:w="70" w:type="dxa"/>
              <w:right w:w="100" w:type="dxa"/>
            </w:tcMar>
            <w:vAlign w:val="center"/>
            <w:hideMark/>
          </w:tcPr>
          <w:p w14:paraId="5D7FB981" w14:textId="77777777" w:rsidR="00A31277" w:rsidRPr="00B241A8" w:rsidRDefault="00A31277" w:rsidP="00F73003">
            <w:pPr>
              <w:spacing w:line="360" w:lineRule="auto"/>
              <w:jc w:val="both"/>
              <w:rPr>
                <w:rFonts w:cs="Arial"/>
                <w:szCs w:val="24"/>
              </w:rPr>
            </w:pPr>
            <w:r w:rsidRPr="00B241A8">
              <w:rPr>
                <w:rFonts w:eastAsia="Arial" w:cs="Arial"/>
                <w:color w:val="217346"/>
                <w:szCs w:val="24"/>
              </w:rPr>
              <w:t>15.6%</w:t>
            </w:r>
          </w:p>
        </w:tc>
        <w:tc>
          <w:tcPr>
            <w:tcW w:w="1520" w:type="dxa"/>
            <w:tcBorders>
              <w:top w:val="single" w:sz="4" w:space="0" w:color="auto"/>
              <w:left w:val="single" w:sz="4" w:space="0" w:color="auto"/>
              <w:bottom w:val="single" w:sz="4" w:space="0" w:color="auto"/>
              <w:right w:val="single" w:sz="4" w:space="0" w:color="auto"/>
            </w:tcBorders>
            <w:shd w:val="clear" w:color="auto" w:fill="F2F2F2"/>
            <w:tcMar>
              <w:top w:w="70" w:type="dxa"/>
              <w:left w:w="100" w:type="dxa"/>
              <w:bottom w:w="70" w:type="dxa"/>
              <w:right w:w="100" w:type="dxa"/>
            </w:tcMar>
            <w:vAlign w:val="center"/>
            <w:hideMark/>
          </w:tcPr>
          <w:p w14:paraId="07FC69DA" w14:textId="77777777" w:rsidR="00A31277" w:rsidRPr="00B241A8" w:rsidRDefault="00A31277" w:rsidP="00F73003">
            <w:pPr>
              <w:spacing w:line="360" w:lineRule="auto"/>
              <w:jc w:val="both"/>
              <w:rPr>
                <w:rFonts w:cs="Arial"/>
                <w:szCs w:val="24"/>
              </w:rPr>
            </w:pPr>
            <w:r w:rsidRPr="00B241A8">
              <w:rPr>
                <w:rFonts w:eastAsia="Arial" w:cs="Arial"/>
                <w:color w:val="217346"/>
                <w:szCs w:val="24"/>
              </w:rPr>
              <w:t>13.2%</w:t>
            </w:r>
          </w:p>
        </w:tc>
      </w:tr>
      <w:tr w:rsidR="00A31277" w:rsidRPr="00B241A8" w14:paraId="755A731A" w14:textId="77777777" w:rsidTr="00A31277">
        <w:tc>
          <w:tcPr>
            <w:tcW w:w="320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vAlign w:val="center"/>
            <w:hideMark/>
          </w:tcPr>
          <w:p w14:paraId="2A74A43D" w14:textId="77777777" w:rsidR="00A31277" w:rsidRPr="00B241A8" w:rsidRDefault="00A31277" w:rsidP="00F73003">
            <w:pPr>
              <w:spacing w:line="360" w:lineRule="auto"/>
              <w:jc w:val="both"/>
              <w:rPr>
                <w:rFonts w:cs="Arial"/>
                <w:szCs w:val="24"/>
              </w:rPr>
            </w:pPr>
            <w:r w:rsidRPr="00B241A8">
              <w:rPr>
                <w:rFonts w:eastAsia="Arial" w:cs="Arial"/>
                <w:b/>
                <w:bCs/>
                <w:color w:val="111111"/>
                <w:szCs w:val="24"/>
              </w:rPr>
              <w:t>Price / Earnings (P/E)</w:t>
            </w:r>
          </w:p>
        </w:tc>
        <w:tc>
          <w:tcPr>
            <w:tcW w:w="152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vAlign w:val="center"/>
            <w:hideMark/>
          </w:tcPr>
          <w:p w14:paraId="57CD7ED1" w14:textId="77777777" w:rsidR="00A31277" w:rsidRPr="00B241A8" w:rsidRDefault="00A31277" w:rsidP="00F73003">
            <w:pPr>
              <w:spacing w:line="360" w:lineRule="auto"/>
              <w:jc w:val="both"/>
              <w:rPr>
                <w:rFonts w:cs="Arial"/>
                <w:szCs w:val="24"/>
              </w:rPr>
            </w:pPr>
            <w:r w:rsidRPr="00B241A8">
              <w:rPr>
                <w:rFonts w:eastAsia="Arial" w:cs="Arial"/>
                <w:color w:val="217346"/>
                <w:szCs w:val="24"/>
              </w:rPr>
              <w:t>-44.7x</w:t>
            </w:r>
          </w:p>
        </w:tc>
        <w:tc>
          <w:tcPr>
            <w:tcW w:w="152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vAlign w:val="center"/>
            <w:hideMark/>
          </w:tcPr>
          <w:p w14:paraId="0186FCC9" w14:textId="77777777" w:rsidR="00A31277" w:rsidRPr="00B241A8" w:rsidRDefault="00A31277" w:rsidP="00F73003">
            <w:pPr>
              <w:spacing w:line="360" w:lineRule="auto"/>
              <w:jc w:val="both"/>
              <w:rPr>
                <w:rFonts w:cs="Arial"/>
                <w:szCs w:val="24"/>
              </w:rPr>
            </w:pPr>
            <w:r w:rsidRPr="00B241A8">
              <w:rPr>
                <w:rFonts w:eastAsia="Arial" w:cs="Arial"/>
                <w:color w:val="217346"/>
                <w:szCs w:val="24"/>
              </w:rPr>
              <w:t>44.5x</w:t>
            </w:r>
          </w:p>
        </w:tc>
        <w:tc>
          <w:tcPr>
            <w:tcW w:w="152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vAlign w:val="center"/>
            <w:hideMark/>
          </w:tcPr>
          <w:p w14:paraId="329C4ADD" w14:textId="77777777" w:rsidR="00A31277" w:rsidRPr="00B241A8" w:rsidRDefault="00A31277" w:rsidP="00F73003">
            <w:pPr>
              <w:spacing w:line="360" w:lineRule="auto"/>
              <w:jc w:val="both"/>
              <w:rPr>
                <w:rFonts w:cs="Arial"/>
                <w:szCs w:val="24"/>
              </w:rPr>
            </w:pPr>
            <w:r w:rsidRPr="00B241A8">
              <w:rPr>
                <w:rFonts w:eastAsia="Arial" w:cs="Arial"/>
                <w:color w:val="217346"/>
                <w:szCs w:val="24"/>
              </w:rPr>
              <w:t>27.7x</w:t>
            </w:r>
          </w:p>
        </w:tc>
        <w:tc>
          <w:tcPr>
            <w:tcW w:w="152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vAlign w:val="center"/>
            <w:hideMark/>
          </w:tcPr>
          <w:p w14:paraId="30F0E1B2" w14:textId="77777777" w:rsidR="00A31277" w:rsidRPr="00B241A8" w:rsidRDefault="00A31277" w:rsidP="00F73003">
            <w:pPr>
              <w:spacing w:line="360" w:lineRule="auto"/>
              <w:jc w:val="both"/>
              <w:rPr>
                <w:rFonts w:cs="Arial"/>
                <w:szCs w:val="24"/>
              </w:rPr>
            </w:pPr>
            <w:r w:rsidRPr="00B241A8">
              <w:rPr>
                <w:rFonts w:eastAsia="Arial" w:cs="Arial"/>
                <w:color w:val="217346"/>
                <w:szCs w:val="24"/>
              </w:rPr>
              <w:t>20.3x</w:t>
            </w:r>
          </w:p>
        </w:tc>
        <w:tc>
          <w:tcPr>
            <w:tcW w:w="152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vAlign w:val="center"/>
            <w:hideMark/>
          </w:tcPr>
          <w:p w14:paraId="240F2DBD" w14:textId="77777777" w:rsidR="00A31277" w:rsidRPr="00B241A8" w:rsidRDefault="00A31277" w:rsidP="00F73003">
            <w:pPr>
              <w:spacing w:line="360" w:lineRule="auto"/>
              <w:jc w:val="both"/>
              <w:rPr>
                <w:rFonts w:cs="Arial"/>
                <w:szCs w:val="24"/>
              </w:rPr>
            </w:pPr>
            <w:r w:rsidRPr="00B241A8">
              <w:rPr>
                <w:rFonts w:eastAsia="Arial" w:cs="Arial"/>
                <w:color w:val="217346"/>
                <w:szCs w:val="24"/>
              </w:rPr>
              <w:t>32.0x</w:t>
            </w:r>
          </w:p>
        </w:tc>
      </w:tr>
    </w:tbl>
    <w:p w14:paraId="29FEA0EC" w14:textId="77777777" w:rsidR="00A31277" w:rsidRPr="00B241A8" w:rsidRDefault="00A31277" w:rsidP="00F73003">
      <w:pPr>
        <w:spacing w:before="120" w:after="60" w:line="360" w:lineRule="auto"/>
        <w:jc w:val="both"/>
        <w:rPr>
          <w:rFonts w:cs="Arial"/>
          <w:szCs w:val="24"/>
        </w:rPr>
      </w:pPr>
    </w:p>
    <w:p w14:paraId="28705255" w14:textId="77777777" w:rsidR="00A31277" w:rsidRPr="00B241A8" w:rsidRDefault="00A31277" w:rsidP="00F73003">
      <w:pPr>
        <w:spacing w:after="80" w:line="360" w:lineRule="auto"/>
        <w:jc w:val="both"/>
        <w:rPr>
          <w:rFonts w:cs="Arial"/>
          <w:szCs w:val="24"/>
        </w:rPr>
      </w:pPr>
      <w:r w:rsidRPr="00B241A8">
        <w:rPr>
          <w:rFonts w:eastAsia="Arial" w:cs="Arial"/>
          <w:i/>
          <w:iCs/>
          <w:color w:val="595959"/>
          <w:szCs w:val="24"/>
        </w:rPr>
        <w:t>* 2020 ROE is positive only because both net loss and total equity were negative that year — not a genuine positive return (see note below).</w:t>
      </w:r>
    </w:p>
    <w:p w14:paraId="78133D20" w14:textId="77777777" w:rsidR="00A31277" w:rsidRPr="00B241A8" w:rsidRDefault="00A31277" w:rsidP="00F73003">
      <w:pPr>
        <w:pStyle w:val="Heading1"/>
        <w:spacing w:line="360" w:lineRule="auto"/>
        <w:jc w:val="both"/>
      </w:pPr>
      <w:bookmarkStart w:id="2" w:name="_Toc237523883"/>
      <w:r w:rsidRPr="00B241A8">
        <w:rPr>
          <w:rFonts w:eastAsia="Arial"/>
        </w:rPr>
        <w:t xml:space="preserve">Cash </w:t>
      </w:r>
      <w:r w:rsidRPr="00B241A8">
        <w:t>Flow</w:t>
      </w:r>
      <w:r w:rsidRPr="00B241A8">
        <w:rPr>
          <w:rFonts w:eastAsia="Arial"/>
        </w:rPr>
        <w:t xml:space="preserve"> </w:t>
      </w:r>
      <w:r w:rsidRPr="00B241A8">
        <w:t>Ratios</w:t>
      </w:r>
      <w:bookmarkEnd w:id="2"/>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00"/>
        <w:gridCol w:w="1520"/>
        <w:gridCol w:w="1520"/>
        <w:gridCol w:w="1520"/>
        <w:gridCol w:w="1520"/>
        <w:gridCol w:w="1520"/>
      </w:tblGrid>
      <w:tr w:rsidR="00A31277" w:rsidRPr="00B241A8" w14:paraId="04B04CF0" w14:textId="77777777" w:rsidTr="00A31277">
        <w:trPr>
          <w:tblHeader/>
        </w:trPr>
        <w:tc>
          <w:tcPr>
            <w:tcW w:w="3200" w:type="dxa"/>
            <w:tcBorders>
              <w:top w:val="single" w:sz="4" w:space="0" w:color="auto"/>
              <w:left w:val="single" w:sz="4" w:space="0" w:color="auto"/>
              <w:bottom w:val="single" w:sz="4" w:space="0" w:color="auto"/>
              <w:right w:val="single" w:sz="4" w:space="0" w:color="auto"/>
            </w:tcBorders>
            <w:shd w:val="clear" w:color="auto" w:fill="1F3864"/>
            <w:tcMar>
              <w:top w:w="80" w:type="dxa"/>
              <w:left w:w="100" w:type="dxa"/>
              <w:bottom w:w="80" w:type="dxa"/>
              <w:right w:w="100" w:type="dxa"/>
            </w:tcMar>
            <w:vAlign w:val="center"/>
            <w:hideMark/>
          </w:tcPr>
          <w:p w14:paraId="151CE1F3" w14:textId="77777777" w:rsidR="00A31277" w:rsidRPr="00B241A8" w:rsidRDefault="00A31277" w:rsidP="00F73003">
            <w:pPr>
              <w:spacing w:line="360" w:lineRule="auto"/>
              <w:jc w:val="both"/>
              <w:rPr>
                <w:rFonts w:cs="Arial"/>
                <w:szCs w:val="24"/>
              </w:rPr>
            </w:pPr>
            <w:r w:rsidRPr="00B241A8">
              <w:rPr>
                <w:rFonts w:eastAsia="Arial" w:cs="Arial"/>
                <w:b/>
                <w:bCs/>
                <w:color w:val="FFFFFF"/>
                <w:szCs w:val="24"/>
              </w:rPr>
              <w:t>Ratio</w:t>
            </w:r>
          </w:p>
        </w:tc>
        <w:tc>
          <w:tcPr>
            <w:tcW w:w="1520" w:type="dxa"/>
            <w:tcBorders>
              <w:top w:val="single" w:sz="4" w:space="0" w:color="auto"/>
              <w:left w:val="single" w:sz="4" w:space="0" w:color="auto"/>
              <w:bottom w:val="single" w:sz="4" w:space="0" w:color="auto"/>
              <w:right w:val="single" w:sz="4" w:space="0" w:color="auto"/>
            </w:tcBorders>
            <w:shd w:val="clear" w:color="auto" w:fill="1F3864"/>
            <w:tcMar>
              <w:top w:w="80" w:type="dxa"/>
              <w:left w:w="100" w:type="dxa"/>
              <w:bottom w:w="80" w:type="dxa"/>
              <w:right w:w="100" w:type="dxa"/>
            </w:tcMar>
            <w:vAlign w:val="center"/>
            <w:hideMark/>
          </w:tcPr>
          <w:p w14:paraId="1014DB5B" w14:textId="77777777" w:rsidR="00A31277" w:rsidRPr="00B241A8" w:rsidRDefault="00A31277" w:rsidP="00F73003">
            <w:pPr>
              <w:spacing w:line="360" w:lineRule="auto"/>
              <w:jc w:val="both"/>
              <w:rPr>
                <w:rFonts w:cs="Arial"/>
                <w:szCs w:val="24"/>
              </w:rPr>
            </w:pPr>
            <w:r w:rsidRPr="00B241A8">
              <w:rPr>
                <w:rFonts w:eastAsia="Arial" w:cs="Arial"/>
                <w:b/>
                <w:bCs/>
                <w:color w:val="FFFFFF"/>
                <w:szCs w:val="24"/>
              </w:rPr>
              <w:t>2020</w:t>
            </w:r>
          </w:p>
        </w:tc>
        <w:tc>
          <w:tcPr>
            <w:tcW w:w="1520" w:type="dxa"/>
            <w:tcBorders>
              <w:top w:val="single" w:sz="4" w:space="0" w:color="auto"/>
              <w:left w:val="single" w:sz="4" w:space="0" w:color="auto"/>
              <w:bottom w:val="single" w:sz="4" w:space="0" w:color="auto"/>
              <w:right w:val="single" w:sz="4" w:space="0" w:color="auto"/>
            </w:tcBorders>
            <w:shd w:val="clear" w:color="auto" w:fill="1F3864"/>
            <w:tcMar>
              <w:top w:w="80" w:type="dxa"/>
              <w:left w:w="100" w:type="dxa"/>
              <w:bottom w:w="80" w:type="dxa"/>
              <w:right w:w="100" w:type="dxa"/>
            </w:tcMar>
            <w:vAlign w:val="center"/>
            <w:hideMark/>
          </w:tcPr>
          <w:p w14:paraId="0B2FEEC1" w14:textId="77777777" w:rsidR="00A31277" w:rsidRPr="00B241A8" w:rsidRDefault="00A31277" w:rsidP="00F73003">
            <w:pPr>
              <w:spacing w:line="360" w:lineRule="auto"/>
              <w:jc w:val="both"/>
              <w:rPr>
                <w:rFonts w:cs="Arial"/>
                <w:szCs w:val="24"/>
              </w:rPr>
            </w:pPr>
            <w:r w:rsidRPr="00B241A8">
              <w:rPr>
                <w:rFonts w:eastAsia="Arial" w:cs="Arial"/>
                <w:b/>
                <w:bCs/>
                <w:color w:val="FFFFFF"/>
                <w:szCs w:val="24"/>
              </w:rPr>
              <w:t>2021</w:t>
            </w:r>
          </w:p>
        </w:tc>
        <w:tc>
          <w:tcPr>
            <w:tcW w:w="1520" w:type="dxa"/>
            <w:tcBorders>
              <w:top w:val="single" w:sz="4" w:space="0" w:color="auto"/>
              <w:left w:val="single" w:sz="4" w:space="0" w:color="auto"/>
              <w:bottom w:val="single" w:sz="4" w:space="0" w:color="auto"/>
              <w:right w:val="single" w:sz="4" w:space="0" w:color="auto"/>
            </w:tcBorders>
            <w:shd w:val="clear" w:color="auto" w:fill="1F3864"/>
            <w:tcMar>
              <w:top w:w="80" w:type="dxa"/>
              <w:left w:w="100" w:type="dxa"/>
              <w:bottom w:w="80" w:type="dxa"/>
              <w:right w:w="100" w:type="dxa"/>
            </w:tcMar>
            <w:vAlign w:val="center"/>
            <w:hideMark/>
          </w:tcPr>
          <w:p w14:paraId="48E71A89" w14:textId="77777777" w:rsidR="00A31277" w:rsidRPr="00B241A8" w:rsidRDefault="00A31277" w:rsidP="00F73003">
            <w:pPr>
              <w:spacing w:line="360" w:lineRule="auto"/>
              <w:jc w:val="both"/>
              <w:rPr>
                <w:rFonts w:cs="Arial"/>
                <w:szCs w:val="24"/>
              </w:rPr>
            </w:pPr>
            <w:r w:rsidRPr="00B241A8">
              <w:rPr>
                <w:rFonts w:eastAsia="Arial" w:cs="Arial"/>
                <w:b/>
                <w:bCs/>
                <w:color w:val="FFFFFF"/>
                <w:szCs w:val="24"/>
              </w:rPr>
              <w:t>2022</w:t>
            </w:r>
          </w:p>
        </w:tc>
        <w:tc>
          <w:tcPr>
            <w:tcW w:w="1520" w:type="dxa"/>
            <w:tcBorders>
              <w:top w:val="single" w:sz="4" w:space="0" w:color="auto"/>
              <w:left w:val="single" w:sz="4" w:space="0" w:color="auto"/>
              <w:bottom w:val="single" w:sz="4" w:space="0" w:color="auto"/>
              <w:right w:val="single" w:sz="4" w:space="0" w:color="auto"/>
            </w:tcBorders>
            <w:shd w:val="clear" w:color="auto" w:fill="1F3864"/>
            <w:tcMar>
              <w:top w:w="80" w:type="dxa"/>
              <w:left w:w="100" w:type="dxa"/>
              <w:bottom w:w="80" w:type="dxa"/>
              <w:right w:w="100" w:type="dxa"/>
            </w:tcMar>
            <w:vAlign w:val="center"/>
            <w:hideMark/>
          </w:tcPr>
          <w:p w14:paraId="64F1CAFD" w14:textId="77777777" w:rsidR="00A31277" w:rsidRPr="00B241A8" w:rsidRDefault="00A31277" w:rsidP="00F73003">
            <w:pPr>
              <w:spacing w:line="360" w:lineRule="auto"/>
              <w:jc w:val="both"/>
              <w:rPr>
                <w:rFonts w:cs="Arial"/>
                <w:szCs w:val="24"/>
              </w:rPr>
            </w:pPr>
            <w:r w:rsidRPr="00B241A8">
              <w:rPr>
                <w:rFonts w:eastAsia="Arial" w:cs="Arial"/>
                <w:b/>
                <w:bCs/>
                <w:color w:val="FFFFFF"/>
                <w:szCs w:val="24"/>
              </w:rPr>
              <w:t>2023</w:t>
            </w:r>
          </w:p>
        </w:tc>
        <w:tc>
          <w:tcPr>
            <w:tcW w:w="1520" w:type="dxa"/>
            <w:tcBorders>
              <w:top w:val="single" w:sz="4" w:space="0" w:color="auto"/>
              <w:left w:val="single" w:sz="4" w:space="0" w:color="auto"/>
              <w:bottom w:val="single" w:sz="4" w:space="0" w:color="auto"/>
              <w:right w:val="single" w:sz="4" w:space="0" w:color="auto"/>
            </w:tcBorders>
            <w:shd w:val="clear" w:color="auto" w:fill="1F3864"/>
            <w:tcMar>
              <w:top w:w="80" w:type="dxa"/>
              <w:left w:w="100" w:type="dxa"/>
              <w:bottom w:w="80" w:type="dxa"/>
              <w:right w:w="100" w:type="dxa"/>
            </w:tcMar>
            <w:vAlign w:val="center"/>
            <w:hideMark/>
          </w:tcPr>
          <w:p w14:paraId="2B054838" w14:textId="77777777" w:rsidR="00A31277" w:rsidRPr="00B241A8" w:rsidRDefault="00A31277" w:rsidP="00F73003">
            <w:pPr>
              <w:spacing w:line="360" w:lineRule="auto"/>
              <w:jc w:val="both"/>
              <w:rPr>
                <w:rFonts w:cs="Arial"/>
                <w:szCs w:val="24"/>
              </w:rPr>
            </w:pPr>
            <w:r w:rsidRPr="00B241A8">
              <w:rPr>
                <w:rFonts w:eastAsia="Arial" w:cs="Arial"/>
                <w:b/>
                <w:bCs/>
                <w:color w:val="FFFFFF"/>
                <w:szCs w:val="24"/>
              </w:rPr>
              <w:t>2024</w:t>
            </w:r>
          </w:p>
        </w:tc>
      </w:tr>
      <w:tr w:rsidR="00A31277" w:rsidRPr="00B241A8" w14:paraId="7AD14D0B" w14:textId="77777777" w:rsidTr="00A31277">
        <w:tc>
          <w:tcPr>
            <w:tcW w:w="320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vAlign w:val="center"/>
            <w:hideMark/>
          </w:tcPr>
          <w:p w14:paraId="7A843653" w14:textId="77777777" w:rsidR="00A31277" w:rsidRPr="00B241A8" w:rsidRDefault="00A31277" w:rsidP="00F73003">
            <w:pPr>
              <w:spacing w:line="360" w:lineRule="auto"/>
              <w:jc w:val="both"/>
              <w:rPr>
                <w:rFonts w:cs="Arial"/>
                <w:szCs w:val="24"/>
              </w:rPr>
            </w:pPr>
            <w:r w:rsidRPr="00B241A8">
              <w:rPr>
                <w:rFonts w:eastAsia="Arial" w:cs="Arial"/>
                <w:b/>
                <w:bCs/>
                <w:color w:val="111111"/>
                <w:szCs w:val="24"/>
              </w:rPr>
              <w:t>Operating Cash Flow Ratio</w:t>
            </w:r>
          </w:p>
        </w:tc>
        <w:tc>
          <w:tcPr>
            <w:tcW w:w="152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vAlign w:val="center"/>
            <w:hideMark/>
          </w:tcPr>
          <w:p w14:paraId="3D2515A0" w14:textId="77777777" w:rsidR="00A31277" w:rsidRPr="00B241A8" w:rsidRDefault="00A31277" w:rsidP="00F73003">
            <w:pPr>
              <w:spacing w:line="360" w:lineRule="auto"/>
              <w:jc w:val="both"/>
              <w:rPr>
                <w:rFonts w:cs="Arial"/>
                <w:szCs w:val="24"/>
              </w:rPr>
            </w:pPr>
            <w:r w:rsidRPr="00B241A8">
              <w:rPr>
                <w:rFonts w:eastAsia="Arial" w:cs="Arial"/>
                <w:color w:val="217346"/>
                <w:szCs w:val="24"/>
              </w:rPr>
              <w:t>7.3%</w:t>
            </w:r>
          </w:p>
        </w:tc>
        <w:tc>
          <w:tcPr>
            <w:tcW w:w="152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vAlign w:val="center"/>
            <w:hideMark/>
          </w:tcPr>
          <w:p w14:paraId="52BB5E2F" w14:textId="77777777" w:rsidR="00A31277" w:rsidRPr="00B241A8" w:rsidRDefault="00A31277" w:rsidP="00F73003">
            <w:pPr>
              <w:spacing w:line="360" w:lineRule="auto"/>
              <w:jc w:val="both"/>
              <w:rPr>
                <w:rFonts w:cs="Arial"/>
                <w:szCs w:val="24"/>
              </w:rPr>
            </w:pPr>
            <w:r w:rsidRPr="00B241A8">
              <w:rPr>
                <w:rFonts w:eastAsia="Arial" w:cs="Arial"/>
                <w:color w:val="217346"/>
                <w:szCs w:val="24"/>
              </w:rPr>
              <w:t>39.2%</w:t>
            </w:r>
          </w:p>
        </w:tc>
        <w:tc>
          <w:tcPr>
            <w:tcW w:w="152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vAlign w:val="center"/>
            <w:hideMark/>
          </w:tcPr>
          <w:p w14:paraId="791920B7" w14:textId="77777777" w:rsidR="00A31277" w:rsidRPr="00B241A8" w:rsidRDefault="00A31277" w:rsidP="00F73003">
            <w:pPr>
              <w:spacing w:line="360" w:lineRule="auto"/>
              <w:jc w:val="both"/>
              <w:rPr>
                <w:rFonts w:cs="Arial"/>
                <w:szCs w:val="24"/>
              </w:rPr>
            </w:pPr>
            <w:r w:rsidRPr="00B241A8">
              <w:rPr>
                <w:rFonts w:eastAsia="Arial" w:cs="Arial"/>
                <w:color w:val="217346"/>
                <w:szCs w:val="24"/>
              </w:rPr>
              <w:t>41.8%</w:t>
            </w:r>
          </w:p>
        </w:tc>
        <w:tc>
          <w:tcPr>
            <w:tcW w:w="152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vAlign w:val="center"/>
            <w:hideMark/>
          </w:tcPr>
          <w:p w14:paraId="5408FF0C" w14:textId="77777777" w:rsidR="00A31277" w:rsidRPr="00B241A8" w:rsidRDefault="00A31277" w:rsidP="00F73003">
            <w:pPr>
              <w:spacing w:line="360" w:lineRule="auto"/>
              <w:jc w:val="both"/>
              <w:rPr>
                <w:rFonts w:cs="Arial"/>
                <w:szCs w:val="24"/>
              </w:rPr>
            </w:pPr>
            <w:r w:rsidRPr="00B241A8">
              <w:rPr>
                <w:rFonts w:eastAsia="Arial" w:cs="Arial"/>
                <w:color w:val="217346"/>
                <w:szCs w:val="24"/>
              </w:rPr>
              <w:t>40.8%</w:t>
            </w:r>
          </w:p>
        </w:tc>
        <w:tc>
          <w:tcPr>
            <w:tcW w:w="152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vAlign w:val="center"/>
            <w:hideMark/>
          </w:tcPr>
          <w:p w14:paraId="782D3EDB" w14:textId="77777777" w:rsidR="00A31277" w:rsidRPr="00B241A8" w:rsidRDefault="00A31277" w:rsidP="00F73003">
            <w:pPr>
              <w:spacing w:line="360" w:lineRule="auto"/>
              <w:jc w:val="both"/>
              <w:rPr>
                <w:rFonts w:cs="Arial"/>
                <w:szCs w:val="24"/>
              </w:rPr>
            </w:pPr>
            <w:r w:rsidRPr="00B241A8">
              <w:rPr>
                <w:rFonts w:eastAsia="Arial" w:cs="Arial"/>
                <w:color w:val="217346"/>
                <w:szCs w:val="24"/>
              </w:rPr>
              <w:t>37.6%</w:t>
            </w:r>
          </w:p>
        </w:tc>
      </w:tr>
      <w:tr w:rsidR="00A31277" w:rsidRPr="00B241A8" w14:paraId="3CCA149C" w14:textId="77777777" w:rsidTr="00A31277">
        <w:tc>
          <w:tcPr>
            <w:tcW w:w="3200" w:type="dxa"/>
            <w:tcBorders>
              <w:top w:val="single" w:sz="4" w:space="0" w:color="auto"/>
              <w:left w:val="single" w:sz="4" w:space="0" w:color="auto"/>
              <w:bottom w:val="single" w:sz="4" w:space="0" w:color="auto"/>
              <w:right w:val="single" w:sz="4" w:space="0" w:color="auto"/>
            </w:tcBorders>
            <w:shd w:val="clear" w:color="auto" w:fill="F2F2F2"/>
            <w:tcMar>
              <w:top w:w="70" w:type="dxa"/>
              <w:left w:w="100" w:type="dxa"/>
              <w:bottom w:w="70" w:type="dxa"/>
              <w:right w:w="100" w:type="dxa"/>
            </w:tcMar>
            <w:vAlign w:val="center"/>
            <w:hideMark/>
          </w:tcPr>
          <w:p w14:paraId="4A859801" w14:textId="77777777" w:rsidR="00A31277" w:rsidRPr="00B241A8" w:rsidRDefault="00A31277" w:rsidP="00F73003">
            <w:pPr>
              <w:spacing w:line="360" w:lineRule="auto"/>
              <w:jc w:val="both"/>
              <w:rPr>
                <w:rFonts w:cs="Arial"/>
                <w:szCs w:val="24"/>
              </w:rPr>
            </w:pPr>
            <w:r w:rsidRPr="00B241A8">
              <w:rPr>
                <w:rFonts w:eastAsia="Arial" w:cs="Arial"/>
                <w:b/>
                <w:bCs/>
                <w:color w:val="111111"/>
                <w:szCs w:val="24"/>
              </w:rPr>
              <w:t>Free Cash Flow Margin</w:t>
            </w:r>
          </w:p>
        </w:tc>
        <w:tc>
          <w:tcPr>
            <w:tcW w:w="1520" w:type="dxa"/>
            <w:tcBorders>
              <w:top w:val="single" w:sz="4" w:space="0" w:color="auto"/>
              <w:left w:val="single" w:sz="4" w:space="0" w:color="auto"/>
              <w:bottom w:val="single" w:sz="4" w:space="0" w:color="auto"/>
              <w:right w:val="single" w:sz="4" w:space="0" w:color="auto"/>
            </w:tcBorders>
            <w:shd w:val="clear" w:color="auto" w:fill="F2F2F2"/>
            <w:tcMar>
              <w:top w:w="70" w:type="dxa"/>
              <w:left w:w="100" w:type="dxa"/>
              <w:bottom w:w="70" w:type="dxa"/>
              <w:right w:w="100" w:type="dxa"/>
            </w:tcMar>
            <w:vAlign w:val="center"/>
            <w:hideMark/>
          </w:tcPr>
          <w:p w14:paraId="022545B2" w14:textId="77777777" w:rsidR="00A31277" w:rsidRPr="00B241A8" w:rsidRDefault="00A31277" w:rsidP="00F73003">
            <w:pPr>
              <w:spacing w:line="360" w:lineRule="auto"/>
              <w:jc w:val="both"/>
              <w:rPr>
                <w:rFonts w:cs="Arial"/>
                <w:szCs w:val="24"/>
              </w:rPr>
            </w:pPr>
            <w:r w:rsidRPr="00B241A8">
              <w:rPr>
                <w:rFonts w:eastAsia="Arial" w:cs="Arial"/>
                <w:color w:val="217346"/>
                <w:szCs w:val="24"/>
              </w:rPr>
              <w:t>2.5%</w:t>
            </w:r>
          </w:p>
        </w:tc>
        <w:tc>
          <w:tcPr>
            <w:tcW w:w="1520" w:type="dxa"/>
            <w:tcBorders>
              <w:top w:val="single" w:sz="4" w:space="0" w:color="auto"/>
              <w:left w:val="single" w:sz="4" w:space="0" w:color="auto"/>
              <w:bottom w:val="single" w:sz="4" w:space="0" w:color="auto"/>
              <w:right w:val="single" w:sz="4" w:space="0" w:color="auto"/>
            </w:tcBorders>
            <w:shd w:val="clear" w:color="auto" w:fill="F2F2F2"/>
            <w:tcMar>
              <w:top w:w="70" w:type="dxa"/>
              <w:left w:w="100" w:type="dxa"/>
              <w:bottom w:w="70" w:type="dxa"/>
              <w:right w:w="100" w:type="dxa"/>
            </w:tcMar>
            <w:vAlign w:val="center"/>
            <w:hideMark/>
          </w:tcPr>
          <w:p w14:paraId="6AEF5D48" w14:textId="77777777" w:rsidR="00A31277" w:rsidRPr="00B241A8" w:rsidRDefault="00A31277" w:rsidP="00F73003">
            <w:pPr>
              <w:spacing w:line="360" w:lineRule="auto"/>
              <w:jc w:val="both"/>
              <w:rPr>
                <w:rFonts w:cs="Arial"/>
                <w:szCs w:val="24"/>
              </w:rPr>
            </w:pPr>
            <w:r w:rsidRPr="00B241A8">
              <w:rPr>
                <w:rFonts w:eastAsia="Arial" w:cs="Arial"/>
                <w:color w:val="217346"/>
                <w:szCs w:val="24"/>
              </w:rPr>
              <w:t>20.1%</w:t>
            </w:r>
          </w:p>
        </w:tc>
        <w:tc>
          <w:tcPr>
            <w:tcW w:w="1520" w:type="dxa"/>
            <w:tcBorders>
              <w:top w:val="single" w:sz="4" w:space="0" w:color="auto"/>
              <w:left w:val="single" w:sz="4" w:space="0" w:color="auto"/>
              <w:bottom w:val="single" w:sz="4" w:space="0" w:color="auto"/>
              <w:right w:val="single" w:sz="4" w:space="0" w:color="auto"/>
            </w:tcBorders>
            <w:shd w:val="clear" w:color="auto" w:fill="F2F2F2"/>
            <w:tcMar>
              <w:top w:w="70" w:type="dxa"/>
              <w:left w:w="100" w:type="dxa"/>
              <w:bottom w:w="70" w:type="dxa"/>
              <w:right w:w="100" w:type="dxa"/>
            </w:tcMar>
            <w:vAlign w:val="center"/>
            <w:hideMark/>
          </w:tcPr>
          <w:p w14:paraId="7BDA8605" w14:textId="77777777" w:rsidR="00A31277" w:rsidRPr="00B241A8" w:rsidRDefault="00A31277" w:rsidP="00F73003">
            <w:pPr>
              <w:spacing w:line="360" w:lineRule="auto"/>
              <w:jc w:val="both"/>
              <w:rPr>
                <w:rFonts w:cs="Arial"/>
                <w:szCs w:val="24"/>
              </w:rPr>
            </w:pPr>
            <w:r w:rsidRPr="00B241A8">
              <w:rPr>
                <w:rFonts w:eastAsia="Arial" w:cs="Arial"/>
                <w:color w:val="217346"/>
                <w:szCs w:val="24"/>
              </w:rPr>
              <w:t>14.1%</w:t>
            </w:r>
          </w:p>
        </w:tc>
        <w:tc>
          <w:tcPr>
            <w:tcW w:w="1520" w:type="dxa"/>
            <w:tcBorders>
              <w:top w:val="single" w:sz="4" w:space="0" w:color="auto"/>
              <w:left w:val="single" w:sz="4" w:space="0" w:color="auto"/>
              <w:bottom w:val="single" w:sz="4" w:space="0" w:color="auto"/>
              <w:right w:val="single" w:sz="4" w:space="0" w:color="auto"/>
            </w:tcBorders>
            <w:shd w:val="clear" w:color="auto" w:fill="F2F2F2"/>
            <w:tcMar>
              <w:top w:w="70" w:type="dxa"/>
              <w:left w:w="100" w:type="dxa"/>
              <w:bottom w:w="70" w:type="dxa"/>
              <w:right w:w="100" w:type="dxa"/>
            </w:tcMar>
            <w:vAlign w:val="center"/>
            <w:hideMark/>
          </w:tcPr>
          <w:p w14:paraId="0954701F" w14:textId="77777777" w:rsidR="00A31277" w:rsidRPr="00B241A8" w:rsidRDefault="00A31277" w:rsidP="00F73003">
            <w:pPr>
              <w:spacing w:line="360" w:lineRule="auto"/>
              <w:jc w:val="both"/>
              <w:rPr>
                <w:rFonts w:cs="Arial"/>
                <w:szCs w:val="24"/>
              </w:rPr>
            </w:pPr>
            <w:r w:rsidRPr="00B241A8">
              <w:rPr>
                <w:rFonts w:eastAsia="Arial" w:cs="Arial"/>
                <w:color w:val="217346"/>
                <w:szCs w:val="24"/>
              </w:rPr>
              <w:t>17.5%</w:t>
            </w:r>
          </w:p>
        </w:tc>
        <w:tc>
          <w:tcPr>
            <w:tcW w:w="1520" w:type="dxa"/>
            <w:tcBorders>
              <w:top w:val="single" w:sz="4" w:space="0" w:color="auto"/>
              <w:left w:val="single" w:sz="4" w:space="0" w:color="auto"/>
              <w:bottom w:val="single" w:sz="4" w:space="0" w:color="auto"/>
              <w:right w:val="single" w:sz="4" w:space="0" w:color="auto"/>
            </w:tcBorders>
            <w:shd w:val="clear" w:color="auto" w:fill="F2F2F2"/>
            <w:tcMar>
              <w:top w:w="70" w:type="dxa"/>
              <w:left w:w="100" w:type="dxa"/>
              <w:bottom w:w="70" w:type="dxa"/>
              <w:right w:w="100" w:type="dxa"/>
            </w:tcMar>
            <w:vAlign w:val="center"/>
            <w:hideMark/>
          </w:tcPr>
          <w:p w14:paraId="075E03F2" w14:textId="77777777" w:rsidR="00A31277" w:rsidRPr="00B241A8" w:rsidRDefault="00A31277" w:rsidP="00F73003">
            <w:pPr>
              <w:spacing w:line="360" w:lineRule="auto"/>
              <w:jc w:val="both"/>
              <w:rPr>
                <w:rFonts w:cs="Arial"/>
                <w:szCs w:val="24"/>
              </w:rPr>
            </w:pPr>
            <w:r w:rsidRPr="00B241A8">
              <w:rPr>
                <w:rFonts w:eastAsia="Arial" w:cs="Arial"/>
                <w:color w:val="217346"/>
                <w:szCs w:val="24"/>
              </w:rPr>
              <w:t>13.1%</w:t>
            </w:r>
          </w:p>
        </w:tc>
      </w:tr>
    </w:tbl>
    <w:p w14:paraId="2F857944" w14:textId="77777777" w:rsidR="00A31277" w:rsidRPr="00B241A8" w:rsidRDefault="00A31277" w:rsidP="00F73003">
      <w:pPr>
        <w:pStyle w:val="Heading1"/>
        <w:spacing w:line="360" w:lineRule="auto"/>
        <w:jc w:val="both"/>
      </w:pPr>
      <w:bookmarkStart w:id="3" w:name="_Toc237523884"/>
      <w:r w:rsidRPr="00B241A8">
        <w:rPr>
          <w:rFonts w:eastAsia="Arial"/>
        </w:rPr>
        <w:t xml:space="preserve">Trend </w:t>
      </w:r>
      <w:r w:rsidRPr="00B241A8">
        <w:t>Commentary</w:t>
      </w:r>
      <w:bookmarkEnd w:id="3"/>
    </w:p>
    <w:p w14:paraId="2E8A0251" w14:textId="77777777" w:rsidR="00A31277" w:rsidRPr="00B241A8" w:rsidRDefault="00A31277" w:rsidP="00F73003">
      <w:pPr>
        <w:pStyle w:val="Heading2"/>
        <w:spacing w:line="360" w:lineRule="auto"/>
        <w:jc w:val="both"/>
      </w:pPr>
      <w:bookmarkStart w:id="4" w:name="_Toc237523885"/>
      <w:r w:rsidRPr="00B241A8">
        <w:rPr>
          <w:rFonts w:eastAsia="Arial"/>
        </w:rPr>
        <w:t xml:space="preserve">Return on </w:t>
      </w:r>
      <w:r w:rsidRPr="00B241A8">
        <w:t>Equity</w:t>
      </w:r>
      <w:r w:rsidRPr="00B241A8">
        <w:rPr>
          <w:rFonts w:eastAsia="Arial"/>
        </w:rPr>
        <w:t xml:space="preserve"> (ROE) &amp; </w:t>
      </w:r>
      <w:r w:rsidRPr="00B241A8">
        <w:t>Return</w:t>
      </w:r>
      <w:r w:rsidRPr="00B241A8">
        <w:rPr>
          <w:rFonts w:eastAsia="Arial"/>
        </w:rPr>
        <w:t xml:space="preserve"> on Assets (ROA)</w:t>
      </w:r>
      <w:bookmarkEnd w:id="4"/>
    </w:p>
    <w:p w14:paraId="7F87A461" w14:textId="094E907D" w:rsidR="00A31277" w:rsidRPr="00B241A8" w:rsidRDefault="00F73003" w:rsidP="00F73003">
      <w:pPr>
        <w:spacing w:after="160" w:line="360" w:lineRule="auto"/>
        <w:jc w:val="both"/>
        <w:rPr>
          <w:rFonts w:eastAsia="Arial" w:cs="Arial"/>
          <w:color w:val="222222"/>
          <w:szCs w:val="24"/>
        </w:rPr>
      </w:pPr>
      <w:r w:rsidRPr="00F73003">
        <w:rPr>
          <w:rFonts w:eastAsia="Arial" w:cs="Arial"/>
          <w:color w:val="222222"/>
          <w:szCs w:val="24"/>
        </w:rPr>
        <w:t>IHG has generated negative total shareholders' equity on an annual basis during this period as a result of a share buyback programme which has consistently outperformed retained earnings. When ROE has a negative dividend, it is mathematically skewed and directionally misleading (dividing by a negative will change the sign of the result</w:t>
      </w:r>
      <w:r w:rsidR="00264AF7">
        <w:rPr>
          <w:rFonts w:eastAsia="Arial" w:cs="Arial"/>
          <w:color w:val="222222"/>
          <w:szCs w:val="24"/>
        </w:rPr>
        <w:t>;</w:t>
      </w:r>
      <w:r w:rsidRPr="00F73003">
        <w:rPr>
          <w:rFonts w:eastAsia="Arial" w:cs="Arial"/>
          <w:color w:val="222222"/>
          <w:szCs w:val="24"/>
        </w:rPr>
        <w:t xml:space="preserve"> therefore ROE should not be interpreted as a real measure of the return on an investor's money)</w:t>
      </w:r>
      <w:r>
        <w:rPr>
          <w:rFonts w:eastAsia="Arial" w:cs="Arial"/>
          <w:color w:val="222222"/>
          <w:szCs w:val="24"/>
        </w:rPr>
        <w:t xml:space="preserve"> </w:t>
      </w:r>
      <w:r w:rsidRPr="00F73003">
        <w:rPr>
          <w:rFonts w:eastAsia="Arial" w:cs="Arial"/>
          <w:color w:val="222222"/>
          <w:szCs w:val="24"/>
        </w:rPr>
        <w:t xml:space="preserve"> </w:t>
      </w:r>
      <w:r w:rsidR="00494CFE" w:rsidRPr="00B241A8">
        <w:rPr>
          <w:rFonts w:eastAsia="Arial" w:cs="Arial"/>
          <w:color w:val="222222"/>
          <w:szCs w:val="24"/>
        </w:rPr>
        <w:fldChar w:fldCharType="begin" w:fldLock="1"/>
      </w:r>
      <w:r w:rsidR="00494CFE" w:rsidRPr="00B241A8">
        <w:rPr>
          <w:rFonts w:eastAsia="Arial" w:cs="Arial"/>
          <w:color w:val="222222"/>
          <w:szCs w:val="24"/>
        </w:rPr>
        <w:instrText>ADDIN CSL_CITATION {"citationItems":[{"id":"ITEM-1","itemData":{"author":[{"dropping-particle":"","family":"Luwina","given":"Primrose Bevany","non-dropping-particle":"","parse-names":false,"suffix":""},{"dropping-particle":"","family":"Nugraheni","given":"Bernadia Linggar Yekti","non-dropping-particle":"","parse-names":false,"suffix":""},{"dropping-particle":"","family":"Kuncorojati","given":"Marcelinus Anggun Dananto","non-dropping-particle":"","parse-names":false,"suffix":""}],"container-title":"9th International Conference on Business and Economy","id":"ITEM-1","issued":{"date-parts":[["2024","9","10"]]},"page":"153-165","publisher":"Sciendo","title":"Factors Affecting Equity Valuation in the Indonesian Manufacturing Companies","type":"chapter"},"uris":["http://www.mendeley.com/documents/?uuid=6a8645f0-07f6-435a-87cd-63173f66b671"]}],"mendeley":{"formattedCitation":"(Luwina, Nugraheni and Kuncorojati, 2024)","plainTextFormattedCitation":"(Luwina, Nugraheni and Kuncorojati, 2024)","previouslyFormattedCitation":"(Luwina, Nugraheni and Kuncorojati, 2024)"},"properties":{"noteIndex":0},"schema":"https://github.com/citation-style-language/schema/raw/master/csl-citation.json"}</w:instrText>
      </w:r>
      <w:r w:rsidR="00494CFE" w:rsidRPr="00B241A8">
        <w:rPr>
          <w:rFonts w:eastAsia="Arial" w:cs="Arial"/>
          <w:color w:val="222222"/>
          <w:szCs w:val="24"/>
        </w:rPr>
        <w:fldChar w:fldCharType="separate"/>
      </w:r>
      <w:r w:rsidR="00494CFE" w:rsidRPr="00B241A8">
        <w:rPr>
          <w:rFonts w:eastAsia="Arial" w:cs="Arial"/>
          <w:noProof/>
          <w:color w:val="222222"/>
          <w:szCs w:val="24"/>
        </w:rPr>
        <w:t>(Luwina, Nugraheni and Kuncorojati, 2024)</w:t>
      </w:r>
      <w:r w:rsidR="00494CFE" w:rsidRPr="00B241A8">
        <w:rPr>
          <w:rFonts w:eastAsia="Arial" w:cs="Arial"/>
          <w:color w:val="222222"/>
          <w:szCs w:val="24"/>
        </w:rPr>
        <w:fldChar w:fldCharType="end"/>
      </w:r>
      <w:r w:rsidR="00494CFE" w:rsidRPr="00B241A8">
        <w:rPr>
          <w:rFonts w:eastAsia="Arial" w:cs="Arial"/>
          <w:color w:val="222222"/>
          <w:szCs w:val="24"/>
        </w:rPr>
        <w:t>.</w:t>
      </w:r>
      <w:r w:rsidR="00A31277" w:rsidRPr="00B241A8">
        <w:rPr>
          <w:rFonts w:eastAsia="Arial" w:cs="Arial"/>
          <w:color w:val="222222"/>
          <w:szCs w:val="24"/>
        </w:rPr>
        <w:t xml:space="preserve"> </w:t>
      </w:r>
      <w:r w:rsidRPr="00F73003">
        <w:rPr>
          <w:rFonts w:eastAsia="Arial" w:cs="Arial"/>
          <w:color w:val="222222"/>
          <w:szCs w:val="24"/>
        </w:rPr>
        <w:t xml:space="preserve">Return on Assets (ROA), a long-term profitability indicator, rose from a loss-making –5.2% in 2020 to a maximum </w:t>
      </w:r>
      <w:r w:rsidR="00264AF7">
        <w:rPr>
          <w:rFonts w:eastAsia="Arial" w:cs="Arial"/>
          <w:color w:val="222222"/>
          <w:szCs w:val="24"/>
        </w:rPr>
        <w:t xml:space="preserve">of </w:t>
      </w:r>
      <w:r w:rsidRPr="00F73003">
        <w:rPr>
          <w:rFonts w:eastAsia="Arial" w:cs="Arial"/>
          <w:color w:val="222222"/>
          <w:szCs w:val="24"/>
        </w:rPr>
        <w:t>15.6% in 2023, and then fell to 13.2% in 2024</w:t>
      </w:r>
      <w:r w:rsidR="00264AF7">
        <w:rPr>
          <w:rFonts w:eastAsia="Arial" w:cs="Arial"/>
          <w:color w:val="222222"/>
          <w:szCs w:val="24"/>
        </w:rPr>
        <w:t>,</w:t>
      </w:r>
      <w:r w:rsidRPr="00F73003">
        <w:rPr>
          <w:rFonts w:eastAsia="Arial" w:cs="Arial"/>
          <w:color w:val="222222"/>
          <w:szCs w:val="24"/>
        </w:rPr>
        <w:t xml:space="preserve"> with financial expenses almost doubling due to higher bond payments and foreign exchange losses</w:t>
      </w:r>
      <w:r w:rsidR="00A31277" w:rsidRPr="00B241A8">
        <w:rPr>
          <w:rFonts w:eastAsia="Arial" w:cs="Arial"/>
          <w:color w:val="222222"/>
          <w:szCs w:val="24"/>
        </w:rPr>
        <w:t>.</w:t>
      </w:r>
      <w:r w:rsidR="004C20A8" w:rsidRPr="00B241A8">
        <w:rPr>
          <w:rFonts w:eastAsia="Arial" w:cs="Arial"/>
          <w:color w:val="222222"/>
          <w:szCs w:val="24"/>
        </w:rPr>
        <w:t xml:space="preserve"> The ROA trend is more indicative of IHG's operating turnaround from negative in 2020 to positive in 2023 (+15.6%), compared to ROE. It dropped to 13.2% in 2024, however, suggesting a lack of continued benefit </w:t>
      </w:r>
      <w:r w:rsidR="00264AF7">
        <w:rPr>
          <w:rFonts w:eastAsia="Arial" w:cs="Arial"/>
          <w:color w:val="222222"/>
          <w:szCs w:val="24"/>
        </w:rPr>
        <w:t>from</w:t>
      </w:r>
      <w:r w:rsidR="004C20A8" w:rsidRPr="00B241A8">
        <w:rPr>
          <w:rFonts w:eastAsia="Arial" w:cs="Arial"/>
          <w:color w:val="222222"/>
          <w:szCs w:val="24"/>
        </w:rPr>
        <w:t xml:space="preserve"> improved asset profitability. This indicated that the post-pandemic recovery has started to cool, with the rise in financing costs</w:t>
      </w:r>
      <w:r w:rsidR="00264AF7">
        <w:rPr>
          <w:rFonts w:eastAsia="Arial" w:cs="Arial"/>
          <w:color w:val="222222"/>
          <w:szCs w:val="24"/>
        </w:rPr>
        <w:t xml:space="preserve"> and</w:t>
      </w:r>
      <w:r w:rsidR="004C20A8" w:rsidRPr="00B241A8">
        <w:rPr>
          <w:rFonts w:eastAsia="Arial" w:cs="Arial"/>
          <w:color w:val="222222"/>
          <w:szCs w:val="24"/>
        </w:rPr>
        <w:t xml:space="preserve"> foreign-exchange losses adding to the bottom-line returns. Furthermore, ROA is not a pure indicator of management efficiency because, with its relatively low level of </w:t>
      </w:r>
      <w:r w:rsidR="004C20A8" w:rsidRPr="00B241A8">
        <w:rPr>
          <w:rFonts w:eastAsia="Arial" w:cs="Arial"/>
          <w:color w:val="222222"/>
          <w:szCs w:val="24"/>
        </w:rPr>
        <w:lastRenderedPageBreak/>
        <w:t>owned assets, it is easy for IHG to generate high returns. Hence, the improvement is positive but needs to be evaluated depending upon operating margins, asset turnover, cash generation and leverage. ROA in total shows significant recovery, but a drop in the 2024 quarter reveals growing financial pressure behind the positive operating performance.</w:t>
      </w:r>
    </w:p>
    <w:p w14:paraId="11BA1DF8" w14:textId="1BA32997" w:rsidR="001C5E89" w:rsidRPr="00B241A8" w:rsidRDefault="001C5E89" w:rsidP="00F73003">
      <w:pPr>
        <w:spacing w:after="160" w:line="360" w:lineRule="auto"/>
        <w:jc w:val="both"/>
        <w:rPr>
          <w:rFonts w:cs="Arial"/>
          <w:szCs w:val="24"/>
        </w:rPr>
      </w:pPr>
      <w:r w:rsidRPr="00B241A8">
        <w:rPr>
          <w:rFonts w:cs="Arial"/>
          <w:szCs w:val="24"/>
        </w:rPr>
        <w:t>More importantly, the difference between ROA and ROE illustrate</w:t>
      </w:r>
      <w:r w:rsidR="00264AF7">
        <w:rPr>
          <w:rFonts w:cs="Arial"/>
          <w:szCs w:val="24"/>
        </w:rPr>
        <w:t>s</w:t>
      </w:r>
      <w:r w:rsidRPr="00B241A8">
        <w:rPr>
          <w:rFonts w:cs="Arial"/>
          <w:szCs w:val="24"/>
        </w:rPr>
        <w:t xml:space="preserve"> why traditional equity measures are especially inappropriate for IHG in this period. </w:t>
      </w:r>
      <w:r w:rsidR="00264AF7">
        <w:rPr>
          <w:rFonts w:cs="Arial"/>
          <w:szCs w:val="24"/>
        </w:rPr>
        <w:t>A n</w:t>
      </w:r>
      <w:r w:rsidRPr="00B241A8">
        <w:rPr>
          <w:rFonts w:cs="Arial"/>
          <w:szCs w:val="24"/>
        </w:rPr>
        <w:t>egative equity base allows for the accounting impact of the share buybacks to be reflected in the ROE as a result of buyback activity, but not the economic returns generated for shareholders. ROA thus offers a more meaningful measure of asset profitability</w:t>
      </w:r>
      <w:r w:rsidR="00264AF7">
        <w:rPr>
          <w:rFonts w:cs="Arial"/>
          <w:szCs w:val="24"/>
        </w:rPr>
        <w:t>;</w:t>
      </w:r>
      <w:r w:rsidRPr="00B241A8">
        <w:rPr>
          <w:rFonts w:cs="Arial"/>
          <w:szCs w:val="24"/>
        </w:rPr>
        <w:t xml:space="preserve"> however, its 2024 decline is not necessarily a sign of an operating deterioration. The decrease from 15.6% to 13.2% was due to financing costs and other non-operating pressures eating into operating gains, as the company continued expanding its business. Furthermore, IHG's asset-light business model is fundamentally constrained in terms of the assets it possesses, which could result in higher ROA compared to hotel companies that are asset-heavy. Therefore, caution should be exercised when comparing the results of consolidated companies with those of other companies unless similar accounting structures and asset ownership patterns exist. In sum, the evidence suggests that asset returns are faring well in the post-pandemic era and that 2024 was marked by a slowdown, with the increasing cost of financing and non-operating costs becoming tighter constraints on the ability to translate operating results into sustainable shareholder value.</w:t>
      </w:r>
    </w:p>
    <w:p w14:paraId="2C1C68F8" w14:textId="77777777" w:rsidR="00A31277" w:rsidRPr="00B241A8" w:rsidRDefault="00A31277" w:rsidP="00F73003">
      <w:pPr>
        <w:pStyle w:val="Heading2"/>
        <w:spacing w:line="360" w:lineRule="auto"/>
        <w:jc w:val="both"/>
      </w:pPr>
      <w:bookmarkStart w:id="5" w:name="_Toc237523886"/>
      <w:r w:rsidRPr="00B241A8">
        <w:rPr>
          <w:rFonts w:eastAsia="Arial"/>
        </w:rPr>
        <w:t xml:space="preserve">Price / </w:t>
      </w:r>
      <w:r w:rsidRPr="00B241A8">
        <w:t>Earnings</w:t>
      </w:r>
      <w:r w:rsidRPr="00B241A8">
        <w:rPr>
          <w:rFonts w:eastAsia="Arial"/>
        </w:rPr>
        <w:t xml:space="preserve"> (P/E)</w:t>
      </w:r>
      <w:bookmarkEnd w:id="5"/>
    </w:p>
    <w:p w14:paraId="58F3BC92" w14:textId="77777777" w:rsidR="00A31277" w:rsidRPr="00B241A8" w:rsidRDefault="00A31277" w:rsidP="00F73003">
      <w:pPr>
        <w:spacing w:after="160" w:line="360" w:lineRule="auto"/>
        <w:jc w:val="both"/>
        <w:rPr>
          <w:rFonts w:eastAsia="Arial" w:cs="Arial"/>
          <w:color w:val="222222"/>
          <w:szCs w:val="24"/>
        </w:rPr>
      </w:pPr>
      <w:r w:rsidRPr="00B241A8">
        <w:rPr>
          <w:rFonts w:eastAsia="Arial" w:cs="Arial"/>
          <w:color w:val="222222"/>
          <w:szCs w:val="24"/>
        </w:rPr>
        <w:t>P/E was negative in the 2020 loss year, then fell from roughly 44.7x (2021, on a still-depressed earnings base) to 27.7x (2022) and 20.3x (2023) as earnings per share grew faster than the share price. It rose back to roughly 32.0x in 2024 as the share price gained around 40% (in £ terms) while EPS actually declined 12% on higher interest costs — consistent with the market pricing in a recovery of earnings beyond the near-term dip.</w:t>
      </w:r>
    </w:p>
    <w:p w14:paraId="19961C03" w14:textId="3AE01463" w:rsidR="004C20A8" w:rsidRPr="00B241A8" w:rsidRDefault="004C20A8" w:rsidP="00F73003">
      <w:pPr>
        <w:spacing w:after="160" w:line="360" w:lineRule="auto"/>
        <w:jc w:val="both"/>
        <w:rPr>
          <w:rFonts w:cs="Arial"/>
          <w:szCs w:val="24"/>
        </w:rPr>
      </w:pPr>
      <w:r w:rsidRPr="00B241A8">
        <w:rPr>
          <w:rFonts w:cs="Arial"/>
          <w:szCs w:val="24"/>
        </w:rPr>
        <w:t>The P/E trend suggests that earnings quality is improving post-pandemic</w:t>
      </w:r>
      <w:r w:rsidR="00264AF7">
        <w:rPr>
          <w:rFonts w:cs="Arial"/>
          <w:szCs w:val="24"/>
        </w:rPr>
        <w:t>;</w:t>
      </w:r>
      <w:r w:rsidRPr="00B241A8">
        <w:rPr>
          <w:rFonts w:cs="Arial"/>
          <w:szCs w:val="24"/>
        </w:rPr>
        <w:t xml:space="preserve"> however</w:t>
      </w:r>
      <w:r w:rsidR="00264AF7">
        <w:rPr>
          <w:rFonts w:cs="Arial"/>
          <w:szCs w:val="24"/>
        </w:rPr>
        <w:t>,</w:t>
      </w:r>
      <w:r w:rsidRPr="00B241A8">
        <w:rPr>
          <w:rFonts w:cs="Arial"/>
          <w:szCs w:val="24"/>
        </w:rPr>
        <w:t xml:space="preserve"> there is a need for caution in interpreting this trend. The negative P/E for 2020 is of no economic significance</w:t>
      </w:r>
      <w:r w:rsidR="00264AF7">
        <w:rPr>
          <w:rFonts w:cs="Arial"/>
          <w:szCs w:val="24"/>
        </w:rPr>
        <w:t>,</w:t>
      </w:r>
      <w:r w:rsidRPr="00B241A8">
        <w:rPr>
          <w:rFonts w:cs="Arial"/>
          <w:szCs w:val="24"/>
        </w:rPr>
        <w:t xml:space="preserve"> as IHG reported a loss</w:t>
      </w:r>
      <w:r w:rsidR="00264AF7">
        <w:rPr>
          <w:rFonts w:cs="Arial"/>
          <w:szCs w:val="24"/>
        </w:rPr>
        <w:t>,</w:t>
      </w:r>
      <w:r w:rsidRPr="00B241A8">
        <w:rPr>
          <w:rFonts w:cs="Arial"/>
          <w:szCs w:val="24"/>
        </w:rPr>
        <w:t xml:space="preserve"> and the very high 44.7x in 2021 was </w:t>
      </w:r>
      <w:r w:rsidRPr="00B241A8">
        <w:rPr>
          <w:rFonts w:cs="Arial"/>
          <w:szCs w:val="24"/>
        </w:rPr>
        <w:lastRenderedPageBreak/>
        <w:t>due to a depressed earnings denominator in the early recovery. The earnings growth recovery was quicker than the share price</w:t>
      </w:r>
      <w:r w:rsidR="00264AF7">
        <w:rPr>
          <w:rFonts w:cs="Arial"/>
          <w:szCs w:val="24"/>
        </w:rPr>
        <w:t>,</w:t>
      </w:r>
      <w:r w:rsidRPr="00B241A8">
        <w:rPr>
          <w:rFonts w:cs="Arial"/>
          <w:szCs w:val="24"/>
        </w:rPr>
        <w:t xml:space="preserve"> as evidenced by the following falls to 27.7x in 2022 and 20.3x in 2023, suggesting better valuation support. The outlook is mitigated, though, by the 32.0x increase in 2024, as the bottom line fell by 12% and the share price rose about 40%. This separation suggests that investors were willing to pay more for each unit of current earnings, perhaps due to their anticipation of higher profitability from future earnings, not from those of the present year. However, the higher multiple also raises valuation risk if earnings growth doesn't materiali</w:t>
      </w:r>
      <w:r w:rsidR="00264AF7">
        <w:rPr>
          <w:rFonts w:cs="Arial"/>
          <w:szCs w:val="24"/>
        </w:rPr>
        <w:t>z</w:t>
      </w:r>
      <w:r w:rsidRPr="00B241A8">
        <w:rPr>
          <w:rFonts w:cs="Arial"/>
          <w:szCs w:val="24"/>
        </w:rPr>
        <w:t>e – especially with higher interest costs. Thus, P/E should not be viewed in isolation: the rise in P/E in 2024 may be driven not just by IHG's earnings growth, but also by market expectations, and as such may be indicative of investor confidence rather than shareholder profitability.</w:t>
      </w:r>
    </w:p>
    <w:p w14:paraId="2EBD52F1" w14:textId="417AF082" w:rsidR="001C5E89" w:rsidRPr="00B241A8" w:rsidRDefault="001C5E89" w:rsidP="00F73003">
      <w:pPr>
        <w:spacing w:after="160" w:line="360" w:lineRule="auto"/>
        <w:jc w:val="both"/>
        <w:rPr>
          <w:rFonts w:cs="Arial"/>
          <w:szCs w:val="24"/>
        </w:rPr>
      </w:pPr>
      <w:r w:rsidRPr="00B241A8">
        <w:rPr>
          <w:rFonts w:cs="Arial"/>
          <w:szCs w:val="24"/>
        </w:rPr>
        <w:t>Most importantly, the 2024 P/E of 32.0x shows that the market price was more of a guess on future earnings than a bet on actual earnings. While a higher multiple can be a sign of trust in IHG's asset-light strategy, brand value and future fee increases, it also suggests a higher valuation by investors for every dollar of current earnings. This increases the risk to the downside if the rebound in expected earnings is not as quick as hoped due to sluggish travel demand, surging financing costs or unfavo</w:t>
      </w:r>
      <w:r w:rsidR="00264AF7">
        <w:rPr>
          <w:rFonts w:cs="Arial"/>
          <w:szCs w:val="24"/>
        </w:rPr>
        <w:t>u</w:t>
      </w:r>
      <w:r w:rsidRPr="00B241A8">
        <w:rPr>
          <w:rFonts w:cs="Arial"/>
          <w:szCs w:val="24"/>
        </w:rPr>
        <w:t>rable foreign exchange fluctuations. In addition, P/E does not reflect the negative equity position of IHG, or the significant cash distributions IHG has delivered via buybacks and dividends, so it cannot be used alone as an indicator of value to shareholders. The decrease in the P/E ratio from 2021 to 2023 thus implied real earnings growth, while the 2024 decrease is more ambiguous to interpret. A strong investment analysis should not rely on the multiple alone as a sign of undervaluation or overvaluation, but rather should be viewed and analyzed along with free cash flow generation, leverage, ROA and forward earnings estimates.</w:t>
      </w:r>
    </w:p>
    <w:p w14:paraId="3023B5B4" w14:textId="77777777" w:rsidR="00A31277" w:rsidRPr="00B241A8" w:rsidRDefault="00A31277" w:rsidP="00F73003">
      <w:pPr>
        <w:pStyle w:val="Heading2"/>
        <w:spacing w:line="360" w:lineRule="auto"/>
        <w:jc w:val="both"/>
      </w:pPr>
      <w:bookmarkStart w:id="6" w:name="_Toc237523887"/>
      <w:r w:rsidRPr="00B241A8">
        <w:rPr>
          <w:rFonts w:eastAsia="Arial"/>
        </w:rPr>
        <w:t xml:space="preserve">Operating </w:t>
      </w:r>
      <w:r w:rsidRPr="00B241A8">
        <w:t>Cash</w:t>
      </w:r>
      <w:r w:rsidRPr="00B241A8">
        <w:rPr>
          <w:rFonts w:eastAsia="Arial"/>
        </w:rPr>
        <w:t xml:space="preserve"> Flow Ratio</w:t>
      </w:r>
      <w:bookmarkEnd w:id="6"/>
    </w:p>
    <w:p w14:paraId="64FE7F2C" w14:textId="1AE837A5" w:rsidR="00A31277" w:rsidRPr="00B241A8" w:rsidRDefault="00A31277" w:rsidP="00F73003">
      <w:pPr>
        <w:spacing w:after="160" w:line="360" w:lineRule="auto"/>
        <w:jc w:val="both"/>
        <w:rPr>
          <w:rFonts w:cs="Arial"/>
          <w:szCs w:val="24"/>
        </w:rPr>
      </w:pPr>
      <w:r w:rsidRPr="00B241A8">
        <w:rPr>
          <w:rFonts w:eastAsia="Arial" w:cs="Arial"/>
          <w:color w:val="222222"/>
          <w:szCs w:val="24"/>
        </w:rPr>
        <w:t>This ratio jumped from a thin 7.3% in 2020 to a stable 38%–42% band from 2021 onward. Operating cash flow has comfortably and consistently covered current liabilities every year since the pandemic trough, indicating healthy short-term liquidity support from core operations rather than financing activity.</w:t>
      </w:r>
      <w:r w:rsidR="004C20A8" w:rsidRPr="00B241A8">
        <w:rPr>
          <w:rFonts w:eastAsia="Arial" w:cs="Arial"/>
          <w:color w:val="222222"/>
          <w:szCs w:val="24"/>
        </w:rPr>
        <w:t xml:space="preserve"> But it would be inaccurate to suggest that the ratio over time shows a steady improvement </w:t>
      </w:r>
      <w:r w:rsidR="00264AF7">
        <w:rPr>
          <w:rFonts w:eastAsia="Arial" w:cs="Arial"/>
          <w:color w:val="222222"/>
          <w:szCs w:val="24"/>
        </w:rPr>
        <w:t>in</w:t>
      </w:r>
      <w:r w:rsidR="004C20A8" w:rsidRPr="00B241A8">
        <w:rPr>
          <w:rFonts w:eastAsia="Arial" w:cs="Arial"/>
          <w:color w:val="222222"/>
          <w:szCs w:val="24"/>
        </w:rPr>
        <w:t xml:space="preserve"> liquidity. Although the operations were positive, the ratio reached a peak of 41.8% in 2022 but decreased </w:t>
      </w:r>
      <w:r w:rsidR="004C20A8" w:rsidRPr="00B241A8">
        <w:rPr>
          <w:rFonts w:eastAsia="Arial" w:cs="Arial"/>
          <w:color w:val="222222"/>
          <w:szCs w:val="24"/>
        </w:rPr>
        <w:lastRenderedPageBreak/>
        <w:t>to 40.8% in 2023 and 37.6% in 2024. Further, the ratio must not be considered alone with reference to IHG's asset-light business model, asset-light working capital and IHG's shareholder distributions. Operating cash flow might be strong while liquidity on the balance sheet is low if enough cash is given back via dividends and buyback</w:t>
      </w:r>
      <w:r w:rsidR="00264AF7">
        <w:rPr>
          <w:rFonts w:eastAsia="Arial" w:cs="Arial"/>
          <w:color w:val="222222"/>
          <w:szCs w:val="24"/>
        </w:rPr>
        <w:t>s</w:t>
      </w:r>
      <w:r w:rsidR="004C20A8" w:rsidRPr="00B241A8">
        <w:rPr>
          <w:rFonts w:eastAsia="Arial" w:cs="Arial"/>
          <w:color w:val="222222"/>
          <w:szCs w:val="24"/>
        </w:rPr>
        <w:t xml:space="preserve"> of shares. The deceleration in 2024 is thus indicative of cash generation continuing to be solid, but with lower relative cover for current liabilities. Overall, the ratio has improved significantly over the past crisis in 2020, but the decline has been seen since 2022</w:t>
      </w:r>
      <w:r w:rsidR="00264AF7">
        <w:rPr>
          <w:rFonts w:eastAsia="Arial" w:cs="Arial"/>
          <w:color w:val="222222"/>
          <w:szCs w:val="24"/>
        </w:rPr>
        <w:t>,</w:t>
      </w:r>
      <w:r w:rsidR="004C20A8" w:rsidRPr="00B241A8">
        <w:rPr>
          <w:rFonts w:eastAsia="Arial" w:cs="Arial"/>
          <w:color w:val="222222"/>
          <w:szCs w:val="24"/>
        </w:rPr>
        <w:t xml:space="preserve"> suggesting that operating liquidity should not be taken for granted. It should be viewed in conjunction with free cash flow, current liabilities, net debt and cash balance to evaluate the underlying financial strength of IHG.</w:t>
      </w:r>
    </w:p>
    <w:p w14:paraId="1261B173" w14:textId="77777777" w:rsidR="00A31277" w:rsidRPr="00B241A8" w:rsidRDefault="00A31277" w:rsidP="00F73003">
      <w:pPr>
        <w:pStyle w:val="Heading2"/>
        <w:spacing w:line="360" w:lineRule="auto"/>
        <w:jc w:val="both"/>
      </w:pPr>
      <w:bookmarkStart w:id="7" w:name="_Toc237523888"/>
      <w:r w:rsidRPr="00B241A8">
        <w:rPr>
          <w:rFonts w:eastAsia="Arial"/>
        </w:rPr>
        <w:t xml:space="preserve">Free Cash </w:t>
      </w:r>
      <w:r w:rsidRPr="00B241A8">
        <w:t>Flow</w:t>
      </w:r>
      <w:r w:rsidRPr="00B241A8">
        <w:rPr>
          <w:rFonts w:eastAsia="Arial"/>
        </w:rPr>
        <w:t xml:space="preserve"> Margin</w:t>
      </w:r>
      <w:bookmarkEnd w:id="7"/>
    </w:p>
    <w:p w14:paraId="48E142EC" w14:textId="53ABCCD5" w:rsidR="00A31277" w:rsidRPr="00B241A8" w:rsidRDefault="00A31277" w:rsidP="00F73003">
      <w:pPr>
        <w:spacing w:after="160" w:line="360" w:lineRule="auto"/>
        <w:jc w:val="both"/>
        <w:rPr>
          <w:rFonts w:cs="Arial"/>
          <w:szCs w:val="24"/>
        </w:rPr>
      </w:pPr>
      <w:r w:rsidRPr="00B241A8">
        <w:rPr>
          <w:rFonts w:eastAsia="Arial" w:cs="Arial"/>
          <w:color w:val="222222"/>
          <w:szCs w:val="24"/>
        </w:rPr>
        <w:t>Free Cash Flow Margin rose sharply from just 2.5% in 2020 to a 14%–20% range across 2021–2024. This reflects IHG's asset-light, fee-based business model: with relatively low capital expenditure requirements, the company converts a high proportion of revenue into free cash flow even as total revenue more than doubled over the period</w:t>
      </w:r>
      <w:r w:rsidR="00494CFE" w:rsidRPr="00B241A8">
        <w:rPr>
          <w:rFonts w:eastAsia="Arial" w:cs="Arial"/>
          <w:color w:val="222222"/>
          <w:szCs w:val="24"/>
        </w:rPr>
        <w:t xml:space="preserve"> </w:t>
      </w:r>
      <w:r w:rsidR="00494CFE" w:rsidRPr="00B241A8">
        <w:rPr>
          <w:rFonts w:eastAsia="Arial" w:cs="Arial"/>
          <w:color w:val="222222"/>
          <w:szCs w:val="24"/>
        </w:rPr>
        <w:fldChar w:fldCharType="begin" w:fldLock="1"/>
      </w:r>
      <w:r w:rsidR="00494CFE" w:rsidRPr="00B241A8">
        <w:rPr>
          <w:rFonts w:eastAsia="Arial" w:cs="Arial"/>
          <w:color w:val="222222"/>
          <w:szCs w:val="24"/>
        </w:rPr>
        <w:instrText>ADDIN CSL_CITATION {"citationItems":[{"id":"ITEM-1","itemData":{"ISSN":"02784319","author":[{"dropping-particle":"","family":"Poretti","given":"Cédric","non-dropping-particle":"","parse-names":false,"suffix":""},{"dropping-particle":"","family":"Jérôme","given":"Tiphaine","non-dropping-particle":"","parse-names":false,"suffix":""},{"dropping-particle":"","family":"Heo","given":"Cindy Yoonjoung","non-dropping-particle":"","parse-names":false,"suffix":""}],"container-title":"International Journal of Hospitality Management","id":"ITEM-1","issued":{"date-parts":[["2023","4"]]},"page":"103429","title":"Business strategies and financial reporting complexity in hospitality firms","type":"article-journal","volume":"110"},"uris":["http://www.mendeley.com/documents/?uuid=5fa870a7-22e8-48af-a711-ed04f9d4d390"]}],"mendeley":{"formattedCitation":"(Poretti, Jérôme and Heo, 2023)","plainTextFormattedCitation":"(Poretti, Jérôme and Heo, 2023)","previouslyFormattedCitation":"(Poretti, Jérôme and Heo, 2023)"},"properties":{"noteIndex":0},"schema":"https://github.com/citation-style-language/schema/raw/master/csl-citation.json"}</w:instrText>
      </w:r>
      <w:r w:rsidR="00494CFE" w:rsidRPr="00B241A8">
        <w:rPr>
          <w:rFonts w:eastAsia="Arial" w:cs="Arial"/>
          <w:color w:val="222222"/>
          <w:szCs w:val="24"/>
        </w:rPr>
        <w:fldChar w:fldCharType="separate"/>
      </w:r>
      <w:r w:rsidR="00494CFE" w:rsidRPr="00B241A8">
        <w:rPr>
          <w:rFonts w:eastAsia="Arial" w:cs="Arial"/>
          <w:noProof/>
          <w:color w:val="222222"/>
          <w:szCs w:val="24"/>
        </w:rPr>
        <w:t>(Poretti, Jérôme and Heo, 2023)</w:t>
      </w:r>
      <w:r w:rsidR="00494CFE" w:rsidRPr="00B241A8">
        <w:rPr>
          <w:rFonts w:eastAsia="Arial" w:cs="Arial"/>
          <w:color w:val="222222"/>
          <w:szCs w:val="24"/>
        </w:rPr>
        <w:fldChar w:fldCharType="end"/>
      </w:r>
      <w:r w:rsidR="00494CFE" w:rsidRPr="00B241A8">
        <w:rPr>
          <w:rFonts w:eastAsia="Arial" w:cs="Arial"/>
          <w:color w:val="222222"/>
          <w:szCs w:val="24"/>
        </w:rPr>
        <w:t>.</w:t>
      </w:r>
      <w:r w:rsidR="004C20A8" w:rsidRPr="00B241A8">
        <w:rPr>
          <w:rFonts w:cs="Arial"/>
          <w:szCs w:val="24"/>
        </w:rPr>
        <w:t xml:space="preserve"> </w:t>
      </w:r>
      <w:r w:rsidR="004C20A8" w:rsidRPr="00B241A8">
        <w:rPr>
          <w:rFonts w:eastAsia="Arial" w:cs="Arial"/>
          <w:color w:val="222222"/>
          <w:szCs w:val="24"/>
        </w:rPr>
        <w:t>Thus, simply stating that it was the result of IHG's model of being asset-light and fee-based isn't sufficient to explain the strategy. New studies published in peer-review</w:t>
      </w:r>
      <w:r w:rsidR="00264AF7">
        <w:rPr>
          <w:rFonts w:eastAsia="Arial" w:cs="Arial"/>
          <w:color w:val="222222"/>
          <w:szCs w:val="24"/>
        </w:rPr>
        <w:t>ed</w:t>
      </w:r>
      <w:r w:rsidR="004C20A8" w:rsidRPr="00B241A8">
        <w:rPr>
          <w:rFonts w:eastAsia="Arial" w:cs="Arial"/>
          <w:color w:val="222222"/>
          <w:szCs w:val="24"/>
        </w:rPr>
        <w:t xml:space="preserve"> journals confirm that the financial benefits of asset-light approaches are there, but also demonstrate that the benefits of asset-light approaches are dependent on financial leverage, with increasing leverage reducing the benefits. Furthermore, a high FCF ratio may not be a true reflection of permanent improvements in underlying profitability</w:t>
      </w:r>
      <w:r w:rsidR="00264AF7">
        <w:rPr>
          <w:rFonts w:eastAsia="Arial" w:cs="Arial"/>
          <w:color w:val="222222"/>
          <w:szCs w:val="24"/>
        </w:rPr>
        <w:t>,</w:t>
      </w:r>
      <w:r w:rsidR="004C20A8" w:rsidRPr="00B241A8">
        <w:rPr>
          <w:rFonts w:eastAsia="Arial" w:cs="Arial"/>
          <w:color w:val="222222"/>
          <w:szCs w:val="24"/>
        </w:rPr>
        <w:t xml:space="preserve"> as working-capital movements and timing of capital expenditures can affect this ratio. So the 2024 decline should be interpreted with some caution; IHG was continuing to be a very cash</w:t>
      </w:r>
      <w:r w:rsidR="00264AF7">
        <w:rPr>
          <w:rFonts w:eastAsia="Arial" w:cs="Arial"/>
          <w:color w:val="222222"/>
          <w:szCs w:val="24"/>
        </w:rPr>
        <w:t>-</w:t>
      </w:r>
      <w:r w:rsidR="004C20A8" w:rsidRPr="00B241A8">
        <w:rPr>
          <w:rFonts w:eastAsia="Arial" w:cs="Arial"/>
          <w:color w:val="222222"/>
          <w:szCs w:val="24"/>
        </w:rPr>
        <w:t>generative business, but the reduced margin indicated that the very positive cash-conversion benefits from the pandemic were settling. Overall, FCF is a significant strength but should be viewed in conjunction with leverage and re-investment needs, as well as operating cash flow and not as an indicator of financial strength.</w:t>
      </w:r>
      <w:r w:rsidR="001C5E89" w:rsidRPr="00B241A8">
        <w:rPr>
          <w:rFonts w:eastAsia="Arial" w:cs="Arial"/>
          <w:color w:val="222222"/>
          <w:szCs w:val="24"/>
        </w:rPr>
        <w:t xml:space="preserve"> More importantly, the free cash flow margin should not be mistaken </w:t>
      </w:r>
      <w:r w:rsidR="00264AF7">
        <w:rPr>
          <w:rFonts w:eastAsia="Arial" w:cs="Arial"/>
          <w:color w:val="222222"/>
          <w:szCs w:val="24"/>
        </w:rPr>
        <w:t>for</w:t>
      </w:r>
      <w:r w:rsidR="001C5E89" w:rsidRPr="00B241A8">
        <w:rPr>
          <w:rFonts w:eastAsia="Arial" w:cs="Arial"/>
          <w:color w:val="222222"/>
          <w:szCs w:val="24"/>
        </w:rPr>
        <w:t xml:space="preserve"> the sustainability of free cash generation. This rise in the share from 2.5% in 2020 to 20.1% in 2021 is partly due to the unusually weak base for comparison in 2021, as a result of the exceptional recovery from pandemic disruption. The subsequent drop to 13.1% in 2024 does not necessarily suggest a deterioration in the business economics but does indicate that </w:t>
      </w:r>
      <w:r w:rsidR="001C5E89" w:rsidRPr="00B241A8">
        <w:rPr>
          <w:rFonts w:eastAsia="Arial" w:cs="Arial"/>
          <w:color w:val="222222"/>
          <w:szCs w:val="24"/>
        </w:rPr>
        <w:lastRenderedPageBreak/>
        <w:t>recovery was not in the same extreme cash-conversion conditions. Furthermore, having a strong FCF can help shareholders to be paid, while IHG's extensive buybacks and dividends can also decrease cash reserves in the business. This gives rise to a critical trade-off between the short</w:t>
      </w:r>
      <w:r w:rsidR="00264AF7">
        <w:rPr>
          <w:rFonts w:eastAsia="Arial" w:cs="Arial"/>
          <w:color w:val="222222"/>
          <w:szCs w:val="24"/>
        </w:rPr>
        <w:t>-</w:t>
      </w:r>
      <w:r w:rsidR="001C5E89" w:rsidRPr="00B241A8">
        <w:rPr>
          <w:rFonts w:eastAsia="Arial" w:cs="Arial"/>
          <w:color w:val="222222"/>
          <w:szCs w:val="24"/>
        </w:rPr>
        <w:t>term returns to shareholders and the resilience of the balance</w:t>
      </w:r>
      <w:r w:rsidR="00264AF7">
        <w:rPr>
          <w:rFonts w:eastAsia="Arial" w:cs="Arial"/>
          <w:color w:val="222222"/>
          <w:szCs w:val="24"/>
        </w:rPr>
        <w:t xml:space="preserve"> </w:t>
      </w:r>
      <w:r w:rsidR="001C5E89" w:rsidRPr="00B241A8">
        <w:rPr>
          <w:rFonts w:eastAsia="Arial" w:cs="Arial"/>
          <w:color w:val="222222"/>
          <w:szCs w:val="24"/>
        </w:rPr>
        <w:t>sheet. Hence, when assessing financial strength on the basis of FCF margin alone, it is possible that the financial strength is overstated. It may be judged in relation to the operating cash flow, capital expenditure, net debt and interest obligations and recurring cash needs. The increasing leverage and financing costs, in particular, could erode internal cash generation to increasingly a point where there is insufficient cash to reinvest and distribute. Overall, IHG's cash generation is a big financial positive</w:t>
      </w:r>
      <w:r w:rsidR="00264AF7">
        <w:rPr>
          <w:rFonts w:eastAsia="Arial" w:cs="Arial"/>
          <w:color w:val="222222"/>
          <w:szCs w:val="24"/>
        </w:rPr>
        <w:t>,</w:t>
      </w:r>
      <w:r w:rsidR="001C5E89" w:rsidRPr="00B241A8">
        <w:rPr>
          <w:rFonts w:eastAsia="Arial" w:cs="Arial"/>
          <w:color w:val="222222"/>
          <w:szCs w:val="24"/>
        </w:rPr>
        <w:t xml:space="preserve"> but as margin</w:t>
      </w:r>
      <w:r w:rsidR="00264AF7">
        <w:rPr>
          <w:rFonts w:eastAsia="Arial" w:cs="Arial"/>
          <w:color w:val="222222"/>
          <w:szCs w:val="24"/>
        </w:rPr>
        <w:t>s keep</w:t>
      </w:r>
      <w:r w:rsidR="001C5E89" w:rsidRPr="00B241A8">
        <w:rPr>
          <w:rFonts w:eastAsia="Arial" w:cs="Arial"/>
          <w:color w:val="222222"/>
          <w:szCs w:val="24"/>
        </w:rPr>
        <w:t xml:space="preserve"> falling in 2024, management needs to increasingly think about how durable, as well as how much, free cash flow is.</w:t>
      </w:r>
    </w:p>
    <w:p w14:paraId="04D12FC7" w14:textId="77777777" w:rsidR="00A31277" w:rsidRPr="00B241A8" w:rsidRDefault="00A31277" w:rsidP="00F73003">
      <w:pPr>
        <w:spacing w:line="360" w:lineRule="auto"/>
        <w:jc w:val="both"/>
        <w:rPr>
          <w:b/>
          <w:bCs/>
        </w:rPr>
      </w:pPr>
      <w:r w:rsidRPr="00B241A8">
        <w:rPr>
          <w:rFonts w:eastAsia="Arial"/>
          <w:b/>
          <w:bCs/>
        </w:rPr>
        <w:t>Supporting Figures</w:t>
      </w:r>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00"/>
        <w:gridCol w:w="1520"/>
        <w:gridCol w:w="1520"/>
        <w:gridCol w:w="1520"/>
        <w:gridCol w:w="1520"/>
        <w:gridCol w:w="1520"/>
      </w:tblGrid>
      <w:tr w:rsidR="00A31277" w:rsidRPr="00B241A8" w14:paraId="186D6550" w14:textId="77777777" w:rsidTr="00A31277">
        <w:trPr>
          <w:tblHeader/>
        </w:trPr>
        <w:tc>
          <w:tcPr>
            <w:tcW w:w="3200" w:type="dxa"/>
            <w:tcBorders>
              <w:top w:val="single" w:sz="4" w:space="0" w:color="auto"/>
              <w:left w:val="single" w:sz="4" w:space="0" w:color="auto"/>
              <w:bottom w:val="single" w:sz="4" w:space="0" w:color="auto"/>
              <w:right w:val="single" w:sz="4" w:space="0" w:color="auto"/>
            </w:tcBorders>
            <w:shd w:val="clear" w:color="auto" w:fill="1F3864"/>
            <w:tcMar>
              <w:top w:w="80" w:type="dxa"/>
              <w:left w:w="100" w:type="dxa"/>
              <w:bottom w:w="80" w:type="dxa"/>
              <w:right w:w="100" w:type="dxa"/>
            </w:tcMar>
            <w:vAlign w:val="center"/>
            <w:hideMark/>
          </w:tcPr>
          <w:p w14:paraId="6822A92D" w14:textId="77777777" w:rsidR="00A31277" w:rsidRPr="00B241A8" w:rsidRDefault="00A31277" w:rsidP="00F73003">
            <w:pPr>
              <w:spacing w:line="360" w:lineRule="auto"/>
              <w:jc w:val="both"/>
              <w:rPr>
                <w:rFonts w:cs="Arial"/>
                <w:szCs w:val="24"/>
              </w:rPr>
            </w:pPr>
            <w:r w:rsidRPr="00B241A8">
              <w:rPr>
                <w:rFonts w:eastAsia="Arial" w:cs="Arial"/>
                <w:b/>
                <w:bCs/>
                <w:color w:val="FFFFFF"/>
                <w:szCs w:val="24"/>
              </w:rPr>
              <w:t>Ratio</w:t>
            </w:r>
          </w:p>
        </w:tc>
        <w:tc>
          <w:tcPr>
            <w:tcW w:w="1520" w:type="dxa"/>
            <w:tcBorders>
              <w:top w:val="single" w:sz="4" w:space="0" w:color="auto"/>
              <w:left w:val="single" w:sz="4" w:space="0" w:color="auto"/>
              <w:bottom w:val="single" w:sz="4" w:space="0" w:color="auto"/>
              <w:right w:val="single" w:sz="4" w:space="0" w:color="auto"/>
            </w:tcBorders>
            <w:shd w:val="clear" w:color="auto" w:fill="1F3864"/>
            <w:tcMar>
              <w:top w:w="80" w:type="dxa"/>
              <w:left w:w="100" w:type="dxa"/>
              <w:bottom w:w="80" w:type="dxa"/>
              <w:right w:w="100" w:type="dxa"/>
            </w:tcMar>
            <w:vAlign w:val="center"/>
            <w:hideMark/>
          </w:tcPr>
          <w:p w14:paraId="14C112EB" w14:textId="77777777" w:rsidR="00A31277" w:rsidRPr="00B241A8" w:rsidRDefault="00A31277" w:rsidP="00F73003">
            <w:pPr>
              <w:spacing w:line="360" w:lineRule="auto"/>
              <w:jc w:val="both"/>
              <w:rPr>
                <w:rFonts w:cs="Arial"/>
                <w:szCs w:val="24"/>
              </w:rPr>
            </w:pPr>
            <w:r w:rsidRPr="00B241A8">
              <w:rPr>
                <w:rFonts w:eastAsia="Arial" w:cs="Arial"/>
                <w:b/>
                <w:bCs/>
                <w:color w:val="FFFFFF"/>
                <w:szCs w:val="24"/>
              </w:rPr>
              <w:t>2020</w:t>
            </w:r>
          </w:p>
        </w:tc>
        <w:tc>
          <w:tcPr>
            <w:tcW w:w="1520" w:type="dxa"/>
            <w:tcBorders>
              <w:top w:val="single" w:sz="4" w:space="0" w:color="auto"/>
              <w:left w:val="single" w:sz="4" w:space="0" w:color="auto"/>
              <w:bottom w:val="single" w:sz="4" w:space="0" w:color="auto"/>
              <w:right w:val="single" w:sz="4" w:space="0" w:color="auto"/>
            </w:tcBorders>
            <w:shd w:val="clear" w:color="auto" w:fill="1F3864"/>
            <w:tcMar>
              <w:top w:w="80" w:type="dxa"/>
              <w:left w:w="100" w:type="dxa"/>
              <w:bottom w:w="80" w:type="dxa"/>
              <w:right w:w="100" w:type="dxa"/>
            </w:tcMar>
            <w:vAlign w:val="center"/>
            <w:hideMark/>
          </w:tcPr>
          <w:p w14:paraId="4DFF869B" w14:textId="77777777" w:rsidR="00A31277" w:rsidRPr="00B241A8" w:rsidRDefault="00A31277" w:rsidP="00F73003">
            <w:pPr>
              <w:spacing w:line="360" w:lineRule="auto"/>
              <w:jc w:val="both"/>
              <w:rPr>
                <w:rFonts w:cs="Arial"/>
                <w:szCs w:val="24"/>
              </w:rPr>
            </w:pPr>
            <w:r w:rsidRPr="00B241A8">
              <w:rPr>
                <w:rFonts w:eastAsia="Arial" w:cs="Arial"/>
                <w:b/>
                <w:bCs/>
                <w:color w:val="FFFFFF"/>
                <w:szCs w:val="24"/>
              </w:rPr>
              <w:t>2021</w:t>
            </w:r>
          </w:p>
        </w:tc>
        <w:tc>
          <w:tcPr>
            <w:tcW w:w="1520" w:type="dxa"/>
            <w:tcBorders>
              <w:top w:val="single" w:sz="4" w:space="0" w:color="auto"/>
              <w:left w:val="single" w:sz="4" w:space="0" w:color="auto"/>
              <w:bottom w:val="single" w:sz="4" w:space="0" w:color="auto"/>
              <w:right w:val="single" w:sz="4" w:space="0" w:color="auto"/>
            </w:tcBorders>
            <w:shd w:val="clear" w:color="auto" w:fill="1F3864"/>
            <w:tcMar>
              <w:top w:w="80" w:type="dxa"/>
              <w:left w:w="100" w:type="dxa"/>
              <w:bottom w:w="80" w:type="dxa"/>
              <w:right w:w="100" w:type="dxa"/>
            </w:tcMar>
            <w:vAlign w:val="center"/>
            <w:hideMark/>
          </w:tcPr>
          <w:p w14:paraId="5EDBBBDA" w14:textId="77777777" w:rsidR="00A31277" w:rsidRPr="00B241A8" w:rsidRDefault="00A31277" w:rsidP="00F73003">
            <w:pPr>
              <w:spacing w:line="360" w:lineRule="auto"/>
              <w:jc w:val="both"/>
              <w:rPr>
                <w:rFonts w:cs="Arial"/>
                <w:szCs w:val="24"/>
              </w:rPr>
            </w:pPr>
            <w:r w:rsidRPr="00B241A8">
              <w:rPr>
                <w:rFonts w:eastAsia="Arial" w:cs="Arial"/>
                <w:b/>
                <w:bCs/>
                <w:color w:val="FFFFFF"/>
                <w:szCs w:val="24"/>
              </w:rPr>
              <w:t>2022</w:t>
            </w:r>
          </w:p>
        </w:tc>
        <w:tc>
          <w:tcPr>
            <w:tcW w:w="1520" w:type="dxa"/>
            <w:tcBorders>
              <w:top w:val="single" w:sz="4" w:space="0" w:color="auto"/>
              <w:left w:val="single" w:sz="4" w:space="0" w:color="auto"/>
              <w:bottom w:val="single" w:sz="4" w:space="0" w:color="auto"/>
              <w:right w:val="single" w:sz="4" w:space="0" w:color="auto"/>
            </w:tcBorders>
            <w:shd w:val="clear" w:color="auto" w:fill="1F3864"/>
            <w:tcMar>
              <w:top w:w="80" w:type="dxa"/>
              <w:left w:w="100" w:type="dxa"/>
              <w:bottom w:w="80" w:type="dxa"/>
              <w:right w:w="100" w:type="dxa"/>
            </w:tcMar>
            <w:vAlign w:val="center"/>
            <w:hideMark/>
          </w:tcPr>
          <w:p w14:paraId="2EC28857" w14:textId="77777777" w:rsidR="00A31277" w:rsidRPr="00B241A8" w:rsidRDefault="00A31277" w:rsidP="00F73003">
            <w:pPr>
              <w:spacing w:line="360" w:lineRule="auto"/>
              <w:jc w:val="both"/>
              <w:rPr>
                <w:rFonts w:cs="Arial"/>
                <w:szCs w:val="24"/>
              </w:rPr>
            </w:pPr>
            <w:r w:rsidRPr="00B241A8">
              <w:rPr>
                <w:rFonts w:eastAsia="Arial" w:cs="Arial"/>
                <w:b/>
                <w:bCs/>
                <w:color w:val="FFFFFF"/>
                <w:szCs w:val="24"/>
              </w:rPr>
              <w:t>2023</w:t>
            </w:r>
          </w:p>
        </w:tc>
        <w:tc>
          <w:tcPr>
            <w:tcW w:w="1520" w:type="dxa"/>
            <w:tcBorders>
              <w:top w:val="single" w:sz="4" w:space="0" w:color="auto"/>
              <w:left w:val="single" w:sz="4" w:space="0" w:color="auto"/>
              <w:bottom w:val="single" w:sz="4" w:space="0" w:color="auto"/>
              <w:right w:val="single" w:sz="4" w:space="0" w:color="auto"/>
            </w:tcBorders>
            <w:shd w:val="clear" w:color="auto" w:fill="1F3864"/>
            <w:tcMar>
              <w:top w:w="80" w:type="dxa"/>
              <w:left w:w="100" w:type="dxa"/>
              <w:bottom w:w="80" w:type="dxa"/>
              <w:right w:w="100" w:type="dxa"/>
            </w:tcMar>
            <w:vAlign w:val="center"/>
            <w:hideMark/>
          </w:tcPr>
          <w:p w14:paraId="77F54BE4" w14:textId="77777777" w:rsidR="00A31277" w:rsidRPr="00B241A8" w:rsidRDefault="00A31277" w:rsidP="00F73003">
            <w:pPr>
              <w:spacing w:line="360" w:lineRule="auto"/>
              <w:jc w:val="both"/>
              <w:rPr>
                <w:rFonts w:cs="Arial"/>
                <w:szCs w:val="24"/>
              </w:rPr>
            </w:pPr>
            <w:r w:rsidRPr="00B241A8">
              <w:rPr>
                <w:rFonts w:eastAsia="Arial" w:cs="Arial"/>
                <w:b/>
                <w:bCs/>
                <w:color w:val="FFFFFF"/>
                <w:szCs w:val="24"/>
              </w:rPr>
              <w:t>2024</w:t>
            </w:r>
          </w:p>
        </w:tc>
      </w:tr>
      <w:tr w:rsidR="00A31277" w:rsidRPr="00B241A8" w14:paraId="75131A1B" w14:textId="77777777" w:rsidTr="00A31277">
        <w:tc>
          <w:tcPr>
            <w:tcW w:w="320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vAlign w:val="center"/>
            <w:hideMark/>
          </w:tcPr>
          <w:p w14:paraId="37D46EBA" w14:textId="77777777" w:rsidR="00A31277" w:rsidRPr="00B241A8" w:rsidRDefault="00A31277" w:rsidP="00F73003">
            <w:pPr>
              <w:spacing w:line="360" w:lineRule="auto"/>
              <w:jc w:val="both"/>
              <w:rPr>
                <w:rFonts w:cs="Arial"/>
                <w:szCs w:val="24"/>
              </w:rPr>
            </w:pPr>
            <w:r w:rsidRPr="00B241A8">
              <w:rPr>
                <w:rFonts w:eastAsia="Arial" w:cs="Arial"/>
                <w:b/>
                <w:bCs/>
                <w:color w:val="111111"/>
                <w:szCs w:val="24"/>
              </w:rPr>
              <w:t>Net income ($mm)</w:t>
            </w:r>
          </w:p>
        </w:tc>
        <w:tc>
          <w:tcPr>
            <w:tcW w:w="152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vAlign w:val="center"/>
            <w:hideMark/>
          </w:tcPr>
          <w:p w14:paraId="6BA8A60A" w14:textId="77777777" w:rsidR="00A31277" w:rsidRPr="00B241A8" w:rsidRDefault="00A31277" w:rsidP="00F73003">
            <w:pPr>
              <w:spacing w:line="360" w:lineRule="auto"/>
              <w:jc w:val="both"/>
              <w:rPr>
                <w:rFonts w:cs="Arial"/>
                <w:szCs w:val="24"/>
              </w:rPr>
            </w:pPr>
            <w:r w:rsidRPr="00B241A8">
              <w:rPr>
                <w:rFonts w:eastAsia="Arial" w:cs="Arial"/>
                <w:color w:val="217346"/>
                <w:szCs w:val="24"/>
              </w:rPr>
              <w:t>-260</w:t>
            </w:r>
          </w:p>
        </w:tc>
        <w:tc>
          <w:tcPr>
            <w:tcW w:w="152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vAlign w:val="center"/>
            <w:hideMark/>
          </w:tcPr>
          <w:p w14:paraId="3FF6D0FC" w14:textId="77777777" w:rsidR="00A31277" w:rsidRPr="00B241A8" w:rsidRDefault="00A31277" w:rsidP="00F73003">
            <w:pPr>
              <w:spacing w:line="360" w:lineRule="auto"/>
              <w:jc w:val="both"/>
              <w:rPr>
                <w:rFonts w:cs="Arial"/>
                <w:szCs w:val="24"/>
              </w:rPr>
            </w:pPr>
            <w:r w:rsidRPr="00B241A8">
              <w:rPr>
                <w:rFonts w:eastAsia="Arial" w:cs="Arial"/>
                <w:color w:val="217346"/>
                <w:szCs w:val="24"/>
              </w:rPr>
              <w:t>265</w:t>
            </w:r>
          </w:p>
        </w:tc>
        <w:tc>
          <w:tcPr>
            <w:tcW w:w="152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vAlign w:val="center"/>
            <w:hideMark/>
          </w:tcPr>
          <w:p w14:paraId="7ABC170E" w14:textId="77777777" w:rsidR="00A31277" w:rsidRPr="00B241A8" w:rsidRDefault="00A31277" w:rsidP="00F73003">
            <w:pPr>
              <w:spacing w:line="360" w:lineRule="auto"/>
              <w:jc w:val="both"/>
              <w:rPr>
                <w:rFonts w:cs="Arial"/>
                <w:szCs w:val="24"/>
              </w:rPr>
            </w:pPr>
            <w:r w:rsidRPr="00B241A8">
              <w:rPr>
                <w:rFonts w:eastAsia="Arial" w:cs="Arial"/>
                <w:color w:val="217346"/>
                <w:szCs w:val="24"/>
              </w:rPr>
              <w:t>376</w:t>
            </w:r>
          </w:p>
        </w:tc>
        <w:tc>
          <w:tcPr>
            <w:tcW w:w="152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vAlign w:val="center"/>
            <w:hideMark/>
          </w:tcPr>
          <w:p w14:paraId="1CCD672E" w14:textId="77777777" w:rsidR="00A31277" w:rsidRPr="00B241A8" w:rsidRDefault="00A31277" w:rsidP="00F73003">
            <w:pPr>
              <w:spacing w:line="360" w:lineRule="auto"/>
              <w:jc w:val="both"/>
              <w:rPr>
                <w:rFonts w:cs="Arial"/>
                <w:szCs w:val="24"/>
              </w:rPr>
            </w:pPr>
            <w:r w:rsidRPr="00B241A8">
              <w:rPr>
                <w:rFonts w:eastAsia="Arial" w:cs="Arial"/>
                <w:color w:val="217346"/>
                <w:szCs w:val="24"/>
              </w:rPr>
              <w:t>750</w:t>
            </w:r>
          </w:p>
        </w:tc>
        <w:tc>
          <w:tcPr>
            <w:tcW w:w="152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vAlign w:val="center"/>
            <w:hideMark/>
          </w:tcPr>
          <w:p w14:paraId="0EFC0331" w14:textId="77777777" w:rsidR="00A31277" w:rsidRPr="00B241A8" w:rsidRDefault="00A31277" w:rsidP="00F73003">
            <w:pPr>
              <w:spacing w:line="360" w:lineRule="auto"/>
              <w:jc w:val="both"/>
              <w:rPr>
                <w:rFonts w:cs="Arial"/>
                <w:szCs w:val="24"/>
              </w:rPr>
            </w:pPr>
            <w:r w:rsidRPr="00B241A8">
              <w:rPr>
                <w:rFonts w:eastAsia="Arial" w:cs="Arial"/>
                <w:color w:val="217346"/>
                <w:szCs w:val="24"/>
              </w:rPr>
              <w:t>628</w:t>
            </w:r>
          </w:p>
        </w:tc>
      </w:tr>
      <w:tr w:rsidR="00A31277" w:rsidRPr="00B241A8" w14:paraId="37F05FE3" w14:textId="77777777" w:rsidTr="00A31277">
        <w:tc>
          <w:tcPr>
            <w:tcW w:w="3200" w:type="dxa"/>
            <w:tcBorders>
              <w:top w:val="single" w:sz="4" w:space="0" w:color="auto"/>
              <w:left w:val="single" w:sz="4" w:space="0" w:color="auto"/>
              <w:bottom w:val="single" w:sz="4" w:space="0" w:color="auto"/>
              <w:right w:val="single" w:sz="4" w:space="0" w:color="auto"/>
            </w:tcBorders>
            <w:shd w:val="clear" w:color="auto" w:fill="F2F2F2"/>
            <w:tcMar>
              <w:top w:w="70" w:type="dxa"/>
              <w:left w:w="100" w:type="dxa"/>
              <w:bottom w:w="70" w:type="dxa"/>
              <w:right w:w="100" w:type="dxa"/>
            </w:tcMar>
            <w:vAlign w:val="center"/>
            <w:hideMark/>
          </w:tcPr>
          <w:p w14:paraId="78DD7D8F" w14:textId="77777777" w:rsidR="00A31277" w:rsidRPr="00B241A8" w:rsidRDefault="00A31277" w:rsidP="00F73003">
            <w:pPr>
              <w:spacing w:line="360" w:lineRule="auto"/>
              <w:jc w:val="both"/>
              <w:rPr>
                <w:rFonts w:cs="Arial"/>
                <w:szCs w:val="24"/>
              </w:rPr>
            </w:pPr>
            <w:r w:rsidRPr="00B241A8">
              <w:rPr>
                <w:rFonts w:eastAsia="Arial" w:cs="Arial"/>
                <w:b/>
                <w:bCs/>
                <w:color w:val="111111"/>
                <w:szCs w:val="24"/>
              </w:rPr>
              <w:t>Total equity ($mm)</w:t>
            </w:r>
          </w:p>
        </w:tc>
        <w:tc>
          <w:tcPr>
            <w:tcW w:w="1520" w:type="dxa"/>
            <w:tcBorders>
              <w:top w:val="single" w:sz="4" w:space="0" w:color="auto"/>
              <w:left w:val="single" w:sz="4" w:space="0" w:color="auto"/>
              <w:bottom w:val="single" w:sz="4" w:space="0" w:color="auto"/>
              <w:right w:val="single" w:sz="4" w:space="0" w:color="auto"/>
            </w:tcBorders>
            <w:shd w:val="clear" w:color="auto" w:fill="F2F2F2"/>
            <w:tcMar>
              <w:top w:w="70" w:type="dxa"/>
              <w:left w:w="100" w:type="dxa"/>
              <w:bottom w:w="70" w:type="dxa"/>
              <w:right w:w="100" w:type="dxa"/>
            </w:tcMar>
            <w:vAlign w:val="center"/>
            <w:hideMark/>
          </w:tcPr>
          <w:p w14:paraId="6426CB9C" w14:textId="77777777" w:rsidR="00A31277" w:rsidRPr="00B241A8" w:rsidRDefault="00A31277" w:rsidP="00F73003">
            <w:pPr>
              <w:spacing w:line="360" w:lineRule="auto"/>
              <w:jc w:val="both"/>
              <w:rPr>
                <w:rFonts w:cs="Arial"/>
                <w:szCs w:val="24"/>
              </w:rPr>
            </w:pPr>
            <w:r w:rsidRPr="00B241A8">
              <w:rPr>
                <w:rFonts w:eastAsia="Arial" w:cs="Arial"/>
                <w:color w:val="217346"/>
                <w:szCs w:val="24"/>
              </w:rPr>
              <w:t>-1,849</w:t>
            </w:r>
          </w:p>
        </w:tc>
        <w:tc>
          <w:tcPr>
            <w:tcW w:w="1520" w:type="dxa"/>
            <w:tcBorders>
              <w:top w:val="single" w:sz="4" w:space="0" w:color="auto"/>
              <w:left w:val="single" w:sz="4" w:space="0" w:color="auto"/>
              <w:bottom w:val="single" w:sz="4" w:space="0" w:color="auto"/>
              <w:right w:val="single" w:sz="4" w:space="0" w:color="auto"/>
            </w:tcBorders>
            <w:shd w:val="clear" w:color="auto" w:fill="F2F2F2"/>
            <w:tcMar>
              <w:top w:w="70" w:type="dxa"/>
              <w:left w:w="100" w:type="dxa"/>
              <w:bottom w:w="70" w:type="dxa"/>
              <w:right w:w="100" w:type="dxa"/>
            </w:tcMar>
            <w:vAlign w:val="center"/>
            <w:hideMark/>
          </w:tcPr>
          <w:p w14:paraId="3F5E18D5" w14:textId="77777777" w:rsidR="00A31277" w:rsidRPr="00B241A8" w:rsidRDefault="00A31277" w:rsidP="00F73003">
            <w:pPr>
              <w:spacing w:line="360" w:lineRule="auto"/>
              <w:jc w:val="both"/>
              <w:rPr>
                <w:rFonts w:cs="Arial"/>
                <w:szCs w:val="24"/>
              </w:rPr>
            </w:pPr>
            <w:r w:rsidRPr="00B241A8">
              <w:rPr>
                <w:rFonts w:eastAsia="Arial" w:cs="Arial"/>
                <w:color w:val="217346"/>
                <w:szCs w:val="24"/>
              </w:rPr>
              <w:t>-1,474</w:t>
            </w:r>
          </w:p>
        </w:tc>
        <w:tc>
          <w:tcPr>
            <w:tcW w:w="1520" w:type="dxa"/>
            <w:tcBorders>
              <w:top w:val="single" w:sz="4" w:space="0" w:color="auto"/>
              <w:left w:val="single" w:sz="4" w:space="0" w:color="auto"/>
              <w:bottom w:val="single" w:sz="4" w:space="0" w:color="auto"/>
              <w:right w:val="single" w:sz="4" w:space="0" w:color="auto"/>
            </w:tcBorders>
            <w:shd w:val="clear" w:color="auto" w:fill="F2F2F2"/>
            <w:tcMar>
              <w:top w:w="70" w:type="dxa"/>
              <w:left w:w="100" w:type="dxa"/>
              <w:bottom w:w="70" w:type="dxa"/>
              <w:right w:w="100" w:type="dxa"/>
            </w:tcMar>
            <w:vAlign w:val="center"/>
            <w:hideMark/>
          </w:tcPr>
          <w:p w14:paraId="17EB7235" w14:textId="77777777" w:rsidR="00A31277" w:rsidRPr="00B241A8" w:rsidRDefault="00A31277" w:rsidP="00F73003">
            <w:pPr>
              <w:spacing w:line="360" w:lineRule="auto"/>
              <w:jc w:val="both"/>
              <w:rPr>
                <w:rFonts w:cs="Arial"/>
                <w:szCs w:val="24"/>
              </w:rPr>
            </w:pPr>
            <w:r w:rsidRPr="00B241A8">
              <w:rPr>
                <w:rFonts w:eastAsia="Arial" w:cs="Arial"/>
                <w:color w:val="217346"/>
                <w:szCs w:val="24"/>
              </w:rPr>
              <w:t>-1,608</w:t>
            </w:r>
          </w:p>
        </w:tc>
        <w:tc>
          <w:tcPr>
            <w:tcW w:w="1520" w:type="dxa"/>
            <w:tcBorders>
              <w:top w:val="single" w:sz="4" w:space="0" w:color="auto"/>
              <w:left w:val="single" w:sz="4" w:space="0" w:color="auto"/>
              <w:bottom w:val="single" w:sz="4" w:space="0" w:color="auto"/>
              <w:right w:val="single" w:sz="4" w:space="0" w:color="auto"/>
            </w:tcBorders>
            <w:shd w:val="clear" w:color="auto" w:fill="F2F2F2"/>
            <w:tcMar>
              <w:top w:w="70" w:type="dxa"/>
              <w:left w:w="100" w:type="dxa"/>
              <w:bottom w:w="70" w:type="dxa"/>
              <w:right w:w="100" w:type="dxa"/>
            </w:tcMar>
            <w:vAlign w:val="center"/>
            <w:hideMark/>
          </w:tcPr>
          <w:p w14:paraId="3E891207" w14:textId="77777777" w:rsidR="00A31277" w:rsidRPr="00B241A8" w:rsidRDefault="00A31277" w:rsidP="00F73003">
            <w:pPr>
              <w:spacing w:line="360" w:lineRule="auto"/>
              <w:jc w:val="both"/>
              <w:rPr>
                <w:rFonts w:cs="Arial"/>
                <w:szCs w:val="24"/>
              </w:rPr>
            </w:pPr>
            <w:r w:rsidRPr="00B241A8">
              <w:rPr>
                <w:rFonts w:eastAsia="Arial" w:cs="Arial"/>
                <w:color w:val="217346"/>
                <w:szCs w:val="24"/>
              </w:rPr>
              <w:t>-1,946</w:t>
            </w:r>
          </w:p>
        </w:tc>
        <w:tc>
          <w:tcPr>
            <w:tcW w:w="1520" w:type="dxa"/>
            <w:tcBorders>
              <w:top w:val="single" w:sz="4" w:space="0" w:color="auto"/>
              <w:left w:val="single" w:sz="4" w:space="0" w:color="auto"/>
              <w:bottom w:val="single" w:sz="4" w:space="0" w:color="auto"/>
              <w:right w:val="single" w:sz="4" w:space="0" w:color="auto"/>
            </w:tcBorders>
            <w:shd w:val="clear" w:color="auto" w:fill="F2F2F2"/>
            <w:tcMar>
              <w:top w:w="70" w:type="dxa"/>
              <w:left w:w="100" w:type="dxa"/>
              <w:bottom w:w="70" w:type="dxa"/>
              <w:right w:w="100" w:type="dxa"/>
            </w:tcMar>
            <w:vAlign w:val="center"/>
            <w:hideMark/>
          </w:tcPr>
          <w:p w14:paraId="2B8567EB" w14:textId="77777777" w:rsidR="00A31277" w:rsidRPr="00B241A8" w:rsidRDefault="00A31277" w:rsidP="00F73003">
            <w:pPr>
              <w:spacing w:line="360" w:lineRule="auto"/>
              <w:jc w:val="both"/>
              <w:rPr>
                <w:rFonts w:cs="Arial"/>
                <w:szCs w:val="24"/>
              </w:rPr>
            </w:pPr>
            <w:r w:rsidRPr="00B241A8">
              <w:rPr>
                <w:rFonts w:eastAsia="Arial" w:cs="Arial"/>
                <w:color w:val="217346"/>
                <w:szCs w:val="24"/>
              </w:rPr>
              <w:t>-2,308</w:t>
            </w:r>
          </w:p>
        </w:tc>
      </w:tr>
      <w:tr w:rsidR="00A31277" w:rsidRPr="00B241A8" w14:paraId="12D9B2FB" w14:textId="77777777" w:rsidTr="00A31277">
        <w:tc>
          <w:tcPr>
            <w:tcW w:w="320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vAlign w:val="center"/>
            <w:hideMark/>
          </w:tcPr>
          <w:p w14:paraId="1B9B662D" w14:textId="77777777" w:rsidR="00A31277" w:rsidRPr="00B241A8" w:rsidRDefault="00A31277" w:rsidP="00F73003">
            <w:pPr>
              <w:spacing w:line="360" w:lineRule="auto"/>
              <w:jc w:val="both"/>
              <w:rPr>
                <w:rFonts w:cs="Arial"/>
                <w:szCs w:val="24"/>
              </w:rPr>
            </w:pPr>
            <w:r w:rsidRPr="00B241A8">
              <w:rPr>
                <w:rFonts w:eastAsia="Arial" w:cs="Arial"/>
                <w:b/>
                <w:bCs/>
                <w:color w:val="111111"/>
                <w:szCs w:val="24"/>
              </w:rPr>
              <w:t>Total assets ($mm)</w:t>
            </w:r>
          </w:p>
        </w:tc>
        <w:tc>
          <w:tcPr>
            <w:tcW w:w="152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vAlign w:val="center"/>
            <w:hideMark/>
          </w:tcPr>
          <w:p w14:paraId="33AB969A" w14:textId="77777777" w:rsidR="00A31277" w:rsidRPr="00B241A8" w:rsidRDefault="00A31277" w:rsidP="00F73003">
            <w:pPr>
              <w:spacing w:line="360" w:lineRule="auto"/>
              <w:jc w:val="both"/>
              <w:rPr>
                <w:rFonts w:cs="Arial"/>
                <w:szCs w:val="24"/>
              </w:rPr>
            </w:pPr>
            <w:r w:rsidRPr="00B241A8">
              <w:rPr>
                <w:rFonts w:eastAsia="Arial" w:cs="Arial"/>
                <w:color w:val="217346"/>
                <w:szCs w:val="24"/>
              </w:rPr>
              <w:t>5,039</w:t>
            </w:r>
          </w:p>
        </w:tc>
        <w:tc>
          <w:tcPr>
            <w:tcW w:w="152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vAlign w:val="center"/>
            <w:hideMark/>
          </w:tcPr>
          <w:p w14:paraId="58BD6C02" w14:textId="77777777" w:rsidR="00A31277" w:rsidRPr="00B241A8" w:rsidRDefault="00A31277" w:rsidP="00F73003">
            <w:pPr>
              <w:spacing w:line="360" w:lineRule="auto"/>
              <w:jc w:val="both"/>
              <w:rPr>
                <w:rFonts w:cs="Arial"/>
                <w:szCs w:val="24"/>
              </w:rPr>
            </w:pPr>
            <w:r w:rsidRPr="00B241A8">
              <w:rPr>
                <w:rFonts w:eastAsia="Arial" w:cs="Arial"/>
                <w:color w:val="217346"/>
                <w:szCs w:val="24"/>
              </w:rPr>
              <w:t>4,716</w:t>
            </w:r>
          </w:p>
        </w:tc>
        <w:tc>
          <w:tcPr>
            <w:tcW w:w="152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vAlign w:val="center"/>
            <w:hideMark/>
          </w:tcPr>
          <w:p w14:paraId="75E56F4D" w14:textId="77777777" w:rsidR="00A31277" w:rsidRPr="00B241A8" w:rsidRDefault="00A31277" w:rsidP="00F73003">
            <w:pPr>
              <w:spacing w:line="360" w:lineRule="auto"/>
              <w:jc w:val="both"/>
              <w:rPr>
                <w:rFonts w:cs="Arial"/>
                <w:szCs w:val="24"/>
              </w:rPr>
            </w:pPr>
            <w:r w:rsidRPr="00B241A8">
              <w:rPr>
                <w:rFonts w:eastAsia="Arial" w:cs="Arial"/>
                <w:color w:val="217346"/>
                <w:szCs w:val="24"/>
              </w:rPr>
              <w:t>4,216</w:t>
            </w:r>
          </w:p>
        </w:tc>
        <w:tc>
          <w:tcPr>
            <w:tcW w:w="152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vAlign w:val="center"/>
            <w:hideMark/>
          </w:tcPr>
          <w:p w14:paraId="7DEBD05C" w14:textId="77777777" w:rsidR="00A31277" w:rsidRPr="00B241A8" w:rsidRDefault="00A31277" w:rsidP="00F73003">
            <w:pPr>
              <w:spacing w:line="360" w:lineRule="auto"/>
              <w:jc w:val="both"/>
              <w:rPr>
                <w:rFonts w:cs="Arial"/>
                <w:szCs w:val="24"/>
              </w:rPr>
            </w:pPr>
            <w:r w:rsidRPr="00B241A8">
              <w:rPr>
                <w:rFonts w:eastAsia="Arial" w:cs="Arial"/>
                <w:color w:val="217346"/>
                <w:szCs w:val="24"/>
              </w:rPr>
              <w:t>4,813</w:t>
            </w:r>
          </w:p>
        </w:tc>
        <w:tc>
          <w:tcPr>
            <w:tcW w:w="152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vAlign w:val="center"/>
            <w:hideMark/>
          </w:tcPr>
          <w:p w14:paraId="5AA54F22" w14:textId="77777777" w:rsidR="00A31277" w:rsidRPr="00B241A8" w:rsidRDefault="00A31277" w:rsidP="00F73003">
            <w:pPr>
              <w:spacing w:line="360" w:lineRule="auto"/>
              <w:jc w:val="both"/>
              <w:rPr>
                <w:rFonts w:cs="Arial"/>
                <w:szCs w:val="24"/>
              </w:rPr>
            </w:pPr>
            <w:r w:rsidRPr="00B241A8">
              <w:rPr>
                <w:rFonts w:eastAsia="Arial" w:cs="Arial"/>
                <w:color w:val="217346"/>
                <w:szCs w:val="24"/>
              </w:rPr>
              <w:t>4,748</w:t>
            </w:r>
          </w:p>
        </w:tc>
      </w:tr>
      <w:tr w:rsidR="00A31277" w:rsidRPr="00B241A8" w14:paraId="74892346" w14:textId="77777777" w:rsidTr="00A31277">
        <w:tc>
          <w:tcPr>
            <w:tcW w:w="3200" w:type="dxa"/>
            <w:tcBorders>
              <w:top w:val="single" w:sz="4" w:space="0" w:color="auto"/>
              <w:left w:val="single" w:sz="4" w:space="0" w:color="auto"/>
              <w:bottom w:val="single" w:sz="4" w:space="0" w:color="auto"/>
              <w:right w:val="single" w:sz="4" w:space="0" w:color="auto"/>
            </w:tcBorders>
            <w:shd w:val="clear" w:color="auto" w:fill="F2F2F2"/>
            <w:tcMar>
              <w:top w:w="70" w:type="dxa"/>
              <w:left w:w="100" w:type="dxa"/>
              <w:bottom w:w="70" w:type="dxa"/>
              <w:right w:w="100" w:type="dxa"/>
            </w:tcMar>
            <w:vAlign w:val="center"/>
            <w:hideMark/>
          </w:tcPr>
          <w:p w14:paraId="44B402AD" w14:textId="77777777" w:rsidR="00A31277" w:rsidRPr="00B241A8" w:rsidRDefault="00A31277" w:rsidP="00F73003">
            <w:pPr>
              <w:spacing w:line="360" w:lineRule="auto"/>
              <w:jc w:val="both"/>
              <w:rPr>
                <w:rFonts w:cs="Arial"/>
                <w:szCs w:val="24"/>
              </w:rPr>
            </w:pPr>
            <w:r w:rsidRPr="00B241A8">
              <w:rPr>
                <w:rFonts w:eastAsia="Arial" w:cs="Arial"/>
                <w:b/>
                <w:bCs/>
                <w:color w:val="111111"/>
                <w:szCs w:val="24"/>
              </w:rPr>
              <w:t>Share price, year-end ($)</w:t>
            </w:r>
          </w:p>
        </w:tc>
        <w:tc>
          <w:tcPr>
            <w:tcW w:w="1520" w:type="dxa"/>
            <w:tcBorders>
              <w:top w:val="single" w:sz="4" w:space="0" w:color="auto"/>
              <w:left w:val="single" w:sz="4" w:space="0" w:color="auto"/>
              <w:bottom w:val="single" w:sz="4" w:space="0" w:color="auto"/>
              <w:right w:val="single" w:sz="4" w:space="0" w:color="auto"/>
            </w:tcBorders>
            <w:shd w:val="clear" w:color="auto" w:fill="F2F2F2"/>
            <w:tcMar>
              <w:top w:w="70" w:type="dxa"/>
              <w:left w:w="100" w:type="dxa"/>
              <w:bottom w:w="70" w:type="dxa"/>
              <w:right w:w="100" w:type="dxa"/>
            </w:tcMar>
            <w:vAlign w:val="center"/>
            <w:hideMark/>
          </w:tcPr>
          <w:p w14:paraId="48D7893A" w14:textId="77777777" w:rsidR="00A31277" w:rsidRPr="00B241A8" w:rsidRDefault="00A31277" w:rsidP="00F73003">
            <w:pPr>
              <w:spacing w:line="360" w:lineRule="auto"/>
              <w:jc w:val="both"/>
              <w:rPr>
                <w:rFonts w:cs="Arial"/>
                <w:szCs w:val="24"/>
              </w:rPr>
            </w:pPr>
            <w:r w:rsidRPr="00B241A8">
              <w:rPr>
                <w:rFonts w:eastAsia="Arial" w:cs="Arial"/>
                <w:color w:val="217346"/>
                <w:szCs w:val="24"/>
              </w:rPr>
              <w:t>63.90</w:t>
            </w:r>
          </w:p>
        </w:tc>
        <w:tc>
          <w:tcPr>
            <w:tcW w:w="1520" w:type="dxa"/>
            <w:tcBorders>
              <w:top w:val="single" w:sz="4" w:space="0" w:color="auto"/>
              <w:left w:val="single" w:sz="4" w:space="0" w:color="auto"/>
              <w:bottom w:val="single" w:sz="4" w:space="0" w:color="auto"/>
              <w:right w:val="single" w:sz="4" w:space="0" w:color="auto"/>
            </w:tcBorders>
            <w:shd w:val="clear" w:color="auto" w:fill="F2F2F2"/>
            <w:tcMar>
              <w:top w:w="70" w:type="dxa"/>
              <w:left w:w="100" w:type="dxa"/>
              <w:bottom w:w="70" w:type="dxa"/>
              <w:right w:w="100" w:type="dxa"/>
            </w:tcMar>
            <w:vAlign w:val="center"/>
            <w:hideMark/>
          </w:tcPr>
          <w:p w14:paraId="0FB862DF" w14:textId="77777777" w:rsidR="00A31277" w:rsidRPr="00B241A8" w:rsidRDefault="00A31277" w:rsidP="00F73003">
            <w:pPr>
              <w:spacing w:line="360" w:lineRule="auto"/>
              <w:jc w:val="both"/>
              <w:rPr>
                <w:rFonts w:cs="Arial"/>
                <w:szCs w:val="24"/>
              </w:rPr>
            </w:pPr>
            <w:r w:rsidRPr="00B241A8">
              <w:rPr>
                <w:rFonts w:eastAsia="Arial" w:cs="Arial"/>
                <w:color w:val="217346"/>
                <w:szCs w:val="24"/>
              </w:rPr>
              <w:t>64.67</w:t>
            </w:r>
          </w:p>
        </w:tc>
        <w:tc>
          <w:tcPr>
            <w:tcW w:w="1520" w:type="dxa"/>
            <w:tcBorders>
              <w:top w:val="single" w:sz="4" w:space="0" w:color="auto"/>
              <w:left w:val="single" w:sz="4" w:space="0" w:color="auto"/>
              <w:bottom w:val="single" w:sz="4" w:space="0" w:color="auto"/>
              <w:right w:val="single" w:sz="4" w:space="0" w:color="auto"/>
            </w:tcBorders>
            <w:shd w:val="clear" w:color="auto" w:fill="F2F2F2"/>
            <w:tcMar>
              <w:top w:w="70" w:type="dxa"/>
              <w:left w:w="100" w:type="dxa"/>
              <w:bottom w:w="70" w:type="dxa"/>
              <w:right w:w="100" w:type="dxa"/>
            </w:tcMar>
            <w:vAlign w:val="center"/>
            <w:hideMark/>
          </w:tcPr>
          <w:p w14:paraId="2FB5AE99" w14:textId="77777777" w:rsidR="00A31277" w:rsidRPr="00B241A8" w:rsidRDefault="00A31277" w:rsidP="00F73003">
            <w:pPr>
              <w:spacing w:line="360" w:lineRule="auto"/>
              <w:jc w:val="both"/>
              <w:rPr>
                <w:rFonts w:cs="Arial"/>
                <w:szCs w:val="24"/>
              </w:rPr>
            </w:pPr>
            <w:r w:rsidRPr="00B241A8">
              <w:rPr>
                <w:rFonts w:eastAsia="Arial" w:cs="Arial"/>
                <w:color w:val="217346"/>
                <w:szCs w:val="24"/>
              </w:rPr>
              <w:t>57.41</w:t>
            </w:r>
          </w:p>
        </w:tc>
        <w:tc>
          <w:tcPr>
            <w:tcW w:w="1520" w:type="dxa"/>
            <w:tcBorders>
              <w:top w:val="single" w:sz="4" w:space="0" w:color="auto"/>
              <w:left w:val="single" w:sz="4" w:space="0" w:color="auto"/>
              <w:bottom w:val="single" w:sz="4" w:space="0" w:color="auto"/>
              <w:right w:val="single" w:sz="4" w:space="0" w:color="auto"/>
            </w:tcBorders>
            <w:shd w:val="clear" w:color="auto" w:fill="F2F2F2"/>
            <w:tcMar>
              <w:top w:w="70" w:type="dxa"/>
              <w:left w:w="100" w:type="dxa"/>
              <w:bottom w:w="70" w:type="dxa"/>
              <w:right w:w="100" w:type="dxa"/>
            </w:tcMar>
            <w:vAlign w:val="center"/>
            <w:hideMark/>
          </w:tcPr>
          <w:p w14:paraId="67F7F627" w14:textId="77777777" w:rsidR="00A31277" w:rsidRPr="00B241A8" w:rsidRDefault="00A31277" w:rsidP="00F73003">
            <w:pPr>
              <w:spacing w:line="360" w:lineRule="auto"/>
              <w:jc w:val="both"/>
              <w:rPr>
                <w:rFonts w:cs="Arial"/>
                <w:szCs w:val="24"/>
              </w:rPr>
            </w:pPr>
            <w:r w:rsidRPr="00B241A8">
              <w:rPr>
                <w:rFonts w:eastAsia="Arial" w:cs="Arial"/>
                <w:color w:val="217346"/>
                <w:szCs w:val="24"/>
              </w:rPr>
              <w:t>90.26</w:t>
            </w:r>
          </w:p>
        </w:tc>
        <w:tc>
          <w:tcPr>
            <w:tcW w:w="1520" w:type="dxa"/>
            <w:tcBorders>
              <w:top w:val="single" w:sz="4" w:space="0" w:color="auto"/>
              <w:left w:val="single" w:sz="4" w:space="0" w:color="auto"/>
              <w:bottom w:val="single" w:sz="4" w:space="0" w:color="auto"/>
              <w:right w:val="single" w:sz="4" w:space="0" w:color="auto"/>
            </w:tcBorders>
            <w:shd w:val="clear" w:color="auto" w:fill="F2F2F2"/>
            <w:tcMar>
              <w:top w:w="70" w:type="dxa"/>
              <w:left w:w="100" w:type="dxa"/>
              <w:bottom w:w="70" w:type="dxa"/>
              <w:right w:w="100" w:type="dxa"/>
            </w:tcMar>
            <w:vAlign w:val="center"/>
            <w:hideMark/>
          </w:tcPr>
          <w:p w14:paraId="2EAB1674" w14:textId="77777777" w:rsidR="00A31277" w:rsidRPr="00B241A8" w:rsidRDefault="00A31277" w:rsidP="00F73003">
            <w:pPr>
              <w:spacing w:line="360" w:lineRule="auto"/>
              <w:jc w:val="both"/>
              <w:rPr>
                <w:rFonts w:cs="Arial"/>
                <w:szCs w:val="24"/>
              </w:rPr>
            </w:pPr>
            <w:r w:rsidRPr="00B241A8">
              <w:rPr>
                <w:rFonts w:eastAsia="Arial" w:cs="Arial"/>
                <w:color w:val="217346"/>
                <w:szCs w:val="24"/>
              </w:rPr>
              <w:t>124.57</w:t>
            </w:r>
          </w:p>
        </w:tc>
      </w:tr>
      <w:tr w:rsidR="00A31277" w:rsidRPr="00B241A8" w14:paraId="51B56517" w14:textId="77777777" w:rsidTr="00A31277">
        <w:tc>
          <w:tcPr>
            <w:tcW w:w="320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vAlign w:val="center"/>
            <w:hideMark/>
          </w:tcPr>
          <w:p w14:paraId="4C1B2B0A" w14:textId="77777777" w:rsidR="00A31277" w:rsidRPr="00B241A8" w:rsidRDefault="00A31277" w:rsidP="00F73003">
            <w:pPr>
              <w:spacing w:line="360" w:lineRule="auto"/>
              <w:jc w:val="both"/>
              <w:rPr>
                <w:rFonts w:cs="Arial"/>
                <w:szCs w:val="24"/>
              </w:rPr>
            </w:pPr>
            <w:r w:rsidRPr="00B241A8">
              <w:rPr>
                <w:rFonts w:eastAsia="Arial" w:cs="Arial"/>
                <w:b/>
                <w:bCs/>
                <w:color w:val="111111"/>
                <w:szCs w:val="24"/>
              </w:rPr>
              <w:t>Basic EPS ($)</w:t>
            </w:r>
          </w:p>
        </w:tc>
        <w:tc>
          <w:tcPr>
            <w:tcW w:w="152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vAlign w:val="center"/>
            <w:hideMark/>
          </w:tcPr>
          <w:p w14:paraId="494F0D27" w14:textId="77777777" w:rsidR="00A31277" w:rsidRPr="00B241A8" w:rsidRDefault="00A31277" w:rsidP="00F73003">
            <w:pPr>
              <w:spacing w:line="360" w:lineRule="auto"/>
              <w:jc w:val="both"/>
              <w:rPr>
                <w:rFonts w:cs="Arial"/>
                <w:szCs w:val="24"/>
              </w:rPr>
            </w:pPr>
            <w:r w:rsidRPr="00B241A8">
              <w:rPr>
                <w:rFonts w:eastAsia="Arial" w:cs="Arial"/>
                <w:color w:val="217346"/>
                <w:szCs w:val="24"/>
              </w:rPr>
              <w:t>-1.429</w:t>
            </w:r>
          </w:p>
        </w:tc>
        <w:tc>
          <w:tcPr>
            <w:tcW w:w="152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vAlign w:val="center"/>
            <w:hideMark/>
          </w:tcPr>
          <w:p w14:paraId="78B867EF" w14:textId="77777777" w:rsidR="00A31277" w:rsidRPr="00B241A8" w:rsidRDefault="00A31277" w:rsidP="00F73003">
            <w:pPr>
              <w:spacing w:line="360" w:lineRule="auto"/>
              <w:jc w:val="both"/>
              <w:rPr>
                <w:rFonts w:cs="Arial"/>
                <w:szCs w:val="24"/>
              </w:rPr>
            </w:pPr>
            <w:r w:rsidRPr="00B241A8">
              <w:rPr>
                <w:rFonts w:eastAsia="Arial" w:cs="Arial"/>
                <w:color w:val="217346"/>
                <w:szCs w:val="24"/>
              </w:rPr>
              <w:t>1.454</w:t>
            </w:r>
          </w:p>
        </w:tc>
        <w:tc>
          <w:tcPr>
            <w:tcW w:w="152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vAlign w:val="center"/>
            <w:hideMark/>
          </w:tcPr>
          <w:p w14:paraId="557822B3" w14:textId="77777777" w:rsidR="00A31277" w:rsidRPr="00B241A8" w:rsidRDefault="00A31277" w:rsidP="00F73003">
            <w:pPr>
              <w:spacing w:line="360" w:lineRule="auto"/>
              <w:jc w:val="both"/>
              <w:rPr>
                <w:rFonts w:cs="Arial"/>
                <w:szCs w:val="24"/>
              </w:rPr>
            </w:pPr>
            <w:r w:rsidRPr="00B241A8">
              <w:rPr>
                <w:rFonts w:eastAsia="Arial" w:cs="Arial"/>
                <w:color w:val="217346"/>
                <w:szCs w:val="24"/>
              </w:rPr>
              <w:t>2.072</w:t>
            </w:r>
          </w:p>
        </w:tc>
        <w:tc>
          <w:tcPr>
            <w:tcW w:w="152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vAlign w:val="center"/>
            <w:hideMark/>
          </w:tcPr>
          <w:p w14:paraId="7CD81600" w14:textId="77777777" w:rsidR="00A31277" w:rsidRPr="00B241A8" w:rsidRDefault="00A31277" w:rsidP="00F73003">
            <w:pPr>
              <w:spacing w:line="360" w:lineRule="auto"/>
              <w:jc w:val="both"/>
              <w:rPr>
                <w:rFonts w:cs="Arial"/>
                <w:szCs w:val="24"/>
              </w:rPr>
            </w:pPr>
            <w:r w:rsidRPr="00B241A8">
              <w:rPr>
                <w:rFonts w:eastAsia="Arial" w:cs="Arial"/>
                <w:color w:val="217346"/>
                <w:szCs w:val="24"/>
              </w:rPr>
              <w:t>4.438</w:t>
            </w:r>
          </w:p>
        </w:tc>
        <w:tc>
          <w:tcPr>
            <w:tcW w:w="152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vAlign w:val="center"/>
            <w:hideMark/>
          </w:tcPr>
          <w:p w14:paraId="08D0EA33" w14:textId="77777777" w:rsidR="00A31277" w:rsidRPr="00B241A8" w:rsidRDefault="00A31277" w:rsidP="00F73003">
            <w:pPr>
              <w:spacing w:line="360" w:lineRule="auto"/>
              <w:jc w:val="both"/>
              <w:rPr>
                <w:rFonts w:cs="Arial"/>
                <w:szCs w:val="24"/>
              </w:rPr>
            </w:pPr>
            <w:r w:rsidRPr="00B241A8">
              <w:rPr>
                <w:rFonts w:eastAsia="Arial" w:cs="Arial"/>
                <w:color w:val="217346"/>
                <w:szCs w:val="24"/>
              </w:rPr>
              <w:t>3.896</w:t>
            </w:r>
          </w:p>
        </w:tc>
      </w:tr>
      <w:tr w:rsidR="00A31277" w:rsidRPr="00B241A8" w14:paraId="132C96ED" w14:textId="77777777" w:rsidTr="00A31277">
        <w:tc>
          <w:tcPr>
            <w:tcW w:w="3200" w:type="dxa"/>
            <w:tcBorders>
              <w:top w:val="single" w:sz="4" w:space="0" w:color="auto"/>
              <w:left w:val="single" w:sz="4" w:space="0" w:color="auto"/>
              <w:bottom w:val="single" w:sz="4" w:space="0" w:color="auto"/>
              <w:right w:val="single" w:sz="4" w:space="0" w:color="auto"/>
            </w:tcBorders>
            <w:shd w:val="clear" w:color="auto" w:fill="F2F2F2"/>
            <w:tcMar>
              <w:top w:w="70" w:type="dxa"/>
              <w:left w:w="100" w:type="dxa"/>
              <w:bottom w:w="70" w:type="dxa"/>
              <w:right w:w="100" w:type="dxa"/>
            </w:tcMar>
            <w:vAlign w:val="center"/>
            <w:hideMark/>
          </w:tcPr>
          <w:p w14:paraId="36F416E5" w14:textId="77777777" w:rsidR="00A31277" w:rsidRPr="00B241A8" w:rsidRDefault="00A31277" w:rsidP="00F73003">
            <w:pPr>
              <w:spacing w:line="360" w:lineRule="auto"/>
              <w:jc w:val="both"/>
              <w:rPr>
                <w:rFonts w:cs="Arial"/>
                <w:szCs w:val="24"/>
              </w:rPr>
            </w:pPr>
            <w:r w:rsidRPr="00B241A8">
              <w:rPr>
                <w:rFonts w:eastAsia="Arial" w:cs="Arial"/>
                <w:b/>
                <w:bCs/>
                <w:color w:val="111111"/>
                <w:szCs w:val="24"/>
              </w:rPr>
              <w:t>Net cash from operations ($mm)</w:t>
            </w:r>
          </w:p>
        </w:tc>
        <w:tc>
          <w:tcPr>
            <w:tcW w:w="1520" w:type="dxa"/>
            <w:tcBorders>
              <w:top w:val="single" w:sz="4" w:space="0" w:color="auto"/>
              <w:left w:val="single" w:sz="4" w:space="0" w:color="auto"/>
              <w:bottom w:val="single" w:sz="4" w:space="0" w:color="auto"/>
              <w:right w:val="single" w:sz="4" w:space="0" w:color="auto"/>
            </w:tcBorders>
            <w:shd w:val="clear" w:color="auto" w:fill="F2F2F2"/>
            <w:tcMar>
              <w:top w:w="70" w:type="dxa"/>
              <w:left w:w="100" w:type="dxa"/>
              <w:bottom w:w="70" w:type="dxa"/>
              <w:right w:w="100" w:type="dxa"/>
            </w:tcMar>
            <w:vAlign w:val="center"/>
            <w:hideMark/>
          </w:tcPr>
          <w:p w14:paraId="4D1F2C7A" w14:textId="77777777" w:rsidR="00A31277" w:rsidRPr="00B241A8" w:rsidRDefault="00A31277" w:rsidP="00F73003">
            <w:pPr>
              <w:spacing w:line="360" w:lineRule="auto"/>
              <w:jc w:val="both"/>
              <w:rPr>
                <w:rFonts w:cs="Arial"/>
                <w:szCs w:val="24"/>
              </w:rPr>
            </w:pPr>
            <w:r w:rsidRPr="00B241A8">
              <w:rPr>
                <w:rFonts w:eastAsia="Arial" w:cs="Arial"/>
                <w:color w:val="217346"/>
                <w:szCs w:val="24"/>
              </w:rPr>
              <w:t>137</w:t>
            </w:r>
          </w:p>
        </w:tc>
        <w:tc>
          <w:tcPr>
            <w:tcW w:w="1520" w:type="dxa"/>
            <w:tcBorders>
              <w:top w:val="single" w:sz="4" w:space="0" w:color="auto"/>
              <w:left w:val="single" w:sz="4" w:space="0" w:color="auto"/>
              <w:bottom w:val="single" w:sz="4" w:space="0" w:color="auto"/>
              <w:right w:val="single" w:sz="4" w:space="0" w:color="auto"/>
            </w:tcBorders>
            <w:shd w:val="clear" w:color="auto" w:fill="F2F2F2"/>
            <w:tcMar>
              <w:top w:w="70" w:type="dxa"/>
              <w:left w:w="100" w:type="dxa"/>
              <w:bottom w:w="70" w:type="dxa"/>
              <w:right w:w="100" w:type="dxa"/>
            </w:tcMar>
            <w:vAlign w:val="center"/>
            <w:hideMark/>
          </w:tcPr>
          <w:p w14:paraId="3FFA23A1" w14:textId="77777777" w:rsidR="00A31277" w:rsidRPr="00B241A8" w:rsidRDefault="00A31277" w:rsidP="00F73003">
            <w:pPr>
              <w:spacing w:line="360" w:lineRule="auto"/>
              <w:jc w:val="both"/>
              <w:rPr>
                <w:rFonts w:cs="Arial"/>
                <w:szCs w:val="24"/>
              </w:rPr>
            </w:pPr>
            <w:r w:rsidRPr="00B241A8">
              <w:rPr>
                <w:rFonts w:eastAsia="Arial" w:cs="Arial"/>
                <w:color w:val="217346"/>
                <w:szCs w:val="24"/>
              </w:rPr>
              <w:t>636</w:t>
            </w:r>
          </w:p>
        </w:tc>
        <w:tc>
          <w:tcPr>
            <w:tcW w:w="1520" w:type="dxa"/>
            <w:tcBorders>
              <w:top w:val="single" w:sz="4" w:space="0" w:color="auto"/>
              <w:left w:val="single" w:sz="4" w:space="0" w:color="auto"/>
              <w:bottom w:val="single" w:sz="4" w:space="0" w:color="auto"/>
              <w:right w:val="single" w:sz="4" w:space="0" w:color="auto"/>
            </w:tcBorders>
            <w:shd w:val="clear" w:color="auto" w:fill="F2F2F2"/>
            <w:tcMar>
              <w:top w:w="70" w:type="dxa"/>
              <w:left w:w="100" w:type="dxa"/>
              <w:bottom w:w="70" w:type="dxa"/>
              <w:right w:w="100" w:type="dxa"/>
            </w:tcMar>
            <w:vAlign w:val="center"/>
            <w:hideMark/>
          </w:tcPr>
          <w:p w14:paraId="7A35B31F" w14:textId="77777777" w:rsidR="00A31277" w:rsidRPr="00B241A8" w:rsidRDefault="00A31277" w:rsidP="00F73003">
            <w:pPr>
              <w:spacing w:line="360" w:lineRule="auto"/>
              <w:jc w:val="both"/>
              <w:rPr>
                <w:rFonts w:cs="Arial"/>
                <w:szCs w:val="24"/>
              </w:rPr>
            </w:pPr>
            <w:r w:rsidRPr="00B241A8">
              <w:rPr>
                <w:rFonts w:eastAsia="Arial" w:cs="Arial"/>
                <w:color w:val="217346"/>
                <w:szCs w:val="24"/>
              </w:rPr>
              <w:t>646</w:t>
            </w:r>
          </w:p>
        </w:tc>
        <w:tc>
          <w:tcPr>
            <w:tcW w:w="1520" w:type="dxa"/>
            <w:tcBorders>
              <w:top w:val="single" w:sz="4" w:space="0" w:color="auto"/>
              <w:left w:val="single" w:sz="4" w:space="0" w:color="auto"/>
              <w:bottom w:val="single" w:sz="4" w:space="0" w:color="auto"/>
              <w:right w:val="single" w:sz="4" w:space="0" w:color="auto"/>
            </w:tcBorders>
            <w:shd w:val="clear" w:color="auto" w:fill="F2F2F2"/>
            <w:tcMar>
              <w:top w:w="70" w:type="dxa"/>
              <w:left w:w="100" w:type="dxa"/>
              <w:bottom w:w="70" w:type="dxa"/>
              <w:right w:w="100" w:type="dxa"/>
            </w:tcMar>
            <w:vAlign w:val="center"/>
            <w:hideMark/>
          </w:tcPr>
          <w:p w14:paraId="7925B215" w14:textId="77777777" w:rsidR="00A31277" w:rsidRPr="00B241A8" w:rsidRDefault="00A31277" w:rsidP="00F73003">
            <w:pPr>
              <w:spacing w:line="360" w:lineRule="auto"/>
              <w:jc w:val="both"/>
              <w:rPr>
                <w:rFonts w:cs="Arial"/>
                <w:szCs w:val="24"/>
              </w:rPr>
            </w:pPr>
            <w:r w:rsidRPr="00B241A8">
              <w:rPr>
                <w:rFonts w:eastAsia="Arial" w:cs="Arial"/>
                <w:color w:val="217346"/>
                <w:szCs w:val="24"/>
              </w:rPr>
              <w:t>893</w:t>
            </w:r>
          </w:p>
        </w:tc>
        <w:tc>
          <w:tcPr>
            <w:tcW w:w="1520" w:type="dxa"/>
            <w:tcBorders>
              <w:top w:val="single" w:sz="4" w:space="0" w:color="auto"/>
              <w:left w:val="single" w:sz="4" w:space="0" w:color="auto"/>
              <w:bottom w:val="single" w:sz="4" w:space="0" w:color="auto"/>
              <w:right w:val="single" w:sz="4" w:space="0" w:color="auto"/>
            </w:tcBorders>
            <w:shd w:val="clear" w:color="auto" w:fill="F2F2F2"/>
            <w:tcMar>
              <w:top w:w="70" w:type="dxa"/>
              <w:left w:w="100" w:type="dxa"/>
              <w:bottom w:w="70" w:type="dxa"/>
              <w:right w:w="100" w:type="dxa"/>
            </w:tcMar>
            <w:vAlign w:val="center"/>
            <w:hideMark/>
          </w:tcPr>
          <w:p w14:paraId="362DB95B" w14:textId="77777777" w:rsidR="00A31277" w:rsidRPr="00B241A8" w:rsidRDefault="00A31277" w:rsidP="00F73003">
            <w:pPr>
              <w:spacing w:line="360" w:lineRule="auto"/>
              <w:jc w:val="both"/>
              <w:rPr>
                <w:rFonts w:cs="Arial"/>
                <w:szCs w:val="24"/>
              </w:rPr>
            </w:pPr>
            <w:r w:rsidRPr="00B241A8">
              <w:rPr>
                <w:rFonts w:eastAsia="Arial" w:cs="Arial"/>
                <w:color w:val="217346"/>
                <w:szCs w:val="24"/>
              </w:rPr>
              <w:t>724</w:t>
            </w:r>
          </w:p>
        </w:tc>
      </w:tr>
      <w:tr w:rsidR="00A31277" w:rsidRPr="00B241A8" w14:paraId="72759307" w14:textId="77777777" w:rsidTr="00A31277">
        <w:tc>
          <w:tcPr>
            <w:tcW w:w="320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vAlign w:val="center"/>
            <w:hideMark/>
          </w:tcPr>
          <w:p w14:paraId="30A6C4C9" w14:textId="77777777" w:rsidR="00A31277" w:rsidRPr="00B241A8" w:rsidRDefault="00A31277" w:rsidP="00F73003">
            <w:pPr>
              <w:spacing w:line="360" w:lineRule="auto"/>
              <w:jc w:val="both"/>
              <w:rPr>
                <w:rFonts w:cs="Arial"/>
                <w:szCs w:val="24"/>
              </w:rPr>
            </w:pPr>
            <w:r w:rsidRPr="00B241A8">
              <w:rPr>
                <w:rFonts w:eastAsia="Arial" w:cs="Arial"/>
                <w:b/>
                <w:bCs/>
                <w:color w:val="111111"/>
                <w:szCs w:val="24"/>
              </w:rPr>
              <w:t>Free cash flow ($mm)</w:t>
            </w:r>
          </w:p>
        </w:tc>
        <w:tc>
          <w:tcPr>
            <w:tcW w:w="152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vAlign w:val="center"/>
            <w:hideMark/>
          </w:tcPr>
          <w:p w14:paraId="08D81FD3" w14:textId="77777777" w:rsidR="00A31277" w:rsidRPr="00B241A8" w:rsidRDefault="00A31277" w:rsidP="00F73003">
            <w:pPr>
              <w:spacing w:line="360" w:lineRule="auto"/>
              <w:jc w:val="both"/>
              <w:rPr>
                <w:rFonts w:cs="Arial"/>
                <w:szCs w:val="24"/>
              </w:rPr>
            </w:pPr>
            <w:r w:rsidRPr="00B241A8">
              <w:rPr>
                <w:rFonts w:eastAsia="Arial" w:cs="Arial"/>
                <w:color w:val="217346"/>
                <w:szCs w:val="24"/>
              </w:rPr>
              <w:t>61</w:t>
            </w:r>
          </w:p>
        </w:tc>
        <w:tc>
          <w:tcPr>
            <w:tcW w:w="152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vAlign w:val="center"/>
            <w:hideMark/>
          </w:tcPr>
          <w:p w14:paraId="66499C18" w14:textId="77777777" w:rsidR="00A31277" w:rsidRPr="00B241A8" w:rsidRDefault="00A31277" w:rsidP="00F73003">
            <w:pPr>
              <w:spacing w:line="360" w:lineRule="auto"/>
              <w:jc w:val="both"/>
              <w:rPr>
                <w:rFonts w:cs="Arial"/>
                <w:szCs w:val="24"/>
              </w:rPr>
            </w:pPr>
            <w:r w:rsidRPr="00B241A8">
              <w:rPr>
                <w:rFonts w:eastAsia="Arial" w:cs="Arial"/>
                <w:color w:val="217346"/>
                <w:szCs w:val="24"/>
              </w:rPr>
              <w:t>584</w:t>
            </w:r>
          </w:p>
        </w:tc>
        <w:tc>
          <w:tcPr>
            <w:tcW w:w="152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vAlign w:val="center"/>
            <w:hideMark/>
          </w:tcPr>
          <w:p w14:paraId="30F638A2" w14:textId="77777777" w:rsidR="00A31277" w:rsidRPr="00B241A8" w:rsidRDefault="00A31277" w:rsidP="00F73003">
            <w:pPr>
              <w:spacing w:line="360" w:lineRule="auto"/>
              <w:jc w:val="both"/>
              <w:rPr>
                <w:rFonts w:cs="Arial"/>
                <w:szCs w:val="24"/>
              </w:rPr>
            </w:pPr>
            <w:r w:rsidRPr="00B241A8">
              <w:rPr>
                <w:rFonts w:eastAsia="Arial" w:cs="Arial"/>
                <w:color w:val="217346"/>
                <w:szCs w:val="24"/>
              </w:rPr>
              <w:t>547</w:t>
            </w:r>
          </w:p>
        </w:tc>
        <w:tc>
          <w:tcPr>
            <w:tcW w:w="152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vAlign w:val="center"/>
            <w:hideMark/>
          </w:tcPr>
          <w:p w14:paraId="70E7789D" w14:textId="77777777" w:rsidR="00A31277" w:rsidRPr="00B241A8" w:rsidRDefault="00A31277" w:rsidP="00F73003">
            <w:pPr>
              <w:spacing w:line="360" w:lineRule="auto"/>
              <w:jc w:val="both"/>
              <w:rPr>
                <w:rFonts w:cs="Arial"/>
                <w:szCs w:val="24"/>
              </w:rPr>
            </w:pPr>
            <w:r w:rsidRPr="00B241A8">
              <w:rPr>
                <w:rFonts w:eastAsia="Arial" w:cs="Arial"/>
                <w:color w:val="217346"/>
                <w:szCs w:val="24"/>
              </w:rPr>
              <w:t>811</w:t>
            </w:r>
          </w:p>
        </w:tc>
        <w:tc>
          <w:tcPr>
            <w:tcW w:w="152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vAlign w:val="center"/>
            <w:hideMark/>
          </w:tcPr>
          <w:p w14:paraId="7B0B1019" w14:textId="77777777" w:rsidR="00A31277" w:rsidRPr="00B241A8" w:rsidRDefault="00A31277" w:rsidP="00F73003">
            <w:pPr>
              <w:spacing w:line="360" w:lineRule="auto"/>
              <w:jc w:val="both"/>
              <w:rPr>
                <w:rFonts w:cs="Arial"/>
                <w:szCs w:val="24"/>
              </w:rPr>
            </w:pPr>
            <w:r w:rsidRPr="00B241A8">
              <w:rPr>
                <w:rFonts w:eastAsia="Arial" w:cs="Arial"/>
                <w:color w:val="217346"/>
                <w:szCs w:val="24"/>
              </w:rPr>
              <w:t>646</w:t>
            </w:r>
          </w:p>
        </w:tc>
      </w:tr>
    </w:tbl>
    <w:p w14:paraId="23966ECD" w14:textId="77777777" w:rsidR="00A31277" w:rsidRPr="00B241A8" w:rsidRDefault="00A31277" w:rsidP="00F73003">
      <w:pPr>
        <w:pStyle w:val="Heading1"/>
        <w:spacing w:line="360" w:lineRule="auto"/>
        <w:jc w:val="both"/>
      </w:pPr>
      <w:bookmarkStart w:id="8" w:name="_Toc237523889"/>
      <w:r w:rsidRPr="00B241A8">
        <w:rPr>
          <w:rFonts w:eastAsia="Arial"/>
        </w:rPr>
        <w:t xml:space="preserve">Notes &amp; </w:t>
      </w:r>
      <w:r w:rsidRPr="00B241A8">
        <w:t>Assumptions</w:t>
      </w:r>
      <w:bookmarkEnd w:id="8"/>
    </w:p>
    <w:p w14:paraId="5D2580AB" w14:textId="77777777" w:rsidR="00A31277" w:rsidRPr="00B241A8" w:rsidRDefault="00A31277" w:rsidP="00F73003">
      <w:pPr>
        <w:spacing w:after="100" w:line="360" w:lineRule="auto"/>
        <w:ind w:left="360"/>
        <w:jc w:val="both"/>
        <w:rPr>
          <w:rFonts w:cs="Arial"/>
          <w:szCs w:val="24"/>
        </w:rPr>
      </w:pPr>
      <w:r w:rsidRPr="00B241A8">
        <w:rPr>
          <w:rFonts w:eastAsia="Arial" w:cs="Arial"/>
          <w:b/>
          <w:bCs/>
          <w:color w:val="1F3864"/>
          <w:szCs w:val="24"/>
        </w:rPr>
        <w:t xml:space="preserve">•  </w:t>
      </w:r>
      <w:r w:rsidRPr="00B241A8">
        <w:rPr>
          <w:rFonts w:eastAsia="Arial" w:cs="Arial"/>
          <w:color w:val="222222"/>
          <w:szCs w:val="24"/>
        </w:rPr>
        <w:t>ROE and ROA use “Profit/(loss) for the year” (post-tax, pre non-controlling-interest split) as net income; ROA divides by period-end Total assets (not averaged).</w:t>
      </w:r>
    </w:p>
    <w:p w14:paraId="02C603EE" w14:textId="0BA61941" w:rsidR="00A31277" w:rsidRPr="00B241A8" w:rsidRDefault="00A31277" w:rsidP="00F73003">
      <w:pPr>
        <w:spacing w:after="100" w:line="360" w:lineRule="auto"/>
        <w:ind w:left="360"/>
        <w:jc w:val="both"/>
        <w:rPr>
          <w:rFonts w:cs="Arial"/>
          <w:szCs w:val="24"/>
        </w:rPr>
      </w:pPr>
      <w:r w:rsidRPr="00B241A8">
        <w:rPr>
          <w:rFonts w:eastAsia="Arial" w:cs="Arial"/>
          <w:b/>
          <w:bCs/>
          <w:color w:val="1F3864"/>
          <w:szCs w:val="24"/>
        </w:rPr>
        <w:t xml:space="preserve">•  </w:t>
      </w:r>
      <w:r w:rsidRPr="00B241A8">
        <w:rPr>
          <w:rFonts w:eastAsia="Arial" w:cs="Arial"/>
          <w:color w:val="222222"/>
          <w:szCs w:val="24"/>
        </w:rPr>
        <w:t>Share price is IHG’s London Stock Exchange (primary listing) year-end closing price in £, as disclosed in each year’s Annual Report/Form 20-F (“Share price and market capitali</w:t>
      </w:r>
      <w:r w:rsidR="00264AF7">
        <w:rPr>
          <w:rFonts w:eastAsia="Arial" w:cs="Arial"/>
          <w:color w:val="222222"/>
          <w:szCs w:val="24"/>
        </w:rPr>
        <w:t>z</w:t>
      </w:r>
      <w:r w:rsidRPr="00B241A8">
        <w:rPr>
          <w:rFonts w:eastAsia="Arial" w:cs="Arial"/>
          <w:color w:val="222222"/>
          <w:szCs w:val="24"/>
        </w:rPr>
        <w:t>ation” section), converted to $ at the published year-end GBP:</w:t>
      </w:r>
      <w:r w:rsidR="00264AF7">
        <w:rPr>
          <w:rFonts w:eastAsia="Arial" w:cs="Arial"/>
          <w:color w:val="222222"/>
          <w:szCs w:val="24"/>
        </w:rPr>
        <w:t xml:space="preserve"> </w:t>
      </w:r>
      <w:r w:rsidRPr="00B241A8">
        <w:rPr>
          <w:rFonts w:eastAsia="Arial" w:cs="Arial"/>
          <w:color w:val="222222"/>
          <w:szCs w:val="24"/>
        </w:rPr>
        <w:t>US$ exchange rate so it sits on a consistent $ basis with EPS and the other ratios.</w:t>
      </w:r>
    </w:p>
    <w:p w14:paraId="019172D8" w14:textId="77777777" w:rsidR="00A31277" w:rsidRPr="00B241A8" w:rsidRDefault="00A31277" w:rsidP="00F73003">
      <w:pPr>
        <w:spacing w:after="100" w:line="360" w:lineRule="auto"/>
        <w:ind w:left="360"/>
        <w:jc w:val="both"/>
        <w:rPr>
          <w:rFonts w:cs="Arial"/>
          <w:szCs w:val="24"/>
        </w:rPr>
      </w:pPr>
      <w:r w:rsidRPr="00B241A8">
        <w:rPr>
          <w:rFonts w:eastAsia="Arial" w:cs="Arial"/>
          <w:b/>
          <w:bCs/>
          <w:color w:val="1F3864"/>
          <w:szCs w:val="24"/>
        </w:rPr>
        <w:lastRenderedPageBreak/>
        <w:t xml:space="preserve">•  </w:t>
      </w:r>
      <w:r w:rsidRPr="00B241A8">
        <w:rPr>
          <w:rFonts w:eastAsia="Arial" w:cs="Arial"/>
          <w:color w:val="222222"/>
          <w:szCs w:val="24"/>
        </w:rPr>
        <w:t>P/E = year-end $ share price ÷ Basic EPS (converted from cents to $).</w:t>
      </w:r>
    </w:p>
    <w:p w14:paraId="43EF707C" w14:textId="77777777" w:rsidR="00A31277" w:rsidRPr="00B241A8" w:rsidRDefault="00A31277" w:rsidP="00F73003">
      <w:pPr>
        <w:spacing w:after="100" w:line="360" w:lineRule="auto"/>
        <w:ind w:left="360"/>
        <w:jc w:val="both"/>
        <w:rPr>
          <w:rFonts w:cs="Arial"/>
          <w:szCs w:val="24"/>
        </w:rPr>
      </w:pPr>
      <w:r w:rsidRPr="00B241A8">
        <w:rPr>
          <w:rFonts w:eastAsia="Arial" w:cs="Arial"/>
          <w:b/>
          <w:bCs/>
          <w:color w:val="1F3864"/>
          <w:szCs w:val="24"/>
        </w:rPr>
        <w:t xml:space="preserve">•  </w:t>
      </w:r>
      <w:r w:rsidRPr="00B241A8">
        <w:rPr>
          <w:rFonts w:eastAsia="Arial" w:cs="Arial"/>
          <w:color w:val="222222"/>
          <w:szCs w:val="24"/>
        </w:rPr>
        <w:t>Operating Cash Flow Ratio = Net cash from operating activities ÷ Total current liabilities.</w:t>
      </w:r>
    </w:p>
    <w:p w14:paraId="53BB0F5E" w14:textId="2BF38E19" w:rsidR="00A31277" w:rsidRPr="00B241A8" w:rsidRDefault="00A31277" w:rsidP="00F73003">
      <w:pPr>
        <w:spacing w:after="100" w:line="360" w:lineRule="auto"/>
        <w:ind w:left="360"/>
        <w:jc w:val="both"/>
        <w:rPr>
          <w:rFonts w:cs="Arial"/>
          <w:szCs w:val="24"/>
        </w:rPr>
      </w:pPr>
      <w:r w:rsidRPr="00B241A8">
        <w:rPr>
          <w:rFonts w:eastAsia="Arial" w:cs="Arial"/>
          <w:b/>
          <w:bCs/>
          <w:color w:val="1F3864"/>
          <w:szCs w:val="24"/>
        </w:rPr>
        <w:t xml:space="preserve">•  </w:t>
      </w:r>
      <w:r w:rsidRPr="00B241A8">
        <w:rPr>
          <w:rFonts w:eastAsia="Arial" w:cs="Arial"/>
          <w:color w:val="222222"/>
          <w:szCs w:val="24"/>
        </w:rPr>
        <w:t>Free Cash Flow = Net cash from operating activities less capital expenditure (purchases of property, plant &amp; equipment and intangible assets); it excludes other investing items such as M&amp;A and financial-asset movements. Free Cash Flow Margin = Free Cash Flow ÷ Total revenue</w:t>
      </w:r>
      <w:r w:rsidR="00494CFE" w:rsidRPr="00B241A8">
        <w:rPr>
          <w:rFonts w:eastAsia="Arial" w:cs="Arial"/>
          <w:color w:val="222222"/>
          <w:szCs w:val="24"/>
        </w:rPr>
        <w:t xml:space="preserve"> </w:t>
      </w:r>
      <w:r w:rsidR="00494CFE" w:rsidRPr="00B241A8">
        <w:rPr>
          <w:rFonts w:eastAsia="Arial" w:cs="Arial"/>
          <w:color w:val="222222"/>
          <w:szCs w:val="24"/>
        </w:rPr>
        <w:fldChar w:fldCharType="begin" w:fldLock="1"/>
      </w:r>
      <w:r w:rsidR="00494CFE" w:rsidRPr="00B241A8">
        <w:rPr>
          <w:rFonts w:eastAsia="Arial" w:cs="Arial"/>
          <w:color w:val="222222"/>
          <w:szCs w:val="24"/>
        </w:rPr>
        <w:instrText>ADDIN CSL_CITATION {"citationItems":[{"id":"ITEM-1","itemData":{"author":[{"dropping-particle":"","family":"Fernando","given":"Jason","non-dropping-particle":"","parse-names":false,"suffix":""}],"id":"ITEM-1","issued":{"date-parts":[["2026"]]},"title":"Free Cash Flow (FCF): How to Calculate and Interpret It","type":"article-journal"},"uris":["http://www.mendeley.com/documents/?uuid=76c054b3-e852-4ac0-91a7-0062f375f61e"]}],"mendeley":{"formattedCitation":"(Fernando, 2026)","plainTextFormattedCitation":"(Fernando, 2026)","previouslyFormattedCitation":"(Fernando, 2026)"},"properties":{"noteIndex":0},"schema":"https://github.com/citation-style-language/schema/raw/master/csl-citation.json"}</w:instrText>
      </w:r>
      <w:r w:rsidR="00494CFE" w:rsidRPr="00B241A8">
        <w:rPr>
          <w:rFonts w:eastAsia="Arial" w:cs="Arial"/>
          <w:color w:val="222222"/>
          <w:szCs w:val="24"/>
        </w:rPr>
        <w:fldChar w:fldCharType="separate"/>
      </w:r>
      <w:r w:rsidR="00494CFE" w:rsidRPr="00B241A8">
        <w:rPr>
          <w:rFonts w:eastAsia="Arial" w:cs="Arial"/>
          <w:noProof/>
          <w:color w:val="222222"/>
          <w:szCs w:val="24"/>
        </w:rPr>
        <w:t>(Fernando, 2026)</w:t>
      </w:r>
      <w:r w:rsidR="00494CFE" w:rsidRPr="00B241A8">
        <w:rPr>
          <w:rFonts w:eastAsia="Arial" w:cs="Arial"/>
          <w:color w:val="222222"/>
          <w:szCs w:val="24"/>
        </w:rPr>
        <w:fldChar w:fldCharType="end"/>
      </w:r>
      <w:r w:rsidR="00494CFE" w:rsidRPr="00B241A8">
        <w:rPr>
          <w:rFonts w:eastAsia="Arial" w:cs="Arial"/>
          <w:color w:val="222222"/>
          <w:szCs w:val="24"/>
        </w:rPr>
        <w:t>.</w:t>
      </w:r>
    </w:p>
    <w:p w14:paraId="4A497D70" w14:textId="77777777" w:rsidR="00A31277" w:rsidRPr="00B241A8" w:rsidRDefault="00A31277" w:rsidP="00F73003">
      <w:pPr>
        <w:spacing w:after="100" w:line="360" w:lineRule="auto"/>
        <w:ind w:left="360"/>
        <w:jc w:val="both"/>
        <w:rPr>
          <w:rFonts w:cs="Arial"/>
          <w:szCs w:val="24"/>
        </w:rPr>
      </w:pPr>
      <w:r w:rsidRPr="00B241A8">
        <w:rPr>
          <w:rFonts w:eastAsia="Arial" w:cs="Arial"/>
          <w:b/>
          <w:bCs/>
          <w:color w:val="1F3864"/>
          <w:szCs w:val="24"/>
        </w:rPr>
        <w:t xml:space="preserve">•  </w:t>
      </w:r>
      <w:r w:rsidRPr="00B241A8">
        <w:rPr>
          <w:rFonts w:eastAsia="Arial" w:cs="Arial"/>
          <w:color w:val="222222"/>
          <w:szCs w:val="24"/>
        </w:rPr>
        <w:t>All underlying figures are sourced from IHG’s Annual Reports/Form 20-F, FY2020–FY2024, and from the companion Ratios_5YRS.xlsx workbook (tabs IS_5YR, BS_5YR, CFS_5YR, Ratio_5YRS), where these ratios are also computed as live formulas.</w:t>
      </w:r>
    </w:p>
    <w:p w14:paraId="005E07EF" w14:textId="77777777" w:rsidR="005F204F" w:rsidRPr="00B241A8" w:rsidRDefault="005F204F" w:rsidP="00F73003">
      <w:pPr>
        <w:spacing w:line="360" w:lineRule="auto"/>
        <w:jc w:val="both"/>
        <w:rPr>
          <w:rFonts w:cs="Arial"/>
          <w:szCs w:val="24"/>
        </w:rPr>
      </w:pPr>
    </w:p>
    <w:p w14:paraId="4C38477F" w14:textId="77777777" w:rsidR="00A31277" w:rsidRPr="00B241A8" w:rsidRDefault="00A31277" w:rsidP="00F73003">
      <w:pPr>
        <w:pStyle w:val="Heading1"/>
        <w:spacing w:line="360" w:lineRule="auto"/>
        <w:jc w:val="both"/>
      </w:pPr>
      <w:bookmarkStart w:id="9" w:name="_Toc237523890"/>
      <w:r w:rsidRPr="00B241A8">
        <w:t>IHG plc — Cash Conversion Cycle (CCC) Analysis, FY2020–FY2024</w:t>
      </w:r>
      <w:bookmarkEnd w:id="9"/>
    </w:p>
    <w:p w14:paraId="261BC3FB" w14:textId="77777777" w:rsidR="00A31277" w:rsidRPr="00B241A8" w:rsidRDefault="00A31277" w:rsidP="00F73003">
      <w:pPr>
        <w:spacing w:after="240" w:line="360" w:lineRule="auto"/>
        <w:jc w:val="both"/>
        <w:rPr>
          <w:rFonts w:cs="Arial"/>
          <w:szCs w:val="24"/>
        </w:rPr>
      </w:pPr>
      <w:r w:rsidRPr="00B241A8">
        <w:rPr>
          <w:rFonts w:cs="Arial"/>
          <w:i/>
          <w:iCs/>
          <w:color w:val="595959"/>
          <w:szCs w:val="24"/>
        </w:rPr>
        <w:t>Source: IHG Annual Report and Form 20-F, FY2020–FY2024 (Group Income Statement and Group Statement of Financial Position). Figures in USD millions unless stated. Full workings are also provided in the accompanying "CCC Workings" worksheet.</w:t>
      </w:r>
    </w:p>
    <w:p w14:paraId="123A3CCB" w14:textId="77777777" w:rsidR="00A31277" w:rsidRPr="00B241A8" w:rsidRDefault="00A31277" w:rsidP="00F73003">
      <w:pPr>
        <w:pStyle w:val="Heading1"/>
        <w:spacing w:line="360" w:lineRule="auto"/>
        <w:jc w:val="both"/>
      </w:pPr>
      <w:bookmarkStart w:id="10" w:name="_Toc237523891"/>
      <w:r w:rsidRPr="00B241A8">
        <w:t>1. Method and Formula</w:t>
      </w:r>
      <w:bookmarkEnd w:id="10"/>
    </w:p>
    <w:p w14:paraId="5F3AEB98" w14:textId="7E2395AC" w:rsidR="00A31277" w:rsidRPr="00B241A8" w:rsidRDefault="00F73003" w:rsidP="00F73003">
      <w:pPr>
        <w:spacing w:after="160" w:line="360" w:lineRule="auto"/>
        <w:jc w:val="both"/>
        <w:rPr>
          <w:rFonts w:cs="Arial"/>
          <w:szCs w:val="24"/>
        </w:rPr>
      </w:pPr>
      <w:r w:rsidRPr="00F73003">
        <w:rPr>
          <w:rFonts w:cs="Arial"/>
          <w:szCs w:val="24"/>
        </w:rPr>
        <w:t xml:space="preserve">The Cash Conversion Cycle (CCC) indicates how long a firm needs to turn its investment in its trading cycle back into cash. The period of time is </w:t>
      </w:r>
      <w:r w:rsidR="00264AF7">
        <w:rPr>
          <w:rFonts w:cs="Arial"/>
          <w:szCs w:val="24"/>
        </w:rPr>
        <w:t xml:space="preserve">calculated </w:t>
      </w:r>
      <w:r w:rsidRPr="00F73003">
        <w:rPr>
          <w:rFonts w:cs="Arial"/>
          <w:szCs w:val="24"/>
        </w:rPr>
        <w:t>after deducting the credit it has been given by its suppliers. It is determined by</w:t>
      </w:r>
      <w:r w:rsidR="00A31277" w:rsidRPr="00B241A8">
        <w:rPr>
          <w:rFonts w:cs="Arial"/>
          <w:szCs w:val="24"/>
        </w:rPr>
        <w:t>:</w:t>
      </w:r>
    </w:p>
    <w:p w14:paraId="726D1ABB" w14:textId="77777777" w:rsidR="00A31277" w:rsidRPr="00B241A8" w:rsidRDefault="00A31277" w:rsidP="00F73003">
      <w:pPr>
        <w:spacing w:after="160" w:line="360" w:lineRule="auto"/>
        <w:jc w:val="both"/>
        <w:rPr>
          <w:rFonts w:cs="Arial"/>
          <w:szCs w:val="24"/>
        </w:rPr>
      </w:pPr>
      <w:r w:rsidRPr="00B241A8">
        <w:rPr>
          <w:rFonts w:cs="Arial"/>
          <w:b/>
          <w:bCs/>
          <w:szCs w:val="24"/>
        </w:rPr>
        <w:t>CCC = Days Inventory Outstanding (DIO) + Days Sales Outstanding (DSO) − Days Payable Outstanding (DPO)</w:t>
      </w:r>
    </w:p>
    <w:p w14:paraId="5EA76314" w14:textId="77777777" w:rsidR="00A31277" w:rsidRPr="00B241A8" w:rsidRDefault="00A31277" w:rsidP="00F73003">
      <w:pPr>
        <w:pStyle w:val="ListParagraph"/>
        <w:numPr>
          <w:ilvl w:val="0"/>
          <w:numId w:val="1"/>
        </w:numPr>
        <w:spacing w:after="100" w:line="360" w:lineRule="auto"/>
        <w:jc w:val="both"/>
        <w:rPr>
          <w:rFonts w:ascii="Arial" w:hAnsi="Arial" w:cs="Arial"/>
          <w:sz w:val="24"/>
          <w:szCs w:val="24"/>
        </w:rPr>
      </w:pPr>
      <w:r w:rsidRPr="00B241A8">
        <w:rPr>
          <w:rFonts w:ascii="Arial" w:hAnsi="Arial" w:cs="Arial"/>
          <w:sz w:val="24"/>
          <w:szCs w:val="24"/>
        </w:rPr>
        <w:t>DIO = Inventory ÷ Cost of sales × 365</w:t>
      </w:r>
    </w:p>
    <w:p w14:paraId="5690ECE0" w14:textId="77777777" w:rsidR="00A31277" w:rsidRPr="00B241A8" w:rsidRDefault="00A31277" w:rsidP="00F73003">
      <w:pPr>
        <w:pStyle w:val="ListParagraph"/>
        <w:numPr>
          <w:ilvl w:val="0"/>
          <w:numId w:val="1"/>
        </w:numPr>
        <w:spacing w:after="100" w:line="360" w:lineRule="auto"/>
        <w:jc w:val="both"/>
        <w:rPr>
          <w:rFonts w:ascii="Arial" w:hAnsi="Arial" w:cs="Arial"/>
          <w:sz w:val="24"/>
          <w:szCs w:val="24"/>
        </w:rPr>
      </w:pPr>
      <w:r w:rsidRPr="00B241A8">
        <w:rPr>
          <w:rFonts w:ascii="Arial" w:hAnsi="Arial" w:cs="Arial"/>
          <w:sz w:val="24"/>
          <w:szCs w:val="24"/>
        </w:rPr>
        <w:t>DSO = Trade receivables ÷ Total revenue × 365</w:t>
      </w:r>
    </w:p>
    <w:p w14:paraId="10DC3BD3" w14:textId="77777777" w:rsidR="00A31277" w:rsidRPr="00B241A8" w:rsidRDefault="00A31277" w:rsidP="00F73003">
      <w:pPr>
        <w:pStyle w:val="ListParagraph"/>
        <w:numPr>
          <w:ilvl w:val="0"/>
          <w:numId w:val="1"/>
        </w:numPr>
        <w:spacing w:after="100" w:line="360" w:lineRule="auto"/>
        <w:jc w:val="both"/>
        <w:rPr>
          <w:rFonts w:ascii="Arial" w:hAnsi="Arial" w:cs="Arial"/>
          <w:sz w:val="24"/>
          <w:szCs w:val="24"/>
        </w:rPr>
      </w:pPr>
      <w:r w:rsidRPr="00B241A8">
        <w:rPr>
          <w:rFonts w:ascii="Arial" w:hAnsi="Arial" w:cs="Arial"/>
          <w:sz w:val="24"/>
          <w:szCs w:val="24"/>
        </w:rPr>
        <w:t>DPO = Trade payables ÷ Cost of sales × 365</w:t>
      </w:r>
    </w:p>
    <w:p w14:paraId="6BEFB716" w14:textId="549CBBF7" w:rsidR="00A31277" w:rsidRPr="00B241A8" w:rsidRDefault="00F73003" w:rsidP="00F73003">
      <w:pPr>
        <w:spacing w:after="160" w:line="360" w:lineRule="auto"/>
        <w:jc w:val="both"/>
        <w:rPr>
          <w:rFonts w:cs="Arial"/>
          <w:szCs w:val="24"/>
        </w:rPr>
      </w:pPr>
      <w:r w:rsidRPr="00F73003">
        <w:rPr>
          <w:rFonts w:cs="Arial"/>
          <w:szCs w:val="24"/>
        </w:rPr>
        <w:t>The negative CCC represents savings because less cash is „bound up“ in the trading cycle</w:t>
      </w:r>
      <w:r w:rsidR="00264AF7">
        <w:rPr>
          <w:rFonts w:cs="Arial"/>
          <w:szCs w:val="24"/>
        </w:rPr>
        <w:t>;</w:t>
      </w:r>
      <w:r w:rsidRPr="00F73003">
        <w:rPr>
          <w:rFonts w:cs="Arial"/>
          <w:szCs w:val="24"/>
        </w:rPr>
        <w:t xml:space="preserve"> hence</w:t>
      </w:r>
      <w:r w:rsidR="00264AF7">
        <w:rPr>
          <w:rFonts w:cs="Arial"/>
          <w:szCs w:val="24"/>
        </w:rPr>
        <w:t>,</w:t>
      </w:r>
      <w:r w:rsidRPr="00F73003">
        <w:rPr>
          <w:rFonts w:cs="Arial"/>
          <w:szCs w:val="24"/>
        </w:rPr>
        <w:t xml:space="preserve"> a lower (more negative) CCC would reflect savings by the company; the </w:t>
      </w:r>
      <w:r w:rsidRPr="00F73003">
        <w:rPr>
          <w:rFonts w:cs="Arial"/>
          <w:szCs w:val="24"/>
        </w:rPr>
        <w:lastRenderedPageBreak/>
        <w:t>negative CCC implies Funding is now provided for the company by its trading cycle, not the other way around</w:t>
      </w:r>
      <w:r w:rsidR="00A31277" w:rsidRPr="00B241A8">
        <w:rPr>
          <w:rFonts w:cs="Arial"/>
          <w:szCs w:val="24"/>
        </w:rPr>
        <w:t>.</w:t>
      </w:r>
    </w:p>
    <w:p w14:paraId="664FB1FD" w14:textId="77777777" w:rsidR="00A31277" w:rsidRPr="00B241A8" w:rsidRDefault="00A31277" w:rsidP="00F73003">
      <w:pPr>
        <w:pStyle w:val="Heading1"/>
        <w:spacing w:line="360" w:lineRule="auto"/>
        <w:jc w:val="both"/>
      </w:pPr>
      <w:bookmarkStart w:id="11" w:name="_Toc237523892"/>
      <w:r w:rsidRPr="00B241A8">
        <w:t>2. Inputs Used</w:t>
      </w:r>
      <w:bookmarkEnd w:id="11"/>
    </w:p>
    <w:tbl>
      <w:tblPr>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0"/>
        <w:gridCol w:w="1360"/>
        <w:gridCol w:w="1360"/>
        <w:gridCol w:w="1360"/>
        <w:gridCol w:w="1360"/>
        <w:gridCol w:w="1360"/>
      </w:tblGrid>
      <w:tr w:rsidR="00A31277" w:rsidRPr="00B241A8" w14:paraId="7D9FC944" w14:textId="77777777" w:rsidTr="00A31277">
        <w:trPr>
          <w:tblHeader/>
        </w:trPr>
        <w:tc>
          <w:tcPr>
            <w:tcW w:w="2400" w:type="dxa"/>
            <w:tcBorders>
              <w:top w:val="single" w:sz="4" w:space="0" w:color="auto"/>
              <w:left w:val="single" w:sz="4" w:space="0" w:color="auto"/>
              <w:bottom w:val="single" w:sz="4" w:space="0" w:color="auto"/>
              <w:right w:val="single" w:sz="4" w:space="0" w:color="auto"/>
            </w:tcBorders>
            <w:shd w:val="clear" w:color="auto" w:fill="1F4E78"/>
            <w:tcMar>
              <w:top w:w="80" w:type="dxa"/>
              <w:left w:w="100" w:type="dxa"/>
              <w:bottom w:w="80" w:type="dxa"/>
              <w:right w:w="100" w:type="dxa"/>
            </w:tcMar>
            <w:vAlign w:val="center"/>
            <w:hideMark/>
          </w:tcPr>
          <w:p w14:paraId="1A6C1F70" w14:textId="77777777" w:rsidR="00A31277" w:rsidRPr="00B241A8" w:rsidRDefault="00A31277" w:rsidP="00F73003">
            <w:pPr>
              <w:spacing w:line="360" w:lineRule="auto"/>
              <w:jc w:val="both"/>
              <w:rPr>
                <w:rFonts w:cs="Arial"/>
                <w:szCs w:val="24"/>
              </w:rPr>
            </w:pPr>
            <w:r w:rsidRPr="00B241A8">
              <w:rPr>
                <w:rFonts w:cs="Arial"/>
                <w:b/>
                <w:bCs/>
                <w:color w:val="FFFFFF"/>
                <w:szCs w:val="24"/>
              </w:rPr>
              <w:t>$m</w:t>
            </w:r>
          </w:p>
        </w:tc>
        <w:tc>
          <w:tcPr>
            <w:tcW w:w="1360" w:type="dxa"/>
            <w:tcBorders>
              <w:top w:val="single" w:sz="4" w:space="0" w:color="auto"/>
              <w:left w:val="single" w:sz="4" w:space="0" w:color="auto"/>
              <w:bottom w:val="single" w:sz="4" w:space="0" w:color="auto"/>
              <w:right w:val="single" w:sz="4" w:space="0" w:color="auto"/>
            </w:tcBorders>
            <w:shd w:val="clear" w:color="auto" w:fill="1F4E78"/>
            <w:tcMar>
              <w:top w:w="80" w:type="dxa"/>
              <w:left w:w="100" w:type="dxa"/>
              <w:bottom w:w="80" w:type="dxa"/>
              <w:right w:w="100" w:type="dxa"/>
            </w:tcMar>
            <w:vAlign w:val="center"/>
            <w:hideMark/>
          </w:tcPr>
          <w:p w14:paraId="40FECE13" w14:textId="77777777" w:rsidR="00A31277" w:rsidRPr="00B241A8" w:rsidRDefault="00A31277" w:rsidP="00F73003">
            <w:pPr>
              <w:spacing w:line="360" w:lineRule="auto"/>
              <w:jc w:val="both"/>
              <w:rPr>
                <w:rFonts w:cs="Arial"/>
                <w:szCs w:val="24"/>
              </w:rPr>
            </w:pPr>
            <w:r w:rsidRPr="00B241A8">
              <w:rPr>
                <w:rFonts w:cs="Arial"/>
                <w:b/>
                <w:bCs/>
                <w:color w:val="FFFFFF"/>
                <w:szCs w:val="24"/>
              </w:rPr>
              <w:t>2020</w:t>
            </w:r>
          </w:p>
        </w:tc>
        <w:tc>
          <w:tcPr>
            <w:tcW w:w="1360" w:type="dxa"/>
            <w:tcBorders>
              <w:top w:val="single" w:sz="4" w:space="0" w:color="auto"/>
              <w:left w:val="single" w:sz="4" w:space="0" w:color="auto"/>
              <w:bottom w:val="single" w:sz="4" w:space="0" w:color="auto"/>
              <w:right w:val="single" w:sz="4" w:space="0" w:color="auto"/>
            </w:tcBorders>
            <w:shd w:val="clear" w:color="auto" w:fill="1F4E78"/>
            <w:tcMar>
              <w:top w:w="80" w:type="dxa"/>
              <w:left w:w="100" w:type="dxa"/>
              <w:bottom w:w="80" w:type="dxa"/>
              <w:right w:w="100" w:type="dxa"/>
            </w:tcMar>
            <w:vAlign w:val="center"/>
            <w:hideMark/>
          </w:tcPr>
          <w:p w14:paraId="0A348633" w14:textId="77777777" w:rsidR="00A31277" w:rsidRPr="00B241A8" w:rsidRDefault="00A31277" w:rsidP="00F73003">
            <w:pPr>
              <w:spacing w:line="360" w:lineRule="auto"/>
              <w:jc w:val="both"/>
              <w:rPr>
                <w:rFonts w:cs="Arial"/>
                <w:szCs w:val="24"/>
              </w:rPr>
            </w:pPr>
            <w:r w:rsidRPr="00B241A8">
              <w:rPr>
                <w:rFonts w:cs="Arial"/>
                <w:b/>
                <w:bCs/>
                <w:color w:val="FFFFFF"/>
                <w:szCs w:val="24"/>
              </w:rPr>
              <w:t>2021</w:t>
            </w:r>
          </w:p>
        </w:tc>
        <w:tc>
          <w:tcPr>
            <w:tcW w:w="1360" w:type="dxa"/>
            <w:tcBorders>
              <w:top w:val="single" w:sz="4" w:space="0" w:color="auto"/>
              <w:left w:val="single" w:sz="4" w:space="0" w:color="auto"/>
              <w:bottom w:val="single" w:sz="4" w:space="0" w:color="auto"/>
              <w:right w:val="single" w:sz="4" w:space="0" w:color="auto"/>
            </w:tcBorders>
            <w:shd w:val="clear" w:color="auto" w:fill="1F4E78"/>
            <w:tcMar>
              <w:top w:w="80" w:type="dxa"/>
              <w:left w:w="100" w:type="dxa"/>
              <w:bottom w:w="80" w:type="dxa"/>
              <w:right w:w="100" w:type="dxa"/>
            </w:tcMar>
            <w:vAlign w:val="center"/>
            <w:hideMark/>
          </w:tcPr>
          <w:p w14:paraId="1C0CF718" w14:textId="77777777" w:rsidR="00A31277" w:rsidRPr="00B241A8" w:rsidRDefault="00A31277" w:rsidP="00F73003">
            <w:pPr>
              <w:spacing w:line="360" w:lineRule="auto"/>
              <w:jc w:val="both"/>
              <w:rPr>
                <w:rFonts w:cs="Arial"/>
                <w:szCs w:val="24"/>
              </w:rPr>
            </w:pPr>
            <w:r w:rsidRPr="00B241A8">
              <w:rPr>
                <w:rFonts w:cs="Arial"/>
                <w:b/>
                <w:bCs/>
                <w:color w:val="FFFFFF"/>
                <w:szCs w:val="24"/>
              </w:rPr>
              <w:t>2022</w:t>
            </w:r>
          </w:p>
        </w:tc>
        <w:tc>
          <w:tcPr>
            <w:tcW w:w="1360" w:type="dxa"/>
            <w:tcBorders>
              <w:top w:val="single" w:sz="4" w:space="0" w:color="auto"/>
              <w:left w:val="single" w:sz="4" w:space="0" w:color="auto"/>
              <w:bottom w:val="single" w:sz="4" w:space="0" w:color="auto"/>
              <w:right w:val="single" w:sz="4" w:space="0" w:color="auto"/>
            </w:tcBorders>
            <w:shd w:val="clear" w:color="auto" w:fill="1F4E78"/>
            <w:tcMar>
              <w:top w:w="80" w:type="dxa"/>
              <w:left w:w="100" w:type="dxa"/>
              <w:bottom w:w="80" w:type="dxa"/>
              <w:right w:w="100" w:type="dxa"/>
            </w:tcMar>
            <w:vAlign w:val="center"/>
            <w:hideMark/>
          </w:tcPr>
          <w:p w14:paraId="38701FC6" w14:textId="77777777" w:rsidR="00A31277" w:rsidRPr="00B241A8" w:rsidRDefault="00A31277" w:rsidP="00F73003">
            <w:pPr>
              <w:spacing w:line="360" w:lineRule="auto"/>
              <w:jc w:val="both"/>
              <w:rPr>
                <w:rFonts w:cs="Arial"/>
                <w:szCs w:val="24"/>
              </w:rPr>
            </w:pPr>
            <w:r w:rsidRPr="00B241A8">
              <w:rPr>
                <w:rFonts w:cs="Arial"/>
                <w:b/>
                <w:bCs/>
                <w:color w:val="FFFFFF"/>
                <w:szCs w:val="24"/>
              </w:rPr>
              <w:t>2023</w:t>
            </w:r>
          </w:p>
        </w:tc>
        <w:tc>
          <w:tcPr>
            <w:tcW w:w="1360" w:type="dxa"/>
            <w:tcBorders>
              <w:top w:val="single" w:sz="4" w:space="0" w:color="auto"/>
              <w:left w:val="single" w:sz="4" w:space="0" w:color="auto"/>
              <w:bottom w:val="single" w:sz="4" w:space="0" w:color="auto"/>
              <w:right w:val="single" w:sz="4" w:space="0" w:color="auto"/>
            </w:tcBorders>
            <w:shd w:val="clear" w:color="auto" w:fill="1F4E78"/>
            <w:tcMar>
              <w:top w:w="80" w:type="dxa"/>
              <w:left w:w="100" w:type="dxa"/>
              <w:bottom w:w="80" w:type="dxa"/>
              <w:right w:w="100" w:type="dxa"/>
            </w:tcMar>
            <w:vAlign w:val="center"/>
            <w:hideMark/>
          </w:tcPr>
          <w:p w14:paraId="407FB06B" w14:textId="77777777" w:rsidR="00A31277" w:rsidRPr="00B241A8" w:rsidRDefault="00A31277" w:rsidP="00F73003">
            <w:pPr>
              <w:spacing w:line="360" w:lineRule="auto"/>
              <w:jc w:val="both"/>
              <w:rPr>
                <w:rFonts w:cs="Arial"/>
                <w:szCs w:val="24"/>
              </w:rPr>
            </w:pPr>
            <w:r w:rsidRPr="00B241A8">
              <w:rPr>
                <w:rFonts w:cs="Arial"/>
                <w:b/>
                <w:bCs/>
                <w:color w:val="FFFFFF"/>
                <w:szCs w:val="24"/>
              </w:rPr>
              <w:t>2024</w:t>
            </w:r>
          </w:p>
        </w:tc>
      </w:tr>
      <w:tr w:rsidR="00A31277" w:rsidRPr="00B241A8" w14:paraId="134E6B57" w14:textId="77777777" w:rsidTr="00A31277">
        <w:tc>
          <w:tcPr>
            <w:tcW w:w="240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75F93215" w14:textId="77777777" w:rsidR="00A31277" w:rsidRPr="00B241A8" w:rsidRDefault="00A31277" w:rsidP="00F73003">
            <w:pPr>
              <w:spacing w:line="360" w:lineRule="auto"/>
              <w:jc w:val="both"/>
              <w:rPr>
                <w:rFonts w:cs="Arial"/>
                <w:szCs w:val="24"/>
              </w:rPr>
            </w:pPr>
            <w:r w:rsidRPr="00B241A8">
              <w:rPr>
                <w:rFonts w:cs="Arial"/>
                <w:color w:val="000000"/>
                <w:szCs w:val="24"/>
              </w:rPr>
              <w:t>Total revenue</w:t>
            </w:r>
          </w:p>
        </w:tc>
        <w:tc>
          <w:tcPr>
            <w:tcW w:w="136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74033D8C" w14:textId="77777777" w:rsidR="00A31277" w:rsidRPr="00B241A8" w:rsidRDefault="00A31277" w:rsidP="00F73003">
            <w:pPr>
              <w:spacing w:line="360" w:lineRule="auto"/>
              <w:jc w:val="both"/>
              <w:rPr>
                <w:rFonts w:cs="Arial"/>
                <w:szCs w:val="24"/>
              </w:rPr>
            </w:pPr>
            <w:r w:rsidRPr="00B241A8">
              <w:rPr>
                <w:rFonts w:cs="Arial"/>
                <w:color w:val="000000"/>
                <w:szCs w:val="24"/>
              </w:rPr>
              <w:t>2,394</w:t>
            </w:r>
          </w:p>
        </w:tc>
        <w:tc>
          <w:tcPr>
            <w:tcW w:w="136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3B5D0FAF" w14:textId="77777777" w:rsidR="00A31277" w:rsidRPr="00B241A8" w:rsidRDefault="00A31277" w:rsidP="00F73003">
            <w:pPr>
              <w:spacing w:line="360" w:lineRule="auto"/>
              <w:jc w:val="both"/>
              <w:rPr>
                <w:rFonts w:cs="Arial"/>
                <w:szCs w:val="24"/>
              </w:rPr>
            </w:pPr>
            <w:r w:rsidRPr="00B241A8">
              <w:rPr>
                <w:rFonts w:cs="Arial"/>
                <w:color w:val="000000"/>
                <w:szCs w:val="24"/>
              </w:rPr>
              <w:t>2,907</w:t>
            </w:r>
          </w:p>
        </w:tc>
        <w:tc>
          <w:tcPr>
            <w:tcW w:w="136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7C2F6EBC" w14:textId="77777777" w:rsidR="00A31277" w:rsidRPr="00B241A8" w:rsidRDefault="00A31277" w:rsidP="00F73003">
            <w:pPr>
              <w:spacing w:line="360" w:lineRule="auto"/>
              <w:jc w:val="both"/>
              <w:rPr>
                <w:rFonts w:cs="Arial"/>
                <w:szCs w:val="24"/>
              </w:rPr>
            </w:pPr>
            <w:r w:rsidRPr="00B241A8">
              <w:rPr>
                <w:rFonts w:cs="Arial"/>
                <w:color w:val="000000"/>
                <w:szCs w:val="24"/>
              </w:rPr>
              <w:t>3,892</w:t>
            </w:r>
          </w:p>
        </w:tc>
        <w:tc>
          <w:tcPr>
            <w:tcW w:w="136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42B80B0C" w14:textId="77777777" w:rsidR="00A31277" w:rsidRPr="00B241A8" w:rsidRDefault="00A31277" w:rsidP="00F73003">
            <w:pPr>
              <w:spacing w:line="360" w:lineRule="auto"/>
              <w:jc w:val="both"/>
              <w:rPr>
                <w:rFonts w:cs="Arial"/>
                <w:szCs w:val="24"/>
              </w:rPr>
            </w:pPr>
            <w:r w:rsidRPr="00B241A8">
              <w:rPr>
                <w:rFonts w:cs="Arial"/>
                <w:color w:val="000000"/>
                <w:szCs w:val="24"/>
              </w:rPr>
              <w:t>4,624</w:t>
            </w:r>
          </w:p>
        </w:tc>
        <w:tc>
          <w:tcPr>
            <w:tcW w:w="136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298CA2CD" w14:textId="77777777" w:rsidR="00A31277" w:rsidRPr="00B241A8" w:rsidRDefault="00A31277" w:rsidP="00F73003">
            <w:pPr>
              <w:spacing w:line="360" w:lineRule="auto"/>
              <w:jc w:val="both"/>
              <w:rPr>
                <w:rFonts w:cs="Arial"/>
                <w:szCs w:val="24"/>
              </w:rPr>
            </w:pPr>
            <w:r w:rsidRPr="00B241A8">
              <w:rPr>
                <w:rFonts w:cs="Arial"/>
                <w:color w:val="000000"/>
                <w:szCs w:val="24"/>
              </w:rPr>
              <w:t>4,923</w:t>
            </w:r>
          </w:p>
        </w:tc>
      </w:tr>
      <w:tr w:rsidR="00A31277" w:rsidRPr="00B241A8" w14:paraId="4AFFF7F8" w14:textId="77777777" w:rsidTr="00A31277">
        <w:tc>
          <w:tcPr>
            <w:tcW w:w="240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4278AC6A" w14:textId="77777777" w:rsidR="00A31277" w:rsidRPr="00B241A8" w:rsidRDefault="00A31277" w:rsidP="00F73003">
            <w:pPr>
              <w:spacing w:line="360" w:lineRule="auto"/>
              <w:jc w:val="both"/>
              <w:rPr>
                <w:rFonts w:cs="Arial"/>
                <w:szCs w:val="24"/>
              </w:rPr>
            </w:pPr>
            <w:r w:rsidRPr="00B241A8">
              <w:rPr>
                <w:rFonts w:cs="Arial"/>
                <w:color w:val="000000"/>
                <w:szCs w:val="24"/>
              </w:rPr>
              <w:t>Cost of sales (COGS)</w:t>
            </w:r>
          </w:p>
        </w:tc>
        <w:tc>
          <w:tcPr>
            <w:tcW w:w="136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2A7B471C" w14:textId="77777777" w:rsidR="00A31277" w:rsidRPr="00B241A8" w:rsidRDefault="00A31277" w:rsidP="00F73003">
            <w:pPr>
              <w:spacing w:line="360" w:lineRule="auto"/>
              <w:jc w:val="both"/>
              <w:rPr>
                <w:rFonts w:cs="Arial"/>
                <w:szCs w:val="24"/>
              </w:rPr>
            </w:pPr>
            <w:r w:rsidRPr="00B241A8">
              <w:rPr>
                <w:rFonts w:cs="Arial"/>
                <w:color w:val="000000"/>
                <w:szCs w:val="24"/>
              </w:rPr>
              <w:t>354</w:t>
            </w:r>
          </w:p>
        </w:tc>
        <w:tc>
          <w:tcPr>
            <w:tcW w:w="136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5663C687" w14:textId="77777777" w:rsidR="00A31277" w:rsidRPr="00B241A8" w:rsidRDefault="00A31277" w:rsidP="00F73003">
            <w:pPr>
              <w:spacing w:line="360" w:lineRule="auto"/>
              <w:jc w:val="both"/>
              <w:rPr>
                <w:rFonts w:cs="Arial"/>
                <w:szCs w:val="24"/>
              </w:rPr>
            </w:pPr>
            <w:r w:rsidRPr="00B241A8">
              <w:rPr>
                <w:rFonts w:cs="Arial"/>
                <w:color w:val="000000"/>
                <w:szCs w:val="24"/>
              </w:rPr>
              <w:t>486</w:t>
            </w:r>
          </w:p>
        </w:tc>
        <w:tc>
          <w:tcPr>
            <w:tcW w:w="136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4CC3FC37" w14:textId="77777777" w:rsidR="00A31277" w:rsidRPr="00B241A8" w:rsidRDefault="00A31277" w:rsidP="00F73003">
            <w:pPr>
              <w:spacing w:line="360" w:lineRule="auto"/>
              <w:jc w:val="both"/>
              <w:rPr>
                <w:rFonts w:cs="Arial"/>
                <w:szCs w:val="24"/>
              </w:rPr>
            </w:pPr>
            <w:r w:rsidRPr="00B241A8">
              <w:rPr>
                <w:rFonts w:cs="Arial"/>
                <w:color w:val="000000"/>
                <w:szCs w:val="24"/>
              </w:rPr>
              <w:t>648</w:t>
            </w:r>
          </w:p>
        </w:tc>
        <w:tc>
          <w:tcPr>
            <w:tcW w:w="136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15AF9549" w14:textId="77777777" w:rsidR="00A31277" w:rsidRPr="00B241A8" w:rsidRDefault="00A31277" w:rsidP="00F73003">
            <w:pPr>
              <w:spacing w:line="360" w:lineRule="auto"/>
              <w:jc w:val="both"/>
              <w:rPr>
                <w:rFonts w:cs="Arial"/>
                <w:szCs w:val="24"/>
              </w:rPr>
            </w:pPr>
            <w:r w:rsidRPr="00B241A8">
              <w:rPr>
                <w:rFonts w:cs="Arial"/>
                <w:color w:val="000000"/>
                <w:szCs w:val="24"/>
              </w:rPr>
              <w:t>742</w:t>
            </w:r>
          </w:p>
        </w:tc>
        <w:tc>
          <w:tcPr>
            <w:tcW w:w="136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0BFEDA0E" w14:textId="77777777" w:rsidR="00A31277" w:rsidRPr="00B241A8" w:rsidRDefault="00A31277" w:rsidP="00F73003">
            <w:pPr>
              <w:spacing w:line="360" w:lineRule="auto"/>
              <w:jc w:val="both"/>
              <w:rPr>
                <w:rFonts w:cs="Arial"/>
                <w:szCs w:val="24"/>
              </w:rPr>
            </w:pPr>
            <w:r w:rsidRPr="00B241A8">
              <w:rPr>
                <w:rFonts w:cs="Arial"/>
                <w:color w:val="000000"/>
                <w:szCs w:val="24"/>
              </w:rPr>
              <w:t>745</w:t>
            </w:r>
          </w:p>
        </w:tc>
      </w:tr>
      <w:tr w:rsidR="00A31277" w:rsidRPr="00B241A8" w14:paraId="0B1B0E10" w14:textId="77777777" w:rsidTr="00A31277">
        <w:tc>
          <w:tcPr>
            <w:tcW w:w="240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58D8B75D" w14:textId="77777777" w:rsidR="00A31277" w:rsidRPr="00B241A8" w:rsidRDefault="00A31277" w:rsidP="00F73003">
            <w:pPr>
              <w:spacing w:line="360" w:lineRule="auto"/>
              <w:jc w:val="both"/>
              <w:rPr>
                <w:rFonts w:cs="Arial"/>
                <w:szCs w:val="24"/>
              </w:rPr>
            </w:pPr>
            <w:r w:rsidRPr="00B241A8">
              <w:rPr>
                <w:rFonts w:cs="Arial"/>
                <w:color w:val="000000"/>
                <w:szCs w:val="24"/>
              </w:rPr>
              <w:t>Inventories (year-end)</w:t>
            </w:r>
          </w:p>
        </w:tc>
        <w:tc>
          <w:tcPr>
            <w:tcW w:w="136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0CFF5590" w14:textId="77777777" w:rsidR="00A31277" w:rsidRPr="00B241A8" w:rsidRDefault="00A31277" w:rsidP="00F73003">
            <w:pPr>
              <w:spacing w:line="360" w:lineRule="auto"/>
              <w:jc w:val="both"/>
              <w:rPr>
                <w:rFonts w:cs="Arial"/>
                <w:szCs w:val="24"/>
              </w:rPr>
            </w:pPr>
            <w:r w:rsidRPr="00B241A8">
              <w:rPr>
                <w:rFonts w:cs="Arial"/>
                <w:color w:val="000000"/>
                <w:szCs w:val="24"/>
              </w:rPr>
              <w:t>5</w:t>
            </w:r>
          </w:p>
        </w:tc>
        <w:tc>
          <w:tcPr>
            <w:tcW w:w="136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3A822292" w14:textId="77777777" w:rsidR="00A31277" w:rsidRPr="00B241A8" w:rsidRDefault="00A31277" w:rsidP="00F73003">
            <w:pPr>
              <w:spacing w:line="360" w:lineRule="auto"/>
              <w:jc w:val="both"/>
              <w:rPr>
                <w:rFonts w:cs="Arial"/>
                <w:szCs w:val="24"/>
              </w:rPr>
            </w:pPr>
            <w:r w:rsidRPr="00B241A8">
              <w:rPr>
                <w:rFonts w:cs="Arial"/>
                <w:color w:val="000000"/>
                <w:szCs w:val="24"/>
              </w:rPr>
              <w:t>4</w:t>
            </w:r>
          </w:p>
        </w:tc>
        <w:tc>
          <w:tcPr>
            <w:tcW w:w="136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2D7509CA" w14:textId="77777777" w:rsidR="00A31277" w:rsidRPr="00B241A8" w:rsidRDefault="00A31277" w:rsidP="00F73003">
            <w:pPr>
              <w:spacing w:line="360" w:lineRule="auto"/>
              <w:jc w:val="both"/>
              <w:rPr>
                <w:rFonts w:cs="Arial"/>
                <w:szCs w:val="24"/>
              </w:rPr>
            </w:pPr>
            <w:r w:rsidRPr="00B241A8">
              <w:rPr>
                <w:rFonts w:cs="Arial"/>
                <w:color w:val="000000"/>
                <w:szCs w:val="24"/>
              </w:rPr>
              <w:t>4</w:t>
            </w:r>
          </w:p>
        </w:tc>
        <w:tc>
          <w:tcPr>
            <w:tcW w:w="136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7E05608C" w14:textId="77777777" w:rsidR="00A31277" w:rsidRPr="00B241A8" w:rsidRDefault="00A31277" w:rsidP="00F73003">
            <w:pPr>
              <w:spacing w:line="360" w:lineRule="auto"/>
              <w:jc w:val="both"/>
              <w:rPr>
                <w:rFonts w:cs="Arial"/>
                <w:szCs w:val="24"/>
              </w:rPr>
            </w:pPr>
            <w:r w:rsidRPr="00B241A8">
              <w:rPr>
                <w:rFonts w:cs="Arial"/>
                <w:color w:val="000000"/>
                <w:szCs w:val="24"/>
              </w:rPr>
              <w:t>5</w:t>
            </w:r>
          </w:p>
        </w:tc>
        <w:tc>
          <w:tcPr>
            <w:tcW w:w="136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2F55D6B8" w14:textId="77777777" w:rsidR="00A31277" w:rsidRPr="00B241A8" w:rsidRDefault="00A31277" w:rsidP="00F73003">
            <w:pPr>
              <w:spacing w:line="360" w:lineRule="auto"/>
              <w:jc w:val="both"/>
              <w:rPr>
                <w:rFonts w:cs="Arial"/>
                <w:szCs w:val="24"/>
              </w:rPr>
            </w:pPr>
            <w:r w:rsidRPr="00B241A8">
              <w:rPr>
                <w:rFonts w:cs="Arial"/>
                <w:color w:val="000000"/>
                <w:szCs w:val="24"/>
              </w:rPr>
              <w:t>4</w:t>
            </w:r>
          </w:p>
        </w:tc>
      </w:tr>
      <w:tr w:rsidR="00A31277" w:rsidRPr="00B241A8" w14:paraId="0272A624" w14:textId="77777777" w:rsidTr="00A31277">
        <w:tc>
          <w:tcPr>
            <w:tcW w:w="240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27F73EA6" w14:textId="77777777" w:rsidR="00A31277" w:rsidRPr="00B241A8" w:rsidRDefault="00A31277" w:rsidP="00F73003">
            <w:pPr>
              <w:spacing w:line="360" w:lineRule="auto"/>
              <w:jc w:val="both"/>
              <w:rPr>
                <w:rFonts w:cs="Arial"/>
                <w:szCs w:val="24"/>
              </w:rPr>
            </w:pPr>
            <w:r w:rsidRPr="00B241A8">
              <w:rPr>
                <w:rFonts w:cs="Arial"/>
                <w:color w:val="000000"/>
                <w:szCs w:val="24"/>
              </w:rPr>
              <w:t>Trade &amp; other receivables</w:t>
            </w:r>
          </w:p>
        </w:tc>
        <w:tc>
          <w:tcPr>
            <w:tcW w:w="136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532B410B" w14:textId="77777777" w:rsidR="00A31277" w:rsidRPr="00B241A8" w:rsidRDefault="00A31277" w:rsidP="00F73003">
            <w:pPr>
              <w:spacing w:line="360" w:lineRule="auto"/>
              <w:jc w:val="both"/>
              <w:rPr>
                <w:rFonts w:cs="Arial"/>
                <w:szCs w:val="24"/>
              </w:rPr>
            </w:pPr>
            <w:r w:rsidRPr="00B241A8">
              <w:rPr>
                <w:rFonts w:cs="Arial"/>
                <w:color w:val="000000"/>
                <w:szCs w:val="24"/>
              </w:rPr>
              <w:t>514</w:t>
            </w:r>
          </w:p>
        </w:tc>
        <w:tc>
          <w:tcPr>
            <w:tcW w:w="136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3D6B1B90" w14:textId="77777777" w:rsidR="00A31277" w:rsidRPr="00B241A8" w:rsidRDefault="00A31277" w:rsidP="00F73003">
            <w:pPr>
              <w:spacing w:line="360" w:lineRule="auto"/>
              <w:jc w:val="both"/>
              <w:rPr>
                <w:rFonts w:cs="Arial"/>
                <w:szCs w:val="24"/>
              </w:rPr>
            </w:pPr>
            <w:r w:rsidRPr="00B241A8">
              <w:rPr>
                <w:rFonts w:cs="Arial"/>
                <w:color w:val="000000"/>
                <w:szCs w:val="24"/>
              </w:rPr>
              <w:t>574</w:t>
            </w:r>
          </w:p>
        </w:tc>
        <w:tc>
          <w:tcPr>
            <w:tcW w:w="136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510D319D" w14:textId="77777777" w:rsidR="00A31277" w:rsidRPr="00B241A8" w:rsidRDefault="00A31277" w:rsidP="00F73003">
            <w:pPr>
              <w:spacing w:line="360" w:lineRule="auto"/>
              <w:jc w:val="both"/>
              <w:rPr>
                <w:rFonts w:cs="Arial"/>
                <w:szCs w:val="24"/>
              </w:rPr>
            </w:pPr>
            <w:r w:rsidRPr="00B241A8">
              <w:rPr>
                <w:rFonts w:cs="Arial"/>
                <w:color w:val="000000"/>
                <w:szCs w:val="24"/>
              </w:rPr>
              <w:t>646</w:t>
            </w:r>
          </w:p>
        </w:tc>
        <w:tc>
          <w:tcPr>
            <w:tcW w:w="136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023526C3" w14:textId="77777777" w:rsidR="00A31277" w:rsidRPr="00B241A8" w:rsidRDefault="00A31277" w:rsidP="00F73003">
            <w:pPr>
              <w:spacing w:line="360" w:lineRule="auto"/>
              <w:jc w:val="both"/>
              <w:rPr>
                <w:rFonts w:cs="Arial"/>
                <w:szCs w:val="24"/>
              </w:rPr>
            </w:pPr>
            <w:r w:rsidRPr="00B241A8">
              <w:rPr>
                <w:rFonts w:cs="Arial"/>
                <w:color w:val="000000"/>
                <w:szCs w:val="24"/>
              </w:rPr>
              <w:t>740</w:t>
            </w:r>
          </w:p>
        </w:tc>
        <w:tc>
          <w:tcPr>
            <w:tcW w:w="136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4C1CA855" w14:textId="77777777" w:rsidR="00A31277" w:rsidRPr="00B241A8" w:rsidRDefault="00A31277" w:rsidP="00F73003">
            <w:pPr>
              <w:spacing w:line="360" w:lineRule="auto"/>
              <w:jc w:val="both"/>
              <w:rPr>
                <w:rFonts w:cs="Arial"/>
                <w:szCs w:val="24"/>
              </w:rPr>
            </w:pPr>
            <w:r w:rsidRPr="00B241A8">
              <w:rPr>
                <w:rFonts w:cs="Arial"/>
                <w:color w:val="000000"/>
                <w:szCs w:val="24"/>
              </w:rPr>
              <w:t>785</w:t>
            </w:r>
          </w:p>
        </w:tc>
      </w:tr>
      <w:tr w:rsidR="00A31277" w:rsidRPr="00B241A8" w14:paraId="011B41E8" w14:textId="77777777" w:rsidTr="00A31277">
        <w:tc>
          <w:tcPr>
            <w:tcW w:w="240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035C74B8" w14:textId="77777777" w:rsidR="00A31277" w:rsidRPr="00B241A8" w:rsidRDefault="00A31277" w:rsidP="00F73003">
            <w:pPr>
              <w:spacing w:line="360" w:lineRule="auto"/>
              <w:jc w:val="both"/>
              <w:rPr>
                <w:rFonts w:cs="Arial"/>
                <w:szCs w:val="24"/>
              </w:rPr>
            </w:pPr>
            <w:r w:rsidRPr="00B241A8">
              <w:rPr>
                <w:rFonts w:cs="Arial"/>
                <w:color w:val="000000"/>
                <w:szCs w:val="24"/>
              </w:rPr>
              <w:t>Trade &amp; other payables</w:t>
            </w:r>
          </w:p>
        </w:tc>
        <w:tc>
          <w:tcPr>
            <w:tcW w:w="136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0CF66ED2" w14:textId="77777777" w:rsidR="00A31277" w:rsidRPr="00B241A8" w:rsidRDefault="00A31277" w:rsidP="00F73003">
            <w:pPr>
              <w:spacing w:line="360" w:lineRule="auto"/>
              <w:jc w:val="both"/>
              <w:rPr>
                <w:rFonts w:cs="Arial"/>
                <w:szCs w:val="24"/>
              </w:rPr>
            </w:pPr>
            <w:r w:rsidRPr="00B241A8">
              <w:rPr>
                <w:rFonts w:cs="Arial"/>
                <w:color w:val="000000"/>
                <w:szCs w:val="24"/>
              </w:rPr>
              <w:t>466</w:t>
            </w:r>
          </w:p>
        </w:tc>
        <w:tc>
          <w:tcPr>
            <w:tcW w:w="136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65062CB1" w14:textId="77777777" w:rsidR="00A31277" w:rsidRPr="00B241A8" w:rsidRDefault="00A31277" w:rsidP="00F73003">
            <w:pPr>
              <w:spacing w:line="360" w:lineRule="auto"/>
              <w:jc w:val="both"/>
              <w:rPr>
                <w:rFonts w:cs="Arial"/>
                <w:szCs w:val="24"/>
              </w:rPr>
            </w:pPr>
            <w:r w:rsidRPr="00B241A8">
              <w:rPr>
                <w:rFonts w:cs="Arial"/>
                <w:color w:val="000000"/>
                <w:szCs w:val="24"/>
              </w:rPr>
              <w:t>579</w:t>
            </w:r>
          </w:p>
        </w:tc>
        <w:tc>
          <w:tcPr>
            <w:tcW w:w="136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38ED7F03" w14:textId="77777777" w:rsidR="00A31277" w:rsidRPr="00B241A8" w:rsidRDefault="00A31277" w:rsidP="00F73003">
            <w:pPr>
              <w:spacing w:line="360" w:lineRule="auto"/>
              <w:jc w:val="both"/>
              <w:rPr>
                <w:rFonts w:cs="Arial"/>
                <w:szCs w:val="24"/>
              </w:rPr>
            </w:pPr>
            <w:r w:rsidRPr="00B241A8">
              <w:rPr>
                <w:rFonts w:cs="Arial"/>
                <w:color w:val="000000"/>
                <w:szCs w:val="24"/>
              </w:rPr>
              <w:t>697</w:t>
            </w:r>
          </w:p>
        </w:tc>
        <w:tc>
          <w:tcPr>
            <w:tcW w:w="136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0A2E5A94" w14:textId="77777777" w:rsidR="00A31277" w:rsidRPr="00B241A8" w:rsidRDefault="00A31277" w:rsidP="00F73003">
            <w:pPr>
              <w:spacing w:line="360" w:lineRule="auto"/>
              <w:jc w:val="both"/>
              <w:rPr>
                <w:rFonts w:cs="Arial"/>
                <w:szCs w:val="24"/>
              </w:rPr>
            </w:pPr>
            <w:r w:rsidRPr="00B241A8">
              <w:rPr>
                <w:rFonts w:cs="Arial"/>
                <w:color w:val="000000"/>
                <w:szCs w:val="24"/>
              </w:rPr>
              <w:t>711</w:t>
            </w:r>
          </w:p>
        </w:tc>
        <w:tc>
          <w:tcPr>
            <w:tcW w:w="136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2F5593FE" w14:textId="77777777" w:rsidR="00A31277" w:rsidRPr="00B241A8" w:rsidRDefault="00A31277" w:rsidP="00F73003">
            <w:pPr>
              <w:spacing w:line="360" w:lineRule="auto"/>
              <w:jc w:val="both"/>
              <w:rPr>
                <w:rFonts w:cs="Arial"/>
                <w:szCs w:val="24"/>
              </w:rPr>
            </w:pPr>
            <w:r w:rsidRPr="00B241A8">
              <w:rPr>
                <w:rFonts w:cs="Arial"/>
                <w:color w:val="000000"/>
                <w:szCs w:val="24"/>
              </w:rPr>
              <w:t>650</w:t>
            </w:r>
          </w:p>
        </w:tc>
      </w:tr>
    </w:tbl>
    <w:p w14:paraId="0DBC1177" w14:textId="77777777" w:rsidR="00A31277" w:rsidRPr="00B241A8" w:rsidRDefault="00A31277" w:rsidP="00F73003">
      <w:pPr>
        <w:spacing w:before="200" w:line="360" w:lineRule="auto"/>
        <w:jc w:val="both"/>
        <w:rPr>
          <w:rFonts w:cs="Arial"/>
          <w:szCs w:val="24"/>
        </w:rPr>
      </w:pPr>
    </w:p>
    <w:p w14:paraId="02F6ADD8" w14:textId="77777777" w:rsidR="00A31277" w:rsidRPr="00B241A8" w:rsidRDefault="00A31277" w:rsidP="00F73003">
      <w:pPr>
        <w:pStyle w:val="Heading1"/>
        <w:spacing w:line="360" w:lineRule="auto"/>
        <w:jc w:val="both"/>
      </w:pPr>
      <w:bookmarkStart w:id="12" w:name="_Toc237523893"/>
      <w:r w:rsidRPr="00B241A8">
        <w:t>3. CCC Results, FY2020–FY2024</w:t>
      </w:r>
      <w:bookmarkEnd w:id="12"/>
    </w:p>
    <w:tbl>
      <w:tblPr>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0"/>
        <w:gridCol w:w="1360"/>
        <w:gridCol w:w="1360"/>
        <w:gridCol w:w="1360"/>
        <w:gridCol w:w="1360"/>
        <w:gridCol w:w="1360"/>
      </w:tblGrid>
      <w:tr w:rsidR="00A31277" w:rsidRPr="00B241A8" w14:paraId="04D515A3" w14:textId="77777777" w:rsidTr="00A31277">
        <w:trPr>
          <w:tblHeader/>
        </w:trPr>
        <w:tc>
          <w:tcPr>
            <w:tcW w:w="2400" w:type="dxa"/>
            <w:tcBorders>
              <w:top w:val="single" w:sz="4" w:space="0" w:color="auto"/>
              <w:left w:val="single" w:sz="4" w:space="0" w:color="auto"/>
              <w:bottom w:val="single" w:sz="4" w:space="0" w:color="auto"/>
              <w:right w:val="single" w:sz="4" w:space="0" w:color="auto"/>
            </w:tcBorders>
            <w:shd w:val="clear" w:color="auto" w:fill="1F4E78"/>
            <w:tcMar>
              <w:top w:w="80" w:type="dxa"/>
              <w:left w:w="100" w:type="dxa"/>
              <w:bottom w:w="80" w:type="dxa"/>
              <w:right w:w="100" w:type="dxa"/>
            </w:tcMar>
            <w:vAlign w:val="center"/>
            <w:hideMark/>
          </w:tcPr>
          <w:p w14:paraId="4C77EB82" w14:textId="77777777" w:rsidR="00A31277" w:rsidRPr="00B241A8" w:rsidRDefault="00A31277" w:rsidP="00F73003">
            <w:pPr>
              <w:spacing w:line="360" w:lineRule="auto"/>
              <w:jc w:val="both"/>
              <w:rPr>
                <w:rFonts w:cs="Arial"/>
                <w:szCs w:val="24"/>
              </w:rPr>
            </w:pPr>
            <w:r w:rsidRPr="00B241A8">
              <w:rPr>
                <w:rFonts w:cs="Arial"/>
                <w:b/>
                <w:bCs/>
                <w:color w:val="FFFFFF"/>
                <w:szCs w:val="24"/>
              </w:rPr>
              <w:t>Metric (days)</w:t>
            </w:r>
          </w:p>
        </w:tc>
        <w:tc>
          <w:tcPr>
            <w:tcW w:w="1360" w:type="dxa"/>
            <w:tcBorders>
              <w:top w:val="single" w:sz="4" w:space="0" w:color="auto"/>
              <w:left w:val="single" w:sz="4" w:space="0" w:color="auto"/>
              <w:bottom w:val="single" w:sz="4" w:space="0" w:color="auto"/>
              <w:right w:val="single" w:sz="4" w:space="0" w:color="auto"/>
            </w:tcBorders>
            <w:shd w:val="clear" w:color="auto" w:fill="1F4E78"/>
            <w:tcMar>
              <w:top w:w="80" w:type="dxa"/>
              <w:left w:w="100" w:type="dxa"/>
              <w:bottom w:w="80" w:type="dxa"/>
              <w:right w:w="100" w:type="dxa"/>
            </w:tcMar>
            <w:vAlign w:val="center"/>
            <w:hideMark/>
          </w:tcPr>
          <w:p w14:paraId="2F92A69F" w14:textId="77777777" w:rsidR="00A31277" w:rsidRPr="00B241A8" w:rsidRDefault="00A31277" w:rsidP="00F73003">
            <w:pPr>
              <w:spacing w:line="360" w:lineRule="auto"/>
              <w:jc w:val="both"/>
              <w:rPr>
                <w:rFonts w:cs="Arial"/>
                <w:szCs w:val="24"/>
              </w:rPr>
            </w:pPr>
            <w:r w:rsidRPr="00B241A8">
              <w:rPr>
                <w:rFonts w:cs="Arial"/>
                <w:b/>
                <w:bCs/>
                <w:color w:val="FFFFFF"/>
                <w:szCs w:val="24"/>
              </w:rPr>
              <w:t>2020</w:t>
            </w:r>
          </w:p>
        </w:tc>
        <w:tc>
          <w:tcPr>
            <w:tcW w:w="1360" w:type="dxa"/>
            <w:tcBorders>
              <w:top w:val="single" w:sz="4" w:space="0" w:color="auto"/>
              <w:left w:val="single" w:sz="4" w:space="0" w:color="auto"/>
              <w:bottom w:val="single" w:sz="4" w:space="0" w:color="auto"/>
              <w:right w:val="single" w:sz="4" w:space="0" w:color="auto"/>
            </w:tcBorders>
            <w:shd w:val="clear" w:color="auto" w:fill="1F4E78"/>
            <w:tcMar>
              <w:top w:w="80" w:type="dxa"/>
              <w:left w:w="100" w:type="dxa"/>
              <w:bottom w:w="80" w:type="dxa"/>
              <w:right w:w="100" w:type="dxa"/>
            </w:tcMar>
            <w:vAlign w:val="center"/>
            <w:hideMark/>
          </w:tcPr>
          <w:p w14:paraId="280EE007" w14:textId="77777777" w:rsidR="00A31277" w:rsidRPr="00B241A8" w:rsidRDefault="00A31277" w:rsidP="00F73003">
            <w:pPr>
              <w:spacing w:line="360" w:lineRule="auto"/>
              <w:jc w:val="both"/>
              <w:rPr>
                <w:rFonts w:cs="Arial"/>
                <w:szCs w:val="24"/>
              </w:rPr>
            </w:pPr>
            <w:r w:rsidRPr="00B241A8">
              <w:rPr>
                <w:rFonts w:cs="Arial"/>
                <w:b/>
                <w:bCs/>
                <w:color w:val="FFFFFF"/>
                <w:szCs w:val="24"/>
              </w:rPr>
              <w:t>2021</w:t>
            </w:r>
          </w:p>
        </w:tc>
        <w:tc>
          <w:tcPr>
            <w:tcW w:w="1360" w:type="dxa"/>
            <w:tcBorders>
              <w:top w:val="single" w:sz="4" w:space="0" w:color="auto"/>
              <w:left w:val="single" w:sz="4" w:space="0" w:color="auto"/>
              <w:bottom w:val="single" w:sz="4" w:space="0" w:color="auto"/>
              <w:right w:val="single" w:sz="4" w:space="0" w:color="auto"/>
            </w:tcBorders>
            <w:shd w:val="clear" w:color="auto" w:fill="1F4E78"/>
            <w:tcMar>
              <w:top w:w="80" w:type="dxa"/>
              <w:left w:w="100" w:type="dxa"/>
              <w:bottom w:w="80" w:type="dxa"/>
              <w:right w:w="100" w:type="dxa"/>
            </w:tcMar>
            <w:vAlign w:val="center"/>
            <w:hideMark/>
          </w:tcPr>
          <w:p w14:paraId="5DB54435" w14:textId="77777777" w:rsidR="00A31277" w:rsidRPr="00B241A8" w:rsidRDefault="00A31277" w:rsidP="00F73003">
            <w:pPr>
              <w:spacing w:line="360" w:lineRule="auto"/>
              <w:jc w:val="both"/>
              <w:rPr>
                <w:rFonts w:cs="Arial"/>
                <w:szCs w:val="24"/>
              </w:rPr>
            </w:pPr>
            <w:r w:rsidRPr="00B241A8">
              <w:rPr>
                <w:rFonts w:cs="Arial"/>
                <w:b/>
                <w:bCs/>
                <w:color w:val="FFFFFF"/>
                <w:szCs w:val="24"/>
              </w:rPr>
              <w:t>2022</w:t>
            </w:r>
          </w:p>
        </w:tc>
        <w:tc>
          <w:tcPr>
            <w:tcW w:w="1360" w:type="dxa"/>
            <w:tcBorders>
              <w:top w:val="single" w:sz="4" w:space="0" w:color="auto"/>
              <w:left w:val="single" w:sz="4" w:space="0" w:color="auto"/>
              <w:bottom w:val="single" w:sz="4" w:space="0" w:color="auto"/>
              <w:right w:val="single" w:sz="4" w:space="0" w:color="auto"/>
            </w:tcBorders>
            <w:shd w:val="clear" w:color="auto" w:fill="1F4E78"/>
            <w:tcMar>
              <w:top w:w="80" w:type="dxa"/>
              <w:left w:w="100" w:type="dxa"/>
              <w:bottom w:w="80" w:type="dxa"/>
              <w:right w:w="100" w:type="dxa"/>
            </w:tcMar>
            <w:vAlign w:val="center"/>
            <w:hideMark/>
          </w:tcPr>
          <w:p w14:paraId="0E069307" w14:textId="77777777" w:rsidR="00A31277" w:rsidRPr="00B241A8" w:rsidRDefault="00A31277" w:rsidP="00F73003">
            <w:pPr>
              <w:spacing w:line="360" w:lineRule="auto"/>
              <w:jc w:val="both"/>
              <w:rPr>
                <w:rFonts w:cs="Arial"/>
                <w:szCs w:val="24"/>
              </w:rPr>
            </w:pPr>
            <w:r w:rsidRPr="00B241A8">
              <w:rPr>
                <w:rFonts w:cs="Arial"/>
                <w:b/>
                <w:bCs/>
                <w:color w:val="FFFFFF"/>
                <w:szCs w:val="24"/>
              </w:rPr>
              <w:t>2023</w:t>
            </w:r>
          </w:p>
        </w:tc>
        <w:tc>
          <w:tcPr>
            <w:tcW w:w="1360" w:type="dxa"/>
            <w:tcBorders>
              <w:top w:val="single" w:sz="4" w:space="0" w:color="auto"/>
              <w:left w:val="single" w:sz="4" w:space="0" w:color="auto"/>
              <w:bottom w:val="single" w:sz="4" w:space="0" w:color="auto"/>
              <w:right w:val="single" w:sz="4" w:space="0" w:color="auto"/>
            </w:tcBorders>
            <w:shd w:val="clear" w:color="auto" w:fill="1F4E78"/>
            <w:tcMar>
              <w:top w:w="80" w:type="dxa"/>
              <w:left w:w="100" w:type="dxa"/>
              <w:bottom w:w="80" w:type="dxa"/>
              <w:right w:w="100" w:type="dxa"/>
            </w:tcMar>
            <w:vAlign w:val="center"/>
            <w:hideMark/>
          </w:tcPr>
          <w:p w14:paraId="2D432AFE" w14:textId="77777777" w:rsidR="00A31277" w:rsidRPr="00B241A8" w:rsidRDefault="00A31277" w:rsidP="00F73003">
            <w:pPr>
              <w:spacing w:line="360" w:lineRule="auto"/>
              <w:jc w:val="both"/>
              <w:rPr>
                <w:rFonts w:cs="Arial"/>
                <w:szCs w:val="24"/>
              </w:rPr>
            </w:pPr>
            <w:r w:rsidRPr="00B241A8">
              <w:rPr>
                <w:rFonts w:cs="Arial"/>
                <w:b/>
                <w:bCs/>
                <w:color w:val="FFFFFF"/>
                <w:szCs w:val="24"/>
              </w:rPr>
              <w:t>2024</w:t>
            </w:r>
          </w:p>
        </w:tc>
      </w:tr>
      <w:tr w:rsidR="00A31277" w:rsidRPr="00B241A8" w14:paraId="4BCBF139" w14:textId="77777777" w:rsidTr="00A31277">
        <w:tc>
          <w:tcPr>
            <w:tcW w:w="240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7DABCD00" w14:textId="77777777" w:rsidR="00A31277" w:rsidRPr="00B241A8" w:rsidRDefault="00A31277" w:rsidP="00F73003">
            <w:pPr>
              <w:spacing w:line="360" w:lineRule="auto"/>
              <w:jc w:val="both"/>
              <w:rPr>
                <w:rFonts w:cs="Arial"/>
                <w:szCs w:val="24"/>
              </w:rPr>
            </w:pPr>
            <w:r w:rsidRPr="00B241A8">
              <w:rPr>
                <w:rFonts w:cs="Arial"/>
                <w:color w:val="000000"/>
                <w:szCs w:val="24"/>
              </w:rPr>
              <w:t>Days Inventory Outstanding (DIO)</w:t>
            </w:r>
          </w:p>
        </w:tc>
        <w:tc>
          <w:tcPr>
            <w:tcW w:w="136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42E48172" w14:textId="77777777" w:rsidR="00A31277" w:rsidRPr="00B241A8" w:rsidRDefault="00A31277" w:rsidP="00F73003">
            <w:pPr>
              <w:spacing w:line="360" w:lineRule="auto"/>
              <w:jc w:val="both"/>
              <w:rPr>
                <w:rFonts w:cs="Arial"/>
                <w:szCs w:val="24"/>
              </w:rPr>
            </w:pPr>
            <w:r w:rsidRPr="00B241A8">
              <w:rPr>
                <w:rFonts w:cs="Arial"/>
                <w:color w:val="000000"/>
                <w:szCs w:val="24"/>
              </w:rPr>
              <w:t>5.2</w:t>
            </w:r>
          </w:p>
        </w:tc>
        <w:tc>
          <w:tcPr>
            <w:tcW w:w="136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5346C369" w14:textId="77777777" w:rsidR="00A31277" w:rsidRPr="00B241A8" w:rsidRDefault="00A31277" w:rsidP="00F73003">
            <w:pPr>
              <w:spacing w:line="360" w:lineRule="auto"/>
              <w:jc w:val="both"/>
              <w:rPr>
                <w:rFonts w:cs="Arial"/>
                <w:szCs w:val="24"/>
              </w:rPr>
            </w:pPr>
            <w:r w:rsidRPr="00B241A8">
              <w:rPr>
                <w:rFonts w:cs="Arial"/>
                <w:color w:val="000000"/>
                <w:szCs w:val="24"/>
              </w:rPr>
              <w:t>3.0</w:t>
            </w:r>
          </w:p>
        </w:tc>
        <w:tc>
          <w:tcPr>
            <w:tcW w:w="136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5CC37A8B" w14:textId="77777777" w:rsidR="00A31277" w:rsidRPr="00B241A8" w:rsidRDefault="00A31277" w:rsidP="00F73003">
            <w:pPr>
              <w:spacing w:line="360" w:lineRule="auto"/>
              <w:jc w:val="both"/>
              <w:rPr>
                <w:rFonts w:cs="Arial"/>
                <w:szCs w:val="24"/>
              </w:rPr>
            </w:pPr>
            <w:r w:rsidRPr="00B241A8">
              <w:rPr>
                <w:rFonts w:cs="Arial"/>
                <w:color w:val="000000"/>
                <w:szCs w:val="24"/>
              </w:rPr>
              <w:t>2.3</w:t>
            </w:r>
          </w:p>
        </w:tc>
        <w:tc>
          <w:tcPr>
            <w:tcW w:w="136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524119CF" w14:textId="77777777" w:rsidR="00A31277" w:rsidRPr="00B241A8" w:rsidRDefault="00A31277" w:rsidP="00F73003">
            <w:pPr>
              <w:spacing w:line="360" w:lineRule="auto"/>
              <w:jc w:val="both"/>
              <w:rPr>
                <w:rFonts w:cs="Arial"/>
                <w:szCs w:val="24"/>
              </w:rPr>
            </w:pPr>
            <w:r w:rsidRPr="00B241A8">
              <w:rPr>
                <w:rFonts w:cs="Arial"/>
                <w:color w:val="000000"/>
                <w:szCs w:val="24"/>
              </w:rPr>
              <w:t>2.5</w:t>
            </w:r>
          </w:p>
        </w:tc>
        <w:tc>
          <w:tcPr>
            <w:tcW w:w="136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268808F2" w14:textId="77777777" w:rsidR="00A31277" w:rsidRPr="00B241A8" w:rsidRDefault="00A31277" w:rsidP="00F73003">
            <w:pPr>
              <w:spacing w:line="360" w:lineRule="auto"/>
              <w:jc w:val="both"/>
              <w:rPr>
                <w:rFonts w:cs="Arial"/>
                <w:szCs w:val="24"/>
              </w:rPr>
            </w:pPr>
            <w:r w:rsidRPr="00B241A8">
              <w:rPr>
                <w:rFonts w:cs="Arial"/>
                <w:color w:val="000000"/>
                <w:szCs w:val="24"/>
              </w:rPr>
              <w:t>2.0</w:t>
            </w:r>
          </w:p>
        </w:tc>
      </w:tr>
      <w:tr w:rsidR="00A31277" w:rsidRPr="00B241A8" w14:paraId="389D1CBE" w14:textId="77777777" w:rsidTr="00A31277">
        <w:tc>
          <w:tcPr>
            <w:tcW w:w="240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69F1F238" w14:textId="77777777" w:rsidR="00A31277" w:rsidRPr="00B241A8" w:rsidRDefault="00A31277" w:rsidP="00F73003">
            <w:pPr>
              <w:spacing w:line="360" w:lineRule="auto"/>
              <w:jc w:val="both"/>
              <w:rPr>
                <w:rFonts w:cs="Arial"/>
                <w:szCs w:val="24"/>
              </w:rPr>
            </w:pPr>
            <w:r w:rsidRPr="00B241A8">
              <w:rPr>
                <w:rFonts w:cs="Arial"/>
                <w:color w:val="000000"/>
                <w:szCs w:val="24"/>
              </w:rPr>
              <w:t>Days Sales Outstanding (DSO)</w:t>
            </w:r>
          </w:p>
        </w:tc>
        <w:tc>
          <w:tcPr>
            <w:tcW w:w="136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01E6385F" w14:textId="77777777" w:rsidR="00A31277" w:rsidRPr="00B241A8" w:rsidRDefault="00A31277" w:rsidP="00F73003">
            <w:pPr>
              <w:spacing w:line="360" w:lineRule="auto"/>
              <w:jc w:val="both"/>
              <w:rPr>
                <w:rFonts w:cs="Arial"/>
                <w:szCs w:val="24"/>
              </w:rPr>
            </w:pPr>
            <w:r w:rsidRPr="00B241A8">
              <w:rPr>
                <w:rFonts w:cs="Arial"/>
                <w:color w:val="000000"/>
                <w:szCs w:val="24"/>
              </w:rPr>
              <w:t>78.4</w:t>
            </w:r>
          </w:p>
        </w:tc>
        <w:tc>
          <w:tcPr>
            <w:tcW w:w="136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780D48CF" w14:textId="77777777" w:rsidR="00A31277" w:rsidRPr="00B241A8" w:rsidRDefault="00A31277" w:rsidP="00F73003">
            <w:pPr>
              <w:spacing w:line="360" w:lineRule="auto"/>
              <w:jc w:val="both"/>
              <w:rPr>
                <w:rFonts w:cs="Arial"/>
                <w:szCs w:val="24"/>
              </w:rPr>
            </w:pPr>
            <w:r w:rsidRPr="00B241A8">
              <w:rPr>
                <w:rFonts w:cs="Arial"/>
                <w:color w:val="000000"/>
                <w:szCs w:val="24"/>
              </w:rPr>
              <w:t>72.1</w:t>
            </w:r>
          </w:p>
        </w:tc>
        <w:tc>
          <w:tcPr>
            <w:tcW w:w="136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30AF252A" w14:textId="77777777" w:rsidR="00A31277" w:rsidRPr="00B241A8" w:rsidRDefault="00A31277" w:rsidP="00F73003">
            <w:pPr>
              <w:spacing w:line="360" w:lineRule="auto"/>
              <w:jc w:val="both"/>
              <w:rPr>
                <w:rFonts w:cs="Arial"/>
                <w:szCs w:val="24"/>
              </w:rPr>
            </w:pPr>
            <w:r w:rsidRPr="00B241A8">
              <w:rPr>
                <w:rFonts w:cs="Arial"/>
                <w:color w:val="000000"/>
                <w:szCs w:val="24"/>
              </w:rPr>
              <w:t>60.6</w:t>
            </w:r>
          </w:p>
        </w:tc>
        <w:tc>
          <w:tcPr>
            <w:tcW w:w="136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4A317F51" w14:textId="77777777" w:rsidR="00A31277" w:rsidRPr="00B241A8" w:rsidRDefault="00A31277" w:rsidP="00F73003">
            <w:pPr>
              <w:spacing w:line="360" w:lineRule="auto"/>
              <w:jc w:val="both"/>
              <w:rPr>
                <w:rFonts w:cs="Arial"/>
                <w:szCs w:val="24"/>
              </w:rPr>
            </w:pPr>
            <w:r w:rsidRPr="00B241A8">
              <w:rPr>
                <w:rFonts w:cs="Arial"/>
                <w:color w:val="000000"/>
                <w:szCs w:val="24"/>
              </w:rPr>
              <w:t>58.4</w:t>
            </w:r>
          </w:p>
        </w:tc>
        <w:tc>
          <w:tcPr>
            <w:tcW w:w="136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67EE3611" w14:textId="77777777" w:rsidR="00A31277" w:rsidRPr="00B241A8" w:rsidRDefault="00A31277" w:rsidP="00F73003">
            <w:pPr>
              <w:spacing w:line="360" w:lineRule="auto"/>
              <w:jc w:val="both"/>
              <w:rPr>
                <w:rFonts w:cs="Arial"/>
                <w:szCs w:val="24"/>
              </w:rPr>
            </w:pPr>
            <w:r w:rsidRPr="00B241A8">
              <w:rPr>
                <w:rFonts w:cs="Arial"/>
                <w:color w:val="000000"/>
                <w:szCs w:val="24"/>
              </w:rPr>
              <w:t>58.2</w:t>
            </w:r>
          </w:p>
        </w:tc>
      </w:tr>
      <w:tr w:rsidR="00A31277" w:rsidRPr="00B241A8" w14:paraId="65368DAB" w14:textId="77777777" w:rsidTr="00A31277">
        <w:tc>
          <w:tcPr>
            <w:tcW w:w="240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7E647472" w14:textId="77777777" w:rsidR="00A31277" w:rsidRPr="00B241A8" w:rsidRDefault="00A31277" w:rsidP="00F73003">
            <w:pPr>
              <w:spacing w:line="360" w:lineRule="auto"/>
              <w:jc w:val="both"/>
              <w:rPr>
                <w:rFonts w:cs="Arial"/>
                <w:szCs w:val="24"/>
              </w:rPr>
            </w:pPr>
            <w:r w:rsidRPr="00B241A8">
              <w:rPr>
                <w:rFonts w:cs="Arial"/>
                <w:color w:val="000000"/>
                <w:szCs w:val="24"/>
              </w:rPr>
              <w:t>Days Payable Outstanding (DPO)</w:t>
            </w:r>
          </w:p>
        </w:tc>
        <w:tc>
          <w:tcPr>
            <w:tcW w:w="136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6ED427EE" w14:textId="77777777" w:rsidR="00A31277" w:rsidRPr="00B241A8" w:rsidRDefault="00A31277" w:rsidP="00F73003">
            <w:pPr>
              <w:spacing w:line="360" w:lineRule="auto"/>
              <w:jc w:val="both"/>
              <w:rPr>
                <w:rFonts w:cs="Arial"/>
                <w:szCs w:val="24"/>
              </w:rPr>
            </w:pPr>
            <w:r w:rsidRPr="00B241A8">
              <w:rPr>
                <w:rFonts w:cs="Arial"/>
                <w:color w:val="000000"/>
                <w:szCs w:val="24"/>
              </w:rPr>
              <w:t>480.5</w:t>
            </w:r>
          </w:p>
        </w:tc>
        <w:tc>
          <w:tcPr>
            <w:tcW w:w="136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5C0CD2AA" w14:textId="77777777" w:rsidR="00A31277" w:rsidRPr="00B241A8" w:rsidRDefault="00A31277" w:rsidP="00F73003">
            <w:pPr>
              <w:spacing w:line="360" w:lineRule="auto"/>
              <w:jc w:val="both"/>
              <w:rPr>
                <w:rFonts w:cs="Arial"/>
                <w:szCs w:val="24"/>
              </w:rPr>
            </w:pPr>
            <w:r w:rsidRPr="00B241A8">
              <w:rPr>
                <w:rFonts w:cs="Arial"/>
                <w:color w:val="000000"/>
                <w:szCs w:val="24"/>
              </w:rPr>
              <w:t>434.8</w:t>
            </w:r>
          </w:p>
        </w:tc>
        <w:tc>
          <w:tcPr>
            <w:tcW w:w="136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72FAB1AD" w14:textId="77777777" w:rsidR="00A31277" w:rsidRPr="00B241A8" w:rsidRDefault="00A31277" w:rsidP="00F73003">
            <w:pPr>
              <w:spacing w:line="360" w:lineRule="auto"/>
              <w:jc w:val="both"/>
              <w:rPr>
                <w:rFonts w:cs="Arial"/>
                <w:szCs w:val="24"/>
              </w:rPr>
            </w:pPr>
            <w:r w:rsidRPr="00B241A8">
              <w:rPr>
                <w:rFonts w:cs="Arial"/>
                <w:color w:val="000000"/>
                <w:szCs w:val="24"/>
              </w:rPr>
              <w:t>392.6</w:t>
            </w:r>
          </w:p>
        </w:tc>
        <w:tc>
          <w:tcPr>
            <w:tcW w:w="136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167F2599" w14:textId="77777777" w:rsidR="00A31277" w:rsidRPr="00B241A8" w:rsidRDefault="00A31277" w:rsidP="00F73003">
            <w:pPr>
              <w:spacing w:line="360" w:lineRule="auto"/>
              <w:jc w:val="both"/>
              <w:rPr>
                <w:rFonts w:cs="Arial"/>
                <w:szCs w:val="24"/>
              </w:rPr>
            </w:pPr>
            <w:r w:rsidRPr="00B241A8">
              <w:rPr>
                <w:rFonts w:cs="Arial"/>
                <w:color w:val="000000"/>
                <w:szCs w:val="24"/>
              </w:rPr>
              <w:t>349.8</w:t>
            </w:r>
          </w:p>
        </w:tc>
        <w:tc>
          <w:tcPr>
            <w:tcW w:w="136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26D219DA" w14:textId="77777777" w:rsidR="00A31277" w:rsidRPr="00B241A8" w:rsidRDefault="00A31277" w:rsidP="00F73003">
            <w:pPr>
              <w:spacing w:line="360" w:lineRule="auto"/>
              <w:jc w:val="both"/>
              <w:rPr>
                <w:rFonts w:cs="Arial"/>
                <w:szCs w:val="24"/>
              </w:rPr>
            </w:pPr>
            <w:r w:rsidRPr="00B241A8">
              <w:rPr>
                <w:rFonts w:cs="Arial"/>
                <w:color w:val="000000"/>
                <w:szCs w:val="24"/>
              </w:rPr>
              <w:t>318.5</w:t>
            </w:r>
          </w:p>
        </w:tc>
      </w:tr>
      <w:tr w:rsidR="00A31277" w:rsidRPr="00B241A8" w14:paraId="155922D6" w14:textId="77777777" w:rsidTr="00A31277">
        <w:tc>
          <w:tcPr>
            <w:tcW w:w="2400" w:type="dxa"/>
            <w:tcBorders>
              <w:top w:val="single" w:sz="4" w:space="0" w:color="auto"/>
              <w:left w:val="single" w:sz="4" w:space="0" w:color="auto"/>
              <w:bottom w:val="single" w:sz="4" w:space="0" w:color="auto"/>
              <w:right w:val="single" w:sz="4" w:space="0" w:color="auto"/>
            </w:tcBorders>
            <w:shd w:val="clear" w:color="auto" w:fill="D9E1F2"/>
            <w:tcMar>
              <w:top w:w="80" w:type="dxa"/>
              <w:left w:w="100" w:type="dxa"/>
              <w:bottom w:w="80" w:type="dxa"/>
              <w:right w:w="100" w:type="dxa"/>
            </w:tcMar>
            <w:vAlign w:val="center"/>
            <w:hideMark/>
          </w:tcPr>
          <w:p w14:paraId="78E5D247" w14:textId="77777777" w:rsidR="00A31277" w:rsidRPr="00B241A8" w:rsidRDefault="00A31277" w:rsidP="00F73003">
            <w:pPr>
              <w:spacing w:line="360" w:lineRule="auto"/>
              <w:jc w:val="both"/>
              <w:rPr>
                <w:rFonts w:cs="Arial"/>
                <w:szCs w:val="24"/>
              </w:rPr>
            </w:pPr>
            <w:r w:rsidRPr="00B241A8">
              <w:rPr>
                <w:rFonts w:cs="Arial"/>
                <w:b/>
                <w:bCs/>
                <w:color w:val="000000"/>
                <w:szCs w:val="24"/>
              </w:rPr>
              <w:t>Cash Conversion Cycle (CCC)</w:t>
            </w:r>
          </w:p>
        </w:tc>
        <w:tc>
          <w:tcPr>
            <w:tcW w:w="1360" w:type="dxa"/>
            <w:tcBorders>
              <w:top w:val="single" w:sz="4" w:space="0" w:color="auto"/>
              <w:left w:val="single" w:sz="4" w:space="0" w:color="auto"/>
              <w:bottom w:val="single" w:sz="4" w:space="0" w:color="auto"/>
              <w:right w:val="single" w:sz="4" w:space="0" w:color="auto"/>
            </w:tcBorders>
            <w:shd w:val="clear" w:color="auto" w:fill="D9E1F2"/>
            <w:tcMar>
              <w:top w:w="80" w:type="dxa"/>
              <w:left w:w="100" w:type="dxa"/>
              <w:bottom w:w="80" w:type="dxa"/>
              <w:right w:w="100" w:type="dxa"/>
            </w:tcMar>
            <w:vAlign w:val="center"/>
            <w:hideMark/>
          </w:tcPr>
          <w:p w14:paraId="23C0E2FC" w14:textId="77777777" w:rsidR="00A31277" w:rsidRPr="00B241A8" w:rsidRDefault="00A31277" w:rsidP="00F73003">
            <w:pPr>
              <w:spacing w:line="360" w:lineRule="auto"/>
              <w:jc w:val="both"/>
              <w:rPr>
                <w:rFonts w:cs="Arial"/>
                <w:szCs w:val="24"/>
              </w:rPr>
            </w:pPr>
            <w:r w:rsidRPr="00B241A8">
              <w:rPr>
                <w:rFonts w:cs="Arial"/>
                <w:b/>
                <w:bCs/>
                <w:color w:val="000000"/>
                <w:szCs w:val="24"/>
              </w:rPr>
              <w:t>(397.0)</w:t>
            </w:r>
          </w:p>
        </w:tc>
        <w:tc>
          <w:tcPr>
            <w:tcW w:w="1360" w:type="dxa"/>
            <w:tcBorders>
              <w:top w:val="single" w:sz="4" w:space="0" w:color="auto"/>
              <w:left w:val="single" w:sz="4" w:space="0" w:color="auto"/>
              <w:bottom w:val="single" w:sz="4" w:space="0" w:color="auto"/>
              <w:right w:val="single" w:sz="4" w:space="0" w:color="auto"/>
            </w:tcBorders>
            <w:shd w:val="clear" w:color="auto" w:fill="D9E1F2"/>
            <w:tcMar>
              <w:top w:w="80" w:type="dxa"/>
              <w:left w:w="100" w:type="dxa"/>
              <w:bottom w:w="80" w:type="dxa"/>
              <w:right w:w="100" w:type="dxa"/>
            </w:tcMar>
            <w:vAlign w:val="center"/>
            <w:hideMark/>
          </w:tcPr>
          <w:p w14:paraId="39D09452" w14:textId="77777777" w:rsidR="00A31277" w:rsidRPr="00B241A8" w:rsidRDefault="00A31277" w:rsidP="00F73003">
            <w:pPr>
              <w:spacing w:line="360" w:lineRule="auto"/>
              <w:jc w:val="both"/>
              <w:rPr>
                <w:rFonts w:cs="Arial"/>
                <w:szCs w:val="24"/>
              </w:rPr>
            </w:pPr>
            <w:r w:rsidRPr="00B241A8">
              <w:rPr>
                <w:rFonts w:cs="Arial"/>
                <w:b/>
                <w:bCs/>
                <w:color w:val="000000"/>
                <w:szCs w:val="24"/>
              </w:rPr>
              <w:t>(359.8)</w:t>
            </w:r>
          </w:p>
        </w:tc>
        <w:tc>
          <w:tcPr>
            <w:tcW w:w="1360" w:type="dxa"/>
            <w:tcBorders>
              <w:top w:val="single" w:sz="4" w:space="0" w:color="auto"/>
              <w:left w:val="single" w:sz="4" w:space="0" w:color="auto"/>
              <w:bottom w:val="single" w:sz="4" w:space="0" w:color="auto"/>
              <w:right w:val="single" w:sz="4" w:space="0" w:color="auto"/>
            </w:tcBorders>
            <w:shd w:val="clear" w:color="auto" w:fill="D9E1F2"/>
            <w:tcMar>
              <w:top w:w="80" w:type="dxa"/>
              <w:left w:w="100" w:type="dxa"/>
              <w:bottom w:w="80" w:type="dxa"/>
              <w:right w:w="100" w:type="dxa"/>
            </w:tcMar>
            <w:vAlign w:val="center"/>
            <w:hideMark/>
          </w:tcPr>
          <w:p w14:paraId="11D6DF2A" w14:textId="77777777" w:rsidR="00A31277" w:rsidRPr="00B241A8" w:rsidRDefault="00A31277" w:rsidP="00F73003">
            <w:pPr>
              <w:spacing w:line="360" w:lineRule="auto"/>
              <w:jc w:val="both"/>
              <w:rPr>
                <w:rFonts w:cs="Arial"/>
                <w:szCs w:val="24"/>
              </w:rPr>
            </w:pPr>
            <w:r w:rsidRPr="00B241A8">
              <w:rPr>
                <w:rFonts w:cs="Arial"/>
                <w:b/>
                <w:bCs/>
                <w:color w:val="000000"/>
                <w:szCs w:val="24"/>
              </w:rPr>
              <w:t>(329.8)</w:t>
            </w:r>
          </w:p>
        </w:tc>
        <w:tc>
          <w:tcPr>
            <w:tcW w:w="1360" w:type="dxa"/>
            <w:tcBorders>
              <w:top w:val="single" w:sz="4" w:space="0" w:color="auto"/>
              <w:left w:val="single" w:sz="4" w:space="0" w:color="auto"/>
              <w:bottom w:val="single" w:sz="4" w:space="0" w:color="auto"/>
              <w:right w:val="single" w:sz="4" w:space="0" w:color="auto"/>
            </w:tcBorders>
            <w:shd w:val="clear" w:color="auto" w:fill="D9E1F2"/>
            <w:tcMar>
              <w:top w:w="80" w:type="dxa"/>
              <w:left w:w="100" w:type="dxa"/>
              <w:bottom w:w="80" w:type="dxa"/>
              <w:right w:w="100" w:type="dxa"/>
            </w:tcMar>
            <w:vAlign w:val="center"/>
            <w:hideMark/>
          </w:tcPr>
          <w:p w14:paraId="7B3C0BC5" w14:textId="77777777" w:rsidR="00A31277" w:rsidRPr="00B241A8" w:rsidRDefault="00A31277" w:rsidP="00F73003">
            <w:pPr>
              <w:spacing w:line="360" w:lineRule="auto"/>
              <w:jc w:val="both"/>
              <w:rPr>
                <w:rFonts w:cs="Arial"/>
                <w:szCs w:val="24"/>
              </w:rPr>
            </w:pPr>
            <w:r w:rsidRPr="00B241A8">
              <w:rPr>
                <w:rFonts w:cs="Arial"/>
                <w:b/>
                <w:bCs/>
                <w:color w:val="000000"/>
                <w:szCs w:val="24"/>
              </w:rPr>
              <w:t>(288.9)</w:t>
            </w:r>
          </w:p>
        </w:tc>
        <w:tc>
          <w:tcPr>
            <w:tcW w:w="1360" w:type="dxa"/>
            <w:tcBorders>
              <w:top w:val="single" w:sz="4" w:space="0" w:color="auto"/>
              <w:left w:val="single" w:sz="4" w:space="0" w:color="auto"/>
              <w:bottom w:val="single" w:sz="4" w:space="0" w:color="auto"/>
              <w:right w:val="single" w:sz="4" w:space="0" w:color="auto"/>
            </w:tcBorders>
            <w:shd w:val="clear" w:color="auto" w:fill="D9E1F2"/>
            <w:tcMar>
              <w:top w:w="80" w:type="dxa"/>
              <w:left w:w="100" w:type="dxa"/>
              <w:bottom w:w="80" w:type="dxa"/>
              <w:right w:w="100" w:type="dxa"/>
            </w:tcMar>
            <w:vAlign w:val="center"/>
            <w:hideMark/>
          </w:tcPr>
          <w:p w14:paraId="499C89A4" w14:textId="77777777" w:rsidR="00A31277" w:rsidRPr="00B241A8" w:rsidRDefault="00A31277" w:rsidP="00F73003">
            <w:pPr>
              <w:spacing w:line="360" w:lineRule="auto"/>
              <w:jc w:val="both"/>
              <w:rPr>
                <w:rFonts w:cs="Arial"/>
                <w:szCs w:val="24"/>
              </w:rPr>
            </w:pPr>
            <w:r w:rsidRPr="00B241A8">
              <w:rPr>
                <w:rFonts w:cs="Arial"/>
                <w:b/>
                <w:bCs/>
                <w:color w:val="000000"/>
                <w:szCs w:val="24"/>
              </w:rPr>
              <w:t>(258.3)</w:t>
            </w:r>
          </w:p>
        </w:tc>
      </w:tr>
      <w:tr w:rsidR="00A31277" w:rsidRPr="00B241A8" w14:paraId="7C93D52D" w14:textId="77777777" w:rsidTr="00A31277">
        <w:tc>
          <w:tcPr>
            <w:tcW w:w="240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179A1F72" w14:textId="77777777" w:rsidR="00A31277" w:rsidRPr="00B241A8" w:rsidRDefault="00A31277" w:rsidP="00F73003">
            <w:pPr>
              <w:spacing w:line="360" w:lineRule="auto"/>
              <w:jc w:val="both"/>
              <w:rPr>
                <w:rFonts w:cs="Arial"/>
                <w:szCs w:val="24"/>
              </w:rPr>
            </w:pPr>
            <w:r w:rsidRPr="00B241A8">
              <w:rPr>
                <w:rFonts w:cs="Arial"/>
                <w:color w:val="000000"/>
                <w:szCs w:val="24"/>
              </w:rPr>
              <w:t>Year-on-year change in CCC</w:t>
            </w:r>
          </w:p>
        </w:tc>
        <w:tc>
          <w:tcPr>
            <w:tcW w:w="136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0EB518A2" w14:textId="77777777" w:rsidR="00A31277" w:rsidRPr="00B241A8" w:rsidRDefault="00A31277" w:rsidP="00F73003">
            <w:pPr>
              <w:spacing w:line="360" w:lineRule="auto"/>
              <w:jc w:val="both"/>
              <w:rPr>
                <w:rFonts w:cs="Arial"/>
                <w:szCs w:val="24"/>
              </w:rPr>
            </w:pPr>
            <w:r w:rsidRPr="00B241A8">
              <w:rPr>
                <w:rFonts w:cs="Arial"/>
                <w:color w:val="000000"/>
                <w:szCs w:val="24"/>
              </w:rPr>
              <w:t>n/a</w:t>
            </w:r>
          </w:p>
        </w:tc>
        <w:tc>
          <w:tcPr>
            <w:tcW w:w="136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547EA583" w14:textId="77777777" w:rsidR="00A31277" w:rsidRPr="00B241A8" w:rsidRDefault="00A31277" w:rsidP="00F73003">
            <w:pPr>
              <w:spacing w:line="360" w:lineRule="auto"/>
              <w:jc w:val="both"/>
              <w:rPr>
                <w:rFonts w:cs="Arial"/>
                <w:szCs w:val="24"/>
              </w:rPr>
            </w:pPr>
            <w:r w:rsidRPr="00B241A8">
              <w:rPr>
                <w:rFonts w:cs="Arial"/>
                <w:color w:val="000000"/>
                <w:szCs w:val="24"/>
              </w:rPr>
              <w:t>+37.2</w:t>
            </w:r>
          </w:p>
        </w:tc>
        <w:tc>
          <w:tcPr>
            <w:tcW w:w="136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19A0884E" w14:textId="77777777" w:rsidR="00A31277" w:rsidRPr="00B241A8" w:rsidRDefault="00A31277" w:rsidP="00F73003">
            <w:pPr>
              <w:spacing w:line="360" w:lineRule="auto"/>
              <w:jc w:val="both"/>
              <w:rPr>
                <w:rFonts w:cs="Arial"/>
                <w:szCs w:val="24"/>
              </w:rPr>
            </w:pPr>
            <w:r w:rsidRPr="00B241A8">
              <w:rPr>
                <w:rFonts w:cs="Arial"/>
                <w:color w:val="000000"/>
                <w:szCs w:val="24"/>
              </w:rPr>
              <w:t>+30.0</w:t>
            </w:r>
          </w:p>
        </w:tc>
        <w:tc>
          <w:tcPr>
            <w:tcW w:w="136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3E99D986" w14:textId="77777777" w:rsidR="00A31277" w:rsidRPr="00B241A8" w:rsidRDefault="00A31277" w:rsidP="00F73003">
            <w:pPr>
              <w:spacing w:line="360" w:lineRule="auto"/>
              <w:jc w:val="both"/>
              <w:rPr>
                <w:rFonts w:cs="Arial"/>
                <w:szCs w:val="24"/>
              </w:rPr>
            </w:pPr>
            <w:r w:rsidRPr="00B241A8">
              <w:rPr>
                <w:rFonts w:cs="Arial"/>
                <w:color w:val="000000"/>
                <w:szCs w:val="24"/>
              </w:rPr>
              <w:t>+40.9</w:t>
            </w:r>
          </w:p>
        </w:tc>
        <w:tc>
          <w:tcPr>
            <w:tcW w:w="136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2F3AC492" w14:textId="77777777" w:rsidR="00A31277" w:rsidRPr="00B241A8" w:rsidRDefault="00A31277" w:rsidP="00F73003">
            <w:pPr>
              <w:spacing w:line="360" w:lineRule="auto"/>
              <w:jc w:val="both"/>
              <w:rPr>
                <w:rFonts w:cs="Arial"/>
                <w:szCs w:val="24"/>
              </w:rPr>
            </w:pPr>
            <w:r w:rsidRPr="00B241A8">
              <w:rPr>
                <w:rFonts w:cs="Arial"/>
                <w:color w:val="000000"/>
                <w:szCs w:val="24"/>
              </w:rPr>
              <w:t>+30.6</w:t>
            </w:r>
          </w:p>
        </w:tc>
      </w:tr>
    </w:tbl>
    <w:p w14:paraId="4E660BC5" w14:textId="77777777" w:rsidR="00A31277" w:rsidRPr="00B241A8" w:rsidRDefault="00A31277" w:rsidP="00F73003">
      <w:pPr>
        <w:spacing w:before="200" w:line="360" w:lineRule="auto"/>
        <w:jc w:val="both"/>
        <w:rPr>
          <w:rFonts w:cs="Arial"/>
          <w:szCs w:val="24"/>
        </w:rPr>
      </w:pPr>
    </w:p>
    <w:p w14:paraId="3BDE581D" w14:textId="664E9F5B" w:rsidR="00A31277" w:rsidRPr="00B241A8" w:rsidRDefault="00F73003" w:rsidP="00F73003">
      <w:pPr>
        <w:spacing w:after="160" w:line="360" w:lineRule="auto"/>
        <w:jc w:val="both"/>
        <w:rPr>
          <w:rFonts w:cs="Arial"/>
          <w:szCs w:val="24"/>
        </w:rPr>
      </w:pPr>
      <w:r w:rsidRPr="00F73003">
        <w:rPr>
          <w:rFonts w:cs="Arial"/>
          <w:szCs w:val="24"/>
        </w:rPr>
        <w:lastRenderedPageBreak/>
        <w:t>IHG's CCC is a heavy downer pretty much every year of the 5</w:t>
      </w:r>
      <w:r w:rsidR="00264AF7">
        <w:rPr>
          <w:rFonts w:cs="Arial"/>
          <w:szCs w:val="24"/>
        </w:rPr>
        <w:t>-</w:t>
      </w:r>
      <w:r w:rsidRPr="00F73003">
        <w:rPr>
          <w:rFonts w:cs="Arial"/>
          <w:szCs w:val="24"/>
        </w:rPr>
        <w:t>year period. This is neither indicative of the company's financial health nor a negative aspect of the way IHG operates, just a fact of its "asset-light" fee-based business; IHG owns penniless (they simply have no value stored on the company's books), they are more of a structural thing than anything else (3–5 days is typical DIO)</w:t>
      </w:r>
      <w:r w:rsidR="00A31277" w:rsidRPr="00B241A8">
        <w:rPr>
          <w:rFonts w:cs="Arial"/>
          <w:szCs w:val="24"/>
        </w:rPr>
        <w:t>. Trade payables, however, are large relative to the small cost-of-sales line, since IHG's payables include amounts owed under its System Fund and to hotel owners/suppliers under its management and franchise arrangements — figures that are not economically comparable to a retailer's or manufacturer's "cost of goods sold" base. That imbalance between a small COGS denominator and a large payables balance is what drives DPO up into the hundreds of days and the CCC deeply negative</w:t>
      </w:r>
      <w:r w:rsidR="00494CFE" w:rsidRPr="00B241A8">
        <w:rPr>
          <w:rFonts w:cs="Arial"/>
          <w:szCs w:val="24"/>
        </w:rPr>
        <w:t xml:space="preserve"> </w:t>
      </w:r>
      <w:r w:rsidR="00494CFE" w:rsidRPr="00B241A8">
        <w:rPr>
          <w:rFonts w:cs="Arial"/>
          <w:szCs w:val="24"/>
        </w:rPr>
        <w:fldChar w:fldCharType="begin" w:fldLock="1"/>
      </w:r>
      <w:r w:rsidR="00494CFE" w:rsidRPr="00B241A8">
        <w:rPr>
          <w:rFonts w:cs="Arial"/>
          <w:szCs w:val="24"/>
        </w:rPr>
        <w:instrText>ADDIN CSL_CITATION {"citationItems":[{"id":"ITEM-1","itemData":{"ISSN":"0306-686X","abstract":"We address whether and why a firm's operational effectiveness, , has information content for investors and what role that information plays in the price discovery process at quarterly earnings announcements. We measure using the cash conversion cycle (CCC) multiplied by −1, such that higher reflects better operational effectiveness. Higher is associated with higher abnormal stock returns and trading volume at earnings announcements and with higher future earnings and cash flows, which helps explain the positive return and volume relations. Higher also is associated with larger post</w:instrText>
      </w:r>
      <w:r w:rsidR="00494CFE" w:rsidRPr="00B241A8">
        <w:rPr>
          <w:rFonts w:ascii="Cambria Math" w:hAnsi="Cambria Math" w:cs="Cambria Math"/>
          <w:szCs w:val="24"/>
        </w:rPr>
        <w:instrText>‐</w:instrText>
      </w:r>
      <w:r w:rsidR="00494CFE" w:rsidRPr="00B241A8">
        <w:rPr>
          <w:rFonts w:cs="Arial"/>
          <w:szCs w:val="24"/>
        </w:rPr>
        <w:instrText>earnings</w:instrText>
      </w:r>
      <w:r w:rsidR="00494CFE" w:rsidRPr="00B241A8">
        <w:rPr>
          <w:rFonts w:ascii="Cambria Math" w:hAnsi="Cambria Math" w:cs="Cambria Math"/>
          <w:szCs w:val="24"/>
        </w:rPr>
        <w:instrText>‐</w:instrText>
      </w:r>
      <w:r w:rsidR="00494CFE" w:rsidRPr="00B241A8">
        <w:rPr>
          <w:rFonts w:cs="Arial"/>
          <w:szCs w:val="24"/>
        </w:rPr>
        <w:instrText>announcement drift and less timely incorporation of information in earnings announcements into stock prices. However, this relation largely is attributable to firms that announce bad earnings news. Together, we infer that operational effectiveness is informative to investors because it comprises forward</w:instrText>
      </w:r>
      <w:r w:rsidR="00494CFE" w:rsidRPr="00B241A8">
        <w:rPr>
          <w:rFonts w:ascii="Cambria Math" w:hAnsi="Cambria Math" w:cs="Cambria Math"/>
          <w:szCs w:val="24"/>
        </w:rPr>
        <w:instrText>‐</w:instrText>
      </w:r>
      <w:r w:rsidR="00494CFE" w:rsidRPr="00B241A8">
        <w:rPr>
          <w:rFonts w:cs="Arial"/>
          <w:szCs w:val="24"/>
        </w:rPr>
        <w:instrText>looking information about earnings and cash flows and that announcements of improvements in along with bad earnings news impede the price discovery process.","author":[{"dropping-particle":"","family":"Barth","given":"Mary E.","non-dropping-particle":"","parse-names":false,"suffix":""},{"dropping-particle":"","family":"Berkovitch","given":"Jonathan","non-dropping-particle":"","parse-names":false,"suffix":""},{"dropping-particle":"","family":"Israeli","given":"Doron","non-dropping-particle":"","parse-names":false,"suffix":""}],"container-title":"Journal of Business Finance &amp; Accounting","id":"ITEM-1","issue":"2","issued":{"date-parts":[["2025","4","6"]]},"page":"708-732","title":"The Information Content of Operational Effectiveness","type":"article-journal","volume":"53"},"uris":["http://www.mendeley.com/documents/?uuid=86ac5c4f-901e-4bcd-9f8a-23f34dcf2566"]}],"mendeley":{"formattedCitation":"(Barth, Berkovitch and Israeli, 2025)","plainTextFormattedCitation":"(Barth, Berkovitch and Israeli, 2025)","previouslyFormattedCitation":"(Barth, Berkovitch and Israeli, 2025)"},"properties":{"noteIndex":0},"schema":"https://github.com/citation-style-language/schema/raw/master/csl-citation.json"}</w:instrText>
      </w:r>
      <w:r w:rsidR="00494CFE" w:rsidRPr="00B241A8">
        <w:rPr>
          <w:rFonts w:cs="Arial"/>
          <w:szCs w:val="24"/>
        </w:rPr>
        <w:fldChar w:fldCharType="separate"/>
      </w:r>
      <w:r w:rsidR="00494CFE" w:rsidRPr="00B241A8">
        <w:rPr>
          <w:rFonts w:cs="Arial"/>
          <w:noProof/>
          <w:szCs w:val="24"/>
        </w:rPr>
        <w:t>(Barth, Berkovitch and Israeli, 2025)</w:t>
      </w:r>
      <w:r w:rsidR="00494CFE" w:rsidRPr="00B241A8">
        <w:rPr>
          <w:rFonts w:cs="Arial"/>
          <w:szCs w:val="24"/>
        </w:rPr>
        <w:fldChar w:fldCharType="end"/>
      </w:r>
      <w:r w:rsidR="00494CFE" w:rsidRPr="00B241A8">
        <w:rPr>
          <w:rFonts w:cs="Arial"/>
          <w:szCs w:val="24"/>
        </w:rPr>
        <w:t>.</w:t>
      </w:r>
    </w:p>
    <w:p w14:paraId="77AE4F2D" w14:textId="75207285" w:rsidR="00B241A8" w:rsidRPr="00B241A8" w:rsidRDefault="00A31277" w:rsidP="00F73003">
      <w:pPr>
        <w:pStyle w:val="Heading1"/>
        <w:spacing w:line="360" w:lineRule="auto"/>
        <w:jc w:val="both"/>
      </w:pPr>
      <w:bookmarkStart w:id="13" w:name="_Toc237523894"/>
      <w:r w:rsidRPr="00B241A8">
        <w:t>4. Significant Year-on-Year Changes</w:t>
      </w:r>
      <w:bookmarkEnd w:id="13"/>
    </w:p>
    <w:p w14:paraId="4B9CB5B7" w14:textId="77777777" w:rsidR="00A31277" w:rsidRDefault="00A31277" w:rsidP="00F73003">
      <w:pPr>
        <w:pStyle w:val="Heading2"/>
        <w:spacing w:line="360" w:lineRule="auto"/>
        <w:jc w:val="both"/>
      </w:pPr>
      <w:bookmarkStart w:id="14" w:name="_Toc237523895"/>
      <w:r w:rsidRPr="00B241A8">
        <w:t>2020 → 2021: CCC improves from (397.0) to (359.8) days — a 37.2-day improvement</w:t>
      </w:r>
      <w:bookmarkEnd w:id="14"/>
    </w:p>
    <w:p w14:paraId="1E4D9476" w14:textId="77777777" w:rsidR="00B241A8" w:rsidRPr="00B241A8" w:rsidRDefault="00B241A8" w:rsidP="00F73003">
      <w:pPr>
        <w:pStyle w:val="Heading2"/>
        <w:spacing w:line="360" w:lineRule="auto"/>
        <w:jc w:val="both"/>
      </w:pPr>
    </w:p>
    <w:p w14:paraId="55F40299" w14:textId="4F121546" w:rsidR="00A31277" w:rsidRPr="00B241A8" w:rsidRDefault="00A31277" w:rsidP="00F73003">
      <w:pPr>
        <w:spacing w:after="160" w:line="360" w:lineRule="auto"/>
        <w:jc w:val="both"/>
        <w:rPr>
          <w:rFonts w:cs="Arial"/>
          <w:szCs w:val="24"/>
        </w:rPr>
      </w:pPr>
      <w:r w:rsidRPr="00B241A8">
        <w:rPr>
          <w:rFonts w:cs="Arial"/>
          <w:szCs w:val="24"/>
        </w:rPr>
        <w:t>2020 was the trough of the COVID-19 pandemic for the hotel industry: IHG's revenue fell to $2,394m and cost of sales to $354m, its lowest point in the five-year window. As global travel began recovering through 2021, revenue rose 21.4% to $2,907m</w:t>
      </w:r>
      <w:r w:rsidR="00264AF7">
        <w:rPr>
          <w:rFonts w:cs="Arial"/>
          <w:szCs w:val="24"/>
        </w:rPr>
        <w:t>,</w:t>
      </w:r>
      <w:r w:rsidRPr="00B241A8">
        <w:rPr>
          <w:rFonts w:cs="Arial"/>
          <w:szCs w:val="24"/>
        </w:rPr>
        <w:t xml:space="preserve"> and cost of sales rose 37.3% to $486m — COGS growing faster than trade payables (which rose only 24.2%, from $466m to $579m). Because DPO is payables divided by the (fast-growing) COGS figure, DPO fell sharply from 480.5 to 434.8 days. DSO also improved (78.4 → 72.1 days) as revenue recovered faster than the receivables balance grew. Both effects moved the CCC in the same, less-negative direction.</w:t>
      </w:r>
      <w:r w:rsidR="00226DC0" w:rsidRPr="00B241A8">
        <w:rPr>
          <w:rFonts w:cs="Arial"/>
          <w:szCs w:val="24"/>
        </w:rPr>
        <w:t xml:space="preserve"> But the 37.2-day boost must not be seen as </w:t>
      </w:r>
      <w:r w:rsidR="00264AF7">
        <w:rPr>
          <w:rFonts w:cs="Arial"/>
          <w:szCs w:val="24"/>
        </w:rPr>
        <w:t>better</w:t>
      </w:r>
      <w:r w:rsidR="00226DC0" w:rsidRPr="00B241A8">
        <w:rPr>
          <w:rFonts w:cs="Arial"/>
          <w:szCs w:val="24"/>
        </w:rPr>
        <w:t xml:space="preserve"> working-capital management. The decline </w:t>
      </w:r>
      <w:r w:rsidR="00264AF7">
        <w:rPr>
          <w:rFonts w:cs="Arial"/>
          <w:szCs w:val="24"/>
        </w:rPr>
        <w:t>in</w:t>
      </w:r>
      <w:r w:rsidR="00226DC0" w:rsidRPr="00B241A8">
        <w:rPr>
          <w:rFonts w:cs="Arial"/>
          <w:szCs w:val="24"/>
        </w:rPr>
        <w:t xml:space="preserve"> DPO was partially caused by the accelerated growth in COGS</w:t>
      </w:r>
      <w:r w:rsidR="00264AF7">
        <w:rPr>
          <w:rFonts w:cs="Arial"/>
          <w:szCs w:val="24"/>
        </w:rPr>
        <w:t>,</w:t>
      </w:r>
      <w:r w:rsidR="00226DC0" w:rsidRPr="00B241A8">
        <w:rPr>
          <w:rFonts w:cs="Arial"/>
          <w:szCs w:val="24"/>
        </w:rPr>
        <w:t xml:space="preserve"> which mechanically caused the decline in DPO without corresponding growth in payables. This indicates that the negative CCC is more related to post-pandemic recovery of operating activity as opposed to a conscious effort to lower the dependency on suppliers. In addition, the DSO improvement signals a reduction in the length of time taken to collect the accounts recei</w:t>
      </w:r>
      <w:r w:rsidR="00264AF7">
        <w:rPr>
          <w:rFonts w:cs="Arial"/>
          <w:szCs w:val="24"/>
        </w:rPr>
        <w:t>vable</w:t>
      </w:r>
      <w:r w:rsidR="00226DC0" w:rsidRPr="00B241A8">
        <w:rPr>
          <w:rFonts w:cs="Arial"/>
          <w:szCs w:val="24"/>
        </w:rPr>
        <w:t xml:space="preserve">, improving liquidity. However, IHG did not have a very positive CCC and supplier financing was still a large part of its operating funding. The 2021 improvement is thus more a reflection of the return to normal from </w:t>
      </w:r>
      <w:r w:rsidR="00226DC0" w:rsidRPr="00B241A8">
        <w:rPr>
          <w:rFonts w:cs="Arial"/>
          <w:szCs w:val="24"/>
        </w:rPr>
        <w:lastRenderedPageBreak/>
        <w:t>an extraordinary 2020 distortion than on the fact that the position is structurally stronger with respect to cash conversion.</w:t>
      </w:r>
    </w:p>
    <w:p w14:paraId="0D148E9D" w14:textId="77777777" w:rsidR="00A31277" w:rsidRDefault="00A31277" w:rsidP="00F73003">
      <w:pPr>
        <w:pStyle w:val="Heading2"/>
        <w:spacing w:line="360" w:lineRule="auto"/>
        <w:jc w:val="both"/>
      </w:pPr>
      <w:bookmarkStart w:id="15" w:name="_Toc237523896"/>
      <w:r w:rsidRPr="009C6AE6">
        <w:t>2021 → 2022: CCC improves from (359.8) to (329.8) days — a 30.0-day</w:t>
      </w:r>
      <w:r w:rsidRPr="00B241A8">
        <w:t xml:space="preserve"> improvement</w:t>
      </w:r>
      <w:bookmarkEnd w:id="15"/>
    </w:p>
    <w:p w14:paraId="770C5A01" w14:textId="77777777" w:rsidR="00B241A8" w:rsidRPr="00B241A8" w:rsidRDefault="00B241A8" w:rsidP="00F73003">
      <w:pPr>
        <w:pStyle w:val="Heading2"/>
        <w:spacing w:line="360" w:lineRule="auto"/>
        <w:jc w:val="both"/>
      </w:pPr>
    </w:p>
    <w:p w14:paraId="68AFC725" w14:textId="4113D0CE" w:rsidR="00A31277" w:rsidRPr="00B241A8" w:rsidRDefault="00A31277" w:rsidP="00F73003">
      <w:pPr>
        <w:spacing w:after="160" w:line="360" w:lineRule="auto"/>
        <w:jc w:val="both"/>
        <w:rPr>
          <w:rFonts w:cs="Arial"/>
          <w:szCs w:val="24"/>
        </w:rPr>
      </w:pPr>
      <w:r w:rsidRPr="00B241A8">
        <w:rPr>
          <w:rFonts w:cs="Arial"/>
          <w:szCs w:val="24"/>
        </w:rPr>
        <w:t>The post-pandemic recovery continued through 2022: revenue grew a further 33.9% to $3,892m</w:t>
      </w:r>
      <w:r w:rsidR="00264AF7">
        <w:rPr>
          <w:rFonts w:cs="Arial"/>
          <w:szCs w:val="24"/>
        </w:rPr>
        <w:t>,</w:t>
      </w:r>
      <w:r w:rsidRPr="00B241A8">
        <w:rPr>
          <w:rFonts w:cs="Arial"/>
          <w:szCs w:val="24"/>
        </w:rPr>
        <w:t xml:space="preserve"> and cost of sales grew 33.3% to $648m, while trade payables grew more slowly (+20.4%, to $697m). This again compressed DPO (434.8 → 392.6 days). DSO fell again, from 72.1 to 60.6 days, as revenue growth (33.9%) comfortably outpaced receivables growth (12.5%, from $574m to $646m) — a sign IHG was collecting cash from franchisees and owners more quickly relative to the size of the business as trading normali</w:t>
      </w:r>
      <w:r w:rsidR="00264AF7">
        <w:rPr>
          <w:rFonts w:cs="Arial"/>
          <w:szCs w:val="24"/>
        </w:rPr>
        <w:t>z</w:t>
      </w:r>
      <w:r w:rsidRPr="00B241A8">
        <w:rPr>
          <w:rFonts w:cs="Arial"/>
          <w:szCs w:val="24"/>
        </w:rPr>
        <w:t>ed.</w:t>
      </w:r>
      <w:r w:rsidR="00226DC0" w:rsidRPr="00B241A8">
        <w:rPr>
          <w:rFonts w:cs="Arial"/>
          <w:szCs w:val="24"/>
        </w:rPr>
        <w:t xml:space="preserve"> However, the improvement of 30.0 days should be taken with a grain of salt, as the denominator effect as well as a disciplined approach to working-capital management played a role in the result. DPO fell significantly as COGS grew by $142m whilst trade payables grew by $113m. Likewise, the decline in DSO may indicate increased collection efficiency</w:t>
      </w:r>
      <w:r w:rsidR="00264AF7">
        <w:rPr>
          <w:rFonts w:cs="Arial"/>
          <w:szCs w:val="24"/>
        </w:rPr>
        <w:t>,</w:t>
      </w:r>
      <w:r w:rsidR="00226DC0" w:rsidRPr="00B241A8">
        <w:rPr>
          <w:rFonts w:cs="Arial"/>
          <w:szCs w:val="24"/>
        </w:rPr>
        <w:t xml:space="preserve"> but rapid revenue recovery can artificially lower the ratio as revenue increases at a lower rate. Importantly, the consistently negative CCC suggests that IHG was still getting a significant amount of financing from suppliers. Therefore, 2022 illustrates the recovery of cash conversion as well as business recovery, but does not clearly show a sustainable structural improvement in working-capital management.</w:t>
      </w:r>
    </w:p>
    <w:p w14:paraId="3A77B36E" w14:textId="77777777" w:rsidR="00A31277" w:rsidRDefault="00A31277" w:rsidP="00F73003">
      <w:pPr>
        <w:pStyle w:val="Heading2"/>
        <w:spacing w:line="360" w:lineRule="auto"/>
        <w:jc w:val="both"/>
      </w:pPr>
      <w:bookmarkStart w:id="16" w:name="_Toc237523897"/>
      <w:r w:rsidRPr="00B241A8">
        <w:t>2022 → 2023: CCC improves from (329.8) to (288.9) days — a 40.9-day improvement (the largest single-year change)</w:t>
      </w:r>
      <w:bookmarkEnd w:id="16"/>
    </w:p>
    <w:p w14:paraId="1C7C9899" w14:textId="77777777" w:rsidR="00B241A8" w:rsidRPr="00B241A8" w:rsidRDefault="00B241A8" w:rsidP="00F73003">
      <w:pPr>
        <w:pStyle w:val="Heading2"/>
        <w:spacing w:line="360" w:lineRule="auto"/>
        <w:jc w:val="both"/>
      </w:pPr>
    </w:p>
    <w:p w14:paraId="1D2B4666" w14:textId="036B98A9" w:rsidR="00A31277" w:rsidRPr="00B241A8" w:rsidRDefault="00A31277" w:rsidP="00F73003">
      <w:pPr>
        <w:spacing w:after="160" w:line="360" w:lineRule="auto"/>
        <w:jc w:val="both"/>
        <w:rPr>
          <w:rFonts w:cs="Arial"/>
          <w:szCs w:val="24"/>
        </w:rPr>
      </w:pPr>
      <w:r w:rsidRPr="00B241A8">
        <w:rPr>
          <w:rFonts w:cs="Arial"/>
          <w:szCs w:val="24"/>
        </w:rPr>
        <w:t>This was the largest year-on-year improvement in the period. Revenue grew 18.8% to $4,624m, while cost of sales grew a similar 14.5% to $742m — but trade payables grew only 2.0% (from $697m to $711m), a marked slowdown versus the prior two years. Because payables barely moved while COGS kept growing, DPO fell sharply again (392.6 → 349.8 days), and this was the dominant driver of the year's CCC improvement. DSO was broadly stable (60.6 → 58.4 days), so the change is attributable almost entirely to the payables side rather than any material change in collection performance.</w:t>
      </w:r>
      <w:r w:rsidR="00226DC0" w:rsidRPr="00B241A8">
        <w:rPr>
          <w:rFonts w:cs="Arial"/>
          <w:szCs w:val="24"/>
        </w:rPr>
        <w:t xml:space="preserve"> Care should be taken in interpreting the 40.9-day </w:t>
      </w:r>
      <w:r w:rsidR="00226DC0" w:rsidRPr="00B241A8">
        <w:rPr>
          <w:rFonts w:cs="Arial"/>
          <w:szCs w:val="24"/>
        </w:rPr>
        <w:lastRenderedPageBreak/>
        <w:t>improvement, however, as it was primarily due to a significant decrease in DPO and not to an even improvement in the various working-capital components. Trade payables grew by just $14m as revenue</w:t>
      </w:r>
      <w:r w:rsidR="00264AF7">
        <w:rPr>
          <w:rFonts w:cs="Arial"/>
          <w:szCs w:val="24"/>
        </w:rPr>
        <w:t>,</w:t>
      </w:r>
      <w:r w:rsidR="00226DC0" w:rsidRPr="00B241A8">
        <w:rPr>
          <w:rFonts w:cs="Arial"/>
          <w:szCs w:val="24"/>
        </w:rPr>
        <w:t xml:space="preserve"> and COGS grew, indicating that IHG is using less supplier credit as a proportion of </w:t>
      </w:r>
      <w:r w:rsidR="00264AF7">
        <w:rPr>
          <w:rFonts w:cs="Arial"/>
          <w:szCs w:val="24"/>
        </w:rPr>
        <w:t>its</w:t>
      </w:r>
      <w:r w:rsidR="00226DC0" w:rsidRPr="00B241A8">
        <w:rPr>
          <w:rFonts w:cs="Arial"/>
          <w:szCs w:val="24"/>
        </w:rPr>
        <w:t xml:space="preserve"> business. This could suggest increased compliance with supplier commitments, but it could also mean a shift in the payment of suppliers, supplier terms or the timing of year-end balances. The overall stable DSO shows little evidence of further collection improvement. So 2023 marks a big move towards a less negative CCC, but it remains to be seen if the lower supplier financing can be sustained without causing liquidity pressure.</w:t>
      </w:r>
    </w:p>
    <w:p w14:paraId="20387CD1" w14:textId="77777777" w:rsidR="00A31277" w:rsidRDefault="00A31277" w:rsidP="00F73003">
      <w:pPr>
        <w:pStyle w:val="Heading2"/>
        <w:spacing w:line="360" w:lineRule="auto"/>
        <w:jc w:val="both"/>
      </w:pPr>
      <w:bookmarkStart w:id="17" w:name="_Toc237523898"/>
      <w:r w:rsidRPr="00B241A8">
        <w:t>2023 → 2024: CCC improves from (288.9) to (258.3) days — a 30.6-day improvement</w:t>
      </w:r>
      <w:bookmarkEnd w:id="17"/>
    </w:p>
    <w:p w14:paraId="0478D489" w14:textId="77777777" w:rsidR="00B241A8" w:rsidRPr="00B241A8" w:rsidRDefault="00B241A8" w:rsidP="00F73003">
      <w:pPr>
        <w:pStyle w:val="Heading2"/>
        <w:spacing w:before="220" w:after="100" w:line="360" w:lineRule="auto"/>
        <w:jc w:val="both"/>
        <w:rPr>
          <w:rFonts w:cs="Arial"/>
          <w:sz w:val="24"/>
          <w:szCs w:val="24"/>
        </w:rPr>
      </w:pPr>
    </w:p>
    <w:p w14:paraId="32191586" w14:textId="35CD627E" w:rsidR="00A31277" w:rsidRPr="00B241A8" w:rsidRDefault="00A31277" w:rsidP="00F73003">
      <w:pPr>
        <w:spacing w:after="160" w:line="360" w:lineRule="auto"/>
        <w:jc w:val="both"/>
        <w:rPr>
          <w:rFonts w:cs="Arial"/>
          <w:szCs w:val="24"/>
        </w:rPr>
      </w:pPr>
      <w:r w:rsidRPr="00B241A8">
        <w:rPr>
          <w:rFonts w:cs="Arial"/>
          <w:szCs w:val="24"/>
        </w:rPr>
        <w:t>In 2024, revenue growth slowed to 6.5% ($4,624m → $4,923m) and cost of sales was almost flat (+0.4%, $742m → $745m) — but trade payables actually fell 8.6%, from $711m to $650m. A shrinking payables balance against a static COGS base pushed DPO down again (349.8 → 318.5 days), again the main driver of the year's CCC movement. DSO was essentially unchanged (58.4 → 58.2 days), consistent with a business whose revenue mix and collection terms had by now stabili</w:t>
      </w:r>
      <w:r w:rsidR="00264AF7">
        <w:rPr>
          <w:rFonts w:cs="Arial"/>
          <w:szCs w:val="24"/>
        </w:rPr>
        <w:t>z</w:t>
      </w:r>
      <w:r w:rsidRPr="00B241A8">
        <w:rPr>
          <w:rFonts w:cs="Arial"/>
          <w:szCs w:val="24"/>
        </w:rPr>
        <w:t>ed post-pandemic.</w:t>
      </w:r>
      <w:r w:rsidR="00226DC0" w:rsidRPr="00B241A8">
        <w:rPr>
          <w:rFonts w:cs="Arial"/>
          <w:szCs w:val="24"/>
        </w:rPr>
        <w:t xml:space="preserve"> The improvement thus seems more of a management- than operational-driven one than the headline 30.6-day movement would indicate. The drop in the DPO was driven primarily by a $61m drop in trade payables, with COGS not materially different, suggesting that IHG was paying its suppliers quicker as a percentage of its cost base. There might be some benefits in this in terms of supplier relations and less need to rely on creditor financing</w:t>
      </w:r>
      <w:r w:rsidR="00264AF7">
        <w:rPr>
          <w:rFonts w:cs="Arial"/>
          <w:szCs w:val="24"/>
        </w:rPr>
        <w:t>;</w:t>
      </w:r>
      <w:r w:rsidR="00226DC0" w:rsidRPr="00B241A8">
        <w:rPr>
          <w:rFonts w:cs="Arial"/>
          <w:szCs w:val="24"/>
        </w:rPr>
        <w:t xml:space="preserve"> however, it also takes away one source of low</w:t>
      </w:r>
      <w:r w:rsidR="00264AF7">
        <w:rPr>
          <w:rFonts w:cs="Arial"/>
          <w:szCs w:val="24"/>
        </w:rPr>
        <w:t>-</w:t>
      </w:r>
      <w:r w:rsidR="00226DC0" w:rsidRPr="00B241A8">
        <w:rPr>
          <w:rFonts w:cs="Arial"/>
          <w:szCs w:val="24"/>
        </w:rPr>
        <w:t>cost working-capital financing. Also, stable DSO indicated that customer collection efficiency had little to do with the improvement. The less negative CCC should thus not necessarily be considered an improve</w:t>
      </w:r>
      <w:r w:rsidR="00264AF7">
        <w:rPr>
          <w:rFonts w:cs="Arial"/>
          <w:szCs w:val="24"/>
        </w:rPr>
        <w:t>ment in</w:t>
      </w:r>
      <w:r w:rsidR="00226DC0" w:rsidRPr="00B241A8">
        <w:rPr>
          <w:rFonts w:cs="Arial"/>
          <w:szCs w:val="24"/>
        </w:rPr>
        <w:t xml:space="preserve"> liquidity management. Rather, it could be the financing method for operating expenses that will become more reliant on internally generated funds and other sources of financing. However, the still extremely negative CCC of (258.3) days suggests that supplier funding of working capital continued to play a large role in this transition.</w:t>
      </w:r>
    </w:p>
    <w:p w14:paraId="075B86FB" w14:textId="77777777" w:rsidR="00A31277" w:rsidRDefault="00A31277" w:rsidP="00F73003">
      <w:pPr>
        <w:pStyle w:val="Heading1"/>
        <w:spacing w:line="360" w:lineRule="auto"/>
        <w:jc w:val="both"/>
      </w:pPr>
      <w:bookmarkStart w:id="18" w:name="_Toc237523899"/>
      <w:r w:rsidRPr="00B241A8">
        <w:lastRenderedPageBreak/>
        <w:t>5. Overall Pattern and Interpretation</w:t>
      </w:r>
      <w:bookmarkEnd w:id="18"/>
    </w:p>
    <w:p w14:paraId="058E2BB2" w14:textId="77777777" w:rsidR="00B241A8" w:rsidRPr="00B241A8" w:rsidRDefault="00B241A8" w:rsidP="00F73003">
      <w:pPr>
        <w:pStyle w:val="Heading1"/>
        <w:spacing w:line="360" w:lineRule="auto"/>
        <w:jc w:val="both"/>
      </w:pPr>
    </w:p>
    <w:p w14:paraId="5D5601BB" w14:textId="25B0A03F" w:rsidR="00A31277" w:rsidRPr="00B241A8" w:rsidRDefault="00A31277" w:rsidP="00F73003">
      <w:pPr>
        <w:spacing w:after="160" w:line="360" w:lineRule="auto"/>
        <w:jc w:val="both"/>
        <w:rPr>
          <w:rFonts w:cs="Arial"/>
          <w:szCs w:val="24"/>
        </w:rPr>
      </w:pPr>
      <w:r w:rsidRPr="00B241A8">
        <w:rPr>
          <w:rFonts w:cs="Arial"/>
          <w:szCs w:val="24"/>
        </w:rPr>
        <w:t>Across all five years, the direction of travel is consistent: the CCC has become steadily less negative, improving by roughly 30–41 days every year, from (397.0) days in FY2020 to (258.3) days in FY2024 — a cumulative swing of 138.7 days over the period. In every year, the improvement is driven almost entirely by a falling DPO, not by any deterioration in DIO or DSO (both of which also improved slightly or held steady). This reflects the post-pandemic normali</w:t>
      </w:r>
      <w:r w:rsidR="00264AF7">
        <w:rPr>
          <w:rFonts w:cs="Arial"/>
          <w:szCs w:val="24"/>
        </w:rPr>
        <w:t>z</w:t>
      </w:r>
      <w:r w:rsidRPr="00B241A8">
        <w:rPr>
          <w:rFonts w:cs="Arial"/>
          <w:szCs w:val="24"/>
        </w:rPr>
        <w:t>ation of IHG's cost base (cost of sales returning to a materially higher, "normal-trading" level) outpacing the growth in its trade payables balance, which by nature moves in a fairly narrow band year to year.</w:t>
      </w:r>
    </w:p>
    <w:p w14:paraId="478D45C4" w14:textId="3F54B65E" w:rsidR="00A31277" w:rsidRPr="00B241A8" w:rsidRDefault="00F73003" w:rsidP="00F73003">
      <w:pPr>
        <w:spacing w:after="160" w:line="360" w:lineRule="auto"/>
        <w:jc w:val="both"/>
        <w:rPr>
          <w:rFonts w:cs="Arial"/>
          <w:szCs w:val="24"/>
        </w:rPr>
      </w:pPr>
      <w:r w:rsidRPr="00F73003">
        <w:rPr>
          <w:rFonts w:cs="Arial"/>
          <w:szCs w:val="24"/>
        </w:rPr>
        <w:t>The trend should be interpreted as a normalisation one and not a liquidity one – whether positive or negative – as the following equation illustrates: even when the denominator (cost of sales) comes back into a normal size, as expected in the post pandemic era, the trend of the numerator (payables) catching up with the denominator is only a delayed effect of IHG's franchise/management fee model, which is a fact that can only be negative.</w:t>
      </w:r>
      <w:r w:rsidR="00494CFE" w:rsidRPr="00B241A8">
        <w:rPr>
          <w:rFonts w:cs="Arial"/>
          <w:szCs w:val="24"/>
        </w:rPr>
        <w:t xml:space="preserve"> </w:t>
      </w:r>
      <w:r w:rsidR="00494CFE" w:rsidRPr="00B241A8">
        <w:rPr>
          <w:rFonts w:cs="Arial"/>
          <w:szCs w:val="24"/>
        </w:rPr>
        <w:fldChar w:fldCharType="begin" w:fldLock="1"/>
      </w:r>
      <w:r w:rsidR="00494CFE" w:rsidRPr="00B241A8">
        <w:rPr>
          <w:rFonts w:cs="Arial"/>
          <w:szCs w:val="24"/>
        </w:rPr>
        <w:instrText>ADDIN CSL_CITATION {"citationItems":[{"id":"ITEM-1","itemData":{"ISSN":"0011-7315","abstract":"The cash conversion cycle ( CCC ) measures the duration between a firm's outgoing and incoming cash flows. Firms track the CCC metric and employ it as a benchmark since lower CCC values may signal better operational and credit performance. We develop a typification of firms based on the processing lead time and credit periods negotiated with suppliers and customers, and demonstrate how these characteristics interact with sales growth rate, seasonality, and fiscal year end to affect the CCC . Based on our analytical models, we hypothesize that the impact of sales growth rate and the indirect effect of time on CCC can be positive or negative depending on the firm type. We also identify the crucial role that demand pattern in the zone of influence , an interval that we define around the fiscal year end, plays in determining the CCC . We test our hypotheses empirically using a multi</w:instrText>
      </w:r>
      <w:r w:rsidR="00494CFE" w:rsidRPr="00B241A8">
        <w:rPr>
          <w:rFonts w:ascii="Cambria Math" w:hAnsi="Cambria Math" w:cs="Cambria Math"/>
          <w:szCs w:val="24"/>
        </w:rPr>
        <w:instrText>‐</w:instrText>
      </w:r>
      <w:r w:rsidR="00494CFE" w:rsidRPr="00B241A8">
        <w:rPr>
          <w:rFonts w:cs="Arial"/>
          <w:szCs w:val="24"/>
        </w:rPr>
        <w:instrText>level (random effect) model and a fixed effect model, where the levels of analyses are the specific firm types and individual firms , respectively. Our results, based on quarterly financial data of 58 firms over a 12</w:instrText>
      </w:r>
      <w:r w:rsidR="00494CFE" w:rsidRPr="00B241A8">
        <w:rPr>
          <w:rFonts w:ascii="Cambria Math" w:hAnsi="Cambria Math" w:cs="Cambria Math"/>
          <w:szCs w:val="24"/>
        </w:rPr>
        <w:instrText>‐</w:instrText>
      </w:r>
      <w:r w:rsidR="00494CFE" w:rsidRPr="00B241A8">
        <w:rPr>
          <w:rFonts w:cs="Arial"/>
          <w:szCs w:val="24"/>
        </w:rPr>
        <w:instrText>year period, confirm the hypothesized effects of sales growth rate, fiscal year end, and seasonality on the CCC . Though frequently used, the CCC is thus a nuanced metric that needs careful interpretation. The findings of the paper are important to facilitate more accurate longitudinal CCC analyses and benchmarking comparisons that account for unique differences in sales growth rate, fiscal year end, and seasonality.","author":[{"dropping-particle":"","family":"Laik","given":"Joyaditya","non-dropping-particle":"","parse-names":false,"suffix":""},{"dropping-particle":"","family":"Mirchandani","given":"Prakash","non-dropping-particle":"","parse-names":false,"suffix":""}],"container-title":"Decision Sciences","id":"ITEM-1","issue":"1","issued":{"date-parts":[["2021","2","19"]]},"page":"43-63","title":"Effect of seasonality, sales growth rate, and fiscal year end on cash conversion cycle","type":"article-journal","volume":"54"},"uris":["http://www.mendeley.com/documents/?uuid=f0515d62-bf05-462c-9ed1-83c1bced69e2"]}],"mendeley":{"formattedCitation":"(Laik and Mirchandani, 2021)","plainTextFormattedCitation":"(Laik and Mirchandani, 2021)","previouslyFormattedCitation":"(Laik and Mirchandani, 2021)"},"properties":{"noteIndex":0},"schema":"https://github.com/citation-style-language/schema/raw/master/csl-citation.json"}</w:instrText>
      </w:r>
      <w:r w:rsidR="00494CFE" w:rsidRPr="00B241A8">
        <w:rPr>
          <w:rFonts w:cs="Arial"/>
          <w:szCs w:val="24"/>
        </w:rPr>
        <w:fldChar w:fldCharType="separate"/>
      </w:r>
      <w:r w:rsidR="00494CFE" w:rsidRPr="00B241A8">
        <w:rPr>
          <w:rFonts w:cs="Arial"/>
          <w:noProof/>
          <w:szCs w:val="24"/>
        </w:rPr>
        <w:t>(Laik and Mirchandani, 2021)</w:t>
      </w:r>
      <w:r w:rsidR="00494CFE" w:rsidRPr="00B241A8">
        <w:rPr>
          <w:rFonts w:cs="Arial"/>
          <w:szCs w:val="24"/>
        </w:rPr>
        <w:fldChar w:fldCharType="end"/>
      </w:r>
      <w:r w:rsidR="00494CFE" w:rsidRPr="00B241A8">
        <w:rPr>
          <w:rFonts w:cs="Arial"/>
          <w:szCs w:val="24"/>
        </w:rPr>
        <w:t>.</w:t>
      </w:r>
      <w:r w:rsidR="00A31277" w:rsidRPr="00B241A8">
        <w:rPr>
          <w:rFonts w:cs="Arial"/>
          <w:szCs w:val="24"/>
        </w:rPr>
        <w:t xml:space="preserve"> It does not, on its own, indicate any weakening of IHG's supplier relationships or working-capital discipline — DPO of 318–480 days across the period is still very high by conventional standards and continues to represent a substantial, ongoing source of working-capital funding for the business</w:t>
      </w:r>
      <w:r w:rsidR="00494CFE" w:rsidRPr="00B241A8">
        <w:rPr>
          <w:rFonts w:cs="Arial"/>
          <w:szCs w:val="24"/>
        </w:rPr>
        <w:t xml:space="preserve"> </w:t>
      </w:r>
      <w:r w:rsidR="00494CFE" w:rsidRPr="00B241A8">
        <w:rPr>
          <w:rFonts w:cs="Arial"/>
          <w:szCs w:val="24"/>
        </w:rPr>
        <w:fldChar w:fldCharType="begin" w:fldLock="1"/>
      </w:r>
      <w:r w:rsidR="00494CFE" w:rsidRPr="00B241A8">
        <w:rPr>
          <w:rFonts w:cs="Arial"/>
          <w:szCs w:val="24"/>
        </w:rPr>
        <w:instrText>ADDIN CSL_CITATION {"citationItems":[{"id":"ITEM-1","itemData":{"author":[{"dropping-particle":"","family":"Wetzel","given":"Philipp","non-dropping-particle":"","parse-names":false,"suffix":""},{"dropping-particle":"","family":"Wagner","given":"Stephan M.","non-dropping-particle":"","parse-names":false,"suffix":""}],"id":"ITEM-1","issued":{"date-parts":[["2025"]]},"title":"Supply chain financing theory of the trade payables–performance link","type":"article-journal"},"uris":["http://www.mendeley.com/documents/?uuid=c21a0437-d2cf-4294-9a7f-10ceda820e03"]}],"mendeley":{"formattedCitation":"(Wetzel and Wagner, 2025)","plainTextFormattedCitation":"(Wetzel and Wagner, 2025)","previouslyFormattedCitation":"(Wetzel and Wagner, 2025)"},"properties":{"noteIndex":0},"schema":"https://github.com/citation-style-language/schema/raw/master/csl-citation.json"}</w:instrText>
      </w:r>
      <w:r w:rsidR="00494CFE" w:rsidRPr="00B241A8">
        <w:rPr>
          <w:rFonts w:cs="Arial"/>
          <w:szCs w:val="24"/>
        </w:rPr>
        <w:fldChar w:fldCharType="separate"/>
      </w:r>
      <w:r w:rsidR="00494CFE" w:rsidRPr="00B241A8">
        <w:rPr>
          <w:rFonts w:cs="Arial"/>
          <w:noProof/>
          <w:szCs w:val="24"/>
        </w:rPr>
        <w:t>(Wetzel and Wagner, 2025)</w:t>
      </w:r>
      <w:r w:rsidR="00494CFE" w:rsidRPr="00B241A8">
        <w:rPr>
          <w:rFonts w:cs="Arial"/>
          <w:szCs w:val="24"/>
        </w:rPr>
        <w:fldChar w:fldCharType="end"/>
      </w:r>
      <w:r w:rsidR="00494CFE" w:rsidRPr="00B241A8">
        <w:rPr>
          <w:rFonts w:cs="Arial"/>
          <w:szCs w:val="24"/>
        </w:rPr>
        <w:t>.</w:t>
      </w:r>
    </w:p>
    <w:p w14:paraId="11BA3A16" w14:textId="04006ABB" w:rsidR="00226DC0" w:rsidRPr="00B241A8" w:rsidRDefault="00226DC0" w:rsidP="00F73003">
      <w:pPr>
        <w:spacing w:after="160" w:line="360" w:lineRule="auto"/>
        <w:jc w:val="both"/>
        <w:rPr>
          <w:rFonts w:cs="Arial"/>
          <w:szCs w:val="24"/>
        </w:rPr>
      </w:pPr>
      <w:r w:rsidRPr="00B241A8">
        <w:rPr>
          <w:rFonts w:cs="Arial"/>
          <w:szCs w:val="24"/>
        </w:rPr>
        <w:t xml:space="preserve">However, it is important to note that the continuity of the trend does not necessarily indicate that the working-capital situation </w:t>
      </w:r>
      <w:r w:rsidR="00264AF7">
        <w:rPr>
          <w:rFonts w:cs="Arial"/>
          <w:szCs w:val="24"/>
        </w:rPr>
        <w:t xml:space="preserve">is </w:t>
      </w:r>
      <w:r w:rsidRPr="00B241A8">
        <w:rPr>
          <w:rFonts w:cs="Arial"/>
          <w:szCs w:val="24"/>
        </w:rPr>
        <w:t>unchanged. Though the CCC remained negative, the 138.7-day movement is deemed to be of economic significance as it reflects a significant change in the amount of supplier credit that is financing IHG's operating cycle. It is, therefore, important to look at the falling DPO both as a ratio effect and as a financing effect. The speed of COS recovery can mechanically lower DPO, as DPO is based on trade payables as a proportion of COS. So, giving credit for the whole movement to greater discipline with working capital would be an exaggeration.</w:t>
      </w:r>
    </w:p>
    <w:p w14:paraId="30531537" w14:textId="77777777" w:rsidR="00226DC0" w:rsidRPr="00B241A8" w:rsidRDefault="00226DC0" w:rsidP="00F73003">
      <w:pPr>
        <w:spacing w:after="160" w:line="360" w:lineRule="auto"/>
        <w:jc w:val="both"/>
        <w:rPr>
          <w:rFonts w:cs="Arial"/>
          <w:szCs w:val="24"/>
        </w:rPr>
      </w:pPr>
    </w:p>
    <w:p w14:paraId="7E61B3CC" w14:textId="77777777" w:rsidR="00226DC0" w:rsidRPr="00B241A8" w:rsidRDefault="00226DC0" w:rsidP="00F73003">
      <w:pPr>
        <w:spacing w:after="160" w:line="360" w:lineRule="auto"/>
        <w:jc w:val="both"/>
        <w:rPr>
          <w:rFonts w:cs="Arial"/>
          <w:szCs w:val="24"/>
        </w:rPr>
      </w:pPr>
      <w:r w:rsidRPr="00B241A8">
        <w:rPr>
          <w:rFonts w:cs="Arial"/>
          <w:szCs w:val="24"/>
        </w:rPr>
        <w:lastRenderedPageBreak/>
        <w:t>In addition, the negative CCC should not necessarily be considered a sign of good liquidity. Negative CCC means that cash is collected before suppliers are paid, but it is dependent on the stability of customer collections and supplier policies and/or on the sustainability of the business model. While this could be the pattern for IHG's asset-light franchise and management-contract structure, changes in franchisee behaviour, contract terms or industry conditions could impact the pattern of cash flows. The process of reducing the DPO, therefore, is a good thing to watch, although it's not yet a sign of a problem with liquidity.</w:t>
      </w:r>
    </w:p>
    <w:p w14:paraId="053B8AA1" w14:textId="77777777" w:rsidR="00226DC0" w:rsidRPr="00B241A8" w:rsidRDefault="00226DC0" w:rsidP="00F73003">
      <w:pPr>
        <w:spacing w:after="160" w:line="360" w:lineRule="auto"/>
        <w:jc w:val="both"/>
        <w:rPr>
          <w:rFonts w:cs="Arial"/>
          <w:szCs w:val="24"/>
        </w:rPr>
      </w:pPr>
    </w:p>
    <w:p w14:paraId="2CBA41A5" w14:textId="0BB9AAEB" w:rsidR="00A87C31" w:rsidRPr="00B241A8" w:rsidRDefault="00226DC0" w:rsidP="00F73003">
      <w:pPr>
        <w:spacing w:after="160" w:line="360" w:lineRule="auto"/>
        <w:jc w:val="both"/>
        <w:rPr>
          <w:rFonts w:cs="Arial"/>
          <w:szCs w:val="24"/>
        </w:rPr>
      </w:pPr>
      <w:r w:rsidRPr="00B241A8">
        <w:rPr>
          <w:rFonts w:cs="Arial"/>
          <w:szCs w:val="24"/>
        </w:rPr>
        <w:t xml:space="preserve">The fairly consistent DSO reinforces the notion that receivables management was not the main driver of change. This makes the falling DPO even more significant as it more and more becomes the deciding factor </w:t>
      </w:r>
      <w:r w:rsidR="00264AF7">
        <w:rPr>
          <w:rFonts w:cs="Arial"/>
          <w:szCs w:val="24"/>
        </w:rPr>
        <w:t>i</w:t>
      </w:r>
      <w:r w:rsidRPr="00B241A8">
        <w:rPr>
          <w:rFonts w:cs="Arial"/>
          <w:szCs w:val="24"/>
        </w:rPr>
        <w:t>n the direction of the CCC. It is important for management to therefore not aim at a less negative CCC as a target per se. A lower DPO might diminish the positive cash-flow effects of supplier financing, and a too high DPO might result in supplier-relational risks. A more suitable evaluation is whether the CCC is congruent with the firm's long-term financing and supplier relationships and with the sustainable operating cash flow of the firm</w:t>
      </w:r>
    </w:p>
    <w:p w14:paraId="0399FFA0" w14:textId="77777777" w:rsidR="00A87C31" w:rsidRPr="00B241A8" w:rsidRDefault="00A87C31" w:rsidP="00F73003">
      <w:pPr>
        <w:spacing w:after="60" w:line="360" w:lineRule="auto"/>
        <w:jc w:val="both"/>
        <w:rPr>
          <w:rFonts w:cs="Arial"/>
          <w:szCs w:val="24"/>
        </w:rPr>
      </w:pPr>
      <w:r w:rsidRPr="00B241A8">
        <w:rPr>
          <w:rFonts w:cs="Arial"/>
          <w:b/>
          <w:bCs/>
          <w:color w:val="1F3864"/>
          <w:szCs w:val="24"/>
        </w:rPr>
        <w:t>InterContinental Hotels Group (IHG)</w:t>
      </w:r>
    </w:p>
    <w:p w14:paraId="45F03D32" w14:textId="77777777" w:rsidR="00A87C31" w:rsidRPr="00B241A8" w:rsidRDefault="00A87C31" w:rsidP="00F73003">
      <w:pPr>
        <w:spacing w:after="40" w:line="360" w:lineRule="auto"/>
        <w:jc w:val="both"/>
        <w:rPr>
          <w:rFonts w:cs="Arial"/>
          <w:szCs w:val="24"/>
        </w:rPr>
      </w:pPr>
      <w:r w:rsidRPr="00B241A8">
        <w:rPr>
          <w:rFonts w:cs="Arial"/>
          <w:b/>
          <w:bCs/>
          <w:color w:val="404040"/>
          <w:szCs w:val="24"/>
        </w:rPr>
        <w:t>Financial Ratio Analysis — FY2020 to FY2024</w:t>
      </w:r>
    </w:p>
    <w:p w14:paraId="2C68771D" w14:textId="77777777" w:rsidR="00A87C31" w:rsidRPr="00B241A8" w:rsidRDefault="00A87C31" w:rsidP="00F73003">
      <w:pPr>
        <w:spacing w:after="300" w:line="360" w:lineRule="auto"/>
        <w:jc w:val="both"/>
        <w:rPr>
          <w:rFonts w:cs="Arial"/>
          <w:szCs w:val="24"/>
        </w:rPr>
      </w:pPr>
      <w:r w:rsidRPr="00B241A8">
        <w:rPr>
          <w:rFonts w:cs="Arial"/>
          <w:i/>
          <w:iCs/>
          <w:color w:val="595959"/>
          <w:szCs w:val="24"/>
        </w:rPr>
        <w:t>Based on IHG Annual Reports and Form 20-F, FY2020–FY2024 (NYSE: IHG)</w:t>
      </w:r>
    </w:p>
    <w:p w14:paraId="438FFA17" w14:textId="77777777" w:rsidR="00A87C31" w:rsidRPr="00B241A8" w:rsidRDefault="00A87C31" w:rsidP="00F73003">
      <w:pPr>
        <w:pStyle w:val="Heading2"/>
        <w:spacing w:line="360" w:lineRule="auto"/>
        <w:jc w:val="both"/>
      </w:pPr>
      <w:bookmarkStart w:id="19" w:name="_Toc237523900"/>
      <w:r w:rsidRPr="00B241A8">
        <w:t>A note on IHG's balance sheet structure</w:t>
      </w:r>
      <w:bookmarkEnd w:id="19"/>
    </w:p>
    <w:p w14:paraId="057A2DDC" w14:textId="77777777" w:rsidR="00A87C31" w:rsidRPr="00B241A8" w:rsidRDefault="00A87C31" w:rsidP="00F73003">
      <w:pPr>
        <w:spacing w:after="160" w:line="360" w:lineRule="auto"/>
        <w:jc w:val="both"/>
        <w:rPr>
          <w:rFonts w:cs="Arial"/>
          <w:szCs w:val="24"/>
        </w:rPr>
      </w:pPr>
      <w:r w:rsidRPr="00B241A8">
        <w:rPr>
          <w:rFonts w:cs="Arial"/>
          <w:szCs w:val="24"/>
        </w:rPr>
        <w:t>IHG has reported negative total shareholders' equity in every year of this period — from $(1,857)m in 2020 to $(2,312)m in 2024 — because years of debt-funded share buybacks have exceeded retained earnings. This is confirmed across the Group statements of financial position in the 2020–2024 Annual Reports. As a result, Return on Equity and Debt/Equity are mathematically distorted (dividing by a negative denominator) and are not used below. Return on Assets, Debt/Total Assets and Total Liabilities/Total Assets are used instead, as they remain meaningful with a negative-equity capital structure.</w:t>
      </w:r>
    </w:p>
    <w:p w14:paraId="3B3DFACF" w14:textId="77777777" w:rsidR="00A87C31" w:rsidRPr="00B241A8" w:rsidRDefault="00A87C31" w:rsidP="00F73003">
      <w:pPr>
        <w:pStyle w:val="Heading1"/>
        <w:spacing w:line="360" w:lineRule="auto"/>
        <w:jc w:val="both"/>
      </w:pPr>
      <w:bookmarkStart w:id="20" w:name="_Toc237523901"/>
      <w:r w:rsidRPr="00B241A8">
        <w:t>1. Profitability Ratios</w:t>
      </w:r>
      <w:bookmarkEnd w:id="20"/>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00"/>
        <w:gridCol w:w="1240"/>
        <w:gridCol w:w="1240"/>
        <w:gridCol w:w="1240"/>
        <w:gridCol w:w="1240"/>
        <w:gridCol w:w="1240"/>
      </w:tblGrid>
      <w:tr w:rsidR="00A87C31" w:rsidRPr="00B241A8" w14:paraId="5A914D6E" w14:textId="77777777" w:rsidTr="00A87C31">
        <w:trPr>
          <w:tblHeader/>
        </w:trPr>
        <w:tc>
          <w:tcPr>
            <w:tcW w:w="3400" w:type="dxa"/>
            <w:tcBorders>
              <w:top w:val="single" w:sz="4" w:space="0" w:color="auto"/>
              <w:left w:val="single" w:sz="4" w:space="0" w:color="auto"/>
              <w:bottom w:val="single" w:sz="4" w:space="0" w:color="auto"/>
              <w:right w:val="single" w:sz="4" w:space="0" w:color="auto"/>
            </w:tcBorders>
            <w:shd w:val="clear" w:color="auto" w:fill="1F3864"/>
            <w:tcMar>
              <w:top w:w="80" w:type="dxa"/>
              <w:left w:w="100" w:type="dxa"/>
              <w:bottom w:w="80" w:type="dxa"/>
              <w:right w:w="100" w:type="dxa"/>
            </w:tcMar>
            <w:vAlign w:val="center"/>
            <w:hideMark/>
          </w:tcPr>
          <w:p w14:paraId="53CB9F48" w14:textId="77777777" w:rsidR="00A87C31" w:rsidRPr="00B241A8" w:rsidRDefault="00A87C31" w:rsidP="00F73003">
            <w:pPr>
              <w:spacing w:line="360" w:lineRule="auto"/>
              <w:jc w:val="both"/>
              <w:rPr>
                <w:rFonts w:cs="Arial"/>
                <w:szCs w:val="24"/>
              </w:rPr>
            </w:pPr>
            <w:r w:rsidRPr="00B241A8">
              <w:rPr>
                <w:rFonts w:cs="Arial"/>
                <w:b/>
                <w:bCs/>
                <w:color w:val="FFFFFF"/>
                <w:szCs w:val="24"/>
              </w:rPr>
              <w:lastRenderedPageBreak/>
              <w:t>Ratio</w:t>
            </w:r>
          </w:p>
        </w:tc>
        <w:tc>
          <w:tcPr>
            <w:tcW w:w="1240" w:type="dxa"/>
            <w:tcBorders>
              <w:top w:val="single" w:sz="4" w:space="0" w:color="auto"/>
              <w:left w:val="single" w:sz="4" w:space="0" w:color="auto"/>
              <w:bottom w:val="single" w:sz="4" w:space="0" w:color="auto"/>
              <w:right w:val="single" w:sz="4" w:space="0" w:color="auto"/>
            </w:tcBorders>
            <w:shd w:val="clear" w:color="auto" w:fill="1F3864"/>
            <w:tcMar>
              <w:top w:w="80" w:type="dxa"/>
              <w:left w:w="100" w:type="dxa"/>
              <w:bottom w:w="80" w:type="dxa"/>
              <w:right w:w="100" w:type="dxa"/>
            </w:tcMar>
            <w:vAlign w:val="center"/>
            <w:hideMark/>
          </w:tcPr>
          <w:p w14:paraId="45AA5CF4" w14:textId="77777777" w:rsidR="00A87C31" w:rsidRPr="00B241A8" w:rsidRDefault="00A87C31" w:rsidP="00F73003">
            <w:pPr>
              <w:spacing w:line="360" w:lineRule="auto"/>
              <w:jc w:val="both"/>
              <w:rPr>
                <w:rFonts w:cs="Arial"/>
                <w:szCs w:val="24"/>
              </w:rPr>
            </w:pPr>
            <w:r w:rsidRPr="00B241A8">
              <w:rPr>
                <w:rFonts w:cs="Arial"/>
                <w:b/>
                <w:bCs/>
                <w:color w:val="FFFFFF"/>
                <w:szCs w:val="24"/>
              </w:rPr>
              <w:t>2020</w:t>
            </w:r>
          </w:p>
        </w:tc>
        <w:tc>
          <w:tcPr>
            <w:tcW w:w="1240" w:type="dxa"/>
            <w:tcBorders>
              <w:top w:val="single" w:sz="4" w:space="0" w:color="auto"/>
              <w:left w:val="single" w:sz="4" w:space="0" w:color="auto"/>
              <w:bottom w:val="single" w:sz="4" w:space="0" w:color="auto"/>
              <w:right w:val="single" w:sz="4" w:space="0" w:color="auto"/>
            </w:tcBorders>
            <w:shd w:val="clear" w:color="auto" w:fill="1F3864"/>
            <w:tcMar>
              <w:top w:w="80" w:type="dxa"/>
              <w:left w:w="100" w:type="dxa"/>
              <w:bottom w:w="80" w:type="dxa"/>
              <w:right w:w="100" w:type="dxa"/>
            </w:tcMar>
            <w:vAlign w:val="center"/>
            <w:hideMark/>
          </w:tcPr>
          <w:p w14:paraId="33BCE7A4" w14:textId="77777777" w:rsidR="00A87C31" w:rsidRPr="00B241A8" w:rsidRDefault="00A87C31" w:rsidP="00F73003">
            <w:pPr>
              <w:spacing w:line="360" w:lineRule="auto"/>
              <w:jc w:val="both"/>
              <w:rPr>
                <w:rFonts w:cs="Arial"/>
                <w:szCs w:val="24"/>
              </w:rPr>
            </w:pPr>
            <w:r w:rsidRPr="00B241A8">
              <w:rPr>
                <w:rFonts w:cs="Arial"/>
                <w:b/>
                <w:bCs/>
                <w:color w:val="FFFFFF"/>
                <w:szCs w:val="24"/>
              </w:rPr>
              <w:t>2021</w:t>
            </w:r>
          </w:p>
        </w:tc>
        <w:tc>
          <w:tcPr>
            <w:tcW w:w="1240" w:type="dxa"/>
            <w:tcBorders>
              <w:top w:val="single" w:sz="4" w:space="0" w:color="auto"/>
              <w:left w:val="single" w:sz="4" w:space="0" w:color="auto"/>
              <w:bottom w:val="single" w:sz="4" w:space="0" w:color="auto"/>
              <w:right w:val="single" w:sz="4" w:space="0" w:color="auto"/>
            </w:tcBorders>
            <w:shd w:val="clear" w:color="auto" w:fill="1F3864"/>
            <w:tcMar>
              <w:top w:w="80" w:type="dxa"/>
              <w:left w:w="100" w:type="dxa"/>
              <w:bottom w:w="80" w:type="dxa"/>
              <w:right w:w="100" w:type="dxa"/>
            </w:tcMar>
            <w:vAlign w:val="center"/>
            <w:hideMark/>
          </w:tcPr>
          <w:p w14:paraId="710F40BD" w14:textId="77777777" w:rsidR="00A87C31" w:rsidRPr="00B241A8" w:rsidRDefault="00A87C31" w:rsidP="00F73003">
            <w:pPr>
              <w:spacing w:line="360" w:lineRule="auto"/>
              <w:jc w:val="both"/>
              <w:rPr>
                <w:rFonts w:cs="Arial"/>
                <w:szCs w:val="24"/>
              </w:rPr>
            </w:pPr>
            <w:r w:rsidRPr="00B241A8">
              <w:rPr>
                <w:rFonts w:cs="Arial"/>
                <w:b/>
                <w:bCs/>
                <w:color w:val="FFFFFF"/>
                <w:szCs w:val="24"/>
              </w:rPr>
              <w:t>2022</w:t>
            </w:r>
          </w:p>
        </w:tc>
        <w:tc>
          <w:tcPr>
            <w:tcW w:w="1240" w:type="dxa"/>
            <w:tcBorders>
              <w:top w:val="single" w:sz="4" w:space="0" w:color="auto"/>
              <w:left w:val="single" w:sz="4" w:space="0" w:color="auto"/>
              <w:bottom w:val="single" w:sz="4" w:space="0" w:color="auto"/>
              <w:right w:val="single" w:sz="4" w:space="0" w:color="auto"/>
            </w:tcBorders>
            <w:shd w:val="clear" w:color="auto" w:fill="1F3864"/>
            <w:tcMar>
              <w:top w:w="80" w:type="dxa"/>
              <w:left w:w="100" w:type="dxa"/>
              <w:bottom w:w="80" w:type="dxa"/>
              <w:right w:w="100" w:type="dxa"/>
            </w:tcMar>
            <w:vAlign w:val="center"/>
            <w:hideMark/>
          </w:tcPr>
          <w:p w14:paraId="71337B68" w14:textId="77777777" w:rsidR="00A87C31" w:rsidRPr="00B241A8" w:rsidRDefault="00A87C31" w:rsidP="00F73003">
            <w:pPr>
              <w:spacing w:line="360" w:lineRule="auto"/>
              <w:jc w:val="both"/>
              <w:rPr>
                <w:rFonts w:cs="Arial"/>
                <w:szCs w:val="24"/>
              </w:rPr>
            </w:pPr>
            <w:r w:rsidRPr="00B241A8">
              <w:rPr>
                <w:rFonts w:cs="Arial"/>
                <w:b/>
                <w:bCs/>
                <w:color w:val="FFFFFF"/>
                <w:szCs w:val="24"/>
              </w:rPr>
              <w:t>2023</w:t>
            </w:r>
          </w:p>
        </w:tc>
        <w:tc>
          <w:tcPr>
            <w:tcW w:w="1240" w:type="dxa"/>
            <w:tcBorders>
              <w:top w:val="single" w:sz="4" w:space="0" w:color="auto"/>
              <w:left w:val="single" w:sz="4" w:space="0" w:color="auto"/>
              <w:bottom w:val="single" w:sz="4" w:space="0" w:color="auto"/>
              <w:right w:val="single" w:sz="4" w:space="0" w:color="auto"/>
            </w:tcBorders>
            <w:shd w:val="clear" w:color="auto" w:fill="1F3864"/>
            <w:tcMar>
              <w:top w:w="80" w:type="dxa"/>
              <w:left w:w="100" w:type="dxa"/>
              <w:bottom w:w="80" w:type="dxa"/>
              <w:right w:w="100" w:type="dxa"/>
            </w:tcMar>
            <w:vAlign w:val="center"/>
            <w:hideMark/>
          </w:tcPr>
          <w:p w14:paraId="5F124296" w14:textId="77777777" w:rsidR="00A87C31" w:rsidRPr="00B241A8" w:rsidRDefault="00A87C31" w:rsidP="00F73003">
            <w:pPr>
              <w:spacing w:line="360" w:lineRule="auto"/>
              <w:jc w:val="both"/>
              <w:rPr>
                <w:rFonts w:cs="Arial"/>
                <w:szCs w:val="24"/>
              </w:rPr>
            </w:pPr>
            <w:r w:rsidRPr="00B241A8">
              <w:rPr>
                <w:rFonts w:cs="Arial"/>
                <w:b/>
                <w:bCs/>
                <w:color w:val="FFFFFF"/>
                <w:szCs w:val="24"/>
              </w:rPr>
              <w:t>2024</w:t>
            </w:r>
          </w:p>
        </w:tc>
      </w:tr>
      <w:tr w:rsidR="00A87C31" w:rsidRPr="00B241A8" w14:paraId="61CBBA4D" w14:textId="77777777" w:rsidTr="00A87C31">
        <w:tc>
          <w:tcPr>
            <w:tcW w:w="340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1354661B" w14:textId="77777777" w:rsidR="00A87C31" w:rsidRPr="00B241A8" w:rsidRDefault="00A87C31" w:rsidP="00F73003">
            <w:pPr>
              <w:spacing w:line="360" w:lineRule="auto"/>
              <w:jc w:val="both"/>
              <w:rPr>
                <w:rFonts w:cs="Arial"/>
                <w:szCs w:val="24"/>
              </w:rPr>
            </w:pPr>
            <w:r w:rsidRPr="00B241A8">
              <w:rPr>
                <w:rFonts w:cs="Arial"/>
                <w:color w:val="000000"/>
                <w:szCs w:val="24"/>
              </w:rPr>
              <w:t>Operating margin</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27DDD7ED" w14:textId="77777777" w:rsidR="00A87C31" w:rsidRPr="00B241A8" w:rsidRDefault="00A87C31" w:rsidP="00F73003">
            <w:pPr>
              <w:spacing w:line="360" w:lineRule="auto"/>
              <w:jc w:val="both"/>
              <w:rPr>
                <w:rFonts w:cs="Arial"/>
                <w:szCs w:val="24"/>
              </w:rPr>
            </w:pPr>
            <w:r w:rsidRPr="00B241A8">
              <w:rPr>
                <w:rFonts w:cs="Arial"/>
                <w:color w:val="000000"/>
                <w:szCs w:val="24"/>
              </w:rPr>
              <w:t>-6.4%</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04B168D5" w14:textId="77777777" w:rsidR="00A87C31" w:rsidRPr="00B241A8" w:rsidRDefault="00A87C31" w:rsidP="00F73003">
            <w:pPr>
              <w:spacing w:line="360" w:lineRule="auto"/>
              <w:jc w:val="both"/>
              <w:rPr>
                <w:rFonts w:cs="Arial"/>
                <w:szCs w:val="24"/>
              </w:rPr>
            </w:pPr>
            <w:r w:rsidRPr="00B241A8">
              <w:rPr>
                <w:rFonts w:cs="Arial"/>
                <w:color w:val="000000"/>
                <w:szCs w:val="24"/>
              </w:rPr>
              <w:t>17.0%</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250F5CAB" w14:textId="77777777" w:rsidR="00A87C31" w:rsidRPr="00B241A8" w:rsidRDefault="00A87C31" w:rsidP="00F73003">
            <w:pPr>
              <w:spacing w:line="360" w:lineRule="auto"/>
              <w:jc w:val="both"/>
              <w:rPr>
                <w:rFonts w:cs="Arial"/>
                <w:szCs w:val="24"/>
              </w:rPr>
            </w:pPr>
            <w:r w:rsidRPr="00B241A8">
              <w:rPr>
                <w:rFonts w:cs="Arial"/>
                <w:color w:val="000000"/>
                <w:szCs w:val="24"/>
              </w:rPr>
              <w:t>16.1%</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5962C2D1" w14:textId="77777777" w:rsidR="00A87C31" w:rsidRPr="00B241A8" w:rsidRDefault="00A87C31" w:rsidP="00F73003">
            <w:pPr>
              <w:spacing w:line="360" w:lineRule="auto"/>
              <w:jc w:val="both"/>
              <w:rPr>
                <w:rFonts w:cs="Arial"/>
                <w:szCs w:val="24"/>
              </w:rPr>
            </w:pPr>
            <w:r w:rsidRPr="00B241A8">
              <w:rPr>
                <w:rFonts w:cs="Arial"/>
                <w:color w:val="000000"/>
                <w:szCs w:val="24"/>
              </w:rPr>
              <w:t>23.1%</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3CD8BCB2" w14:textId="77777777" w:rsidR="00A87C31" w:rsidRPr="00B241A8" w:rsidRDefault="00A87C31" w:rsidP="00F73003">
            <w:pPr>
              <w:spacing w:line="360" w:lineRule="auto"/>
              <w:jc w:val="both"/>
              <w:rPr>
                <w:rFonts w:cs="Arial"/>
                <w:szCs w:val="24"/>
              </w:rPr>
            </w:pPr>
            <w:r w:rsidRPr="00B241A8">
              <w:rPr>
                <w:rFonts w:cs="Arial"/>
                <w:color w:val="000000"/>
                <w:szCs w:val="24"/>
              </w:rPr>
              <w:t>21.1%</w:t>
            </w:r>
          </w:p>
        </w:tc>
      </w:tr>
      <w:tr w:rsidR="00A87C31" w:rsidRPr="00B241A8" w14:paraId="7A5712D2" w14:textId="77777777" w:rsidTr="00A87C31">
        <w:tc>
          <w:tcPr>
            <w:tcW w:w="340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5FB6FA4E" w14:textId="77777777" w:rsidR="00A87C31" w:rsidRPr="00B241A8" w:rsidRDefault="00A87C31" w:rsidP="00F73003">
            <w:pPr>
              <w:spacing w:line="360" w:lineRule="auto"/>
              <w:jc w:val="both"/>
              <w:rPr>
                <w:rFonts w:cs="Arial"/>
                <w:szCs w:val="24"/>
              </w:rPr>
            </w:pPr>
            <w:r w:rsidRPr="00B241A8">
              <w:rPr>
                <w:rFonts w:cs="Arial"/>
                <w:color w:val="000000"/>
                <w:szCs w:val="24"/>
              </w:rPr>
              <w:t>Adjusted operating margin*</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09AD767A" w14:textId="77777777" w:rsidR="00A87C31" w:rsidRPr="00B241A8" w:rsidRDefault="00A87C31" w:rsidP="00F73003">
            <w:pPr>
              <w:spacing w:line="360" w:lineRule="auto"/>
              <w:jc w:val="both"/>
              <w:rPr>
                <w:rFonts w:cs="Arial"/>
                <w:szCs w:val="24"/>
              </w:rPr>
            </w:pPr>
            <w:r w:rsidRPr="00B241A8">
              <w:rPr>
                <w:rFonts w:cs="Arial"/>
                <w:color w:val="000000"/>
                <w:szCs w:val="24"/>
              </w:rPr>
              <w:t>9.1%</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5EA6EEA0" w14:textId="77777777" w:rsidR="00A87C31" w:rsidRPr="00B241A8" w:rsidRDefault="00A87C31" w:rsidP="00F73003">
            <w:pPr>
              <w:spacing w:line="360" w:lineRule="auto"/>
              <w:jc w:val="both"/>
              <w:rPr>
                <w:rFonts w:cs="Arial"/>
                <w:szCs w:val="24"/>
              </w:rPr>
            </w:pPr>
            <w:r w:rsidRPr="00B241A8">
              <w:rPr>
                <w:rFonts w:cs="Arial"/>
                <w:color w:val="000000"/>
                <w:szCs w:val="24"/>
              </w:rPr>
              <w:t>18.4%</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451D54D4" w14:textId="77777777" w:rsidR="00A87C31" w:rsidRPr="00B241A8" w:rsidRDefault="00A87C31" w:rsidP="00F73003">
            <w:pPr>
              <w:spacing w:line="360" w:lineRule="auto"/>
              <w:jc w:val="both"/>
              <w:rPr>
                <w:rFonts w:cs="Arial"/>
                <w:szCs w:val="24"/>
              </w:rPr>
            </w:pPr>
            <w:r w:rsidRPr="00B241A8">
              <w:rPr>
                <w:rFonts w:cs="Arial"/>
                <w:color w:val="000000"/>
                <w:szCs w:val="24"/>
              </w:rPr>
              <w:t>21.3%</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114C27A7" w14:textId="77777777" w:rsidR="00A87C31" w:rsidRPr="00B241A8" w:rsidRDefault="00A87C31" w:rsidP="00F73003">
            <w:pPr>
              <w:spacing w:line="360" w:lineRule="auto"/>
              <w:jc w:val="both"/>
              <w:rPr>
                <w:rFonts w:cs="Arial"/>
                <w:szCs w:val="24"/>
              </w:rPr>
            </w:pPr>
            <w:r w:rsidRPr="00B241A8">
              <w:rPr>
                <w:rFonts w:cs="Arial"/>
                <w:color w:val="000000"/>
                <w:szCs w:val="24"/>
              </w:rPr>
              <w:t>22.0%</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3199F4F4" w14:textId="77777777" w:rsidR="00A87C31" w:rsidRPr="00B241A8" w:rsidRDefault="00A87C31" w:rsidP="00F73003">
            <w:pPr>
              <w:spacing w:line="360" w:lineRule="auto"/>
              <w:jc w:val="both"/>
              <w:rPr>
                <w:rFonts w:cs="Arial"/>
                <w:szCs w:val="24"/>
              </w:rPr>
            </w:pPr>
            <w:r w:rsidRPr="00B241A8">
              <w:rPr>
                <w:rFonts w:cs="Arial"/>
                <w:color w:val="000000"/>
                <w:szCs w:val="24"/>
              </w:rPr>
              <w:t>22.8%</w:t>
            </w:r>
          </w:p>
        </w:tc>
      </w:tr>
      <w:tr w:rsidR="00A87C31" w:rsidRPr="00B241A8" w14:paraId="393A5768" w14:textId="77777777" w:rsidTr="00A87C31">
        <w:tc>
          <w:tcPr>
            <w:tcW w:w="340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797A0EDA" w14:textId="77777777" w:rsidR="00A87C31" w:rsidRPr="00B241A8" w:rsidRDefault="00A87C31" w:rsidP="00F73003">
            <w:pPr>
              <w:spacing w:line="360" w:lineRule="auto"/>
              <w:jc w:val="both"/>
              <w:rPr>
                <w:rFonts w:cs="Arial"/>
                <w:szCs w:val="24"/>
              </w:rPr>
            </w:pPr>
            <w:r w:rsidRPr="00B241A8">
              <w:rPr>
                <w:rFonts w:cs="Arial"/>
                <w:color w:val="000000"/>
                <w:szCs w:val="24"/>
              </w:rPr>
              <w:t>Net margin</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5A98B81B" w14:textId="77777777" w:rsidR="00A87C31" w:rsidRPr="00B241A8" w:rsidRDefault="00A87C31" w:rsidP="00F73003">
            <w:pPr>
              <w:spacing w:line="360" w:lineRule="auto"/>
              <w:jc w:val="both"/>
              <w:rPr>
                <w:rFonts w:cs="Arial"/>
                <w:szCs w:val="24"/>
              </w:rPr>
            </w:pPr>
            <w:r w:rsidRPr="00B241A8">
              <w:rPr>
                <w:rFonts w:cs="Arial"/>
                <w:color w:val="000000"/>
                <w:szCs w:val="24"/>
              </w:rPr>
              <w:t>-10.9%</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2FDBC7D7" w14:textId="77777777" w:rsidR="00A87C31" w:rsidRPr="00B241A8" w:rsidRDefault="00A87C31" w:rsidP="00F73003">
            <w:pPr>
              <w:spacing w:line="360" w:lineRule="auto"/>
              <w:jc w:val="both"/>
              <w:rPr>
                <w:rFonts w:cs="Arial"/>
                <w:szCs w:val="24"/>
              </w:rPr>
            </w:pPr>
            <w:r w:rsidRPr="00B241A8">
              <w:rPr>
                <w:rFonts w:cs="Arial"/>
                <w:color w:val="000000"/>
                <w:szCs w:val="24"/>
              </w:rPr>
              <w:t>9.1%</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1D8E4964" w14:textId="77777777" w:rsidR="00A87C31" w:rsidRPr="00B241A8" w:rsidRDefault="00A87C31" w:rsidP="00F73003">
            <w:pPr>
              <w:spacing w:line="360" w:lineRule="auto"/>
              <w:jc w:val="both"/>
              <w:rPr>
                <w:rFonts w:cs="Arial"/>
                <w:szCs w:val="24"/>
              </w:rPr>
            </w:pPr>
            <w:r w:rsidRPr="00B241A8">
              <w:rPr>
                <w:rFonts w:cs="Arial"/>
                <w:color w:val="000000"/>
                <w:szCs w:val="24"/>
              </w:rPr>
              <w:t>9.7%</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76A24356" w14:textId="77777777" w:rsidR="00A87C31" w:rsidRPr="00B241A8" w:rsidRDefault="00A87C31" w:rsidP="00F73003">
            <w:pPr>
              <w:spacing w:line="360" w:lineRule="auto"/>
              <w:jc w:val="both"/>
              <w:rPr>
                <w:rFonts w:cs="Arial"/>
                <w:szCs w:val="24"/>
              </w:rPr>
            </w:pPr>
            <w:r w:rsidRPr="00B241A8">
              <w:rPr>
                <w:rFonts w:cs="Arial"/>
                <w:color w:val="000000"/>
                <w:szCs w:val="24"/>
              </w:rPr>
              <w:t>16.2%</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49FE3B6B" w14:textId="77777777" w:rsidR="00A87C31" w:rsidRPr="00B241A8" w:rsidRDefault="00A87C31" w:rsidP="00F73003">
            <w:pPr>
              <w:spacing w:line="360" w:lineRule="auto"/>
              <w:jc w:val="both"/>
              <w:rPr>
                <w:rFonts w:cs="Arial"/>
                <w:szCs w:val="24"/>
              </w:rPr>
            </w:pPr>
            <w:r w:rsidRPr="00B241A8">
              <w:rPr>
                <w:rFonts w:cs="Arial"/>
                <w:color w:val="000000"/>
                <w:szCs w:val="24"/>
              </w:rPr>
              <w:t>12.8%</w:t>
            </w:r>
          </w:p>
        </w:tc>
      </w:tr>
      <w:tr w:rsidR="00A87C31" w:rsidRPr="00B241A8" w14:paraId="5497617E" w14:textId="77777777" w:rsidTr="00A87C31">
        <w:tc>
          <w:tcPr>
            <w:tcW w:w="340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0E37FAF7" w14:textId="77777777" w:rsidR="00A87C31" w:rsidRPr="00B241A8" w:rsidRDefault="00A87C31" w:rsidP="00F73003">
            <w:pPr>
              <w:spacing w:line="360" w:lineRule="auto"/>
              <w:jc w:val="both"/>
              <w:rPr>
                <w:rFonts w:cs="Arial"/>
                <w:szCs w:val="24"/>
              </w:rPr>
            </w:pPr>
            <w:r w:rsidRPr="00B241A8">
              <w:rPr>
                <w:rFonts w:cs="Arial"/>
                <w:color w:val="000000"/>
                <w:szCs w:val="24"/>
              </w:rPr>
              <w:t>Return on Assets (ROA)</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14A38277" w14:textId="77777777" w:rsidR="00A87C31" w:rsidRPr="00B241A8" w:rsidRDefault="00A87C31" w:rsidP="00F73003">
            <w:pPr>
              <w:spacing w:line="360" w:lineRule="auto"/>
              <w:jc w:val="both"/>
              <w:rPr>
                <w:rFonts w:cs="Arial"/>
                <w:szCs w:val="24"/>
              </w:rPr>
            </w:pPr>
            <w:r w:rsidRPr="00B241A8">
              <w:rPr>
                <w:rFonts w:cs="Arial"/>
                <w:color w:val="000000"/>
                <w:szCs w:val="24"/>
              </w:rPr>
              <w:t>-5.2%</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5FD0D390" w14:textId="77777777" w:rsidR="00A87C31" w:rsidRPr="00B241A8" w:rsidRDefault="00A87C31" w:rsidP="00F73003">
            <w:pPr>
              <w:spacing w:line="360" w:lineRule="auto"/>
              <w:jc w:val="both"/>
              <w:rPr>
                <w:rFonts w:cs="Arial"/>
                <w:szCs w:val="24"/>
              </w:rPr>
            </w:pPr>
            <w:r w:rsidRPr="00B241A8">
              <w:rPr>
                <w:rFonts w:cs="Arial"/>
                <w:color w:val="000000"/>
                <w:szCs w:val="24"/>
              </w:rPr>
              <w:t>5.6%</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69512E53" w14:textId="77777777" w:rsidR="00A87C31" w:rsidRPr="00B241A8" w:rsidRDefault="00A87C31" w:rsidP="00F73003">
            <w:pPr>
              <w:spacing w:line="360" w:lineRule="auto"/>
              <w:jc w:val="both"/>
              <w:rPr>
                <w:rFonts w:cs="Arial"/>
                <w:szCs w:val="24"/>
              </w:rPr>
            </w:pPr>
            <w:r w:rsidRPr="00B241A8">
              <w:rPr>
                <w:rFonts w:cs="Arial"/>
                <w:color w:val="000000"/>
                <w:szCs w:val="24"/>
              </w:rPr>
              <w:t>8.9%</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6A6B1F62" w14:textId="77777777" w:rsidR="00A87C31" w:rsidRPr="00B241A8" w:rsidRDefault="00A87C31" w:rsidP="00F73003">
            <w:pPr>
              <w:spacing w:line="360" w:lineRule="auto"/>
              <w:jc w:val="both"/>
              <w:rPr>
                <w:rFonts w:cs="Arial"/>
                <w:szCs w:val="24"/>
              </w:rPr>
            </w:pPr>
            <w:r w:rsidRPr="00B241A8">
              <w:rPr>
                <w:rFonts w:cs="Arial"/>
                <w:color w:val="000000"/>
                <w:szCs w:val="24"/>
              </w:rPr>
              <w:t>15.6%</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2A9FEEC2" w14:textId="77777777" w:rsidR="00A87C31" w:rsidRPr="00B241A8" w:rsidRDefault="00A87C31" w:rsidP="00F73003">
            <w:pPr>
              <w:spacing w:line="360" w:lineRule="auto"/>
              <w:jc w:val="both"/>
              <w:rPr>
                <w:rFonts w:cs="Arial"/>
                <w:szCs w:val="24"/>
              </w:rPr>
            </w:pPr>
            <w:r w:rsidRPr="00B241A8">
              <w:rPr>
                <w:rFonts w:cs="Arial"/>
                <w:color w:val="000000"/>
                <w:szCs w:val="24"/>
              </w:rPr>
              <w:t>13.2%</w:t>
            </w:r>
          </w:p>
        </w:tc>
      </w:tr>
    </w:tbl>
    <w:p w14:paraId="4E83F085" w14:textId="77777777" w:rsidR="00A87C31" w:rsidRPr="00B241A8" w:rsidRDefault="00A87C31" w:rsidP="00F73003">
      <w:pPr>
        <w:spacing w:before="100" w:after="200" w:line="360" w:lineRule="auto"/>
        <w:jc w:val="both"/>
        <w:rPr>
          <w:rFonts w:cs="Arial"/>
          <w:szCs w:val="24"/>
          <w:lang w:val="en-US" w:eastAsia="en-US" w:bidi="ar-SA"/>
        </w:rPr>
      </w:pPr>
      <w:r w:rsidRPr="00B241A8">
        <w:rPr>
          <w:rFonts w:cs="Arial"/>
          <w:i/>
          <w:iCs/>
          <w:color w:val="595959"/>
          <w:szCs w:val="24"/>
        </w:rPr>
        <w:t>*Excludes System Fund pass-through revenue/expenses and exceptional items — IHG's own key adjusted performance measure.</w:t>
      </w:r>
    </w:p>
    <w:p w14:paraId="36AEFEAD" w14:textId="77777777" w:rsidR="00A87C31" w:rsidRPr="00B241A8" w:rsidRDefault="00A87C31" w:rsidP="00F73003">
      <w:pPr>
        <w:pStyle w:val="Heading2"/>
        <w:spacing w:line="360" w:lineRule="auto"/>
        <w:jc w:val="both"/>
      </w:pPr>
      <w:bookmarkStart w:id="21" w:name="_Toc237523902"/>
      <w:r w:rsidRPr="00B241A8">
        <w:t>Key changes and explanations</w:t>
      </w:r>
      <w:bookmarkEnd w:id="21"/>
    </w:p>
    <w:p w14:paraId="726CFCF3" w14:textId="33DC468D" w:rsidR="00A87C31" w:rsidRPr="00B241A8" w:rsidRDefault="00A87C31" w:rsidP="00F73003">
      <w:pPr>
        <w:pStyle w:val="ListParagraph"/>
        <w:numPr>
          <w:ilvl w:val="0"/>
          <w:numId w:val="2"/>
        </w:numPr>
        <w:spacing w:after="120" w:line="360" w:lineRule="auto"/>
        <w:jc w:val="both"/>
        <w:rPr>
          <w:rFonts w:ascii="Arial" w:hAnsi="Arial" w:cs="Arial"/>
          <w:sz w:val="24"/>
          <w:szCs w:val="24"/>
        </w:rPr>
      </w:pPr>
      <w:r w:rsidRPr="00B241A8">
        <w:rPr>
          <w:rFonts w:ascii="Arial" w:hAnsi="Arial" w:cs="Arial"/>
          <w:b/>
          <w:bCs/>
          <w:sz w:val="24"/>
          <w:szCs w:val="24"/>
        </w:rPr>
        <w:t xml:space="preserve">2020 – loss year: </w:t>
      </w:r>
      <w:r w:rsidRPr="00B241A8">
        <w:rPr>
          <w:rFonts w:ascii="Arial" w:hAnsi="Arial" w:cs="Arial"/>
          <w:sz w:val="24"/>
          <w:szCs w:val="24"/>
        </w:rPr>
        <w:t>IHG swung to an operating loss and a net margin of -10.9% as RevPAR fell at an unprecedented rate due to C</w:t>
      </w:r>
      <w:r w:rsidR="00264AF7">
        <w:rPr>
          <w:rFonts w:ascii="Arial" w:hAnsi="Arial" w:cs="Arial"/>
          <w:sz w:val="24"/>
          <w:szCs w:val="24"/>
        </w:rPr>
        <w:t>OVID</w:t>
      </w:r>
      <w:r w:rsidRPr="00B241A8">
        <w:rPr>
          <w:rFonts w:ascii="Arial" w:hAnsi="Arial" w:cs="Arial"/>
          <w:sz w:val="24"/>
          <w:szCs w:val="24"/>
        </w:rPr>
        <w:t xml:space="preserve">-19, with Canada RevPAR down 62.2% and Mexico down 57.2%, led by occupancy declines. </w:t>
      </w:r>
      <w:r w:rsidRPr="00B241A8">
        <w:rPr>
          <w:rFonts w:ascii="Arial" w:hAnsi="Arial" w:cs="Arial"/>
          <w:i/>
          <w:iCs/>
          <w:color w:val="595959"/>
          <w:sz w:val="24"/>
          <w:szCs w:val="24"/>
        </w:rPr>
        <w:t>(Source: 2020 Annual Report)</w:t>
      </w:r>
    </w:p>
    <w:p w14:paraId="5A30E8C4" w14:textId="77777777" w:rsidR="00A87C31" w:rsidRPr="00B241A8" w:rsidRDefault="00A87C31" w:rsidP="00F73003">
      <w:pPr>
        <w:pStyle w:val="ListParagraph"/>
        <w:numPr>
          <w:ilvl w:val="0"/>
          <w:numId w:val="2"/>
        </w:numPr>
        <w:spacing w:after="120" w:line="360" w:lineRule="auto"/>
        <w:jc w:val="both"/>
        <w:rPr>
          <w:rFonts w:ascii="Arial" w:hAnsi="Arial" w:cs="Arial"/>
          <w:sz w:val="24"/>
          <w:szCs w:val="24"/>
        </w:rPr>
      </w:pPr>
      <w:r w:rsidRPr="00B241A8">
        <w:rPr>
          <w:rFonts w:ascii="Arial" w:hAnsi="Arial" w:cs="Arial"/>
          <w:b/>
          <w:bCs/>
          <w:sz w:val="24"/>
          <w:szCs w:val="24"/>
        </w:rPr>
        <w:t xml:space="preserve">2021–2022 – recovery: </w:t>
      </w:r>
      <w:r w:rsidRPr="00B241A8">
        <w:rPr>
          <w:rFonts w:ascii="Arial" w:hAnsi="Arial" w:cs="Arial"/>
          <w:sz w:val="24"/>
          <w:szCs w:val="24"/>
        </w:rPr>
        <w:t xml:space="preserve">Margins rebounded sharply as travel resumed and revenue nearly doubled; adjusted operating margin rose from 9.1% to 21.3%. </w:t>
      </w:r>
      <w:r w:rsidRPr="00B241A8">
        <w:rPr>
          <w:rFonts w:ascii="Arial" w:hAnsi="Arial" w:cs="Arial"/>
          <w:i/>
          <w:iCs/>
          <w:color w:val="595959"/>
          <w:sz w:val="24"/>
          <w:szCs w:val="24"/>
        </w:rPr>
        <w:t>(Source: 2021 and 2022 Annual Reports)</w:t>
      </w:r>
    </w:p>
    <w:p w14:paraId="215E9606" w14:textId="77777777" w:rsidR="00A87C31" w:rsidRPr="00B241A8" w:rsidRDefault="00A87C31" w:rsidP="00F73003">
      <w:pPr>
        <w:pStyle w:val="ListParagraph"/>
        <w:numPr>
          <w:ilvl w:val="0"/>
          <w:numId w:val="2"/>
        </w:numPr>
        <w:spacing w:after="120" w:line="360" w:lineRule="auto"/>
        <w:jc w:val="both"/>
        <w:rPr>
          <w:rFonts w:ascii="Arial" w:hAnsi="Arial" w:cs="Arial"/>
          <w:sz w:val="24"/>
          <w:szCs w:val="24"/>
        </w:rPr>
      </w:pPr>
      <w:r w:rsidRPr="00B241A8">
        <w:rPr>
          <w:rFonts w:ascii="Arial" w:hAnsi="Arial" w:cs="Arial"/>
          <w:b/>
          <w:bCs/>
          <w:sz w:val="24"/>
          <w:szCs w:val="24"/>
        </w:rPr>
        <w:t xml:space="preserve">2023 – peak net margin: </w:t>
      </w:r>
      <w:r w:rsidRPr="00B241A8">
        <w:rPr>
          <w:rFonts w:ascii="Arial" w:hAnsi="Arial" w:cs="Arial"/>
          <w:sz w:val="24"/>
          <w:szCs w:val="24"/>
        </w:rPr>
        <w:t xml:space="preserve">Net margin reached 16.2%, the strongest in the period, driven by record fee revenue and strong operating leverage (total revenue of $4,624m against cost of sales of only $742m). </w:t>
      </w:r>
      <w:r w:rsidRPr="00B241A8">
        <w:rPr>
          <w:rFonts w:ascii="Arial" w:hAnsi="Arial" w:cs="Arial"/>
          <w:i/>
          <w:iCs/>
          <w:color w:val="595959"/>
          <w:sz w:val="24"/>
          <w:szCs w:val="24"/>
        </w:rPr>
        <w:t>(Source: 2023 Annual Report)</w:t>
      </w:r>
    </w:p>
    <w:p w14:paraId="44AE3075" w14:textId="77777777" w:rsidR="00A87C31" w:rsidRPr="00B241A8" w:rsidRDefault="00A87C31" w:rsidP="00F73003">
      <w:pPr>
        <w:pStyle w:val="ListParagraph"/>
        <w:numPr>
          <w:ilvl w:val="0"/>
          <w:numId w:val="2"/>
        </w:numPr>
        <w:spacing w:after="120" w:line="360" w:lineRule="auto"/>
        <w:jc w:val="both"/>
        <w:rPr>
          <w:rFonts w:ascii="Arial" w:hAnsi="Arial" w:cs="Arial"/>
          <w:sz w:val="24"/>
          <w:szCs w:val="24"/>
        </w:rPr>
      </w:pPr>
      <w:r w:rsidRPr="00B241A8">
        <w:rPr>
          <w:rFonts w:ascii="Arial" w:hAnsi="Arial" w:cs="Arial"/>
          <w:b/>
          <w:bCs/>
          <w:sz w:val="24"/>
          <w:szCs w:val="24"/>
        </w:rPr>
        <w:t xml:space="preserve">2024 – margin dips despite record revenue: </w:t>
      </w:r>
      <w:r w:rsidRPr="00B241A8">
        <w:rPr>
          <w:rFonts w:ascii="Arial" w:hAnsi="Arial" w:cs="Arial"/>
          <w:sz w:val="24"/>
          <w:szCs w:val="24"/>
        </w:rPr>
        <w:t xml:space="preserve">Operating and adjusted operating margins held near record levels, but net margin fell to 12.8% because net financial expenses increased to $140m from $52m, driven by higher interest costs on public bonds ($123m vs $78m in 2023) and a swing from FX gains to FX losses. </w:t>
      </w:r>
      <w:r w:rsidRPr="00B241A8">
        <w:rPr>
          <w:rFonts w:ascii="Arial" w:hAnsi="Arial" w:cs="Arial"/>
          <w:i/>
          <w:iCs/>
          <w:color w:val="595959"/>
          <w:sz w:val="24"/>
          <w:szCs w:val="24"/>
        </w:rPr>
        <w:t>(Source: 2024 Annual Report)</w:t>
      </w:r>
    </w:p>
    <w:p w14:paraId="6985CEE5" w14:textId="77777777" w:rsidR="00A87C31" w:rsidRPr="00B241A8" w:rsidRDefault="00A87C31" w:rsidP="00F73003">
      <w:pPr>
        <w:pStyle w:val="Heading1"/>
        <w:spacing w:line="360" w:lineRule="auto"/>
        <w:jc w:val="both"/>
      </w:pPr>
      <w:bookmarkStart w:id="22" w:name="_Toc237523903"/>
      <w:r w:rsidRPr="00B241A8">
        <w:t>2. Liquidity Ratios</w:t>
      </w:r>
      <w:bookmarkEnd w:id="22"/>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00"/>
        <w:gridCol w:w="1240"/>
        <w:gridCol w:w="1240"/>
        <w:gridCol w:w="1240"/>
        <w:gridCol w:w="1240"/>
        <w:gridCol w:w="1240"/>
      </w:tblGrid>
      <w:tr w:rsidR="00A87C31" w:rsidRPr="00B241A8" w14:paraId="1502842A" w14:textId="77777777" w:rsidTr="00A87C31">
        <w:trPr>
          <w:tblHeader/>
        </w:trPr>
        <w:tc>
          <w:tcPr>
            <w:tcW w:w="3400" w:type="dxa"/>
            <w:tcBorders>
              <w:top w:val="single" w:sz="4" w:space="0" w:color="auto"/>
              <w:left w:val="single" w:sz="4" w:space="0" w:color="auto"/>
              <w:bottom w:val="single" w:sz="4" w:space="0" w:color="auto"/>
              <w:right w:val="single" w:sz="4" w:space="0" w:color="auto"/>
            </w:tcBorders>
            <w:shd w:val="clear" w:color="auto" w:fill="1F3864"/>
            <w:tcMar>
              <w:top w:w="80" w:type="dxa"/>
              <w:left w:w="100" w:type="dxa"/>
              <w:bottom w:w="80" w:type="dxa"/>
              <w:right w:w="100" w:type="dxa"/>
            </w:tcMar>
            <w:vAlign w:val="center"/>
            <w:hideMark/>
          </w:tcPr>
          <w:p w14:paraId="4D5F1197" w14:textId="77777777" w:rsidR="00A87C31" w:rsidRPr="00B241A8" w:rsidRDefault="00A87C31" w:rsidP="00F73003">
            <w:pPr>
              <w:spacing w:line="360" w:lineRule="auto"/>
              <w:jc w:val="both"/>
              <w:rPr>
                <w:rFonts w:cs="Arial"/>
                <w:szCs w:val="24"/>
              </w:rPr>
            </w:pPr>
            <w:r w:rsidRPr="00B241A8">
              <w:rPr>
                <w:rFonts w:cs="Arial"/>
                <w:b/>
                <w:bCs/>
                <w:color w:val="FFFFFF"/>
                <w:szCs w:val="24"/>
              </w:rPr>
              <w:t>Ratio</w:t>
            </w:r>
          </w:p>
        </w:tc>
        <w:tc>
          <w:tcPr>
            <w:tcW w:w="1240" w:type="dxa"/>
            <w:tcBorders>
              <w:top w:val="single" w:sz="4" w:space="0" w:color="auto"/>
              <w:left w:val="single" w:sz="4" w:space="0" w:color="auto"/>
              <w:bottom w:val="single" w:sz="4" w:space="0" w:color="auto"/>
              <w:right w:val="single" w:sz="4" w:space="0" w:color="auto"/>
            </w:tcBorders>
            <w:shd w:val="clear" w:color="auto" w:fill="1F3864"/>
            <w:tcMar>
              <w:top w:w="80" w:type="dxa"/>
              <w:left w:w="100" w:type="dxa"/>
              <w:bottom w:w="80" w:type="dxa"/>
              <w:right w:w="100" w:type="dxa"/>
            </w:tcMar>
            <w:vAlign w:val="center"/>
            <w:hideMark/>
          </w:tcPr>
          <w:p w14:paraId="5332A4FF" w14:textId="77777777" w:rsidR="00A87C31" w:rsidRPr="00B241A8" w:rsidRDefault="00A87C31" w:rsidP="00F73003">
            <w:pPr>
              <w:spacing w:line="360" w:lineRule="auto"/>
              <w:jc w:val="both"/>
              <w:rPr>
                <w:rFonts w:cs="Arial"/>
                <w:szCs w:val="24"/>
              </w:rPr>
            </w:pPr>
            <w:r w:rsidRPr="00B241A8">
              <w:rPr>
                <w:rFonts w:cs="Arial"/>
                <w:b/>
                <w:bCs/>
                <w:color w:val="FFFFFF"/>
                <w:szCs w:val="24"/>
              </w:rPr>
              <w:t>2020</w:t>
            </w:r>
          </w:p>
        </w:tc>
        <w:tc>
          <w:tcPr>
            <w:tcW w:w="1240" w:type="dxa"/>
            <w:tcBorders>
              <w:top w:val="single" w:sz="4" w:space="0" w:color="auto"/>
              <w:left w:val="single" w:sz="4" w:space="0" w:color="auto"/>
              <w:bottom w:val="single" w:sz="4" w:space="0" w:color="auto"/>
              <w:right w:val="single" w:sz="4" w:space="0" w:color="auto"/>
            </w:tcBorders>
            <w:shd w:val="clear" w:color="auto" w:fill="1F3864"/>
            <w:tcMar>
              <w:top w:w="80" w:type="dxa"/>
              <w:left w:w="100" w:type="dxa"/>
              <w:bottom w:w="80" w:type="dxa"/>
              <w:right w:w="100" w:type="dxa"/>
            </w:tcMar>
            <w:vAlign w:val="center"/>
            <w:hideMark/>
          </w:tcPr>
          <w:p w14:paraId="58F0ADFE" w14:textId="77777777" w:rsidR="00A87C31" w:rsidRPr="00B241A8" w:rsidRDefault="00A87C31" w:rsidP="00F73003">
            <w:pPr>
              <w:spacing w:line="360" w:lineRule="auto"/>
              <w:jc w:val="both"/>
              <w:rPr>
                <w:rFonts w:cs="Arial"/>
                <w:szCs w:val="24"/>
              </w:rPr>
            </w:pPr>
            <w:r w:rsidRPr="00B241A8">
              <w:rPr>
                <w:rFonts w:cs="Arial"/>
                <w:b/>
                <w:bCs/>
                <w:color w:val="FFFFFF"/>
                <w:szCs w:val="24"/>
              </w:rPr>
              <w:t>2021</w:t>
            </w:r>
          </w:p>
        </w:tc>
        <w:tc>
          <w:tcPr>
            <w:tcW w:w="1240" w:type="dxa"/>
            <w:tcBorders>
              <w:top w:val="single" w:sz="4" w:space="0" w:color="auto"/>
              <w:left w:val="single" w:sz="4" w:space="0" w:color="auto"/>
              <w:bottom w:val="single" w:sz="4" w:space="0" w:color="auto"/>
              <w:right w:val="single" w:sz="4" w:space="0" w:color="auto"/>
            </w:tcBorders>
            <w:shd w:val="clear" w:color="auto" w:fill="1F3864"/>
            <w:tcMar>
              <w:top w:w="80" w:type="dxa"/>
              <w:left w:w="100" w:type="dxa"/>
              <w:bottom w:w="80" w:type="dxa"/>
              <w:right w:w="100" w:type="dxa"/>
            </w:tcMar>
            <w:vAlign w:val="center"/>
            <w:hideMark/>
          </w:tcPr>
          <w:p w14:paraId="244FBD92" w14:textId="77777777" w:rsidR="00A87C31" w:rsidRPr="00B241A8" w:rsidRDefault="00A87C31" w:rsidP="00F73003">
            <w:pPr>
              <w:spacing w:line="360" w:lineRule="auto"/>
              <w:jc w:val="both"/>
              <w:rPr>
                <w:rFonts w:cs="Arial"/>
                <w:szCs w:val="24"/>
              </w:rPr>
            </w:pPr>
            <w:r w:rsidRPr="00B241A8">
              <w:rPr>
                <w:rFonts w:cs="Arial"/>
                <w:b/>
                <w:bCs/>
                <w:color w:val="FFFFFF"/>
                <w:szCs w:val="24"/>
              </w:rPr>
              <w:t>2022</w:t>
            </w:r>
          </w:p>
        </w:tc>
        <w:tc>
          <w:tcPr>
            <w:tcW w:w="1240" w:type="dxa"/>
            <w:tcBorders>
              <w:top w:val="single" w:sz="4" w:space="0" w:color="auto"/>
              <w:left w:val="single" w:sz="4" w:space="0" w:color="auto"/>
              <w:bottom w:val="single" w:sz="4" w:space="0" w:color="auto"/>
              <w:right w:val="single" w:sz="4" w:space="0" w:color="auto"/>
            </w:tcBorders>
            <w:shd w:val="clear" w:color="auto" w:fill="1F3864"/>
            <w:tcMar>
              <w:top w:w="80" w:type="dxa"/>
              <w:left w:w="100" w:type="dxa"/>
              <w:bottom w:w="80" w:type="dxa"/>
              <w:right w:w="100" w:type="dxa"/>
            </w:tcMar>
            <w:vAlign w:val="center"/>
            <w:hideMark/>
          </w:tcPr>
          <w:p w14:paraId="22284AC7" w14:textId="77777777" w:rsidR="00A87C31" w:rsidRPr="00B241A8" w:rsidRDefault="00A87C31" w:rsidP="00F73003">
            <w:pPr>
              <w:spacing w:line="360" w:lineRule="auto"/>
              <w:jc w:val="both"/>
              <w:rPr>
                <w:rFonts w:cs="Arial"/>
                <w:szCs w:val="24"/>
              </w:rPr>
            </w:pPr>
            <w:r w:rsidRPr="00B241A8">
              <w:rPr>
                <w:rFonts w:cs="Arial"/>
                <w:b/>
                <w:bCs/>
                <w:color w:val="FFFFFF"/>
                <w:szCs w:val="24"/>
              </w:rPr>
              <w:t>2023</w:t>
            </w:r>
          </w:p>
        </w:tc>
        <w:tc>
          <w:tcPr>
            <w:tcW w:w="1240" w:type="dxa"/>
            <w:tcBorders>
              <w:top w:val="single" w:sz="4" w:space="0" w:color="auto"/>
              <w:left w:val="single" w:sz="4" w:space="0" w:color="auto"/>
              <w:bottom w:val="single" w:sz="4" w:space="0" w:color="auto"/>
              <w:right w:val="single" w:sz="4" w:space="0" w:color="auto"/>
            </w:tcBorders>
            <w:shd w:val="clear" w:color="auto" w:fill="1F3864"/>
            <w:tcMar>
              <w:top w:w="80" w:type="dxa"/>
              <w:left w:w="100" w:type="dxa"/>
              <w:bottom w:w="80" w:type="dxa"/>
              <w:right w:w="100" w:type="dxa"/>
            </w:tcMar>
            <w:vAlign w:val="center"/>
            <w:hideMark/>
          </w:tcPr>
          <w:p w14:paraId="7EC98BBB" w14:textId="77777777" w:rsidR="00A87C31" w:rsidRPr="00B241A8" w:rsidRDefault="00A87C31" w:rsidP="00F73003">
            <w:pPr>
              <w:spacing w:line="360" w:lineRule="auto"/>
              <w:jc w:val="both"/>
              <w:rPr>
                <w:rFonts w:cs="Arial"/>
                <w:szCs w:val="24"/>
              </w:rPr>
            </w:pPr>
            <w:r w:rsidRPr="00B241A8">
              <w:rPr>
                <w:rFonts w:cs="Arial"/>
                <w:b/>
                <w:bCs/>
                <w:color w:val="FFFFFF"/>
                <w:szCs w:val="24"/>
              </w:rPr>
              <w:t>2024</w:t>
            </w:r>
          </w:p>
        </w:tc>
      </w:tr>
      <w:tr w:rsidR="00A87C31" w:rsidRPr="00B241A8" w14:paraId="2D1B7E88" w14:textId="77777777" w:rsidTr="00A87C31">
        <w:tc>
          <w:tcPr>
            <w:tcW w:w="340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1C950338" w14:textId="77777777" w:rsidR="00A87C31" w:rsidRPr="00B241A8" w:rsidRDefault="00A87C31" w:rsidP="00F73003">
            <w:pPr>
              <w:spacing w:line="360" w:lineRule="auto"/>
              <w:jc w:val="both"/>
              <w:rPr>
                <w:rFonts w:cs="Arial"/>
                <w:szCs w:val="24"/>
              </w:rPr>
            </w:pPr>
            <w:r w:rsidRPr="00B241A8">
              <w:rPr>
                <w:rFonts w:cs="Arial"/>
                <w:color w:val="000000"/>
                <w:szCs w:val="24"/>
              </w:rPr>
              <w:t>Current ratio</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1BA94B85" w14:textId="77777777" w:rsidR="00A87C31" w:rsidRPr="00B241A8" w:rsidRDefault="00A87C31" w:rsidP="00F73003">
            <w:pPr>
              <w:spacing w:line="360" w:lineRule="auto"/>
              <w:jc w:val="both"/>
              <w:rPr>
                <w:rFonts w:cs="Arial"/>
                <w:szCs w:val="24"/>
              </w:rPr>
            </w:pPr>
            <w:r w:rsidRPr="00B241A8">
              <w:rPr>
                <w:rFonts w:cs="Arial"/>
                <w:color w:val="000000"/>
                <w:szCs w:val="24"/>
              </w:rPr>
              <w:t>1.20</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48C2EE6E" w14:textId="77777777" w:rsidR="00A87C31" w:rsidRPr="00B241A8" w:rsidRDefault="00A87C31" w:rsidP="00F73003">
            <w:pPr>
              <w:spacing w:line="360" w:lineRule="auto"/>
              <w:jc w:val="both"/>
              <w:rPr>
                <w:rFonts w:cs="Arial"/>
                <w:szCs w:val="24"/>
              </w:rPr>
            </w:pPr>
            <w:r w:rsidRPr="00B241A8">
              <w:rPr>
                <w:rFonts w:cs="Arial"/>
                <w:color w:val="000000"/>
                <w:szCs w:val="24"/>
              </w:rPr>
              <w:t>1.27</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7941C5E1" w14:textId="77777777" w:rsidR="00A87C31" w:rsidRPr="00B241A8" w:rsidRDefault="00A87C31" w:rsidP="00F73003">
            <w:pPr>
              <w:spacing w:line="360" w:lineRule="auto"/>
              <w:jc w:val="both"/>
              <w:rPr>
                <w:rFonts w:cs="Arial"/>
                <w:szCs w:val="24"/>
              </w:rPr>
            </w:pPr>
            <w:r w:rsidRPr="00B241A8">
              <w:rPr>
                <w:rFonts w:cs="Arial"/>
                <w:color w:val="000000"/>
                <w:szCs w:val="24"/>
              </w:rPr>
              <w:t>1.09</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6B51335C" w14:textId="77777777" w:rsidR="00A87C31" w:rsidRPr="00B241A8" w:rsidRDefault="00A87C31" w:rsidP="00F73003">
            <w:pPr>
              <w:spacing w:line="360" w:lineRule="auto"/>
              <w:jc w:val="both"/>
              <w:rPr>
                <w:rFonts w:cs="Arial"/>
                <w:szCs w:val="24"/>
              </w:rPr>
            </w:pPr>
            <w:r w:rsidRPr="00B241A8">
              <w:rPr>
                <w:rFonts w:cs="Arial"/>
                <w:color w:val="000000"/>
                <w:szCs w:val="24"/>
              </w:rPr>
              <w:t>0.97</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252C3C8C" w14:textId="77777777" w:rsidR="00A87C31" w:rsidRPr="00B241A8" w:rsidRDefault="00A87C31" w:rsidP="00F73003">
            <w:pPr>
              <w:spacing w:line="360" w:lineRule="auto"/>
              <w:jc w:val="both"/>
              <w:rPr>
                <w:rFonts w:cs="Arial"/>
                <w:szCs w:val="24"/>
              </w:rPr>
            </w:pPr>
            <w:r w:rsidRPr="00B241A8">
              <w:rPr>
                <w:rFonts w:cs="Arial"/>
                <w:color w:val="000000"/>
                <w:szCs w:val="24"/>
              </w:rPr>
              <w:t>0.97</w:t>
            </w:r>
          </w:p>
        </w:tc>
      </w:tr>
      <w:tr w:rsidR="00A87C31" w:rsidRPr="00B241A8" w14:paraId="646553E5" w14:textId="77777777" w:rsidTr="00A87C31">
        <w:tc>
          <w:tcPr>
            <w:tcW w:w="340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12D1FFAD" w14:textId="77777777" w:rsidR="00A87C31" w:rsidRPr="00B241A8" w:rsidRDefault="00A87C31" w:rsidP="00F73003">
            <w:pPr>
              <w:spacing w:line="360" w:lineRule="auto"/>
              <w:jc w:val="both"/>
              <w:rPr>
                <w:rFonts w:cs="Arial"/>
                <w:szCs w:val="24"/>
              </w:rPr>
            </w:pPr>
            <w:r w:rsidRPr="00B241A8">
              <w:rPr>
                <w:rFonts w:cs="Arial"/>
                <w:color w:val="000000"/>
                <w:szCs w:val="24"/>
              </w:rPr>
              <w:lastRenderedPageBreak/>
              <w:t>Quick ratio (cash + receivables / CL)</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1D4A4247" w14:textId="77777777" w:rsidR="00A87C31" w:rsidRPr="00B241A8" w:rsidRDefault="00A87C31" w:rsidP="00F73003">
            <w:pPr>
              <w:spacing w:line="360" w:lineRule="auto"/>
              <w:jc w:val="both"/>
              <w:rPr>
                <w:rFonts w:cs="Arial"/>
                <w:szCs w:val="24"/>
              </w:rPr>
            </w:pPr>
            <w:r w:rsidRPr="00B241A8">
              <w:rPr>
                <w:rFonts w:cs="Arial"/>
                <w:color w:val="000000"/>
                <w:szCs w:val="24"/>
              </w:rPr>
              <w:t>1.17</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44DD5AA3" w14:textId="77777777" w:rsidR="00A87C31" w:rsidRPr="00B241A8" w:rsidRDefault="00A87C31" w:rsidP="00F73003">
            <w:pPr>
              <w:spacing w:line="360" w:lineRule="auto"/>
              <w:jc w:val="both"/>
              <w:rPr>
                <w:rFonts w:cs="Arial"/>
                <w:szCs w:val="24"/>
              </w:rPr>
            </w:pPr>
            <w:r w:rsidRPr="00B241A8">
              <w:rPr>
                <w:rFonts w:cs="Arial"/>
                <w:color w:val="000000"/>
                <w:szCs w:val="24"/>
              </w:rPr>
              <w:t>1.25</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7AEAE592" w14:textId="77777777" w:rsidR="00A87C31" w:rsidRPr="00B241A8" w:rsidRDefault="00A87C31" w:rsidP="00F73003">
            <w:pPr>
              <w:spacing w:line="360" w:lineRule="auto"/>
              <w:jc w:val="both"/>
              <w:rPr>
                <w:rFonts w:cs="Arial"/>
                <w:szCs w:val="24"/>
              </w:rPr>
            </w:pPr>
            <w:r w:rsidRPr="00B241A8">
              <w:rPr>
                <w:rFonts w:cs="Arial"/>
                <w:color w:val="000000"/>
                <w:szCs w:val="24"/>
              </w:rPr>
              <w:t>1.05</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20760163" w14:textId="77777777" w:rsidR="00A87C31" w:rsidRPr="00B241A8" w:rsidRDefault="00A87C31" w:rsidP="00F73003">
            <w:pPr>
              <w:spacing w:line="360" w:lineRule="auto"/>
              <w:jc w:val="both"/>
              <w:rPr>
                <w:rFonts w:cs="Arial"/>
                <w:szCs w:val="24"/>
              </w:rPr>
            </w:pPr>
            <w:r w:rsidRPr="00B241A8">
              <w:rPr>
                <w:rFonts w:cs="Arial"/>
                <w:color w:val="000000"/>
                <w:szCs w:val="24"/>
              </w:rPr>
              <w:t>0.94</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6A1FE371" w14:textId="77777777" w:rsidR="00A87C31" w:rsidRPr="00B241A8" w:rsidRDefault="00A87C31" w:rsidP="00F73003">
            <w:pPr>
              <w:spacing w:line="360" w:lineRule="auto"/>
              <w:jc w:val="both"/>
              <w:rPr>
                <w:rFonts w:cs="Arial"/>
                <w:szCs w:val="24"/>
              </w:rPr>
            </w:pPr>
            <w:r w:rsidRPr="00B241A8">
              <w:rPr>
                <w:rFonts w:cs="Arial"/>
                <w:color w:val="000000"/>
                <w:szCs w:val="24"/>
              </w:rPr>
              <w:t>0.93</w:t>
            </w:r>
          </w:p>
        </w:tc>
      </w:tr>
      <w:tr w:rsidR="00A87C31" w:rsidRPr="00B241A8" w14:paraId="144F2195" w14:textId="77777777" w:rsidTr="00A87C31">
        <w:tc>
          <w:tcPr>
            <w:tcW w:w="340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1E505CF9" w14:textId="77777777" w:rsidR="00A87C31" w:rsidRPr="00B241A8" w:rsidRDefault="00A87C31" w:rsidP="00F73003">
            <w:pPr>
              <w:spacing w:line="360" w:lineRule="auto"/>
              <w:jc w:val="both"/>
              <w:rPr>
                <w:rFonts w:cs="Arial"/>
                <w:szCs w:val="24"/>
              </w:rPr>
            </w:pPr>
            <w:r w:rsidRPr="00B241A8">
              <w:rPr>
                <w:rFonts w:cs="Arial"/>
                <w:color w:val="000000"/>
                <w:szCs w:val="24"/>
              </w:rPr>
              <w:t>Cash ratio</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0C0B7BB3" w14:textId="77777777" w:rsidR="00A87C31" w:rsidRPr="00B241A8" w:rsidRDefault="00A87C31" w:rsidP="00F73003">
            <w:pPr>
              <w:spacing w:line="360" w:lineRule="auto"/>
              <w:jc w:val="both"/>
              <w:rPr>
                <w:rFonts w:cs="Arial"/>
                <w:szCs w:val="24"/>
              </w:rPr>
            </w:pPr>
            <w:r w:rsidRPr="00B241A8">
              <w:rPr>
                <w:rFonts w:cs="Arial"/>
                <w:color w:val="000000"/>
                <w:szCs w:val="24"/>
              </w:rPr>
              <w:t>0.90</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2F954131" w14:textId="77777777" w:rsidR="00A87C31" w:rsidRPr="00B241A8" w:rsidRDefault="00A87C31" w:rsidP="00F73003">
            <w:pPr>
              <w:spacing w:line="360" w:lineRule="auto"/>
              <w:jc w:val="both"/>
              <w:rPr>
                <w:rFonts w:cs="Arial"/>
                <w:szCs w:val="24"/>
              </w:rPr>
            </w:pPr>
            <w:r w:rsidRPr="00B241A8">
              <w:rPr>
                <w:rFonts w:cs="Arial"/>
                <w:color w:val="000000"/>
                <w:szCs w:val="24"/>
              </w:rPr>
              <w:t>0.89</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0BF2D35D" w14:textId="77777777" w:rsidR="00A87C31" w:rsidRPr="00B241A8" w:rsidRDefault="00A87C31" w:rsidP="00F73003">
            <w:pPr>
              <w:spacing w:line="360" w:lineRule="auto"/>
              <w:jc w:val="both"/>
              <w:rPr>
                <w:rFonts w:cs="Arial"/>
                <w:szCs w:val="24"/>
              </w:rPr>
            </w:pPr>
            <w:r w:rsidRPr="00B241A8">
              <w:rPr>
                <w:rFonts w:cs="Arial"/>
                <w:color w:val="000000"/>
                <w:szCs w:val="24"/>
              </w:rPr>
              <w:t>0.63</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7DA35319" w14:textId="77777777" w:rsidR="00A87C31" w:rsidRPr="00B241A8" w:rsidRDefault="00A87C31" w:rsidP="00F73003">
            <w:pPr>
              <w:spacing w:line="360" w:lineRule="auto"/>
              <w:jc w:val="both"/>
              <w:rPr>
                <w:rFonts w:cs="Arial"/>
                <w:szCs w:val="24"/>
              </w:rPr>
            </w:pPr>
            <w:r w:rsidRPr="00B241A8">
              <w:rPr>
                <w:rFonts w:cs="Arial"/>
                <w:color w:val="000000"/>
                <w:szCs w:val="24"/>
              </w:rPr>
              <w:t>0.60</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7DB7EEBF" w14:textId="77777777" w:rsidR="00A87C31" w:rsidRPr="00B241A8" w:rsidRDefault="00A87C31" w:rsidP="00F73003">
            <w:pPr>
              <w:spacing w:line="360" w:lineRule="auto"/>
              <w:jc w:val="both"/>
              <w:rPr>
                <w:rFonts w:cs="Arial"/>
                <w:szCs w:val="24"/>
              </w:rPr>
            </w:pPr>
            <w:r w:rsidRPr="00B241A8">
              <w:rPr>
                <w:rFonts w:cs="Arial"/>
                <w:color w:val="000000"/>
                <w:szCs w:val="24"/>
              </w:rPr>
              <w:t>0.52</w:t>
            </w:r>
          </w:p>
        </w:tc>
      </w:tr>
    </w:tbl>
    <w:p w14:paraId="3AC7FEE9" w14:textId="77777777" w:rsidR="00A87C31" w:rsidRPr="00B241A8" w:rsidRDefault="00A87C31" w:rsidP="00F73003">
      <w:pPr>
        <w:pStyle w:val="Heading2"/>
        <w:spacing w:line="360" w:lineRule="auto"/>
        <w:jc w:val="both"/>
        <w:rPr>
          <w:lang w:val="en-US" w:eastAsia="en-US" w:bidi="ar-SA"/>
        </w:rPr>
      </w:pPr>
      <w:bookmarkStart w:id="23" w:name="_Toc237523904"/>
      <w:r w:rsidRPr="00B241A8">
        <w:t>Key changes and explanations</w:t>
      </w:r>
      <w:bookmarkEnd w:id="23"/>
    </w:p>
    <w:p w14:paraId="258B09D0" w14:textId="3D094478" w:rsidR="00A87C31" w:rsidRPr="00B241A8" w:rsidRDefault="00A87C31" w:rsidP="00F73003">
      <w:pPr>
        <w:pStyle w:val="ListParagraph"/>
        <w:numPr>
          <w:ilvl w:val="0"/>
          <w:numId w:val="2"/>
        </w:numPr>
        <w:spacing w:after="120" w:line="360" w:lineRule="auto"/>
        <w:jc w:val="both"/>
        <w:rPr>
          <w:rFonts w:ascii="Arial" w:hAnsi="Arial" w:cs="Arial"/>
          <w:sz w:val="24"/>
          <w:szCs w:val="24"/>
        </w:rPr>
      </w:pPr>
      <w:r w:rsidRPr="00B241A8">
        <w:rPr>
          <w:rFonts w:ascii="Arial" w:hAnsi="Arial" w:cs="Arial"/>
          <w:b/>
          <w:bCs/>
          <w:sz w:val="24"/>
          <w:szCs w:val="24"/>
        </w:rPr>
        <w:t xml:space="preserve">2020–2021 – defensive cash build: </w:t>
      </w:r>
      <w:r w:rsidRPr="00B241A8">
        <w:rPr>
          <w:rFonts w:ascii="Arial" w:hAnsi="Arial" w:cs="Arial"/>
          <w:sz w:val="24"/>
          <w:szCs w:val="24"/>
        </w:rPr>
        <w:t xml:space="preserve">Liquidity was strongest here, as IHG deliberately built a large cash buffer for resilience; cash rose to $1,675m in 2020, and net cash and cash equivalents (net of overdrafts and restricted cash) reached $1,575m versus just $86m in 2019. </w:t>
      </w:r>
      <w:r w:rsidRPr="00B241A8">
        <w:rPr>
          <w:rFonts w:ascii="Arial" w:hAnsi="Arial" w:cs="Arial"/>
          <w:i/>
          <w:iCs/>
          <w:color w:val="595959"/>
          <w:sz w:val="24"/>
          <w:szCs w:val="24"/>
        </w:rPr>
        <w:t>(Source: 2020 Annual Report)</w:t>
      </w:r>
      <w:r w:rsidR="00494CFE" w:rsidRPr="00B241A8">
        <w:rPr>
          <w:rFonts w:ascii="Arial" w:hAnsi="Arial" w:cs="Arial"/>
          <w:i/>
          <w:iCs/>
          <w:color w:val="595959"/>
          <w:sz w:val="24"/>
          <w:szCs w:val="24"/>
        </w:rPr>
        <w:t xml:space="preserve"> </w:t>
      </w:r>
      <w:r w:rsidR="00494CFE" w:rsidRPr="00B241A8">
        <w:rPr>
          <w:rFonts w:ascii="Arial" w:hAnsi="Arial" w:cs="Arial"/>
          <w:i/>
          <w:iCs/>
          <w:color w:val="595959"/>
          <w:sz w:val="24"/>
          <w:szCs w:val="24"/>
        </w:rPr>
        <w:fldChar w:fldCharType="begin" w:fldLock="1"/>
      </w:r>
      <w:r w:rsidR="00494CFE" w:rsidRPr="00B241A8">
        <w:rPr>
          <w:rFonts w:ascii="Arial" w:hAnsi="Arial" w:cs="Arial"/>
          <w:i/>
          <w:iCs/>
          <w:color w:val="595959"/>
          <w:sz w:val="24"/>
          <w:szCs w:val="24"/>
        </w:rPr>
        <w:instrText>ADDIN CSL_CITATION {"citationItems":[{"id":"ITEM-1","itemData":{"ISSN":"0003-6846","author":[{"dropping-particle":"","family":"Tascón","given":"María T.","non-dropping-particle":"","parse-names":false,"suffix":""},{"dropping-particle":"","family":"Castro","given":"Paula","non-dropping-particle":"","parse-names":false,"suffix":""},{"dropping-particle":"","family":"Valdunciel","given":"Laura","non-dropping-particle":"","parse-names":false,"suffix":""}],"container-title":"Applied Economics","id":"ITEM-1","issue":"58","issued":{"date-parts":[["2023","12","13"]]},"page":"8226-8241","title":"Effects of financial restrictions on firms’ financial resilience against the COVID-19 pandemic: evidence from the European hospitality industry","type":"article-journal","volume":"56"},"uris":["http://www.mendeley.com/documents/?uuid=5ae454e1-aabe-41fa-888d-11d5a4f51c09"]}],"mendeley":{"formattedCitation":"(Tascón, Castro and Valdunciel, 2023)","plainTextFormattedCitation":"(Tascón, Castro and Valdunciel, 2023)","previouslyFormattedCitation":"(Tascón, Castro and Valdunciel, 2023)"},"properties":{"noteIndex":0},"schema":"https://github.com/citation-style-language/schema/raw/master/csl-citation.json"}</w:instrText>
      </w:r>
      <w:r w:rsidR="00494CFE" w:rsidRPr="00B241A8">
        <w:rPr>
          <w:rFonts w:ascii="Arial" w:hAnsi="Arial" w:cs="Arial"/>
          <w:i/>
          <w:iCs/>
          <w:color w:val="595959"/>
          <w:sz w:val="24"/>
          <w:szCs w:val="24"/>
        </w:rPr>
        <w:fldChar w:fldCharType="separate"/>
      </w:r>
      <w:r w:rsidR="00494CFE" w:rsidRPr="00B241A8">
        <w:rPr>
          <w:rFonts w:ascii="Arial" w:hAnsi="Arial" w:cs="Arial"/>
          <w:iCs/>
          <w:noProof/>
          <w:color w:val="595959"/>
          <w:sz w:val="24"/>
          <w:szCs w:val="24"/>
        </w:rPr>
        <w:t>(Tascón, Castro and Valdunciel, 2023)</w:t>
      </w:r>
      <w:r w:rsidR="00494CFE" w:rsidRPr="00B241A8">
        <w:rPr>
          <w:rFonts w:ascii="Arial" w:hAnsi="Arial" w:cs="Arial"/>
          <w:i/>
          <w:iCs/>
          <w:color w:val="595959"/>
          <w:sz w:val="24"/>
          <w:szCs w:val="24"/>
        </w:rPr>
        <w:fldChar w:fldCharType="end"/>
      </w:r>
    </w:p>
    <w:p w14:paraId="620429E2" w14:textId="1A30ACCB" w:rsidR="00A87C31" w:rsidRPr="00B241A8" w:rsidRDefault="00A87C31" w:rsidP="00F73003">
      <w:pPr>
        <w:pStyle w:val="ListParagraph"/>
        <w:numPr>
          <w:ilvl w:val="0"/>
          <w:numId w:val="2"/>
        </w:numPr>
        <w:spacing w:after="120" w:line="360" w:lineRule="auto"/>
        <w:jc w:val="both"/>
        <w:rPr>
          <w:rFonts w:ascii="Arial" w:hAnsi="Arial" w:cs="Arial"/>
          <w:sz w:val="24"/>
          <w:szCs w:val="24"/>
        </w:rPr>
      </w:pPr>
      <w:r w:rsidRPr="00B241A8">
        <w:rPr>
          <w:rFonts w:ascii="Arial" w:hAnsi="Arial" w:cs="Arial"/>
          <w:b/>
          <w:bCs/>
          <w:sz w:val="24"/>
          <w:szCs w:val="24"/>
        </w:rPr>
        <w:t xml:space="preserve">2022–2024 – ratios fall below 1.0x: </w:t>
      </w:r>
      <w:r w:rsidRPr="00B241A8">
        <w:rPr>
          <w:rFonts w:ascii="Arial" w:hAnsi="Arial" w:cs="Arial"/>
          <w:sz w:val="24"/>
          <w:szCs w:val="24"/>
        </w:rPr>
        <w:t>Current and cash ratios steadily declined, not from operating weakness but because cash was redeployed into large share buybacks ($482m in 2022, $790m in 2023, $804m in 2024) rather than retained</w:t>
      </w:r>
      <w:r w:rsidR="00494CFE" w:rsidRPr="00B241A8">
        <w:rPr>
          <w:rFonts w:ascii="Arial" w:hAnsi="Arial" w:cs="Arial"/>
          <w:sz w:val="24"/>
          <w:szCs w:val="24"/>
        </w:rPr>
        <w:t xml:space="preserve"> </w:t>
      </w:r>
      <w:r w:rsidR="00494CFE" w:rsidRPr="00B241A8">
        <w:rPr>
          <w:rFonts w:ascii="Arial" w:hAnsi="Arial" w:cs="Arial"/>
          <w:sz w:val="24"/>
          <w:szCs w:val="24"/>
        </w:rPr>
        <w:fldChar w:fldCharType="begin" w:fldLock="1"/>
      </w:r>
      <w:r w:rsidR="00494CFE" w:rsidRPr="00B241A8">
        <w:rPr>
          <w:rFonts w:ascii="Arial" w:hAnsi="Arial" w:cs="Arial"/>
          <w:sz w:val="24"/>
          <w:szCs w:val="24"/>
        </w:rPr>
        <w:instrText>ADDIN CSL_CITATION {"citationItems":[{"id":"ITEM-1","itemData":{"ISSN":"10590560","author":[{"dropping-particle":"","family":"Ye","given":"Linlin","non-dropping-particle":"","parse-names":false,"suffix":""},{"dropping-particle":"","family":"Wang","given":"Zejun","non-dropping-particle":"","parse-names":false,"suffix":""},{"dropping-particle":"","family":"Ren","given":"He","non-dropping-particle":"","parse-names":false,"suffix":""}],"container-title":"International Review of Economics &amp; Finance","id":"ITEM-1","issued":{"date-parts":[["2024","11"]]},"page":"103568","title":"Share repurchase and cash holdings: Evidence from China","type":"article-journal","volume":"96"},"uris":["http://www.mendeley.com/documents/?uuid=81f77960-648b-4d77-8069-a066182f80ba"]}],"mendeley":{"formattedCitation":"(Ye, Wang and Ren, 2024)","plainTextFormattedCitation":"(Ye, Wang and Ren, 2024)","previouslyFormattedCitation":"(Ye, Wang and Ren, 2024)"},"properties":{"noteIndex":0},"schema":"https://github.com/citation-style-language/schema/raw/master/csl-citation.json"}</w:instrText>
      </w:r>
      <w:r w:rsidR="00494CFE" w:rsidRPr="00B241A8">
        <w:rPr>
          <w:rFonts w:ascii="Arial" w:hAnsi="Arial" w:cs="Arial"/>
          <w:sz w:val="24"/>
          <w:szCs w:val="24"/>
        </w:rPr>
        <w:fldChar w:fldCharType="separate"/>
      </w:r>
      <w:r w:rsidR="00494CFE" w:rsidRPr="00B241A8">
        <w:rPr>
          <w:rFonts w:ascii="Arial" w:hAnsi="Arial" w:cs="Arial"/>
          <w:noProof/>
          <w:sz w:val="24"/>
          <w:szCs w:val="24"/>
        </w:rPr>
        <w:t>(Ye, Wang and Ren, 2024)</w:t>
      </w:r>
      <w:r w:rsidR="00494CFE" w:rsidRPr="00B241A8">
        <w:rPr>
          <w:rFonts w:ascii="Arial" w:hAnsi="Arial" w:cs="Arial"/>
          <w:sz w:val="24"/>
          <w:szCs w:val="24"/>
        </w:rPr>
        <w:fldChar w:fldCharType="end"/>
      </w:r>
      <w:r w:rsidR="00494CFE" w:rsidRPr="00B241A8">
        <w:rPr>
          <w:rFonts w:ascii="Arial" w:hAnsi="Arial" w:cs="Arial"/>
          <w:sz w:val="24"/>
          <w:szCs w:val="24"/>
        </w:rPr>
        <w:t>.</w:t>
      </w:r>
      <w:r w:rsidRPr="00B241A8">
        <w:rPr>
          <w:rFonts w:ascii="Arial" w:hAnsi="Arial" w:cs="Arial"/>
          <w:sz w:val="24"/>
          <w:szCs w:val="24"/>
        </w:rPr>
        <w:t xml:space="preserve"> Cash fell from $1,675m (2020) to $1,008m (2024) even as revenue grew, reflecting IHG's asset-light model, which is backed by undrawn facilities rather than a large cash balance — total liquidity of $2,319m at end-2024 comprised $1,350m of undrawn bank facilities plus $969m of net cash. </w:t>
      </w:r>
      <w:r w:rsidRPr="00B241A8">
        <w:rPr>
          <w:rFonts w:ascii="Arial" w:hAnsi="Arial" w:cs="Arial"/>
          <w:i/>
          <w:iCs/>
          <w:color w:val="595959"/>
          <w:sz w:val="24"/>
          <w:szCs w:val="24"/>
        </w:rPr>
        <w:t>(Source: 2022, 2023 and 2024 Annual Reports)</w:t>
      </w:r>
    </w:p>
    <w:p w14:paraId="54C79B37" w14:textId="77777777" w:rsidR="00A87C31" w:rsidRPr="00B241A8" w:rsidRDefault="00A87C31" w:rsidP="00F73003">
      <w:pPr>
        <w:pStyle w:val="Heading1"/>
        <w:spacing w:line="360" w:lineRule="auto"/>
        <w:jc w:val="both"/>
      </w:pPr>
      <w:bookmarkStart w:id="24" w:name="_Toc237523905"/>
      <w:r w:rsidRPr="00B241A8">
        <w:t>3. Efficiency Ratios</w:t>
      </w:r>
      <w:bookmarkEnd w:id="24"/>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00"/>
        <w:gridCol w:w="1240"/>
        <w:gridCol w:w="1240"/>
        <w:gridCol w:w="1240"/>
        <w:gridCol w:w="1240"/>
        <w:gridCol w:w="1240"/>
      </w:tblGrid>
      <w:tr w:rsidR="00A87C31" w:rsidRPr="00B241A8" w14:paraId="3AD5E2F2" w14:textId="77777777" w:rsidTr="00A87C31">
        <w:trPr>
          <w:tblHeader/>
        </w:trPr>
        <w:tc>
          <w:tcPr>
            <w:tcW w:w="3400" w:type="dxa"/>
            <w:tcBorders>
              <w:top w:val="single" w:sz="4" w:space="0" w:color="auto"/>
              <w:left w:val="single" w:sz="4" w:space="0" w:color="auto"/>
              <w:bottom w:val="single" w:sz="4" w:space="0" w:color="auto"/>
              <w:right w:val="single" w:sz="4" w:space="0" w:color="auto"/>
            </w:tcBorders>
            <w:shd w:val="clear" w:color="auto" w:fill="1F3864"/>
            <w:tcMar>
              <w:top w:w="80" w:type="dxa"/>
              <w:left w:w="100" w:type="dxa"/>
              <w:bottom w:w="80" w:type="dxa"/>
              <w:right w:w="100" w:type="dxa"/>
            </w:tcMar>
            <w:vAlign w:val="center"/>
            <w:hideMark/>
          </w:tcPr>
          <w:p w14:paraId="089A7E33" w14:textId="77777777" w:rsidR="00A87C31" w:rsidRPr="00B241A8" w:rsidRDefault="00A87C31" w:rsidP="00F73003">
            <w:pPr>
              <w:spacing w:line="360" w:lineRule="auto"/>
              <w:jc w:val="both"/>
              <w:rPr>
                <w:rFonts w:cs="Arial"/>
                <w:szCs w:val="24"/>
              </w:rPr>
            </w:pPr>
            <w:r w:rsidRPr="00B241A8">
              <w:rPr>
                <w:rFonts w:cs="Arial"/>
                <w:b/>
                <w:bCs/>
                <w:color w:val="FFFFFF"/>
                <w:szCs w:val="24"/>
              </w:rPr>
              <w:t>Ratio</w:t>
            </w:r>
          </w:p>
        </w:tc>
        <w:tc>
          <w:tcPr>
            <w:tcW w:w="1240" w:type="dxa"/>
            <w:tcBorders>
              <w:top w:val="single" w:sz="4" w:space="0" w:color="auto"/>
              <w:left w:val="single" w:sz="4" w:space="0" w:color="auto"/>
              <w:bottom w:val="single" w:sz="4" w:space="0" w:color="auto"/>
              <w:right w:val="single" w:sz="4" w:space="0" w:color="auto"/>
            </w:tcBorders>
            <w:shd w:val="clear" w:color="auto" w:fill="1F3864"/>
            <w:tcMar>
              <w:top w:w="80" w:type="dxa"/>
              <w:left w:w="100" w:type="dxa"/>
              <w:bottom w:w="80" w:type="dxa"/>
              <w:right w:w="100" w:type="dxa"/>
            </w:tcMar>
            <w:vAlign w:val="center"/>
            <w:hideMark/>
          </w:tcPr>
          <w:p w14:paraId="29E82F9D" w14:textId="77777777" w:rsidR="00A87C31" w:rsidRPr="00B241A8" w:rsidRDefault="00A87C31" w:rsidP="00F73003">
            <w:pPr>
              <w:spacing w:line="360" w:lineRule="auto"/>
              <w:jc w:val="both"/>
              <w:rPr>
                <w:rFonts w:cs="Arial"/>
                <w:szCs w:val="24"/>
              </w:rPr>
            </w:pPr>
            <w:r w:rsidRPr="00B241A8">
              <w:rPr>
                <w:rFonts w:cs="Arial"/>
                <w:b/>
                <w:bCs/>
                <w:color w:val="FFFFFF"/>
                <w:szCs w:val="24"/>
              </w:rPr>
              <w:t>2020</w:t>
            </w:r>
          </w:p>
        </w:tc>
        <w:tc>
          <w:tcPr>
            <w:tcW w:w="1240" w:type="dxa"/>
            <w:tcBorders>
              <w:top w:val="single" w:sz="4" w:space="0" w:color="auto"/>
              <w:left w:val="single" w:sz="4" w:space="0" w:color="auto"/>
              <w:bottom w:val="single" w:sz="4" w:space="0" w:color="auto"/>
              <w:right w:val="single" w:sz="4" w:space="0" w:color="auto"/>
            </w:tcBorders>
            <w:shd w:val="clear" w:color="auto" w:fill="1F3864"/>
            <w:tcMar>
              <w:top w:w="80" w:type="dxa"/>
              <w:left w:w="100" w:type="dxa"/>
              <w:bottom w:w="80" w:type="dxa"/>
              <w:right w:w="100" w:type="dxa"/>
            </w:tcMar>
            <w:vAlign w:val="center"/>
            <w:hideMark/>
          </w:tcPr>
          <w:p w14:paraId="4B775FA5" w14:textId="77777777" w:rsidR="00A87C31" w:rsidRPr="00B241A8" w:rsidRDefault="00A87C31" w:rsidP="00F73003">
            <w:pPr>
              <w:spacing w:line="360" w:lineRule="auto"/>
              <w:jc w:val="both"/>
              <w:rPr>
                <w:rFonts w:cs="Arial"/>
                <w:szCs w:val="24"/>
              </w:rPr>
            </w:pPr>
            <w:r w:rsidRPr="00B241A8">
              <w:rPr>
                <w:rFonts w:cs="Arial"/>
                <w:b/>
                <w:bCs/>
                <w:color w:val="FFFFFF"/>
                <w:szCs w:val="24"/>
              </w:rPr>
              <w:t>2021</w:t>
            </w:r>
          </w:p>
        </w:tc>
        <w:tc>
          <w:tcPr>
            <w:tcW w:w="1240" w:type="dxa"/>
            <w:tcBorders>
              <w:top w:val="single" w:sz="4" w:space="0" w:color="auto"/>
              <w:left w:val="single" w:sz="4" w:space="0" w:color="auto"/>
              <w:bottom w:val="single" w:sz="4" w:space="0" w:color="auto"/>
              <w:right w:val="single" w:sz="4" w:space="0" w:color="auto"/>
            </w:tcBorders>
            <w:shd w:val="clear" w:color="auto" w:fill="1F3864"/>
            <w:tcMar>
              <w:top w:w="80" w:type="dxa"/>
              <w:left w:w="100" w:type="dxa"/>
              <w:bottom w:w="80" w:type="dxa"/>
              <w:right w:w="100" w:type="dxa"/>
            </w:tcMar>
            <w:vAlign w:val="center"/>
            <w:hideMark/>
          </w:tcPr>
          <w:p w14:paraId="3D9D0CF7" w14:textId="77777777" w:rsidR="00A87C31" w:rsidRPr="00B241A8" w:rsidRDefault="00A87C31" w:rsidP="00F73003">
            <w:pPr>
              <w:spacing w:line="360" w:lineRule="auto"/>
              <w:jc w:val="both"/>
              <w:rPr>
                <w:rFonts w:cs="Arial"/>
                <w:szCs w:val="24"/>
              </w:rPr>
            </w:pPr>
            <w:r w:rsidRPr="00B241A8">
              <w:rPr>
                <w:rFonts w:cs="Arial"/>
                <w:b/>
                <w:bCs/>
                <w:color w:val="FFFFFF"/>
                <w:szCs w:val="24"/>
              </w:rPr>
              <w:t>2022</w:t>
            </w:r>
          </w:p>
        </w:tc>
        <w:tc>
          <w:tcPr>
            <w:tcW w:w="1240" w:type="dxa"/>
            <w:tcBorders>
              <w:top w:val="single" w:sz="4" w:space="0" w:color="auto"/>
              <w:left w:val="single" w:sz="4" w:space="0" w:color="auto"/>
              <w:bottom w:val="single" w:sz="4" w:space="0" w:color="auto"/>
              <w:right w:val="single" w:sz="4" w:space="0" w:color="auto"/>
            </w:tcBorders>
            <w:shd w:val="clear" w:color="auto" w:fill="1F3864"/>
            <w:tcMar>
              <w:top w:w="80" w:type="dxa"/>
              <w:left w:w="100" w:type="dxa"/>
              <w:bottom w:w="80" w:type="dxa"/>
              <w:right w:w="100" w:type="dxa"/>
            </w:tcMar>
            <w:vAlign w:val="center"/>
            <w:hideMark/>
          </w:tcPr>
          <w:p w14:paraId="4D073945" w14:textId="77777777" w:rsidR="00A87C31" w:rsidRPr="00B241A8" w:rsidRDefault="00A87C31" w:rsidP="00F73003">
            <w:pPr>
              <w:spacing w:line="360" w:lineRule="auto"/>
              <w:jc w:val="both"/>
              <w:rPr>
                <w:rFonts w:cs="Arial"/>
                <w:szCs w:val="24"/>
              </w:rPr>
            </w:pPr>
            <w:r w:rsidRPr="00B241A8">
              <w:rPr>
                <w:rFonts w:cs="Arial"/>
                <w:b/>
                <w:bCs/>
                <w:color w:val="FFFFFF"/>
                <w:szCs w:val="24"/>
              </w:rPr>
              <w:t>2023</w:t>
            </w:r>
          </w:p>
        </w:tc>
        <w:tc>
          <w:tcPr>
            <w:tcW w:w="1240" w:type="dxa"/>
            <w:tcBorders>
              <w:top w:val="single" w:sz="4" w:space="0" w:color="auto"/>
              <w:left w:val="single" w:sz="4" w:space="0" w:color="auto"/>
              <w:bottom w:val="single" w:sz="4" w:space="0" w:color="auto"/>
              <w:right w:val="single" w:sz="4" w:space="0" w:color="auto"/>
            </w:tcBorders>
            <w:shd w:val="clear" w:color="auto" w:fill="1F3864"/>
            <w:tcMar>
              <w:top w:w="80" w:type="dxa"/>
              <w:left w:w="100" w:type="dxa"/>
              <w:bottom w:w="80" w:type="dxa"/>
              <w:right w:w="100" w:type="dxa"/>
            </w:tcMar>
            <w:vAlign w:val="center"/>
            <w:hideMark/>
          </w:tcPr>
          <w:p w14:paraId="292CE83B" w14:textId="77777777" w:rsidR="00A87C31" w:rsidRPr="00B241A8" w:rsidRDefault="00A87C31" w:rsidP="00F73003">
            <w:pPr>
              <w:spacing w:line="360" w:lineRule="auto"/>
              <w:jc w:val="both"/>
              <w:rPr>
                <w:rFonts w:cs="Arial"/>
                <w:szCs w:val="24"/>
              </w:rPr>
            </w:pPr>
            <w:r w:rsidRPr="00B241A8">
              <w:rPr>
                <w:rFonts w:cs="Arial"/>
                <w:b/>
                <w:bCs/>
                <w:color w:val="FFFFFF"/>
                <w:szCs w:val="24"/>
              </w:rPr>
              <w:t>2024</w:t>
            </w:r>
          </w:p>
        </w:tc>
      </w:tr>
      <w:tr w:rsidR="00A87C31" w:rsidRPr="00B241A8" w14:paraId="34C38F78" w14:textId="77777777" w:rsidTr="00A87C31">
        <w:tc>
          <w:tcPr>
            <w:tcW w:w="340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3A702AA4" w14:textId="77777777" w:rsidR="00A87C31" w:rsidRPr="00B241A8" w:rsidRDefault="00A87C31" w:rsidP="00F73003">
            <w:pPr>
              <w:spacing w:line="360" w:lineRule="auto"/>
              <w:jc w:val="both"/>
              <w:rPr>
                <w:rFonts w:cs="Arial"/>
                <w:szCs w:val="24"/>
              </w:rPr>
            </w:pPr>
            <w:r w:rsidRPr="00B241A8">
              <w:rPr>
                <w:rFonts w:cs="Arial"/>
                <w:color w:val="000000"/>
                <w:szCs w:val="24"/>
              </w:rPr>
              <w:t>Asset turnover (Revenue / Assets)</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7C20AF6A" w14:textId="77777777" w:rsidR="00A87C31" w:rsidRPr="00B241A8" w:rsidRDefault="00A87C31" w:rsidP="00F73003">
            <w:pPr>
              <w:spacing w:line="360" w:lineRule="auto"/>
              <w:jc w:val="both"/>
              <w:rPr>
                <w:rFonts w:cs="Arial"/>
                <w:szCs w:val="24"/>
              </w:rPr>
            </w:pPr>
            <w:r w:rsidRPr="00B241A8">
              <w:rPr>
                <w:rFonts w:cs="Arial"/>
                <w:color w:val="000000"/>
                <w:szCs w:val="24"/>
              </w:rPr>
              <w:t>0.48x</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0CF66D8C" w14:textId="77777777" w:rsidR="00A87C31" w:rsidRPr="00B241A8" w:rsidRDefault="00A87C31" w:rsidP="00F73003">
            <w:pPr>
              <w:spacing w:line="360" w:lineRule="auto"/>
              <w:jc w:val="both"/>
              <w:rPr>
                <w:rFonts w:cs="Arial"/>
                <w:szCs w:val="24"/>
              </w:rPr>
            </w:pPr>
            <w:r w:rsidRPr="00B241A8">
              <w:rPr>
                <w:rFonts w:cs="Arial"/>
                <w:color w:val="000000"/>
                <w:szCs w:val="24"/>
              </w:rPr>
              <w:t>0.62x</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64D54709" w14:textId="77777777" w:rsidR="00A87C31" w:rsidRPr="00B241A8" w:rsidRDefault="00A87C31" w:rsidP="00F73003">
            <w:pPr>
              <w:spacing w:line="360" w:lineRule="auto"/>
              <w:jc w:val="both"/>
              <w:rPr>
                <w:rFonts w:cs="Arial"/>
                <w:szCs w:val="24"/>
              </w:rPr>
            </w:pPr>
            <w:r w:rsidRPr="00B241A8">
              <w:rPr>
                <w:rFonts w:cs="Arial"/>
                <w:color w:val="000000"/>
                <w:szCs w:val="24"/>
              </w:rPr>
              <w:t>0.92x</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6513006E" w14:textId="77777777" w:rsidR="00A87C31" w:rsidRPr="00B241A8" w:rsidRDefault="00A87C31" w:rsidP="00F73003">
            <w:pPr>
              <w:spacing w:line="360" w:lineRule="auto"/>
              <w:jc w:val="both"/>
              <w:rPr>
                <w:rFonts w:cs="Arial"/>
                <w:szCs w:val="24"/>
              </w:rPr>
            </w:pPr>
            <w:r w:rsidRPr="00B241A8">
              <w:rPr>
                <w:rFonts w:cs="Arial"/>
                <w:color w:val="000000"/>
                <w:szCs w:val="24"/>
              </w:rPr>
              <w:t>0.96x</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250465D6" w14:textId="77777777" w:rsidR="00A87C31" w:rsidRPr="00B241A8" w:rsidRDefault="00A87C31" w:rsidP="00F73003">
            <w:pPr>
              <w:spacing w:line="360" w:lineRule="auto"/>
              <w:jc w:val="both"/>
              <w:rPr>
                <w:rFonts w:cs="Arial"/>
                <w:szCs w:val="24"/>
              </w:rPr>
            </w:pPr>
            <w:r w:rsidRPr="00B241A8">
              <w:rPr>
                <w:rFonts w:cs="Arial"/>
                <w:color w:val="000000"/>
                <w:szCs w:val="24"/>
              </w:rPr>
              <w:t>1.04x</w:t>
            </w:r>
          </w:p>
        </w:tc>
      </w:tr>
      <w:tr w:rsidR="00A87C31" w:rsidRPr="00B241A8" w14:paraId="6316CB15" w14:textId="77777777" w:rsidTr="00A87C31">
        <w:tc>
          <w:tcPr>
            <w:tcW w:w="340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4D63C86F" w14:textId="77777777" w:rsidR="00A87C31" w:rsidRPr="00B241A8" w:rsidRDefault="00A87C31" w:rsidP="00F73003">
            <w:pPr>
              <w:spacing w:line="360" w:lineRule="auto"/>
              <w:jc w:val="both"/>
              <w:rPr>
                <w:rFonts w:cs="Arial"/>
                <w:szCs w:val="24"/>
              </w:rPr>
            </w:pPr>
            <w:r w:rsidRPr="00B241A8">
              <w:rPr>
                <w:rFonts w:cs="Arial"/>
                <w:color w:val="000000"/>
                <w:szCs w:val="24"/>
              </w:rPr>
              <w:t>Receivables turnover</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080D1C00" w14:textId="77777777" w:rsidR="00A87C31" w:rsidRPr="00B241A8" w:rsidRDefault="00A87C31" w:rsidP="00F73003">
            <w:pPr>
              <w:spacing w:line="360" w:lineRule="auto"/>
              <w:jc w:val="both"/>
              <w:rPr>
                <w:rFonts w:cs="Arial"/>
                <w:szCs w:val="24"/>
              </w:rPr>
            </w:pPr>
            <w:r w:rsidRPr="00B241A8">
              <w:rPr>
                <w:rFonts w:cs="Arial"/>
                <w:color w:val="000000"/>
                <w:szCs w:val="24"/>
              </w:rPr>
              <w:t>4.66x</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79F7DF06" w14:textId="77777777" w:rsidR="00A87C31" w:rsidRPr="00B241A8" w:rsidRDefault="00A87C31" w:rsidP="00F73003">
            <w:pPr>
              <w:spacing w:line="360" w:lineRule="auto"/>
              <w:jc w:val="both"/>
              <w:rPr>
                <w:rFonts w:cs="Arial"/>
                <w:szCs w:val="24"/>
              </w:rPr>
            </w:pPr>
            <w:r w:rsidRPr="00B241A8">
              <w:rPr>
                <w:rFonts w:cs="Arial"/>
                <w:color w:val="000000"/>
                <w:szCs w:val="24"/>
              </w:rPr>
              <w:t>5.06x</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3533DDC5" w14:textId="77777777" w:rsidR="00A87C31" w:rsidRPr="00B241A8" w:rsidRDefault="00A87C31" w:rsidP="00F73003">
            <w:pPr>
              <w:spacing w:line="360" w:lineRule="auto"/>
              <w:jc w:val="both"/>
              <w:rPr>
                <w:rFonts w:cs="Arial"/>
                <w:szCs w:val="24"/>
              </w:rPr>
            </w:pPr>
            <w:r w:rsidRPr="00B241A8">
              <w:rPr>
                <w:rFonts w:cs="Arial"/>
                <w:color w:val="000000"/>
                <w:szCs w:val="24"/>
              </w:rPr>
              <w:t>6.02x</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21CF9A52" w14:textId="77777777" w:rsidR="00A87C31" w:rsidRPr="00B241A8" w:rsidRDefault="00A87C31" w:rsidP="00F73003">
            <w:pPr>
              <w:spacing w:line="360" w:lineRule="auto"/>
              <w:jc w:val="both"/>
              <w:rPr>
                <w:rFonts w:cs="Arial"/>
                <w:szCs w:val="24"/>
              </w:rPr>
            </w:pPr>
            <w:r w:rsidRPr="00B241A8">
              <w:rPr>
                <w:rFonts w:cs="Arial"/>
                <w:color w:val="000000"/>
                <w:szCs w:val="24"/>
              </w:rPr>
              <w:t>6.25x</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346007C4" w14:textId="77777777" w:rsidR="00A87C31" w:rsidRPr="00B241A8" w:rsidRDefault="00A87C31" w:rsidP="00F73003">
            <w:pPr>
              <w:spacing w:line="360" w:lineRule="auto"/>
              <w:jc w:val="both"/>
              <w:rPr>
                <w:rFonts w:cs="Arial"/>
                <w:szCs w:val="24"/>
              </w:rPr>
            </w:pPr>
            <w:r w:rsidRPr="00B241A8">
              <w:rPr>
                <w:rFonts w:cs="Arial"/>
                <w:color w:val="000000"/>
                <w:szCs w:val="24"/>
              </w:rPr>
              <w:t>6.27x</w:t>
            </w:r>
          </w:p>
        </w:tc>
      </w:tr>
      <w:tr w:rsidR="00A87C31" w:rsidRPr="00B241A8" w14:paraId="602FFD72" w14:textId="77777777" w:rsidTr="00A87C31">
        <w:tc>
          <w:tcPr>
            <w:tcW w:w="340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7C79DF82" w14:textId="77777777" w:rsidR="00A87C31" w:rsidRPr="00B241A8" w:rsidRDefault="00A87C31" w:rsidP="00F73003">
            <w:pPr>
              <w:spacing w:line="360" w:lineRule="auto"/>
              <w:jc w:val="both"/>
              <w:rPr>
                <w:rFonts w:cs="Arial"/>
                <w:szCs w:val="24"/>
              </w:rPr>
            </w:pPr>
            <w:r w:rsidRPr="00B241A8">
              <w:rPr>
                <w:rFonts w:cs="Arial"/>
                <w:color w:val="000000"/>
                <w:szCs w:val="24"/>
              </w:rPr>
              <w:t>Days Sales Outstanding (DSO)</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6A807A3B" w14:textId="77777777" w:rsidR="00A87C31" w:rsidRPr="00B241A8" w:rsidRDefault="00A87C31" w:rsidP="00F73003">
            <w:pPr>
              <w:spacing w:line="360" w:lineRule="auto"/>
              <w:jc w:val="both"/>
              <w:rPr>
                <w:rFonts w:cs="Arial"/>
                <w:szCs w:val="24"/>
              </w:rPr>
            </w:pPr>
            <w:r w:rsidRPr="00B241A8">
              <w:rPr>
                <w:rFonts w:cs="Arial"/>
                <w:color w:val="000000"/>
                <w:szCs w:val="24"/>
              </w:rPr>
              <w:t>78 days</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5DDE1AF3" w14:textId="77777777" w:rsidR="00A87C31" w:rsidRPr="00B241A8" w:rsidRDefault="00A87C31" w:rsidP="00F73003">
            <w:pPr>
              <w:spacing w:line="360" w:lineRule="auto"/>
              <w:jc w:val="both"/>
              <w:rPr>
                <w:rFonts w:cs="Arial"/>
                <w:szCs w:val="24"/>
              </w:rPr>
            </w:pPr>
            <w:r w:rsidRPr="00B241A8">
              <w:rPr>
                <w:rFonts w:cs="Arial"/>
                <w:color w:val="000000"/>
                <w:szCs w:val="24"/>
              </w:rPr>
              <w:t>72 days</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2CBCBD3C" w14:textId="77777777" w:rsidR="00A87C31" w:rsidRPr="00B241A8" w:rsidRDefault="00A87C31" w:rsidP="00F73003">
            <w:pPr>
              <w:spacing w:line="360" w:lineRule="auto"/>
              <w:jc w:val="both"/>
              <w:rPr>
                <w:rFonts w:cs="Arial"/>
                <w:szCs w:val="24"/>
              </w:rPr>
            </w:pPr>
            <w:r w:rsidRPr="00B241A8">
              <w:rPr>
                <w:rFonts w:cs="Arial"/>
                <w:color w:val="000000"/>
                <w:szCs w:val="24"/>
              </w:rPr>
              <w:t>61 days</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5FB48248" w14:textId="77777777" w:rsidR="00A87C31" w:rsidRPr="00B241A8" w:rsidRDefault="00A87C31" w:rsidP="00F73003">
            <w:pPr>
              <w:spacing w:line="360" w:lineRule="auto"/>
              <w:jc w:val="both"/>
              <w:rPr>
                <w:rFonts w:cs="Arial"/>
                <w:szCs w:val="24"/>
              </w:rPr>
            </w:pPr>
            <w:r w:rsidRPr="00B241A8">
              <w:rPr>
                <w:rFonts w:cs="Arial"/>
                <w:color w:val="000000"/>
                <w:szCs w:val="24"/>
              </w:rPr>
              <w:t>58 days</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2AF6FC0B" w14:textId="77777777" w:rsidR="00A87C31" w:rsidRPr="00B241A8" w:rsidRDefault="00A87C31" w:rsidP="00F73003">
            <w:pPr>
              <w:spacing w:line="360" w:lineRule="auto"/>
              <w:jc w:val="both"/>
              <w:rPr>
                <w:rFonts w:cs="Arial"/>
                <w:szCs w:val="24"/>
              </w:rPr>
            </w:pPr>
            <w:r w:rsidRPr="00B241A8">
              <w:rPr>
                <w:rFonts w:cs="Arial"/>
                <w:color w:val="000000"/>
                <w:szCs w:val="24"/>
              </w:rPr>
              <w:t>58 days</w:t>
            </w:r>
          </w:p>
        </w:tc>
      </w:tr>
    </w:tbl>
    <w:p w14:paraId="2C1AFB3F" w14:textId="77777777" w:rsidR="00A87C31" w:rsidRPr="00B241A8" w:rsidRDefault="00A87C31" w:rsidP="00F73003">
      <w:pPr>
        <w:pStyle w:val="Heading1"/>
        <w:spacing w:line="360" w:lineRule="auto"/>
        <w:jc w:val="both"/>
        <w:rPr>
          <w:lang w:val="en-US" w:eastAsia="en-US" w:bidi="ar-SA"/>
        </w:rPr>
      </w:pPr>
      <w:bookmarkStart w:id="25" w:name="_Toc237523906"/>
      <w:r w:rsidRPr="00B241A8">
        <w:t>Key changes and explanations</w:t>
      </w:r>
      <w:bookmarkEnd w:id="25"/>
    </w:p>
    <w:p w14:paraId="22256AE4" w14:textId="642EBE8D" w:rsidR="00A87C31" w:rsidRPr="00B241A8" w:rsidRDefault="00A87C31" w:rsidP="00F73003">
      <w:pPr>
        <w:pStyle w:val="ListParagraph"/>
        <w:numPr>
          <w:ilvl w:val="0"/>
          <w:numId w:val="2"/>
        </w:numPr>
        <w:spacing w:after="120" w:line="360" w:lineRule="auto"/>
        <w:jc w:val="both"/>
        <w:rPr>
          <w:rFonts w:ascii="Arial" w:hAnsi="Arial" w:cs="Arial"/>
          <w:sz w:val="24"/>
          <w:szCs w:val="24"/>
        </w:rPr>
      </w:pPr>
      <w:r w:rsidRPr="00B241A8">
        <w:rPr>
          <w:rFonts w:ascii="Arial" w:hAnsi="Arial" w:cs="Arial"/>
          <w:b/>
          <w:bCs/>
          <w:sz w:val="24"/>
          <w:szCs w:val="24"/>
        </w:rPr>
        <w:t xml:space="preserve">Consistent improvement across all five years: </w:t>
      </w:r>
      <w:r w:rsidRPr="00B241A8">
        <w:rPr>
          <w:rFonts w:ascii="Arial" w:hAnsi="Arial" w:cs="Arial"/>
          <w:sz w:val="24"/>
          <w:szCs w:val="24"/>
        </w:rPr>
        <w:t>Asset turnover more than doubled (0.48x → 1.04x) and DSO shortened from 78 to 58 days. This reflects the demand recovery post</w:t>
      </w:r>
      <w:r w:rsidR="00264AF7">
        <w:rPr>
          <w:rFonts w:ascii="Arial" w:hAnsi="Arial" w:cs="Arial"/>
          <w:sz w:val="24"/>
          <w:szCs w:val="24"/>
        </w:rPr>
        <w:t>—COVID</w:t>
      </w:r>
      <w:r w:rsidRPr="00B241A8">
        <w:rPr>
          <w:rFonts w:ascii="Arial" w:hAnsi="Arial" w:cs="Arial"/>
          <w:sz w:val="24"/>
          <w:szCs w:val="24"/>
        </w:rPr>
        <w:t xml:space="preserve">— more revenue generated from a similar </w:t>
      </w:r>
      <w:r w:rsidRPr="00B241A8">
        <w:rPr>
          <w:rFonts w:ascii="Arial" w:hAnsi="Arial" w:cs="Arial"/>
          <w:sz w:val="24"/>
          <w:szCs w:val="24"/>
        </w:rPr>
        <w:lastRenderedPageBreak/>
        <w:t>or smaller asset base, consistent with IHG's fee-based franchise model rather than direct hotel ownership — combined with tighter working-capital and collections discipline as trading normalized</w:t>
      </w:r>
      <w:r w:rsidR="00494CFE" w:rsidRPr="00B241A8">
        <w:rPr>
          <w:rFonts w:ascii="Arial" w:hAnsi="Arial" w:cs="Arial"/>
          <w:sz w:val="24"/>
          <w:szCs w:val="24"/>
        </w:rPr>
        <w:t xml:space="preserve"> </w:t>
      </w:r>
      <w:r w:rsidR="00494CFE" w:rsidRPr="00B241A8">
        <w:rPr>
          <w:rFonts w:ascii="Arial" w:hAnsi="Arial" w:cs="Arial"/>
          <w:sz w:val="24"/>
          <w:szCs w:val="24"/>
        </w:rPr>
        <w:fldChar w:fldCharType="begin" w:fldLock="1"/>
      </w:r>
      <w:r w:rsidR="00494CFE" w:rsidRPr="00B241A8">
        <w:rPr>
          <w:rFonts w:ascii="Arial" w:hAnsi="Arial" w:cs="Arial"/>
          <w:sz w:val="24"/>
          <w:szCs w:val="24"/>
        </w:rPr>
        <w:instrText>ADDIN CSL_CITATION {"citationItems":[{"id":"ITEM-1","itemData":{"ISSN":"02784319","author":[{"dropping-particle":"","family":"Ji","given":"Kate Mingjie","non-dropping-particle":"","parse-names":false,"suffix":""},{"dropping-particle":"","family":"Wang","given":"Juanxi","non-dropping-particle":"","parse-names":false,"suffix":""},{"dropping-particle":"","family":"Boccardo","given":"Luca","non-dropping-particle":"","parse-names":false,"suffix":""},{"dropping-particle":"","family":"Brown","given":"Howard","non-dropping-particle":"","parse-names":false,"suffix":""},{"dropping-particle":"","family":"Wong","given":"IpKin Anthony","non-dropping-particle":"","parse-names":false,"suffix":""},{"dropping-particle":"","family":"Wu","given":"Jiao","non-dropping-particle":"","parse-names":false,"suffix":""}],"container-title":"International Journal of Hospitality Management","id":"ITEM-1","issued":{"date-parts":[["2024","1"]]},"page":"103619","title":"Interactive effects of financial leverage with asset-light strategies: The agency theory perspective","type":"article-journal","volume":"116"},"uris":["http://www.mendeley.com/documents/?uuid=4459a332-3e77-4020-948a-73954fb8ba63"]}],"mendeley":{"formattedCitation":"(Ji &lt;i&gt;et al.&lt;/i&gt;, 2024)","plainTextFormattedCitation":"(Ji et al., 2024)","previouslyFormattedCitation":"(Ji &lt;i&gt;et al.&lt;/i&gt;, 2024)"},"properties":{"noteIndex":0},"schema":"https://github.com/citation-style-language/schema/raw/master/csl-citation.json"}</w:instrText>
      </w:r>
      <w:r w:rsidR="00494CFE" w:rsidRPr="00B241A8">
        <w:rPr>
          <w:rFonts w:ascii="Arial" w:hAnsi="Arial" w:cs="Arial"/>
          <w:sz w:val="24"/>
          <w:szCs w:val="24"/>
        </w:rPr>
        <w:fldChar w:fldCharType="separate"/>
      </w:r>
      <w:r w:rsidR="00494CFE" w:rsidRPr="00B241A8">
        <w:rPr>
          <w:rFonts w:ascii="Arial" w:hAnsi="Arial" w:cs="Arial"/>
          <w:noProof/>
          <w:sz w:val="24"/>
          <w:szCs w:val="24"/>
        </w:rPr>
        <w:t xml:space="preserve">(Ji </w:t>
      </w:r>
      <w:r w:rsidR="00494CFE" w:rsidRPr="00B241A8">
        <w:rPr>
          <w:rFonts w:ascii="Arial" w:hAnsi="Arial" w:cs="Arial"/>
          <w:i/>
          <w:noProof/>
          <w:sz w:val="24"/>
          <w:szCs w:val="24"/>
        </w:rPr>
        <w:t>et al.</w:t>
      </w:r>
      <w:r w:rsidR="00494CFE" w:rsidRPr="00B241A8">
        <w:rPr>
          <w:rFonts w:ascii="Arial" w:hAnsi="Arial" w:cs="Arial"/>
          <w:noProof/>
          <w:sz w:val="24"/>
          <w:szCs w:val="24"/>
        </w:rPr>
        <w:t>, 2024)</w:t>
      </w:r>
      <w:r w:rsidR="00494CFE" w:rsidRPr="00B241A8">
        <w:rPr>
          <w:rFonts w:ascii="Arial" w:hAnsi="Arial" w:cs="Arial"/>
          <w:sz w:val="24"/>
          <w:szCs w:val="24"/>
        </w:rPr>
        <w:fldChar w:fldCharType="end"/>
      </w:r>
      <w:r w:rsidR="00494CFE" w:rsidRPr="00B241A8">
        <w:rPr>
          <w:rFonts w:ascii="Arial" w:hAnsi="Arial" w:cs="Arial"/>
          <w:sz w:val="24"/>
          <w:szCs w:val="24"/>
        </w:rPr>
        <w:t>.</w:t>
      </w:r>
      <w:r w:rsidRPr="00B241A8">
        <w:rPr>
          <w:rFonts w:ascii="Arial" w:hAnsi="Arial" w:cs="Arial"/>
          <w:sz w:val="24"/>
          <w:szCs w:val="24"/>
        </w:rPr>
        <w:t xml:space="preserve"> </w:t>
      </w:r>
      <w:r w:rsidRPr="00B241A8">
        <w:rPr>
          <w:rFonts w:ascii="Arial" w:hAnsi="Arial" w:cs="Arial"/>
          <w:i/>
          <w:iCs/>
          <w:color w:val="595959"/>
          <w:sz w:val="24"/>
          <w:szCs w:val="24"/>
        </w:rPr>
        <w:t>(Source: 2020–2024 Annual Reports)</w:t>
      </w:r>
    </w:p>
    <w:p w14:paraId="10827FDA" w14:textId="77777777" w:rsidR="00A87C31" w:rsidRPr="00B241A8" w:rsidRDefault="00A87C31" w:rsidP="00F73003">
      <w:pPr>
        <w:pStyle w:val="Heading1"/>
        <w:spacing w:line="360" w:lineRule="auto"/>
        <w:jc w:val="both"/>
      </w:pPr>
      <w:bookmarkStart w:id="26" w:name="_Toc237523907"/>
      <w:r w:rsidRPr="00B241A8">
        <w:t>4. Leverage Ratios</w:t>
      </w:r>
      <w:bookmarkEnd w:id="26"/>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00"/>
        <w:gridCol w:w="1240"/>
        <w:gridCol w:w="1240"/>
        <w:gridCol w:w="1240"/>
        <w:gridCol w:w="1240"/>
        <w:gridCol w:w="1240"/>
      </w:tblGrid>
      <w:tr w:rsidR="00A87C31" w:rsidRPr="00B241A8" w14:paraId="6FF2E8D1" w14:textId="77777777" w:rsidTr="00A87C31">
        <w:trPr>
          <w:tblHeader/>
        </w:trPr>
        <w:tc>
          <w:tcPr>
            <w:tcW w:w="3400" w:type="dxa"/>
            <w:tcBorders>
              <w:top w:val="single" w:sz="4" w:space="0" w:color="auto"/>
              <w:left w:val="single" w:sz="4" w:space="0" w:color="auto"/>
              <w:bottom w:val="single" w:sz="4" w:space="0" w:color="auto"/>
              <w:right w:val="single" w:sz="4" w:space="0" w:color="auto"/>
            </w:tcBorders>
            <w:shd w:val="clear" w:color="auto" w:fill="1F3864"/>
            <w:tcMar>
              <w:top w:w="80" w:type="dxa"/>
              <w:left w:w="100" w:type="dxa"/>
              <w:bottom w:w="80" w:type="dxa"/>
              <w:right w:w="100" w:type="dxa"/>
            </w:tcMar>
            <w:vAlign w:val="center"/>
            <w:hideMark/>
          </w:tcPr>
          <w:p w14:paraId="796F8B8F" w14:textId="77777777" w:rsidR="00A87C31" w:rsidRPr="00B241A8" w:rsidRDefault="00A87C31" w:rsidP="00F73003">
            <w:pPr>
              <w:spacing w:line="360" w:lineRule="auto"/>
              <w:jc w:val="both"/>
              <w:rPr>
                <w:rFonts w:cs="Arial"/>
                <w:szCs w:val="24"/>
              </w:rPr>
            </w:pPr>
            <w:r w:rsidRPr="00B241A8">
              <w:rPr>
                <w:rFonts w:cs="Arial"/>
                <w:b/>
                <w:bCs/>
                <w:color w:val="FFFFFF"/>
                <w:szCs w:val="24"/>
              </w:rPr>
              <w:t>Ratio</w:t>
            </w:r>
          </w:p>
        </w:tc>
        <w:tc>
          <w:tcPr>
            <w:tcW w:w="1240" w:type="dxa"/>
            <w:tcBorders>
              <w:top w:val="single" w:sz="4" w:space="0" w:color="auto"/>
              <w:left w:val="single" w:sz="4" w:space="0" w:color="auto"/>
              <w:bottom w:val="single" w:sz="4" w:space="0" w:color="auto"/>
              <w:right w:val="single" w:sz="4" w:space="0" w:color="auto"/>
            </w:tcBorders>
            <w:shd w:val="clear" w:color="auto" w:fill="1F3864"/>
            <w:tcMar>
              <w:top w:w="80" w:type="dxa"/>
              <w:left w:w="100" w:type="dxa"/>
              <w:bottom w:w="80" w:type="dxa"/>
              <w:right w:w="100" w:type="dxa"/>
            </w:tcMar>
            <w:vAlign w:val="center"/>
            <w:hideMark/>
          </w:tcPr>
          <w:p w14:paraId="4749E416" w14:textId="77777777" w:rsidR="00A87C31" w:rsidRPr="00B241A8" w:rsidRDefault="00A87C31" w:rsidP="00F73003">
            <w:pPr>
              <w:spacing w:line="360" w:lineRule="auto"/>
              <w:jc w:val="both"/>
              <w:rPr>
                <w:rFonts w:cs="Arial"/>
                <w:szCs w:val="24"/>
              </w:rPr>
            </w:pPr>
            <w:r w:rsidRPr="00B241A8">
              <w:rPr>
                <w:rFonts w:cs="Arial"/>
                <w:b/>
                <w:bCs/>
                <w:color w:val="FFFFFF"/>
                <w:szCs w:val="24"/>
              </w:rPr>
              <w:t>2020</w:t>
            </w:r>
          </w:p>
        </w:tc>
        <w:tc>
          <w:tcPr>
            <w:tcW w:w="1240" w:type="dxa"/>
            <w:tcBorders>
              <w:top w:val="single" w:sz="4" w:space="0" w:color="auto"/>
              <w:left w:val="single" w:sz="4" w:space="0" w:color="auto"/>
              <w:bottom w:val="single" w:sz="4" w:space="0" w:color="auto"/>
              <w:right w:val="single" w:sz="4" w:space="0" w:color="auto"/>
            </w:tcBorders>
            <w:shd w:val="clear" w:color="auto" w:fill="1F3864"/>
            <w:tcMar>
              <w:top w:w="80" w:type="dxa"/>
              <w:left w:w="100" w:type="dxa"/>
              <w:bottom w:w="80" w:type="dxa"/>
              <w:right w:w="100" w:type="dxa"/>
            </w:tcMar>
            <w:vAlign w:val="center"/>
            <w:hideMark/>
          </w:tcPr>
          <w:p w14:paraId="78BFF2A3" w14:textId="77777777" w:rsidR="00A87C31" w:rsidRPr="00B241A8" w:rsidRDefault="00A87C31" w:rsidP="00F73003">
            <w:pPr>
              <w:spacing w:line="360" w:lineRule="auto"/>
              <w:jc w:val="both"/>
              <w:rPr>
                <w:rFonts w:cs="Arial"/>
                <w:szCs w:val="24"/>
              </w:rPr>
            </w:pPr>
            <w:r w:rsidRPr="00B241A8">
              <w:rPr>
                <w:rFonts w:cs="Arial"/>
                <w:b/>
                <w:bCs/>
                <w:color w:val="FFFFFF"/>
                <w:szCs w:val="24"/>
              </w:rPr>
              <w:t>2021</w:t>
            </w:r>
          </w:p>
        </w:tc>
        <w:tc>
          <w:tcPr>
            <w:tcW w:w="1240" w:type="dxa"/>
            <w:tcBorders>
              <w:top w:val="single" w:sz="4" w:space="0" w:color="auto"/>
              <w:left w:val="single" w:sz="4" w:space="0" w:color="auto"/>
              <w:bottom w:val="single" w:sz="4" w:space="0" w:color="auto"/>
              <w:right w:val="single" w:sz="4" w:space="0" w:color="auto"/>
            </w:tcBorders>
            <w:shd w:val="clear" w:color="auto" w:fill="1F3864"/>
            <w:tcMar>
              <w:top w:w="80" w:type="dxa"/>
              <w:left w:w="100" w:type="dxa"/>
              <w:bottom w:w="80" w:type="dxa"/>
              <w:right w:w="100" w:type="dxa"/>
            </w:tcMar>
            <w:vAlign w:val="center"/>
            <w:hideMark/>
          </w:tcPr>
          <w:p w14:paraId="76CC3E77" w14:textId="77777777" w:rsidR="00A87C31" w:rsidRPr="00B241A8" w:rsidRDefault="00A87C31" w:rsidP="00F73003">
            <w:pPr>
              <w:spacing w:line="360" w:lineRule="auto"/>
              <w:jc w:val="both"/>
              <w:rPr>
                <w:rFonts w:cs="Arial"/>
                <w:szCs w:val="24"/>
              </w:rPr>
            </w:pPr>
            <w:r w:rsidRPr="00B241A8">
              <w:rPr>
                <w:rFonts w:cs="Arial"/>
                <w:b/>
                <w:bCs/>
                <w:color w:val="FFFFFF"/>
                <w:szCs w:val="24"/>
              </w:rPr>
              <w:t>2022</w:t>
            </w:r>
          </w:p>
        </w:tc>
        <w:tc>
          <w:tcPr>
            <w:tcW w:w="1240" w:type="dxa"/>
            <w:tcBorders>
              <w:top w:val="single" w:sz="4" w:space="0" w:color="auto"/>
              <w:left w:val="single" w:sz="4" w:space="0" w:color="auto"/>
              <w:bottom w:val="single" w:sz="4" w:space="0" w:color="auto"/>
              <w:right w:val="single" w:sz="4" w:space="0" w:color="auto"/>
            </w:tcBorders>
            <w:shd w:val="clear" w:color="auto" w:fill="1F3864"/>
            <w:tcMar>
              <w:top w:w="80" w:type="dxa"/>
              <w:left w:w="100" w:type="dxa"/>
              <w:bottom w:w="80" w:type="dxa"/>
              <w:right w:w="100" w:type="dxa"/>
            </w:tcMar>
            <w:vAlign w:val="center"/>
            <w:hideMark/>
          </w:tcPr>
          <w:p w14:paraId="148540C3" w14:textId="77777777" w:rsidR="00A87C31" w:rsidRPr="00B241A8" w:rsidRDefault="00A87C31" w:rsidP="00F73003">
            <w:pPr>
              <w:spacing w:line="360" w:lineRule="auto"/>
              <w:jc w:val="both"/>
              <w:rPr>
                <w:rFonts w:cs="Arial"/>
                <w:szCs w:val="24"/>
              </w:rPr>
            </w:pPr>
            <w:r w:rsidRPr="00B241A8">
              <w:rPr>
                <w:rFonts w:cs="Arial"/>
                <w:b/>
                <w:bCs/>
                <w:color w:val="FFFFFF"/>
                <w:szCs w:val="24"/>
              </w:rPr>
              <w:t>2023</w:t>
            </w:r>
          </w:p>
        </w:tc>
        <w:tc>
          <w:tcPr>
            <w:tcW w:w="1240" w:type="dxa"/>
            <w:tcBorders>
              <w:top w:val="single" w:sz="4" w:space="0" w:color="auto"/>
              <w:left w:val="single" w:sz="4" w:space="0" w:color="auto"/>
              <w:bottom w:val="single" w:sz="4" w:space="0" w:color="auto"/>
              <w:right w:val="single" w:sz="4" w:space="0" w:color="auto"/>
            </w:tcBorders>
            <w:shd w:val="clear" w:color="auto" w:fill="1F3864"/>
            <w:tcMar>
              <w:top w:w="80" w:type="dxa"/>
              <w:left w:w="100" w:type="dxa"/>
              <w:bottom w:w="80" w:type="dxa"/>
              <w:right w:w="100" w:type="dxa"/>
            </w:tcMar>
            <w:vAlign w:val="center"/>
            <w:hideMark/>
          </w:tcPr>
          <w:p w14:paraId="5712311C" w14:textId="77777777" w:rsidR="00A87C31" w:rsidRPr="00B241A8" w:rsidRDefault="00A87C31" w:rsidP="00F73003">
            <w:pPr>
              <w:spacing w:line="360" w:lineRule="auto"/>
              <w:jc w:val="both"/>
              <w:rPr>
                <w:rFonts w:cs="Arial"/>
                <w:szCs w:val="24"/>
              </w:rPr>
            </w:pPr>
            <w:r w:rsidRPr="00B241A8">
              <w:rPr>
                <w:rFonts w:cs="Arial"/>
                <w:b/>
                <w:bCs/>
                <w:color w:val="FFFFFF"/>
                <w:szCs w:val="24"/>
              </w:rPr>
              <w:t>2024</w:t>
            </w:r>
          </w:p>
        </w:tc>
      </w:tr>
      <w:tr w:rsidR="00A87C31" w:rsidRPr="00B241A8" w14:paraId="0AEC1B3A" w14:textId="77777777" w:rsidTr="00A87C31">
        <w:tc>
          <w:tcPr>
            <w:tcW w:w="340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54DA9E79" w14:textId="77777777" w:rsidR="00A87C31" w:rsidRPr="00B241A8" w:rsidRDefault="00A87C31" w:rsidP="00F73003">
            <w:pPr>
              <w:spacing w:line="360" w:lineRule="auto"/>
              <w:jc w:val="both"/>
              <w:rPr>
                <w:rFonts w:cs="Arial"/>
                <w:szCs w:val="24"/>
              </w:rPr>
            </w:pPr>
            <w:r w:rsidRPr="00B241A8">
              <w:rPr>
                <w:rFonts w:cs="Arial"/>
                <w:color w:val="000000"/>
                <w:szCs w:val="24"/>
              </w:rPr>
              <w:t>Debt / Total assets</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61FE6E3B" w14:textId="77777777" w:rsidR="00A87C31" w:rsidRPr="00B241A8" w:rsidRDefault="00A87C31" w:rsidP="00F73003">
            <w:pPr>
              <w:spacing w:line="360" w:lineRule="auto"/>
              <w:jc w:val="both"/>
              <w:rPr>
                <w:rFonts w:cs="Arial"/>
                <w:szCs w:val="24"/>
              </w:rPr>
            </w:pPr>
            <w:r w:rsidRPr="00B241A8">
              <w:rPr>
                <w:rFonts w:cs="Arial"/>
                <w:color w:val="000000"/>
                <w:szCs w:val="24"/>
              </w:rPr>
              <w:t>74.8%</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78D7CB4F" w14:textId="77777777" w:rsidR="00A87C31" w:rsidRPr="00B241A8" w:rsidRDefault="00A87C31" w:rsidP="00F73003">
            <w:pPr>
              <w:spacing w:line="360" w:lineRule="auto"/>
              <w:jc w:val="both"/>
              <w:rPr>
                <w:rFonts w:cs="Arial"/>
                <w:szCs w:val="24"/>
              </w:rPr>
            </w:pPr>
            <w:r w:rsidRPr="00B241A8">
              <w:rPr>
                <w:rFonts w:cs="Arial"/>
                <w:color w:val="000000"/>
                <w:szCs w:val="24"/>
              </w:rPr>
              <w:t>60.3%</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099F9BE6" w14:textId="77777777" w:rsidR="00A87C31" w:rsidRPr="00B241A8" w:rsidRDefault="00A87C31" w:rsidP="00F73003">
            <w:pPr>
              <w:spacing w:line="360" w:lineRule="auto"/>
              <w:jc w:val="both"/>
              <w:rPr>
                <w:rFonts w:cs="Arial"/>
                <w:szCs w:val="24"/>
              </w:rPr>
            </w:pPr>
            <w:r w:rsidRPr="00B241A8">
              <w:rPr>
                <w:rFonts w:cs="Arial"/>
                <w:color w:val="000000"/>
                <w:szCs w:val="24"/>
              </w:rPr>
              <w:t>56.8%</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4B2C8651" w14:textId="77777777" w:rsidR="00A87C31" w:rsidRPr="00B241A8" w:rsidRDefault="00A87C31" w:rsidP="00F73003">
            <w:pPr>
              <w:spacing w:line="360" w:lineRule="auto"/>
              <w:jc w:val="both"/>
              <w:rPr>
                <w:rFonts w:cs="Arial"/>
                <w:szCs w:val="24"/>
              </w:rPr>
            </w:pPr>
            <w:r w:rsidRPr="00B241A8">
              <w:rPr>
                <w:rFonts w:cs="Arial"/>
                <w:color w:val="000000"/>
                <w:szCs w:val="24"/>
              </w:rPr>
              <w:t>65.8%</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0629C15F" w14:textId="77777777" w:rsidR="00A87C31" w:rsidRPr="00B241A8" w:rsidRDefault="00A87C31" w:rsidP="00F73003">
            <w:pPr>
              <w:spacing w:line="360" w:lineRule="auto"/>
              <w:jc w:val="both"/>
              <w:rPr>
                <w:rFonts w:cs="Arial"/>
                <w:szCs w:val="24"/>
              </w:rPr>
            </w:pPr>
            <w:r w:rsidRPr="00B241A8">
              <w:rPr>
                <w:rFonts w:cs="Arial"/>
                <w:color w:val="000000"/>
                <w:szCs w:val="24"/>
              </w:rPr>
              <w:t>69.0%</w:t>
            </w:r>
          </w:p>
        </w:tc>
      </w:tr>
      <w:tr w:rsidR="00A87C31" w:rsidRPr="00B241A8" w14:paraId="3EB81271" w14:textId="77777777" w:rsidTr="00A87C31">
        <w:tc>
          <w:tcPr>
            <w:tcW w:w="340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1EDD3F03" w14:textId="77777777" w:rsidR="00A87C31" w:rsidRPr="00B241A8" w:rsidRDefault="00A87C31" w:rsidP="00F73003">
            <w:pPr>
              <w:spacing w:line="360" w:lineRule="auto"/>
              <w:jc w:val="both"/>
              <w:rPr>
                <w:rFonts w:cs="Arial"/>
                <w:szCs w:val="24"/>
              </w:rPr>
            </w:pPr>
            <w:r w:rsidRPr="00B241A8">
              <w:rPr>
                <w:rFonts w:cs="Arial"/>
                <w:color w:val="000000"/>
                <w:szCs w:val="24"/>
              </w:rPr>
              <w:t>Total liabilities / Total assets</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28C71FBF" w14:textId="77777777" w:rsidR="00A87C31" w:rsidRPr="00B241A8" w:rsidRDefault="00A87C31" w:rsidP="00F73003">
            <w:pPr>
              <w:spacing w:line="360" w:lineRule="auto"/>
              <w:jc w:val="both"/>
              <w:rPr>
                <w:rFonts w:cs="Arial"/>
                <w:szCs w:val="24"/>
              </w:rPr>
            </w:pPr>
            <w:r w:rsidRPr="00B241A8">
              <w:rPr>
                <w:rFonts w:cs="Arial"/>
                <w:color w:val="000000"/>
                <w:szCs w:val="24"/>
              </w:rPr>
              <w:t>136.7%</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7A19AB10" w14:textId="77777777" w:rsidR="00A87C31" w:rsidRPr="00B241A8" w:rsidRDefault="00A87C31" w:rsidP="00F73003">
            <w:pPr>
              <w:spacing w:line="360" w:lineRule="auto"/>
              <w:jc w:val="both"/>
              <w:rPr>
                <w:rFonts w:cs="Arial"/>
                <w:szCs w:val="24"/>
              </w:rPr>
            </w:pPr>
            <w:r w:rsidRPr="00B241A8">
              <w:rPr>
                <w:rFonts w:cs="Arial"/>
                <w:color w:val="000000"/>
                <w:szCs w:val="24"/>
              </w:rPr>
              <w:t>131.3%</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45C48C5C" w14:textId="77777777" w:rsidR="00A87C31" w:rsidRPr="00B241A8" w:rsidRDefault="00A87C31" w:rsidP="00F73003">
            <w:pPr>
              <w:spacing w:line="360" w:lineRule="auto"/>
              <w:jc w:val="both"/>
              <w:rPr>
                <w:rFonts w:cs="Arial"/>
                <w:szCs w:val="24"/>
              </w:rPr>
            </w:pPr>
            <w:r w:rsidRPr="00B241A8">
              <w:rPr>
                <w:rFonts w:cs="Arial"/>
                <w:color w:val="000000"/>
                <w:szCs w:val="24"/>
              </w:rPr>
              <w:t>138.1%</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20496F87" w14:textId="77777777" w:rsidR="00A87C31" w:rsidRPr="00B241A8" w:rsidRDefault="00A87C31" w:rsidP="00F73003">
            <w:pPr>
              <w:spacing w:line="360" w:lineRule="auto"/>
              <w:jc w:val="both"/>
              <w:rPr>
                <w:rFonts w:cs="Arial"/>
                <w:szCs w:val="24"/>
              </w:rPr>
            </w:pPr>
            <w:r w:rsidRPr="00B241A8">
              <w:rPr>
                <w:rFonts w:cs="Arial"/>
                <w:color w:val="000000"/>
                <w:szCs w:val="24"/>
              </w:rPr>
              <w:t>140.4%</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3C485A2C" w14:textId="77777777" w:rsidR="00A87C31" w:rsidRPr="00B241A8" w:rsidRDefault="00A87C31" w:rsidP="00F73003">
            <w:pPr>
              <w:spacing w:line="360" w:lineRule="auto"/>
              <w:jc w:val="both"/>
              <w:rPr>
                <w:rFonts w:cs="Arial"/>
                <w:szCs w:val="24"/>
              </w:rPr>
            </w:pPr>
            <w:r w:rsidRPr="00B241A8">
              <w:rPr>
                <w:rFonts w:cs="Arial"/>
                <w:color w:val="000000"/>
                <w:szCs w:val="24"/>
              </w:rPr>
              <w:t>148.6%</w:t>
            </w:r>
          </w:p>
        </w:tc>
      </w:tr>
      <w:tr w:rsidR="00A87C31" w:rsidRPr="00B241A8" w14:paraId="006484A2" w14:textId="77777777" w:rsidTr="00A87C31">
        <w:tc>
          <w:tcPr>
            <w:tcW w:w="340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36A84554" w14:textId="77777777" w:rsidR="00A87C31" w:rsidRPr="00B241A8" w:rsidRDefault="00A87C31" w:rsidP="00F73003">
            <w:pPr>
              <w:spacing w:line="360" w:lineRule="auto"/>
              <w:jc w:val="both"/>
              <w:rPr>
                <w:rFonts w:cs="Arial"/>
                <w:szCs w:val="24"/>
              </w:rPr>
            </w:pPr>
            <w:r w:rsidRPr="00B241A8">
              <w:rPr>
                <w:rFonts w:cs="Arial"/>
                <w:color w:val="000000"/>
                <w:szCs w:val="24"/>
              </w:rPr>
              <w:t>Net debt / Adjusted EBITDA</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70787DE8" w14:textId="77777777" w:rsidR="00A87C31" w:rsidRPr="00B241A8" w:rsidRDefault="00A87C31" w:rsidP="00F73003">
            <w:pPr>
              <w:spacing w:line="360" w:lineRule="auto"/>
              <w:jc w:val="both"/>
              <w:rPr>
                <w:rFonts w:cs="Arial"/>
                <w:szCs w:val="24"/>
              </w:rPr>
            </w:pPr>
            <w:r w:rsidRPr="00B241A8">
              <w:rPr>
                <w:rFonts w:cs="Arial"/>
                <w:color w:val="000000"/>
                <w:szCs w:val="24"/>
              </w:rPr>
              <w:t>7.69x</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598317AE" w14:textId="77777777" w:rsidR="00A87C31" w:rsidRPr="00B241A8" w:rsidRDefault="00A87C31" w:rsidP="00F73003">
            <w:pPr>
              <w:spacing w:line="360" w:lineRule="auto"/>
              <w:jc w:val="both"/>
              <w:rPr>
                <w:rFonts w:cs="Arial"/>
                <w:szCs w:val="24"/>
              </w:rPr>
            </w:pPr>
            <w:r w:rsidRPr="00B241A8">
              <w:rPr>
                <w:rFonts w:cs="Arial"/>
                <w:color w:val="000000"/>
                <w:szCs w:val="24"/>
              </w:rPr>
              <w:t>2.98x</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1530455B" w14:textId="77777777" w:rsidR="00A87C31" w:rsidRPr="00B241A8" w:rsidRDefault="00A87C31" w:rsidP="00F73003">
            <w:pPr>
              <w:spacing w:line="360" w:lineRule="auto"/>
              <w:jc w:val="both"/>
              <w:rPr>
                <w:rFonts w:cs="Arial"/>
                <w:szCs w:val="24"/>
              </w:rPr>
            </w:pPr>
            <w:r w:rsidRPr="00B241A8">
              <w:rPr>
                <w:rFonts w:cs="Arial"/>
                <w:color w:val="000000"/>
                <w:szCs w:val="24"/>
              </w:rPr>
              <w:t>2.07x</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77E1710C" w14:textId="77777777" w:rsidR="00A87C31" w:rsidRPr="00B241A8" w:rsidRDefault="00A87C31" w:rsidP="00F73003">
            <w:pPr>
              <w:spacing w:line="360" w:lineRule="auto"/>
              <w:jc w:val="both"/>
              <w:rPr>
                <w:rFonts w:cs="Arial"/>
                <w:szCs w:val="24"/>
              </w:rPr>
            </w:pPr>
            <w:r w:rsidRPr="00B241A8">
              <w:rPr>
                <w:rFonts w:cs="Arial"/>
                <w:color w:val="000000"/>
                <w:szCs w:val="24"/>
              </w:rPr>
              <w:t>2.09x</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1EBAD405" w14:textId="77777777" w:rsidR="00A87C31" w:rsidRPr="00B241A8" w:rsidRDefault="00A87C31" w:rsidP="00F73003">
            <w:pPr>
              <w:spacing w:line="360" w:lineRule="auto"/>
              <w:jc w:val="both"/>
              <w:rPr>
                <w:rFonts w:cs="Arial"/>
                <w:szCs w:val="24"/>
              </w:rPr>
            </w:pPr>
            <w:r w:rsidRPr="00B241A8">
              <w:rPr>
                <w:rFonts w:cs="Arial"/>
                <w:color w:val="000000"/>
                <w:szCs w:val="24"/>
              </w:rPr>
              <w:t>2.34x</w:t>
            </w:r>
          </w:p>
        </w:tc>
      </w:tr>
      <w:tr w:rsidR="00A87C31" w:rsidRPr="00B241A8" w14:paraId="29E4E904" w14:textId="77777777" w:rsidTr="00A87C31">
        <w:tc>
          <w:tcPr>
            <w:tcW w:w="340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2B40F2E6" w14:textId="77777777" w:rsidR="00A87C31" w:rsidRPr="00B241A8" w:rsidRDefault="00A87C31" w:rsidP="00F73003">
            <w:pPr>
              <w:spacing w:line="360" w:lineRule="auto"/>
              <w:jc w:val="both"/>
              <w:rPr>
                <w:rFonts w:cs="Arial"/>
                <w:szCs w:val="24"/>
              </w:rPr>
            </w:pPr>
            <w:r w:rsidRPr="00B241A8">
              <w:rPr>
                <w:rFonts w:cs="Arial"/>
                <w:color w:val="000000"/>
                <w:szCs w:val="24"/>
              </w:rPr>
              <w:t>Interest coverage (Op. profit / Fin. expense)</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75B3364C" w14:textId="77777777" w:rsidR="00A87C31" w:rsidRPr="00B241A8" w:rsidRDefault="00A87C31" w:rsidP="00F73003">
            <w:pPr>
              <w:spacing w:line="360" w:lineRule="auto"/>
              <w:jc w:val="both"/>
              <w:rPr>
                <w:rFonts w:cs="Arial"/>
                <w:szCs w:val="24"/>
              </w:rPr>
            </w:pPr>
            <w:r w:rsidRPr="00B241A8">
              <w:rPr>
                <w:rFonts w:cs="Arial"/>
                <w:color w:val="000000"/>
                <w:szCs w:val="24"/>
              </w:rPr>
              <w:t>-1.06x</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7736FA8A" w14:textId="77777777" w:rsidR="00A87C31" w:rsidRPr="00B241A8" w:rsidRDefault="00A87C31" w:rsidP="00F73003">
            <w:pPr>
              <w:spacing w:line="360" w:lineRule="auto"/>
              <w:jc w:val="both"/>
              <w:rPr>
                <w:rFonts w:cs="Arial"/>
                <w:szCs w:val="24"/>
              </w:rPr>
            </w:pPr>
            <w:r w:rsidRPr="00B241A8">
              <w:rPr>
                <w:rFonts w:cs="Arial"/>
                <w:color w:val="000000"/>
                <w:szCs w:val="24"/>
              </w:rPr>
              <w:t>3.36x</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133686EF" w14:textId="77777777" w:rsidR="00A87C31" w:rsidRPr="00B241A8" w:rsidRDefault="00A87C31" w:rsidP="00F73003">
            <w:pPr>
              <w:spacing w:line="360" w:lineRule="auto"/>
              <w:jc w:val="both"/>
              <w:rPr>
                <w:rFonts w:cs="Arial"/>
                <w:szCs w:val="24"/>
              </w:rPr>
            </w:pPr>
            <w:r w:rsidRPr="00B241A8">
              <w:rPr>
                <w:rFonts w:cs="Arial"/>
                <w:color w:val="000000"/>
                <w:szCs w:val="24"/>
              </w:rPr>
              <w:t>5.32x</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2DE3299C" w14:textId="77777777" w:rsidR="00A87C31" w:rsidRPr="00B241A8" w:rsidRDefault="00A87C31" w:rsidP="00F73003">
            <w:pPr>
              <w:spacing w:line="360" w:lineRule="auto"/>
              <w:jc w:val="both"/>
              <w:rPr>
                <w:rFonts w:cs="Arial"/>
                <w:szCs w:val="24"/>
              </w:rPr>
            </w:pPr>
            <w:r w:rsidRPr="00B241A8">
              <w:rPr>
                <w:rFonts w:cs="Arial"/>
                <w:color w:val="000000"/>
                <w:szCs w:val="24"/>
              </w:rPr>
              <w:t>11.71x</w:t>
            </w:r>
          </w:p>
        </w:tc>
        <w:tc>
          <w:tcPr>
            <w:tcW w:w="1240" w:type="dxa"/>
            <w:tcBorders>
              <w:top w:val="single" w:sz="4" w:space="0" w:color="auto"/>
              <w:left w:val="single" w:sz="4" w:space="0" w:color="auto"/>
              <w:bottom w:val="single" w:sz="4" w:space="0" w:color="auto"/>
              <w:right w:val="single" w:sz="4" w:space="0" w:color="auto"/>
            </w:tcBorders>
            <w:shd w:val="clear" w:color="auto" w:fill="FFFFFF"/>
            <w:tcMar>
              <w:top w:w="80" w:type="dxa"/>
              <w:left w:w="100" w:type="dxa"/>
              <w:bottom w:w="80" w:type="dxa"/>
              <w:right w:w="100" w:type="dxa"/>
            </w:tcMar>
            <w:vAlign w:val="center"/>
            <w:hideMark/>
          </w:tcPr>
          <w:p w14:paraId="7EC014A5" w14:textId="77777777" w:rsidR="00A87C31" w:rsidRPr="00B241A8" w:rsidRDefault="00A87C31" w:rsidP="00F73003">
            <w:pPr>
              <w:spacing w:line="360" w:lineRule="auto"/>
              <w:jc w:val="both"/>
              <w:rPr>
                <w:rFonts w:cs="Arial"/>
                <w:szCs w:val="24"/>
              </w:rPr>
            </w:pPr>
            <w:r w:rsidRPr="00B241A8">
              <w:rPr>
                <w:rFonts w:cs="Arial"/>
                <w:color w:val="000000"/>
                <w:szCs w:val="24"/>
              </w:rPr>
              <w:t>5.13x</w:t>
            </w:r>
          </w:p>
        </w:tc>
      </w:tr>
    </w:tbl>
    <w:p w14:paraId="4DCC07A8" w14:textId="77777777" w:rsidR="00A87C31" w:rsidRPr="00B241A8" w:rsidRDefault="00A87C31" w:rsidP="00F73003">
      <w:pPr>
        <w:pStyle w:val="Heading2"/>
        <w:spacing w:before="240" w:after="120" w:line="360" w:lineRule="auto"/>
        <w:jc w:val="both"/>
        <w:rPr>
          <w:rFonts w:cs="Arial"/>
          <w:sz w:val="24"/>
          <w:szCs w:val="24"/>
          <w:lang w:val="en-US" w:eastAsia="en-US" w:bidi="ar-SA"/>
        </w:rPr>
      </w:pPr>
      <w:bookmarkStart w:id="27" w:name="_Toc237523908"/>
      <w:r w:rsidRPr="00B241A8">
        <w:rPr>
          <w:rFonts w:cs="Arial"/>
          <w:b/>
          <w:bCs/>
          <w:color w:val="1F3864"/>
          <w:sz w:val="24"/>
          <w:szCs w:val="24"/>
        </w:rPr>
        <w:t>Key changes and explanations</w:t>
      </w:r>
      <w:bookmarkEnd w:id="27"/>
    </w:p>
    <w:p w14:paraId="274EA3A1" w14:textId="77777777" w:rsidR="00A87C31" w:rsidRPr="00B241A8" w:rsidRDefault="00A87C31" w:rsidP="00F73003">
      <w:pPr>
        <w:pStyle w:val="ListParagraph"/>
        <w:numPr>
          <w:ilvl w:val="0"/>
          <w:numId w:val="2"/>
        </w:numPr>
        <w:spacing w:after="120" w:line="360" w:lineRule="auto"/>
        <w:jc w:val="both"/>
        <w:rPr>
          <w:rFonts w:ascii="Arial" w:hAnsi="Arial" w:cs="Arial"/>
          <w:sz w:val="24"/>
          <w:szCs w:val="24"/>
        </w:rPr>
      </w:pPr>
      <w:r w:rsidRPr="00B241A8">
        <w:rPr>
          <w:rFonts w:ascii="Arial" w:hAnsi="Arial" w:cs="Arial"/>
          <w:b/>
          <w:bCs/>
          <w:sz w:val="24"/>
          <w:szCs w:val="24"/>
        </w:rPr>
        <w:t xml:space="preserve">2020 – leverage spike: </w:t>
      </w:r>
      <w:r w:rsidRPr="00B241A8">
        <w:rPr>
          <w:rFonts w:ascii="Arial" w:hAnsi="Arial" w:cs="Arial"/>
          <w:sz w:val="24"/>
          <w:szCs w:val="24"/>
        </w:rPr>
        <w:t xml:space="preserve">IHG drew down credit facilities defensively during the pandemic (total loans and borrowings rose to $3,767m) against a collapsed EBITDA base, pushing Net debt/Adjusted EBITDA to an extreme 7.69x. </w:t>
      </w:r>
      <w:r w:rsidRPr="00B241A8">
        <w:rPr>
          <w:rFonts w:ascii="Arial" w:hAnsi="Arial" w:cs="Arial"/>
          <w:i/>
          <w:iCs/>
          <w:color w:val="595959"/>
          <w:sz w:val="24"/>
          <w:szCs w:val="24"/>
        </w:rPr>
        <w:t>(Source: 2020 and 2021 Annual Reports)</w:t>
      </w:r>
    </w:p>
    <w:p w14:paraId="0EE82B09" w14:textId="77777777" w:rsidR="00A87C31" w:rsidRPr="00B241A8" w:rsidRDefault="00A87C31" w:rsidP="00F73003">
      <w:pPr>
        <w:pStyle w:val="ListParagraph"/>
        <w:numPr>
          <w:ilvl w:val="0"/>
          <w:numId w:val="2"/>
        </w:numPr>
        <w:spacing w:after="120" w:line="360" w:lineRule="auto"/>
        <w:jc w:val="both"/>
        <w:rPr>
          <w:rFonts w:ascii="Arial" w:hAnsi="Arial" w:cs="Arial"/>
          <w:sz w:val="24"/>
          <w:szCs w:val="24"/>
        </w:rPr>
      </w:pPr>
      <w:r w:rsidRPr="00B241A8">
        <w:rPr>
          <w:rFonts w:ascii="Arial" w:hAnsi="Arial" w:cs="Arial"/>
          <w:b/>
          <w:bCs/>
          <w:sz w:val="24"/>
          <w:szCs w:val="24"/>
        </w:rPr>
        <w:t xml:space="preserve">2021–2022 – rapid deleveraging: </w:t>
      </w:r>
      <w:r w:rsidRPr="00B241A8">
        <w:rPr>
          <w:rFonts w:ascii="Arial" w:hAnsi="Arial" w:cs="Arial"/>
          <w:sz w:val="24"/>
          <w:szCs w:val="24"/>
        </w:rPr>
        <w:t xml:space="preserve">As EBITDA recovered, net debt fell from $2,529m to $1,851m, taking Net debt/Adjusted EBITDA down to roughly 2.1x, while interest coverage climbed to 5.32x. </w:t>
      </w:r>
      <w:r w:rsidRPr="00B241A8">
        <w:rPr>
          <w:rFonts w:ascii="Arial" w:hAnsi="Arial" w:cs="Arial"/>
          <w:i/>
          <w:iCs/>
          <w:color w:val="595959"/>
          <w:sz w:val="24"/>
          <w:szCs w:val="24"/>
        </w:rPr>
        <w:t>(Source: 2021 and 2022 Annual Reports)</w:t>
      </w:r>
    </w:p>
    <w:p w14:paraId="7BC7C00C" w14:textId="77777777" w:rsidR="00A87C31" w:rsidRPr="00B241A8" w:rsidRDefault="00A87C31" w:rsidP="00F73003">
      <w:pPr>
        <w:pStyle w:val="ListParagraph"/>
        <w:numPr>
          <w:ilvl w:val="0"/>
          <w:numId w:val="2"/>
        </w:numPr>
        <w:spacing w:after="120" w:line="360" w:lineRule="auto"/>
        <w:jc w:val="both"/>
        <w:rPr>
          <w:rFonts w:ascii="Arial" w:hAnsi="Arial" w:cs="Arial"/>
          <w:sz w:val="24"/>
          <w:szCs w:val="24"/>
        </w:rPr>
      </w:pPr>
      <w:r w:rsidRPr="00B241A8">
        <w:rPr>
          <w:rFonts w:ascii="Arial" w:hAnsi="Arial" w:cs="Arial"/>
          <w:b/>
          <w:bCs/>
          <w:sz w:val="24"/>
          <w:szCs w:val="24"/>
        </w:rPr>
        <w:t xml:space="preserve">2023 – interest coverage peaks: </w:t>
      </w:r>
      <w:r w:rsidRPr="00B241A8">
        <w:rPr>
          <w:rFonts w:ascii="Arial" w:hAnsi="Arial" w:cs="Arial"/>
          <w:sz w:val="24"/>
          <w:szCs w:val="24"/>
        </w:rPr>
        <w:t xml:space="preserve">Interest coverage reached 11.71x on record operating profit and still-low interest expense, even as net debt began rising again (to $2,272m) to help fund buybacks. </w:t>
      </w:r>
      <w:r w:rsidRPr="00B241A8">
        <w:rPr>
          <w:rFonts w:ascii="Arial" w:hAnsi="Arial" w:cs="Arial"/>
          <w:i/>
          <w:iCs/>
          <w:color w:val="595959"/>
          <w:sz w:val="24"/>
          <w:szCs w:val="24"/>
        </w:rPr>
        <w:t>(Source: 2023 Annual Report)</w:t>
      </w:r>
    </w:p>
    <w:p w14:paraId="391F8D03" w14:textId="248B5B47" w:rsidR="00A87C31" w:rsidRPr="00B241A8" w:rsidRDefault="00A87C31" w:rsidP="00F73003">
      <w:pPr>
        <w:pStyle w:val="ListParagraph"/>
        <w:numPr>
          <w:ilvl w:val="0"/>
          <w:numId w:val="2"/>
        </w:numPr>
        <w:spacing w:after="120" w:line="360" w:lineRule="auto"/>
        <w:jc w:val="both"/>
        <w:rPr>
          <w:rFonts w:ascii="Arial" w:hAnsi="Arial" w:cs="Arial"/>
          <w:sz w:val="24"/>
          <w:szCs w:val="24"/>
        </w:rPr>
      </w:pPr>
      <w:r w:rsidRPr="00B241A8">
        <w:rPr>
          <w:rFonts w:ascii="Arial" w:hAnsi="Arial" w:cs="Arial"/>
          <w:b/>
          <w:bCs/>
          <w:sz w:val="24"/>
          <w:szCs w:val="24"/>
        </w:rPr>
        <w:t xml:space="preserve">2024 – leverage and coverage both weaken: </w:t>
      </w:r>
      <w:r w:rsidRPr="00B241A8">
        <w:rPr>
          <w:rFonts w:ascii="Arial" w:hAnsi="Arial" w:cs="Arial"/>
          <w:sz w:val="24"/>
          <w:szCs w:val="24"/>
        </w:rPr>
        <w:t>Net debt rose to $2,782m (an increase of $510m)</w:t>
      </w:r>
      <w:r w:rsidR="00264AF7">
        <w:rPr>
          <w:rFonts w:ascii="Arial" w:hAnsi="Arial" w:cs="Arial"/>
          <w:sz w:val="24"/>
          <w:szCs w:val="24"/>
        </w:rPr>
        <w:t>,</w:t>
      </w:r>
      <w:r w:rsidRPr="00B241A8">
        <w:rPr>
          <w:rFonts w:ascii="Arial" w:hAnsi="Arial" w:cs="Arial"/>
          <w:sz w:val="24"/>
          <w:szCs w:val="24"/>
        </w:rPr>
        <w:t xml:space="preserve"> and interest coverage fell to 5.13x. This was explicitly driven by $1,063m of payments related to ordinary dividends and the share buyback programme during the year, alongside higher net financial expenses ($140m vs $52m in 2023). </w:t>
      </w:r>
      <w:r w:rsidRPr="00B241A8">
        <w:rPr>
          <w:rFonts w:ascii="Arial" w:hAnsi="Arial" w:cs="Arial"/>
          <w:i/>
          <w:iCs/>
          <w:color w:val="595959"/>
          <w:sz w:val="24"/>
          <w:szCs w:val="24"/>
        </w:rPr>
        <w:t>(Source: 2024 Annual Report)</w:t>
      </w:r>
    </w:p>
    <w:p w14:paraId="0A718149" w14:textId="77777777" w:rsidR="00A87C31" w:rsidRPr="00B241A8" w:rsidRDefault="00A87C31" w:rsidP="00F73003">
      <w:pPr>
        <w:pStyle w:val="ListParagraph"/>
        <w:numPr>
          <w:ilvl w:val="0"/>
          <w:numId w:val="2"/>
        </w:numPr>
        <w:spacing w:after="120" w:line="360" w:lineRule="auto"/>
        <w:jc w:val="both"/>
        <w:rPr>
          <w:rFonts w:ascii="Arial" w:hAnsi="Arial" w:cs="Arial"/>
          <w:sz w:val="24"/>
          <w:szCs w:val="24"/>
        </w:rPr>
      </w:pPr>
      <w:r w:rsidRPr="00B241A8">
        <w:rPr>
          <w:rFonts w:ascii="Arial" w:hAnsi="Arial" w:cs="Arial"/>
          <w:b/>
          <w:bCs/>
          <w:sz w:val="24"/>
          <w:szCs w:val="24"/>
        </w:rPr>
        <w:lastRenderedPageBreak/>
        <w:t xml:space="preserve">Structural observation: </w:t>
      </w:r>
      <w:r w:rsidRPr="00B241A8">
        <w:rPr>
          <w:rFonts w:ascii="Arial" w:hAnsi="Arial" w:cs="Arial"/>
          <w:sz w:val="24"/>
          <w:szCs w:val="24"/>
        </w:rPr>
        <w:t xml:space="preserve">Total liabilities have exceeded total assets in every year (136%–149% of assets), and this gap has widened since 2021 — the clearest sign that IHG runs a deliberately highly-levered capital structure, funded by stable, contracted franchise-fee cash flows rather than by equity capital. </w:t>
      </w:r>
      <w:r w:rsidRPr="00B241A8">
        <w:rPr>
          <w:rFonts w:ascii="Arial" w:hAnsi="Arial" w:cs="Arial"/>
          <w:i/>
          <w:iCs/>
          <w:color w:val="595959"/>
          <w:sz w:val="24"/>
          <w:szCs w:val="24"/>
        </w:rPr>
        <w:t>(Source: 2020–2024 Annual Reports)</w:t>
      </w:r>
    </w:p>
    <w:p w14:paraId="3F799527" w14:textId="77777777" w:rsidR="00A87C31" w:rsidRPr="00B241A8" w:rsidRDefault="00A87C31" w:rsidP="00F73003">
      <w:pPr>
        <w:pStyle w:val="Heading1"/>
        <w:spacing w:line="360" w:lineRule="auto"/>
        <w:jc w:val="both"/>
      </w:pPr>
      <w:bookmarkStart w:id="28" w:name="_Toc237523909"/>
      <w:r w:rsidRPr="00B241A8">
        <w:t>Bottom Line</w:t>
      </w:r>
      <w:bookmarkEnd w:id="28"/>
    </w:p>
    <w:p w14:paraId="365BC585" w14:textId="4D38969E" w:rsidR="00A87C31" w:rsidRPr="00B241A8" w:rsidRDefault="00A87C31" w:rsidP="00F73003">
      <w:pPr>
        <w:spacing w:after="160" w:line="360" w:lineRule="auto"/>
        <w:jc w:val="both"/>
        <w:rPr>
          <w:rFonts w:cs="Arial"/>
          <w:szCs w:val="24"/>
        </w:rPr>
      </w:pPr>
      <w:r w:rsidRPr="00B241A8">
        <w:rPr>
          <w:rFonts w:cs="Arial"/>
          <w:szCs w:val="24"/>
        </w:rPr>
        <w:t>IHG's five-year arc is a pandemic-driven trough in 2020 (losses, peak leverage, but a defensively thick cash cushion), followed by a strong 2021–2023 recovery with expanding margins, improving efficiency and falling leverage. In 2024, profitability and efficiency continued to improve at the operating level, but liquidity and leverage both weakened — driven not by any deterioration in the underlying hotel business, but by management's choice to return over $800m to shareholders via share buybacks and dividends rather than retain cash or reduce debt</w:t>
      </w:r>
      <w:r w:rsidR="00494CFE" w:rsidRPr="00B241A8">
        <w:rPr>
          <w:rFonts w:cs="Arial"/>
          <w:szCs w:val="24"/>
        </w:rPr>
        <w:t xml:space="preserve"> </w:t>
      </w:r>
      <w:r w:rsidR="00494CFE" w:rsidRPr="00B241A8">
        <w:rPr>
          <w:rFonts w:cs="Arial"/>
          <w:szCs w:val="24"/>
        </w:rPr>
        <w:fldChar w:fldCharType="begin" w:fldLock="1"/>
      </w:r>
      <w:r w:rsidR="00561671" w:rsidRPr="00B241A8">
        <w:rPr>
          <w:rFonts w:cs="Arial"/>
          <w:szCs w:val="24"/>
        </w:rPr>
        <w:instrText>ADDIN CSL_CITATION {"citationItems":[{"id":"ITEM-1","itemData":{"ISSN":"02784319","author":[{"dropping-particle":"","family":"Ji","given":"Kate Mingjie","non-dropping-particle":"","parse-names":false,"suffix":""},{"dropping-particle":"","family":"Wang","given":"Juanxi","non-dropping-particle":"","parse-names":false,"suffix":""},{"dropping-particle":"","family":"Boccardo","given":"Luca","non-dropping-particle":"","parse-names":false,"suffix":""},{"dropping-particle":"","family":"Brown","given":"Howard","non-dropping-particle":"","parse-names":false,"suffix":""},{"dropping-particle":"","family":"Wong","given":"IpKin Anthony","non-dropping-particle":"","parse-names":false,"suffix":""},{"dropping-particle":"","family":"Wu","given":"Jiao","non-dropping-particle":"","parse-names":false,"suffix":""}],"container-title":"International Journal of Hospitality Management","id":"ITEM-1","issued":{"date-parts":[["2024","1"]]},"page":"103619","title":"Interactive effects of financial leverage with asset-light strategies: The agency theory perspective","type":"article-journal","volume":"116"},"uris":["http://www.mendeley.com/documents/?uuid=e3c6d5f8-68f9-49c7-9dd1-0399d6c7a40e"]}],"mendeley":{"formattedCitation":"(Ji &lt;i&gt;et al.&lt;/i&gt;, 2024)","plainTextFormattedCitation":"(Ji et al., 2024)","previouslyFormattedCitation":"(Ji &lt;i&gt;et al.&lt;/i&gt;, 2024)"},"properties":{"noteIndex":0},"schema":"https://github.com/citation-style-language/schema/raw/master/csl-citation.json"}</w:instrText>
      </w:r>
      <w:r w:rsidR="00494CFE" w:rsidRPr="00B241A8">
        <w:rPr>
          <w:rFonts w:cs="Arial"/>
          <w:szCs w:val="24"/>
        </w:rPr>
        <w:fldChar w:fldCharType="separate"/>
      </w:r>
      <w:r w:rsidR="00494CFE" w:rsidRPr="00B241A8">
        <w:rPr>
          <w:rFonts w:cs="Arial"/>
          <w:noProof/>
          <w:szCs w:val="24"/>
        </w:rPr>
        <w:t xml:space="preserve">(Ji </w:t>
      </w:r>
      <w:r w:rsidR="00494CFE" w:rsidRPr="00B241A8">
        <w:rPr>
          <w:rFonts w:cs="Arial"/>
          <w:i/>
          <w:noProof/>
          <w:szCs w:val="24"/>
        </w:rPr>
        <w:t>et al.</w:t>
      </w:r>
      <w:r w:rsidR="00494CFE" w:rsidRPr="00B241A8">
        <w:rPr>
          <w:rFonts w:cs="Arial"/>
          <w:noProof/>
          <w:szCs w:val="24"/>
        </w:rPr>
        <w:t>, 2024)</w:t>
      </w:r>
      <w:r w:rsidR="00494CFE" w:rsidRPr="00B241A8">
        <w:rPr>
          <w:rFonts w:cs="Arial"/>
          <w:szCs w:val="24"/>
        </w:rPr>
        <w:fldChar w:fldCharType="end"/>
      </w:r>
      <w:r w:rsidR="00494CFE" w:rsidRPr="00B241A8">
        <w:rPr>
          <w:rFonts w:cs="Arial"/>
          <w:szCs w:val="24"/>
        </w:rPr>
        <w:t>.</w:t>
      </w:r>
    </w:p>
    <w:p w14:paraId="79B55CAD" w14:textId="02F3E21C" w:rsidR="00561671" w:rsidRPr="00B241A8" w:rsidRDefault="001C5E89" w:rsidP="00F73003">
      <w:pPr>
        <w:spacing w:after="160" w:line="360" w:lineRule="auto"/>
        <w:jc w:val="both"/>
        <w:rPr>
          <w:rFonts w:cs="Arial"/>
          <w:szCs w:val="24"/>
        </w:rPr>
      </w:pPr>
      <w:r w:rsidRPr="00B241A8">
        <w:rPr>
          <w:rFonts w:cs="Arial"/>
          <w:szCs w:val="24"/>
        </w:rPr>
        <w:t xml:space="preserve">Especially important is the 2024 position, which shows a balance sheet and shareholder value at odds. While IHG's operating performance was robust, net debt rose 22% to $2,782m and operating cash flow fell from $893m to $724m, as reportable-segment operating profit grew 10% to $1,124m, while adjusted EBITDA rose 9.5% to $1,189m. The amounts paid back to shareholders of over $1bn thus had a significant impact on financial flexibility and </w:t>
      </w:r>
      <w:r w:rsidR="00264AF7">
        <w:rPr>
          <w:rFonts w:cs="Arial"/>
          <w:szCs w:val="24"/>
        </w:rPr>
        <w:t xml:space="preserve">were </w:t>
      </w:r>
      <w:r w:rsidRPr="00B241A8">
        <w:rPr>
          <w:rFonts w:cs="Arial"/>
          <w:szCs w:val="24"/>
        </w:rPr>
        <w:t>not merely a reflection of weaker trading. Though IHG is able to justify these payouts due to its cash-generative model and asset-light business, the continued aggressive payouts have made IHG more vulnerable to a sudden slowdown in the growth of operating cash flows. The question is not whether buybacks and dividends add value, however, but whether capital returns are consistent with an adequate liquidity buffer and leverage and funding future growth. This was a trade-off</w:t>
      </w:r>
      <w:r w:rsidR="00264AF7">
        <w:rPr>
          <w:rFonts w:cs="Arial"/>
          <w:szCs w:val="24"/>
        </w:rPr>
        <w:t>,</w:t>
      </w:r>
      <w:r w:rsidRPr="00B241A8">
        <w:rPr>
          <w:rFonts w:cs="Arial"/>
          <w:szCs w:val="24"/>
        </w:rPr>
        <w:t xml:space="preserve"> and management's decision to go for immediate shareholder returns rather than further balance-sheet strengthening should be made explicit in assessing IHG's financial sustainability.</w:t>
      </w:r>
    </w:p>
    <w:bookmarkEnd w:id="0"/>
    <w:p w14:paraId="3A07E4A8" w14:textId="77777777" w:rsidR="00561671" w:rsidRPr="00B241A8" w:rsidRDefault="00561671" w:rsidP="00F73003">
      <w:pPr>
        <w:spacing w:before="240" w:line="360" w:lineRule="auto"/>
        <w:jc w:val="both"/>
        <w:rPr>
          <w:rFonts w:cs="Arial"/>
          <w:szCs w:val="24"/>
        </w:rPr>
      </w:pPr>
      <w:r w:rsidRPr="00B241A8">
        <w:rPr>
          <w:rFonts w:cs="Arial"/>
          <w:szCs w:val="24"/>
        </w:rPr>
        <w:br w:type="page"/>
      </w:r>
    </w:p>
    <w:p w14:paraId="778F642E" w14:textId="11A95CCF" w:rsidR="001C5E89" w:rsidRPr="00B241A8" w:rsidRDefault="00561671" w:rsidP="00F73003">
      <w:pPr>
        <w:pStyle w:val="Heading1"/>
        <w:spacing w:line="360" w:lineRule="auto"/>
        <w:jc w:val="both"/>
      </w:pPr>
      <w:bookmarkStart w:id="29" w:name="_Toc237523910"/>
      <w:r w:rsidRPr="00B241A8">
        <w:lastRenderedPageBreak/>
        <w:t>References:</w:t>
      </w:r>
      <w:bookmarkEnd w:id="29"/>
    </w:p>
    <w:p w14:paraId="57CF71E8" w14:textId="3A9D2A82" w:rsidR="00561671" w:rsidRPr="00B241A8" w:rsidRDefault="00561671" w:rsidP="00F73003">
      <w:pPr>
        <w:widowControl w:val="0"/>
        <w:autoSpaceDE w:val="0"/>
        <w:autoSpaceDN w:val="0"/>
        <w:adjustRightInd w:val="0"/>
        <w:spacing w:after="160" w:line="360" w:lineRule="auto"/>
        <w:jc w:val="both"/>
        <w:rPr>
          <w:rFonts w:cs="Arial"/>
          <w:noProof/>
          <w:szCs w:val="24"/>
        </w:rPr>
      </w:pPr>
      <w:r w:rsidRPr="00B241A8">
        <w:rPr>
          <w:rFonts w:cs="Arial"/>
          <w:szCs w:val="24"/>
        </w:rPr>
        <w:fldChar w:fldCharType="begin" w:fldLock="1"/>
      </w:r>
      <w:r w:rsidRPr="00B241A8">
        <w:rPr>
          <w:rFonts w:cs="Arial"/>
          <w:szCs w:val="24"/>
        </w:rPr>
        <w:instrText xml:space="preserve">ADDIN Mendeley Bibliography CSL_BIBLIOGRAPHY </w:instrText>
      </w:r>
      <w:r w:rsidRPr="00B241A8">
        <w:rPr>
          <w:rFonts w:cs="Arial"/>
          <w:szCs w:val="24"/>
        </w:rPr>
        <w:fldChar w:fldCharType="separate"/>
      </w:r>
      <w:r w:rsidRPr="00B241A8">
        <w:rPr>
          <w:rFonts w:cs="Arial"/>
          <w:noProof/>
          <w:szCs w:val="24"/>
        </w:rPr>
        <w:t xml:space="preserve">Barth, M.E., Berkovitch, J. and Israeli, D. (2025) “The Information Content of Operational Effectiveness,” </w:t>
      </w:r>
      <w:r w:rsidRPr="00B241A8">
        <w:rPr>
          <w:rFonts w:cs="Arial"/>
          <w:i/>
          <w:iCs/>
          <w:noProof/>
          <w:szCs w:val="24"/>
        </w:rPr>
        <w:t>Journal of Business Finance &amp; Accounting</w:t>
      </w:r>
      <w:r w:rsidRPr="00B241A8">
        <w:rPr>
          <w:rFonts w:cs="Arial"/>
          <w:noProof/>
          <w:szCs w:val="24"/>
        </w:rPr>
        <w:t xml:space="preserve">, 53(2), pp. 708–732. Available at: </w:t>
      </w:r>
      <w:hyperlink r:id="rId10" w:history="1">
        <w:r w:rsidRPr="00B241A8">
          <w:rPr>
            <w:rStyle w:val="Hyperlink"/>
            <w:rFonts w:cs="Arial"/>
            <w:noProof/>
            <w:szCs w:val="24"/>
          </w:rPr>
          <w:t>https://onlinelibrary.wiley.com/doi/10.1111/jbfa.70032?af=R</w:t>
        </w:r>
      </w:hyperlink>
      <w:r w:rsidRPr="00B241A8">
        <w:rPr>
          <w:rFonts w:cs="Arial"/>
          <w:noProof/>
          <w:szCs w:val="24"/>
        </w:rPr>
        <w:t>.</w:t>
      </w:r>
    </w:p>
    <w:p w14:paraId="4C51BA1B" w14:textId="1EE6B7ED" w:rsidR="00561671" w:rsidRPr="00B241A8" w:rsidRDefault="00561671" w:rsidP="00F73003">
      <w:pPr>
        <w:widowControl w:val="0"/>
        <w:autoSpaceDE w:val="0"/>
        <w:autoSpaceDN w:val="0"/>
        <w:adjustRightInd w:val="0"/>
        <w:spacing w:after="160" w:line="360" w:lineRule="auto"/>
        <w:jc w:val="both"/>
        <w:rPr>
          <w:rFonts w:cs="Arial"/>
          <w:noProof/>
          <w:szCs w:val="24"/>
        </w:rPr>
      </w:pPr>
      <w:r w:rsidRPr="00B241A8">
        <w:rPr>
          <w:rFonts w:cs="Arial"/>
          <w:noProof/>
          <w:szCs w:val="24"/>
        </w:rPr>
        <w:t xml:space="preserve">Fernando, J. (2026) “Free Cash Flow (FCF): How to Calculate and Interpret It.” Available at: </w:t>
      </w:r>
      <w:hyperlink r:id="rId11" w:history="1">
        <w:r w:rsidRPr="00B241A8">
          <w:rPr>
            <w:rStyle w:val="Hyperlink"/>
            <w:rFonts w:cs="Arial"/>
            <w:noProof/>
            <w:szCs w:val="24"/>
          </w:rPr>
          <w:t>https://www.investopedia.com/terms/f/freecashflow.asp</w:t>
        </w:r>
      </w:hyperlink>
      <w:r w:rsidRPr="00B241A8">
        <w:rPr>
          <w:rFonts w:cs="Arial"/>
          <w:noProof/>
          <w:szCs w:val="24"/>
        </w:rPr>
        <w:t>.</w:t>
      </w:r>
    </w:p>
    <w:p w14:paraId="765D7C11" w14:textId="0AE4C0AD" w:rsidR="00561671" w:rsidRPr="00B241A8" w:rsidRDefault="00561671" w:rsidP="00F73003">
      <w:pPr>
        <w:widowControl w:val="0"/>
        <w:autoSpaceDE w:val="0"/>
        <w:autoSpaceDN w:val="0"/>
        <w:adjustRightInd w:val="0"/>
        <w:spacing w:after="160" w:line="360" w:lineRule="auto"/>
        <w:jc w:val="both"/>
        <w:rPr>
          <w:rFonts w:cs="Arial"/>
          <w:noProof/>
          <w:szCs w:val="24"/>
        </w:rPr>
      </w:pPr>
      <w:r w:rsidRPr="00B241A8">
        <w:rPr>
          <w:rFonts w:cs="Arial"/>
          <w:noProof/>
          <w:szCs w:val="24"/>
        </w:rPr>
        <w:t xml:space="preserve">Ji, K.M. </w:t>
      </w:r>
      <w:r w:rsidRPr="00B241A8">
        <w:rPr>
          <w:rFonts w:cs="Arial"/>
          <w:i/>
          <w:iCs/>
          <w:noProof/>
          <w:szCs w:val="24"/>
        </w:rPr>
        <w:t>et al.</w:t>
      </w:r>
      <w:r w:rsidRPr="00B241A8">
        <w:rPr>
          <w:rFonts w:cs="Arial"/>
          <w:noProof/>
          <w:szCs w:val="24"/>
        </w:rPr>
        <w:t xml:space="preserve"> (2024) “Interactive effects of financial leverage with asset-light strategies: The agency theory perspective,” </w:t>
      </w:r>
      <w:r w:rsidRPr="00B241A8">
        <w:rPr>
          <w:rFonts w:cs="Arial"/>
          <w:i/>
          <w:iCs/>
          <w:noProof/>
          <w:szCs w:val="24"/>
        </w:rPr>
        <w:t>International Journal of Hospitality Management</w:t>
      </w:r>
      <w:r w:rsidRPr="00B241A8">
        <w:rPr>
          <w:rFonts w:cs="Arial"/>
          <w:noProof/>
          <w:szCs w:val="24"/>
        </w:rPr>
        <w:t xml:space="preserve">, 116, p. 103619. Available at: </w:t>
      </w:r>
      <w:hyperlink r:id="rId12" w:history="1">
        <w:r w:rsidRPr="00B241A8">
          <w:rPr>
            <w:rStyle w:val="Hyperlink"/>
            <w:rFonts w:cs="Arial"/>
            <w:noProof/>
            <w:szCs w:val="24"/>
          </w:rPr>
          <w:t>https://www.sciencedirect.com/science/article/abs/pii/S0278431923001937</w:t>
        </w:r>
      </w:hyperlink>
      <w:r w:rsidRPr="00B241A8">
        <w:rPr>
          <w:rFonts w:cs="Arial"/>
          <w:noProof/>
          <w:szCs w:val="24"/>
        </w:rPr>
        <w:t>.</w:t>
      </w:r>
    </w:p>
    <w:p w14:paraId="7B6D8558" w14:textId="4BD97227" w:rsidR="00561671" w:rsidRPr="00B241A8" w:rsidRDefault="00561671" w:rsidP="00F73003">
      <w:pPr>
        <w:widowControl w:val="0"/>
        <w:autoSpaceDE w:val="0"/>
        <w:autoSpaceDN w:val="0"/>
        <w:adjustRightInd w:val="0"/>
        <w:spacing w:after="160" w:line="360" w:lineRule="auto"/>
        <w:jc w:val="both"/>
        <w:rPr>
          <w:rFonts w:cs="Arial"/>
          <w:noProof/>
          <w:szCs w:val="24"/>
        </w:rPr>
      </w:pPr>
      <w:r w:rsidRPr="00B241A8">
        <w:rPr>
          <w:rFonts w:cs="Arial"/>
          <w:noProof/>
          <w:szCs w:val="24"/>
        </w:rPr>
        <w:t xml:space="preserve">Laik, J. and Mirchandani, P. (2021) “Effect of seasonality, sales growth rate, and fiscal year end on cash conversion cycle,” </w:t>
      </w:r>
      <w:r w:rsidRPr="00B241A8">
        <w:rPr>
          <w:rFonts w:cs="Arial"/>
          <w:i/>
          <w:iCs/>
          <w:noProof/>
          <w:szCs w:val="24"/>
        </w:rPr>
        <w:t>Decision Sciences</w:t>
      </w:r>
      <w:r w:rsidRPr="00B241A8">
        <w:rPr>
          <w:rFonts w:cs="Arial"/>
          <w:noProof/>
          <w:szCs w:val="24"/>
        </w:rPr>
        <w:t xml:space="preserve">, 54(1), pp. 43–63. Available at: </w:t>
      </w:r>
      <w:hyperlink r:id="rId13" w:history="1">
        <w:r w:rsidRPr="00B241A8">
          <w:rPr>
            <w:rStyle w:val="Hyperlink"/>
            <w:rFonts w:cs="Arial"/>
            <w:noProof/>
            <w:szCs w:val="24"/>
          </w:rPr>
          <w:t>https://onlinelibrary.wiley.com/doi/abs/10.1111/deci.12545</w:t>
        </w:r>
      </w:hyperlink>
      <w:r w:rsidRPr="00B241A8">
        <w:rPr>
          <w:rFonts w:cs="Arial"/>
          <w:noProof/>
          <w:szCs w:val="24"/>
        </w:rPr>
        <w:t>.</w:t>
      </w:r>
    </w:p>
    <w:p w14:paraId="33A173D6" w14:textId="5C557E00" w:rsidR="00561671" w:rsidRPr="00B241A8" w:rsidRDefault="00561671" w:rsidP="00F73003">
      <w:pPr>
        <w:widowControl w:val="0"/>
        <w:autoSpaceDE w:val="0"/>
        <w:autoSpaceDN w:val="0"/>
        <w:adjustRightInd w:val="0"/>
        <w:spacing w:after="160" w:line="360" w:lineRule="auto"/>
        <w:jc w:val="both"/>
        <w:rPr>
          <w:rFonts w:cs="Arial"/>
          <w:noProof/>
          <w:szCs w:val="24"/>
        </w:rPr>
      </w:pPr>
      <w:r w:rsidRPr="00B241A8">
        <w:rPr>
          <w:rFonts w:cs="Arial"/>
          <w:noProof/>
          <w:szCs w:val="24"/>
        </w:rPr>
        <w:t xml:space="preserve">Luwina, P.B., Nugraheni, B.L.Y. and Kuncorojati, M.A.D. (2024) “Factors Affecting Equity Valuation in the Indonesian Manufacturing Companies,” </w:t>
      </w:r>
      <w:r w:rsidRPr="00B241A8">
        <w:rPr>
          <w:rFonts w:cs="Arial"/>
          <w:i/>
          <w:iCs/>
          <w:noProof/>
          <w:szCs w:val="24"/>
        </w:rPr>
        <w:t>9th International Conference on Business and Economy</w:t>
      </w:r>
      <w:r w:rsidRPr="00B241A8">
        <w:rPr>
          <w:rFonts w:cs="Arial"/>
          <w:noProof/>
          <w:szCs w:val="24"/>
        </w:rPr>
        <w:t xml:space="preserve">. Sciendo, pp. 153–165. Available at: </w:t>
      </w:r>
      <w:hyperlink r:id="rId14" w:history="1">
        <w:r w:rsidRPr="00B241A8">
          <w:rPr>
            <w:rStyle w:val="Hyperlink"/>
            <w:rFonts w:cs="Arial"/>
            <w:noProof/>
            <w:szCs w:val="24"/>
          </w:rPr>
          <w:t>https://www.researchgate.net/publication/383936635_Factors_Affecting_Equity_Valuation_in_the_Indonesian_Manufacturing_Companies</w:t>
        </w:r>
      </w:hyperlink>
      <w:r w:rsidRPr="00B241A8">
        <w:rPr>
          <w:rFonts w:cs="Arial"/>
          <w:noProof/>
          <w:szCs w:val="24"/>
        </w:rPr>
        <w:t>.</w:t>
      </w:r>
    </w:p>
    <w:p w14:paraId="53E59DC0" w14:textId="7732145D" w:rsidR="00561671" w:rsidRPr="00B241A8" w:rsidRDefault="00561671" w:rsidP="00F73003">
      <w:pPr>
        <w:widowControl w:val="0"/>
        <w:autoSpaceDE w:val="0"/>
        <w:autoSpaceDN w:val="0"/>
        <w:adjustRightInd w:val="0"/>
        <w:spacing w:after="160" w:line="360" w:lineRule="auto"/>
        <w:jc w:val="both"/>
        <w:rPr>
          <w:rFonts w:cs="Arial"/>
          <w:noProof/>
          <w:szCs w:val="24"/>
        </w:rPr>
      </w:pPr>
      <w:r w:rsidRPr="00B241A8">
        <w:rPr>
          <w:rFonts w:cs="Arial"/>
          <w:noProof/>
          <w:szCs w:val="24"/>
        </w:rPr>
        <w:t xml:space="preserve">Poretti, C., Jérôme, T. and Heo, C.Y. (2023) “Business strategies and financial reporting complexity in hospitality firms,” </w:t>
      </w:r>
      <w:r w:rsidRPr="00B241A8">
        <w:rPr>
          <w:rFonts w:cs="Arial"/>
          <w:i/>
          <w:iCs/>
          <w:noProof/>
          <w:szCs w:val="24"/>
        </w:rPr>
        <w:t>International Journal of Hospitality Management</w:t>
      </w:r>
      <w:r w:rsidRPr="00B241A8">
        <w:rPr>
          <w:rFonts w:cs="Arial"/>
          <w:noProof/>
          <w:szCs w:val="24"/>
        </w:rPr>
        <w:t xml:space="preserve">, 110, p. 103429. Available at: </w:t>
      </w:r>
      <w:hyperlink r:id="rId15" w:history="1">
        <w:r w:rsidRPr="00B241A8">
          <w:rPr>
            <w:rStyle w:val="Hyperlink"/>
            <w:rFonts w:cs="Arial"/>
            <w:noProof/>
            <w:szCs w:val="24"/>
          </w:rPr>
          <w:t>https://www.sciencedirect.com/science/article/abs/pii/S0278431923000038</w:t>
        </w:r>
      </w:hyperlink>
      <w:r w:rsidRPr="00B241A8">
        <w:rPr>
          <w:rFonts w:cs="Arial"/>
          <w:noProof/>
          <w:szCs w:val="24"/>
        </w:rPr>
        <w:t>.</w:t>
      </w:r>
    </w:p>
    <w:p w14:paraId="2AE1B3C1" w14:textId="32913F9B" w:rsidR="00561671" w:rsidRPr="00B241A8" w:rsidRDefault="00561671" w:rsidP="00F73003">
      <w:pPr>
        <w:widowControl w:val="0"/>
        <w:autoSpaceDE w:val="0"/>
        <w:autoSpaceDN w:val="0"/>
        <w:adjustRightInd w:val="0"/>
        <w:spacing w:after="160" w:line="360" w:lineRule="auto"/>
        <w:jc w:val="both"/>
        <w:rPr>
          <w:rFonts w:cs="Arial"/>
          <w:noProof/>
          <w:szCs w:val="24"/>
        </w:rPr>
      </w:pPr>
      <w:r w:rsidRPr="00B241A8">
        <w:rPr>
          <w:rFonts w:cs="Arial"/>
          <w:noProof/>
          <w:szCs w:val="24"/>
        </w:rPr>
        <w:t xml:space="preserve">Tascón, M.T., Castro, P. and Valdunciel, L. (2023) “Effects of financial restrictions on firms’ financial resilience against the COVID-19 pandemic: evidence from the European hospitality industry,” </w:t>
      </w:r>
      <w:r w:rsidRPr="00B241A8">
        <w:rPr>
          <w:rFonts w:cs="Arial"/>
          <w:i/>
          <w:iCs/>
          <w:noProof/>
          <w:szCs w:val="24"/>
        </w:rPr>
        <w:t>Applied Economics</w:t>
      </w:r>
      <w:r w:rsidRPr="00B241A8">
        <w:rPr>
          <w:rFonts w:cs="Arial"/>
          <w:noProof/>
          <w:szCs w:val="24"/>
        </w:rPr>
        <w:t xml:space="preserve">, 56(58), pp. 8226–8241. Available at: </w:t>
      </w:r>
      <w:hyperlink r:id="rId16" w:history="1">
        <w:r w:rsidRPr="00B241A8">
          <w:rPr>
            <w:rStyle w:val="Hyperlink"/>
            <w:rFonts w:cs="Arial"/>
            <w:noProof/>
            <w:szCs w:val="24"/>
          </w:rPr>
          <w:t>https://www.tandfonline.com/doi/full/10.1080/00036846.2023.2289951</w:t>
        </w:r>
      </w:hyperlink>
      <w:r w:rsidRPr="00B241A8">
        <w:rPr>
          <w:rFonts w:cs="Arial"/>
          <w:noProof/>
          <w:szCs w:val="24"/>
        </w:rPr>
        <w:t>.</w:t>
      </w:r>
    </w:p>
    <w:p w14:paraId="2FB9C742" w14:textId="6E917AC4" w:rsidR="00561671" w:rsidRPr="00B241A8" w:rsidRDefault="00561671" w:rsidP="00F73003">
      <w:pPr>
        <w:widowControl w:val="0"/>
        <w:autoSpaceDE w:val="0"/>
        <w:autoSpaceDN w:val="0"/>
        <w:adjustRightInd w:val="0"/>
        <w:spacing w:after="160" w:line="360" w:lineRule="auto"/>
        <w:jc w:val="both"/>
        <w:rPr>
          <w:rFonts w:cs="Arial"/>
          <w:noProof/>
          <w:szCs w:val="24"/>
        </w:rPr>
      </w:pPr>
      <w:r w:rsidRPr="00B241A8">
        <w:rPr>
          <w:rFonts w:cs="Arial"/>
          <w:noProof/>
          <w:szCs w:val="24"/>
        </w:rPr>
        <w:t xml:space="preserve">Wetzel, P. and Wagner, S.M. (2025) “Supply chain financing theory of the trade payables–performance link.” Available at: </w:t>
      </w:r>
      <w:hyperlink r:id="rId17" w:history="1">
        <w:r w:rsidRPr="00B241A8">
          <w:rPr>
            <w:rStyle w:val="Hyperlink"/>
            <w:rFonts w:cs="Arial"/>
            <w:noProof/>
            <w:szCs w:val="24"/>
          </w:rPr>
          <w:t>https://www.tandfonline.com/doi/full/10.1080/00207543.2024.2410465</w:t>
        </w:r>
      </w:hyperlink>
      <w:r w:rsidRPr="00B241A8">
        <w:rPr>
          <w:rFonts w:cs="Arial"/>
          <w:noProof/>
          <w:szCs w:val="24"/>
        </w:rPr>
        <w:t>.</w:t>
      </w:r>
    </w:p>
    <w:p w14:paraId="051E0825" w14:textId="786F9B37" w:rsidR="00561671" w:rsidRPr="00B241A8" w:rsidRDefault="00561671" w:rsidP="00F73003">
      <w:pPr>
        <w:widowControl w:val="0"/>
        <w:autoSpaceDE w:val="0"/>
        <w:autoSpaceDN w:val="0"/>
        <w:adjustRightInd w:val="0"/>
        <w:spacing w:after="160" w:line="360" w:lineRule="auto"/>
        <w:jc w:val="both"/>
        <w:rPr>
          <w:rFonts w:cs="Arial"/>
          <w:noProof/>
          <w:szCs w:val="24"/>
        </w:rPr>
      </w:pPr>
      <w:r w:rsidRPr="00B241A8">
        <w:rPr>
          <w:rFonts w:cs="Arial"/>
          <w:noProof/>
          <w:szCs w:val="24"/>
        </w:rPr>
        <w:t xml:space="preserve">Ye, L., Wang, Z. and Ren, H. (2024) “Share repurchase and cash holdings: Evidence </w:t>
      </w:r>
      <w:r w:rsidRPr="00B241A8">
        <w:rPr>
          <w:rFonts w:cs="Arial"/>
          <w:noProof/>
          <w:szCs w:val="24"/>
        </w:rPr>
        <w:lastRenderedPageBreak/>
        <w:t xml:space="preserve">from China,” </w:t>
      </w:r>
      <w:r w:rsidRPr="00B241A8">
        <w:rPr>
          <w:rFonts w:cs="Arial"/>
          <w:i/>
          <w:iCs/>
          <w:noProof/>
          <w:szCs w:val="24"/>
        </w:rPr>
        <w:t>International Review of Economics &amp; Finance</w:t>
      </w:r>
      <w:r w:rsidRPr="00B241A8">
        <w:rPr>
          <w:rFonts w:cs="Arial"/>
          <w:noProof/>
          <w:szCs w:val="24"/>
        </w:rPr>
        <w:t xml:space="preserve">, 96, p. 103568. Available at: </w:t>
      </w:r>
      <w:hyperlink r:id="rId18" w:history="1">
        <w:r w:rsidRPr="00B241A8">
          <w:rPr>
            <w:rStyle w:val="Hyperlink"/>
            <w:rFonts w:cs="Arial"/>
            <w:noProof/>
            <w:szCs w:val="24"/>
          </w:rPr>
          <w:t>https://www.sciencedirect.com/science/article/abs/pii/S1059056024005604</w:t>
        </w:r>
      </w:hyperlink>
      <w:r w:rsidRPr="00B241A8">
        <w:rPr>
          <w:rFonts w:cs="Arial"/>
          <w:noProof/>
          <w:szCs w:val="24"/>
        </w:rPr>
        <w:t>.</w:t>
      </w:r>
    </w:p>
    <w:p w14:paraId="01971A06" w14:textId="593ADDDB" w:rsidR="00561671" w:rsidRPr="00B241A8" w:rsidRDefault="00561671" w:rsidP="00F73003">
      <w:pPr>
        <w:spacing w:after="160" w:line="360" w:lineRule="auto"/>
        <w:jc w:val="both"/>
        <w:rPr>
          <w:rFonts w:cs="Arial"/>
          <w:szCs w:val="24"/>
        </w:rPr>
      </w:pPr>
      <w:r w:rsidRPr="00B241A8">
        <w:rPr>
          <w:rFonts w:cs="Arial"/>
          <w:szCs w:val="24"/>
        </w:rPr>
        <w:fldChar w:fldCharType="end"/>
      </w:r>
    </w:p>
    <w:p w14:paraId="3DB13F20" w14:textId="77777777" w:rsidR="00A87C31" w:rsidRPr="00B241A8" w:rsidRDefault="00A87C31" w:rsidP="00F73003">
      <w:pPr>
        <w:spacing w:after="160" w:line="360" w:lineRule="auto"/>
        <w:jc w:val="both"/>
        <w:rPr>
          <w:rFonts w:cs="Arial"/>
          <w:szCs w:val="24"/>
        </w:rPr>
      </w:pPr>
    </w:p>
    <w:p w14:paraId="53CF8637" w14:textId="2AB8B59C" w:rsidR="00DE3F86" w:rsidRDefault="00DE3F86">
      <w:pPr>
        <w:spacing w:before="240" w:line="360" w:lineRule="auto"/>
        <w:jc w:val="both"/>
        <w:rPr>
          <w:rFonts w:cs="Arial"/>
          <w:szCs w:val="24"/>
        </w:rPr>
      </w:pPr>
      <w:r>
        <w:rPr>
          <w:rFonts w:cs="Arial"/>
          <w:szCs w:val="24"/>
        </w:rPr>
        <w:br w:type="page"/>
      </w:r>
    </w:p>
    <w:p w14:paraId="0B1BEA48" w14:textId="1C8AF60A" w:rsidR="00A31277" w:rsidRDefault="00DE3F86" w:rsidP="00601FAF">
      <w:pPr>
        <w:pStyle w:val="Heading1"/>
      </w:pPr>
      <w:bookmarkStart w:id="30" w:name="_Toc237523911"/>
      <w:r w:rsidRPr="00601FAF">
        <w:lastRenderedPageBreak/>
        <w:t>Appendix</w:t>
      </w:r>
      <w:r>
        <w:t>:</w:t>
      </w:r>
      <w:bookmarkEnd w:id="30"/>
    </w:p>
    <w:p w14:paraId="7B473207" w14:textId="33A38379" w:rsidR="00DE3F86" w:rsidRDefault="00DE3F86" w:rsidP="00F73003">
      <w:pPr>
        <w:spacing w:line="360" w:lineRule="auto"/>
        <w:jc w:val="both"/>
        <w:rPr>
          <w:rFonts w:cs="Arial"/>
          <w:szCs w:val="24"/>
        </w:rPr>
      </w:pPr>
      <w:r>
        <w:rPr>
          <w:rFonts w:cs="Arial"/>
          <w:szCs w:val="24"/>
        </w:rPr>
        <w:object w:dxaOrig="1537" w:dyaOrig="994" w14:anchorId="22F777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4pt;height:49.45pt" o:ole="">
            <v:imagedata r:id="rId19" o:title=""/>
          </v:shape>
          <o:OLEObject Type="Embed" ProgID="Excel.Sheet.12" ShapeID="_x0000_i1025" DrawAspect="Icon" ObjectID="_1848120160" r:id="rId20"/>
        </w:object>
      </w:r>
    </w:p>
    <w:p w14:paraId="0E933349" w14:textId="77777777" w:rsidR="00DE3F86" w:rsidRDefault="00DE3F86" w:rsidP="00F73003">
      <w:pPr>
        <w:spacing w:line="360" w:lineRule="auto"/>
        <w:jc w:val="both"/>
        <w:rPr>
          <w:rFonts w:cs="Arial"/>
          <w:szCs w:val="24"/>
        </w:rPr>
      </w:pPr>
    </w:p>
    <w:p w14:paraId="20CDA375" w14:textId="0C46A9E6" w:rsidR="00DE3F86" w:rsidRDefault="00DE3F86" w:rsidP="00F73003">
      <w:pPr>
        <w:spacing w:line="360" w:lineRule="auto"/>
        <w:jc w:val="both"/>
        <w:rPr>
          <w:rFonts w:cs="Arial"/>
          <w:szCs w:val="24"/>
        </w:rPr>
      </w:pPr>
      <w:r>
        <w:rPr>
          <w:rFonts w:cs="Arial"/>
          <w:szCs w:val="24"/>
        </w:rPr>
        <w:object w:dxaOrig="1537" w:dyaOrig="994" w14:anchorId="0DF09009">
          <v:shape id="_x0000_i1026" type="#_x0000_t75" style="width:76.4pt;height:49.45pt" o:ole="">
            <v:imagedata r:id="rId21" o:title=""/>
          </v:shape>
          <o:OLEObject Type="Embed" ProgID="Excel.Sheet.12" ShapeID="_x0000_i1026" DrawAspect="Icon" ObjectID="_1848120161" r:id="rId22"/>
        </w:object>
      </w:r>
    </w:p>
    <w:p w14:paraId="00038B29" w14:textId="77777777" w:rsidR="00DE3F86" w:rsidRDefault="00DE3F86" w:rsidP="00F73003">
      <w:pPr>
        <w:spacing w:line="360" w:lineRule="auto"/>
        <w:jc w:val="both"/>
        <w:rPr>
          <w:rFonts w:cs="Arial"/>
          <w:szCs w:val="24"/>
        </w:rPr>
      </w:pPr>
    </w:p>
    <w:p w14:paraId="10AD1D3C" w14:textId="77777777" w:rsidR="00DE3F86" w:rsidRDefault="00DE3F86" w:rsidP="00F73003">
      <w:pPr>
        <w:spacing w:line="360" w:lineRule="auto"/>
        <w:jc w:val="both"/>
        <w:rPr>
          <w:rFonts w:cs="Arial"/>
          <w:szCs w:val="24"/>
        </w:rPr>
      </w:pPr>
    </w:p>
    <w:p w14:paraId="3391F12B" w14:textId="77777777" w:rsidR="00DE3F86" w:rsidRDefault="00DE3F86" w:rsidP="00F73003">
      <w:pPr>
        <w:spacing w:line="360" w:lineRule="auto"/>
        <w:jc w:val="both"/>
        <w:rPr>
          <w:rFonts w:cs="Arial"/>
          <w:szCs w:val="24"/>
        </w:rPr>
      </w:pPr>
    </w:p>
    <w:p w14:paraId="5CBC5C00" w14:textId="77777777" w:rsidR="00DE3F86" w:rsidRDefault="00DE3F86" w:rsidP="00F73003">
      <w:pPr>
        <w:spacing w:line="360" w:lineRule="auto"/>
        <w:jc w:val="both"/>
        <w:rPr>
          <w:rFonts w:cs="Arial"/>
          <w:szCs w:val="24"/>
        </w:rPr>
      </w:pPr>
      <w:r>
        <w:rPr>
          <w:rFonts w:cs="Arial"/>
          <w:szCs w:val="24"/>
        </w:rPr>
        <w:object w:dxaOrig="1537" w:dyaOrig="994" w14:anchorId="0192A2E7">
          <v:shape id="_x0000_i1027" type="#_x0000_t75" style="width:76.4pt;height:49.45pt" o:ole="">
            <v:imagedata r:id="rId23" o:title=""/>
          </v:shape>
          <o:OLEObject Type="Embed" ProgID="Excel.Sheet.12" ShapeID="_x0000_i1027" DrawAspect="Icon" ObjectID="_1848120162" r:id="rId24"/>
        </w:object>
      </w:r>
    </w:p>
    <w:p w14:paraId="5F87051B" w14:textId="77777777" w:rsidR="00DE3F86" w:rsidRDefault="00DE3F86" w:rsidP="00F73003">
      <w:pPr>
        <w:spacing w:line="360" w:lineRule="auto"/>
        <w:jc w:val="both"/>
        <w:rPr>
          <w:rFonts w:cs="Arial"/>
          <w:szCs w:val="24"/>
        </w:rPr>
      </w:pPr>
    </w:p>
    <w:p w14:paraId="5F5394F2" w14:textId="77777777" w:rsidR="00DE3F86" w:rsidRDefault="00DE3F86" w:rsidP="00F73003">
      <w:pPr>
        <w:spacing w:line="360" w:lineRule="auto"/>
        <w:jc w:val="both"/>
        <w:rPr>
          <w:rFonts w:cs="Arial"/>
          <w:szCs w:val="24"/>
        </w:rPr>
      </w:pPr>
    </w:p>
    <w:p w14:paraId="191C8776" w14:textId="59DBC64E" w:rsidR="00DE3F86" w:rsidRPr="00B241A8" w:rsidRDefault="00DE3F86" w:rsidP="00F73003">
      <w:pPr>
        <w:spacing w:line="360" w:lineRule="auto"/>
        <w:jc w:val="both"/>
        <w:rPr>
          <w:rFonts w:cs="Arial"/>
          <w:szCs w:val="24"/>
        </w:rPr>
      </w:pPr>
      <w:r>
        <w:rPr>
          <w:rFonts w:cs="Arial"/>
          <w:szCs w:val="24"/>
        </w:rPr>
        <w:object w:dxaOrig="1537" w:dyaOrig="994" w14:anchorId="2D6B5F63">
          <v:shape id="_x0000_i1028" type="#_x0000_t75" style="width:76.4pt;height:49.45pt" o:ole="">
            <v:imagedata r:id="rId25" o:title=""/>
          </v:shape>
          <o:OLEObject Type="Embed" ProgID="Excel.Sheet.12" ShapeID="_x0000_i1028" DrawAspect="Icon" ObjectID="_1848120163" r:id="rId26"/>
        </w:object>
      </w:r>
    </w:p>
    <w:sectPr w:rsidR="00DE3F86" w:rsidRPr="00B241A8" w:rsidSect="009C6AE6">
      <w:footerReference w:type="default" r:id="rId2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E182F2" w14:textId="77777777" w:rsidR="00B27629" w:rsidRDefault="00B27629" w:rsidP="00800873">
      <w:r>
        <w:separator/>
      </w:r>
    </w:p>
  </w:endnote>
  <w:endnote w:type="continuationSeparator" w:id="0">
    <w:p w14:paraId="335B2426" w14:textId="77777777" w:rsidR="00B27629" w:rsidRDefault="00B27629" w:rsidP="00800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4D87F" w14:textId="2FC905EB" w:rsidR="009C6AE6" w:rsidRDefault="009C6AE6">
    <w:pPr>
      <w:pStyle w:val="Footer"/>
      <w:pBdr>
        <w:top w:val="single" w:sz="4" w:space="1" w:color="D9D9D9" w:themeColor="background1" w:themeShade="D9"/>
      </w:pBdr>
      <w:jc w:val="right"/>
    </w:pPr>
  </w:p>
  <w:p w14:paraId="7A447C11" w14:textId="77777777" w:rsidR="009C6AE6" w:rsidRDefault="009C6A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6961826"/>
      <w:docPartObj>
        <w:docPartGallery w:val="Page Numbers (Bottom of Page)"/>
        <w:docPartUnique/>
      </w:docPartObj>
    </w:sdtPr>
    <w:sdtEndPr>
      <w:rPr>
        <w:color w:val="7F7F7F" w:themeColor="background1" w:themeShade="7F"/>
        <w:spacing w:val="60"/>
      </w:rPr>
    </w:sdtEndPr>
    <w:sdtContent>
      <w:p w14:paraId="01744E1B" w14:textId="77777777" w:rsidR="009C6AE6" w:rsidRDefault="009C6AE6">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5E51150" w14:textId="77777777" w:rsidR="009C6AE6" w:rsidRDefault="009C6A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57372A" w14:textId="77777777" w:rsidR="00B27629" w:rsidRDefault="00B27629" w:rsidP="00800873">
      <w:r>
        <w:separator/>
      </w:r>
    </w:p>
  </w:footnote>
  <w:footnote w:type="continuationSeparator" w:id="0">
    <w:p w14:paraId="5F1348A9" w14:textId="77777777" w:rsidR="00B27629" w:rsidRDefault="00B27629" w:rsidP="008008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B11F4"/>
    <w:multiLevelType w:val="hybridMultilevel"/>
    <w:tmpl w:val="C4AA23AE"/>
    <w:lvl w:ilvl="0" w:tplc="1700B35E">
      <w:start w:val="1"/>
      <w:numFmt w:val="bullet"/>
      <w:lvlText w:val="●"/>
      <w:lvlJc w:val="left"/>
      <w:pPr>
        <w:ind w:left="720" w:hanging="360"/>
      </w:pPr>
    </w:lvl>
    <w:lvl w:ilvl="1" w:tplc="AD82E002">
      <w:start w:val="1"/>
      <w:numFmt w:val="bullet"/>
      <w:lvlText w:val="○"/>
      <w:lvlJc w:val="left"/>
      <w:pPr>
        <w:ind w:left="1440" w:hanging="360"/>
      </w:pPr>
    </w:lvl>
    <w:lvl w:ilvl="2" w:tplc="605E8FD4">
      <w:start w:val="1"/>
      <w:numFmt w:val="bullet"/>
      <w:lvlText w:val="■"/>
      <w:lvlJc w:val="left"/>
      <w:pPr>
        <w:ind w:left="2160" w:hanging="360"/>
      </w:pPr>
    </w:lvl>
    <w:lvl w:ilvl="3" w:tplc="5FA0DB5A">
      <w:start w:val="1"/>
      <w:numFmt w:val="bullet"/>
      <w:lvlText w:val="●"/>
      <w:lvlJc w:val="left"/>
      <w:pPr>
        <w:ind w:left="2880" w:hanging="360"/>
      </w:pPr>
    </w:lvl>
    <w:lvl w:ilvl="4" w:tplc="A94C642C">
      <w:start w:val="1"/>
      <w:numFmt w:val="bullet"/>
      <w:lvlText w:val="○"/>
      <w:lvlJc w:val="left"/>
      <w:pPr>
        <w:ind w:left="3600" w:hanging="360"/>
      </w:pPr>
    </w:lvl>
    <w:lvl w:ilvl="5" w:tplc="594871A4">
      <w:start w:val="1"/>
      <w:numFmt w:val="bullet"/>
      <w:lvlText w:val="■"/>
      <w:lvlJc w:val="left"/>
      <w:pPr>
        <w:ind w:left="4320" w:hanging="360"/>
      </w:pPr>
    </w:lvl>
    <w:lvl w:ilvl="6" w:tplc="1EFAC846">
      <w:start w:val="1"/>
      <w:numFmt w:val="bullet"/>
      <w:lvlText w:val="●"/>
      <w:lvlJc w:val="left"/>
      <w:pPr>
        <w:ind w:left="5040" w:hanging="360"/>
      </w:pPr>
    </w:lvl>
    <w:lvl w:ilvl="7" w:tplc="A2A4FF0E">
      <w:start w:val="1"/>
      <w:numFmt w:val="bullet"/>
      <w:lvlText w:val="●"/>
      <w:lvlJc w:val="left"/>
      <w:pPr>
        <w:ind w:left="5760" w:hanging="360"/>
      </w:pPr>
    </w:lvl>
    <w:lvl w:ilvl="8" w:tplc="4C2A718E">
      <w:start w:val="1"/>
      <w:numFmt w:val="bullet"/>
      <w:lvlText w:val="●"/>
      <w:lvlJc w:val="left"/>
      <w:pPr>
        <w:ind w:left="6480" w:hanging="360"/>
      </w:pPr>
    </w:lvl>
  </w:abstractNum>
  <w:abstractNum w:abstractNumId="1" w15:restartNumberingAfterBreak="0">
    <w:nsid w:val="18E12634"/>
    <w:multiLevelType w:val="hybridMultilevel"/>
    <w:tmpl w:val="300A695A"/>
    <w:lvl w:ilvl="0" w:tplc="1CE85B9A">
      <w:start w:val="1"/>
      <w:numFmt w:val="bullet"/>
      <w:lvlText w:val="●"/>
      <w:lvlJc w:val="left"/>
      <w:pPr>
        <w:ind w:left="720" w:hanging="360"/>
      </w:pPr>
    </w:lvl>
    <w:lvl w:ilvl="1" w:tplc="8040A3B6">
      <w:start w:val="1"/>
      <w:numFmt w:val="bullet"/>
      <w:lvlText w:val="○"/>
      <w:lvlJc w:val="left"/>
      <w:pPr>
        <w:ind w:left="1440" w:hanging="360"/>
      </w:pPr>
    </w:lvl>
    <w:lvl w:ilvl="2" w:tplc="2FEE090E">
      <w:start w:val="1"/>
      <w:numFmt w:val="bullet"/>
      <w:lvlText w:val="■"/>
      <w:lvlJc w:val="left"/>
      <w:pPr>
        <w:ind w:left="2160" w:hanging="360"/>
      </w:pPr>
    </w:lvl>
    <w:lvl w:ilvl="3" w:tplc="D2CA2E50">
      <w:start w:val="1"/>
      <w:numFmt w:val="bullet"/>
      <w:lvlText w:val="●"/>
      <w:lvlJc w:val="left"/>
      <w:pPr>
        <w:ind w:left="2880" w:hanging="360"/>
      </w:pPr>
    </w:lvl>
    <w:lvl w:ilvl="4" w:tplc="0456C4AE">
      <w:start w:val="1"/>
      <w:numFmt w:val="bullet"/>
      <w:lvlText w:val="○"/>
      <w:lvlJc w:val="left"/>
      <w:pPr>
        <w:ind w:left="3600" w:hanging="360"/>
      </w:pPr>
    </w:lvl>
    <w:lvl w:ilvl="5" w:tplc="F88821E6">
      <w:start w:val="1"/>
      <w:numFmt w:val="bullet"/>
      <w:lvlText w:val="■"/>
      <w:lvlJc w:val="left"/>
      <w:pPr>
        <w:ind w:left="4320" w:hanging="360"/>
      </w:pPr>
    </w:lvl>
    <w:lvl w:ilvl="6" w:tplc="E2C08EE4">
      <w:start w:val="1"/>
      <w:numFmt w:val="bullet"/>
      <w:lvlText w:val="●"/>
      <w:lvlJc w:val="left"/>
      <w:pPr>
        <w:ind w:left="5040" w:hanging="360"/>
      </w:pPr>
    </w:lvl>
    <w:lvl w:ilvl="7" w:tplc="4328AC70">
      <w:start w:val="1"/>
      <w:numFmt w:val="bullet"/>
      <w:lvlText w:val="●"/>
      <w:lvlJc w:val="left"/>
      <w:pPr>
        <w:ind w:left="5760" w:hanging="360"/>
      </w:pPr>
    </w:lvl>
    <w:lvl w:ilvl="8" w:tplc="BB1EE428">
      <w:start w:val="1"/>
      <w:numFmt w:val="bullet"/>
      <w:lvlText w:val="●"/>
      <w:lvlJc w:val="left"/>
      <w:pPr>
        <w:ind w:left="6480" w:hanging="360"/>
      </w:pPr>
    </w:lvl>
  </w:abstractNum>
  <w:num w:numId="1" w16cid:durableId="83185096">
    <w:abstractNumId w:val="0"/>
  </w:num>
  <w:num w:numId="2" w16cid:durableId="2237552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jQwNzExMjSysDQyNjdS0lEKTi0uzszPAykwqQUASljbPCwAAAA="/>
  </w:docVars>
  <w:rsids>
    <w:rsidRoot w:val="003C74AC"/>
    <w:rsid w:val="000A3B35"/>
    <w:rsid w:val="00137DC1"/>
    <w:rsid w:val="001930BF"/>
    <w:rsid w:val="001C5E89"/>
    <w:rsid w:val="00212F07"/>
    <w:rsid w:val="00226DC0"/>
    <w:rsid w:val="00264AF7"/>
    <w:rsid w:val="00273561"/>
    <w:rsid w:val="00304A9D"/>
    <w:rsid w:val="00334CF8"/>
    <w:rsid w:val="003C74AC"/>
    <w:rsid w:val="00494CFE"/>
    <w:rsid w:val="004B2FB4"/>
    <w:rsid w:val="004C20A8"/>
    <w:rsid w:val="0055207E"/>
    <w:rsid w:val="00561671"/>
    <w:rsid w:val="005A0144"/>
    <w:rsid w:val="005F204F"/>
    <w:rsid w:val="00601FAF"/>
    <w:rsid w:val="006D6D9D"/>
    <w:rsid w:val="007B6273"/>
    <w:rsid w:val="00800873"/>
    <w:rsid w:val="009C6AE6"/>
    <w:rsid w:val="009C6E30"/>
    <w:rsid w:val="009E5155"/>
    <w:rsid w:val="00A16A05"/>
    <w:rsid w:val="00A31277"/>
    <w:rsid w:val="00A87C31"/>
    <w:rsid w:val="00B241A8"/>
    <w:rsid w:val="00B27629"/>
    <w:rsid w:val="00C27669"/>
    <w:rsid w:val="00CC76E3"/>
    <w:rsid w:val="00D8544F"/>
    <w:rsid w:val="00DA3E16"/>
    <w:rsid w:val="00DB4D35"/>
    <w:rsid w:val="00DC7F7B"/>
    <w:rsid w:val="00DE3F86"/>
    <w:rsid w:val="00F21263"/>
    <w:rsid w:val="00F73003"/>
  </w:rsids>
  <m:mathPr>
    <m:mathFont m:val="Cambria Math"/>
    <m:brkBin m:val="before"/>
    <m:brkBinSub m:val="--"/>
    <m:smallFrac m:val="0"/>
    <m:dispDef/>
    <m:lMargin m:val="0"/>
    <m:rMargin m:val="0"/>
    <m:defJc m:val="centerGroup"/>
    <m:wrapIndent m:val="1440"/>
    <m:intLim m:val="subSup"/>
    <m:naryLim m:val="undOvr"/>
  </m:mathPr>
  <w:themeFontLang w:val="en-IN" w:bidi="ne-NP"/>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6183A67C"/>
  <w15:chartTrackingRefBased/>
  <w15:docId w15:val="{BBA1B349-E124-41CF-A47A-E9B4B6C61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before="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41A8"/>
    <w:pPr>
      <w:spacing w:before="0" w:line="240" w:lineRule="auto"/>
      <w:jc w:val="left"/>
    </w:pPr>
    <w:rPr>
      <w:rFonts w:ascii="Arial" w:eastAsia="Times New Roman" w:hAnsi="Arial" w:cs="Times New Roman"/>
      <w:kern w:val="0"/>
      <w:szCs w:val="20"/>
      <w:lang w:eastAsia="en-IN" w:bidi="ne-NP"/>
      <w14:ligatures w14:val="none"/>
    </w:rPr>
  </w:style>
  <w:style w:type="paragraph" w:styleId="Heading1">
    <w:name w:val="heading 1"/>
    <w:link w:val="Heading1Char"/>
    <w:uiPriority w:val="9"/>
    <w:qFormat/>
    <w:rsid w:val="00B241A8"/>
    <w:pPr>
      <w:spacing w:before="0" w:line="240" w:lineRule="auto"/>
      <w:jc w:val="left"/>
      <w:outlineLvl w:val="0"/>
    </w:pPr>
    <w:rPr>
      <w:rFonts w:ascii="Arial" w:eastAsia="Times New Roman" w:hAnsi="Arial" w:cs="Times New Roman"/>
      <w:color w:val="000000" w:themeColor="text1"/>
      <w:kern w:val="0"/>
      <w:sz w:val="32"/>
      <w:szCs w:val="32"/>
      <w:lang w:eastAsia="en-IN" w:bidi="ne-NP"/>
      <w14:ligatures w14:val="none"/>
    </w:rPr>
  </w:style>
  <w:style w:type="paragraph" w:styleId="Heading2">
    <w:name w:val="heading 2"/>
    <w:link w:val="Heading2Char"/>
    <w:uiPriority w:val="9"/>
    <w:unhideWhenUsed/>
    <w:qFormat/>
    <w:rsid w:val="00B241A8"/>
    <w:pPr>
      <w:spacing w:before="0" w:line="240" w:lineRule="auto"/>
      <w:jc w:val="left"/>
      <w:outlineLvl w:val="1"/>
    </w:pPr>
    <w:rPr>
      <w:rFonts w:ascii="Arial" w:eastAsia="Times New Roman" w:hAnsi="Arial" w:cs="Times New Roman"/>
      <w:color w:val="000000" w:themeColor="text1"/>
      <w:kern w:val="0"/>
      <w:sz w:val="28"/>
      <w:szCs w:val="26"/>
      <w:lang w:eastAsia="en-IN" w:bidi="ne-NP"/>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41A8"/>
    <w:rPr>
      <w:rFonts w:ascii="Arial" w:eastAsia="Times New Roman" w:hAnsi="Arial" w:cs="Times New Roman"/>
      <w:color w:val="000000" w:themeColor="text1"/>
      <w:kern w:val="0"/>
      <w:sz w:val="32"/>
      <w:szCs w:val="32"/>
      <w:lang w:eastAsia="en-IN" w:bidi="ne-NP"/>
      <w14:ligatures w14:val="none"/>
    </w:rPr>
  </w:style>
  <w:style w:type="character" w:customStyle="1" w:styleId="Heading2Char">
    <w:name w:val="Heading 2 Char"/>
    <w:basedOn w:val="DefaultParagraphFont"/>
    <w:link w:val="Heading2"/>
    <w:uiPriority w:val="9"/>
    <w:rsid w:val="00B241A8"/>
    <w:rPr>
      <w:rFonts w:ascii="Arial" w:eastAsia="Times New Roman" w:hAnsi="Arial" w:cs="Times New Roman"/>
      <w:color w:val="000000" w:themeColor="text1"/>
      <w:kern w:val="0"/>
      <w:sz w:val="28"/>
      <w:szCs w:val="26"/>
      <w:lang w:eastAsia="en-IN" w:bidi="ne-NP"/>
      <w14:ligatures w14:val="none"/>
    </w:rPr>
  </w:style>
  <w:style w:type="paragraph" w:styleId="Title">
    <w:name w:val="Title"/>
    <w:link w:val="TitleChar"/>
    <w:uiPriority w:val="10"/>
    <w:qFormat/>
    <w:rsid w:val="00B241A8"/>
    <w:pPr>
      <w:spacing w:before="0" w:line="240" w:lineRule="auto"/>
      <w:jc w:val="left"/>
    </w:pPr>
    <w:rPr>
      <w:rFonts w:ascii="Arial" w:eastAsia="Times New Roman" w:hAnsi="Arial" w:cs="Times New Roman"/>
      <w:kern w:val="0"/>
      <w:sz w:val="56"/>
      <w:szCs w:val="56"/>
      <w:lang w:eastAsia="en-IN" w:bidi="ne-NP"/>
      <w14:ligatures w14:val="none"/>
    </w:rPr>
  </w:style>
  <w:style w:type="character" w:customStyle="1" w:styleId="TitleChar">
    <w:name w:val="Title Char"/>
    <w:basedOn w:val="DefaultParagraphFont"/>
    <w:link w:val="Title"/>
    <w:uiPriority w:val="10"/>
    <w:rsid w:val="00B241A8"/>
    <w:rPr>
      <w:rFonts w:ascii="Arial" w:eastAsia="Times New Roman" w:hAnsi="Arial" w:cs="Times New Roman"/>
      <w:kern w:val="0"/>
      <w:sz w:val="56"/>
      <w:szCs w:val="56"/>
      <w:lang w:eastAsia="en-IN" w:bidi="ne-NP"/>
      <w14:ligatures w14:val="none"/>
    </w:rPr>
  </w:style>
  <w:style w:type="paragraph" w:styleId="ListParagraph">
    <w:name w:val="List Paragraph"/>
    <w:qFormat/>
    <w:rsid w:val="00A31277"/>
    <w:pPr>
      <w:spacing w:before="0" w:line="240" w:lineRule="auto"/>
      <w:jc w:val="left"/>
    </w:pPr>
    <w:rPr>
      <w:rFonts w:ascii="Times New Roman" w:eastAsia="Times New Roman" w:hAnsi="Times New Roman" w:cs="Times New Roman"/>
      <w:kern w:val="0"/>
      <w:sz w:val="20"/>
      <w:szCs w:val="20"/>
      <w:lang w:eastAsia="en-IN" w:bidi="ne-NP"/>
      <w14:ligatures w14:val="none"/>
    </w:rPr>
  </w:style>
  <w:style w:type="paragraph" w:styleId="FootnoteText">
    <w:name w:val="footnote text"/>
    <w:basedOn w:val="Normal"/>
    <w:link w:val="FootnoteTextChar"/>
    <w:uiPriority w:val="99"/>
    <w:semiHidden/>
    <w:unhideWhenUsed/>
    <w:rsid w:val="00800873"/>
    <w:rPr>
      <w:szCs w:val="18"/>
    </w:rPr>
  </w:style>
  <w:style w:type="character" w:customStyle="1" w:styleId="FootnoteTextChar">
    <w:name w:val="Footnote Text Char"/>
    <w:basedOn w:val="DefaultParagraphFont"/>
    <w:link w:val="FootnoteText"/>
    <w:uiPriority w:val="99"/>
    <w:semiHidden/>
    <w:rsid w:val="00800873"/>
    <w:rPr>
      <w:rFonts w:ascii="Times New Roman" w:eastAsia="Times New Roman" w:hAnsi="Times New Roman" w:cs="Times New Roman"/>
      <w:kern w:val="0"/>
      <w:sz w:val="20"/>
      <w:szCs w:val="18"/>
      <w:lang w:eastAsia="en-IN" w:bidi="ne-NP"/>
      <w14:ligatures w14:val="none"/>
    </w:rPr>
  </w:style>
  <w:style w:type="character" w:styleId="FootnoteReference">
    <w:name w:val="footnote reference"/>
    <w:basedOn w:val="DefaultParagraphFont"/>
    <w:uiPriority w:val="99"/>
    <w:semiHidden/>
    <w:unhideWhenUsed/>
    <w:rsid w:val="00800873"/>
    <w:rPr>
      <w:vertAlign w:val="superscript"/>
    </w:rPr>
  </w:style>
  <w:style w:type="character" w:styleId="Hyperlink">
    <w:name w:val="Hyperlink"/>
    <w:basedOn w:val="DefaultParagraphFont"/>
    <w:uiPriority w:val="99"/>
    <w:unhideWhenUsed/>
    <w:rsid w:val="00800873"/>
    <w:rPr>
      <w:color w:val="0563C1" w:themeColor="hyperlink"/>
      <w:u w:val="single"/>
    </w:rPr>
  </w:style>
  <w:style w:type="character" w:styleId="UnresolvedMention">
    <w:name w:val="Unresolved Mention"/>
    <w:basedOn w:val="DefaultParagraphFont"/>
    <w:uiPriority w:val="99"/>
    <w:semiHidden/>
    <w:unhideWhenUsed/>
    <w:rsid w:val="00800873"/>
    <w:rPr>
      <w:color w:val="605E5C"/>
      <w:shd w:val="clear" w:color="auto" w:fill="E1DFDD"/>
    </w:rPr>
  </w:style>
  <w:style w:type="character" w:styleId="FollowedHyperlink">
    <w:name w:val="FollowedHyperlink"/>
    <w:basedOn w:val="DefaultParagraphFont"/>
    <w:uiPriority w:val="99"/>
    <w:semiHidden/>
    <w:unhideWhenUsed/>
    <w:rsid w:val="00494CFE"/>
    <w:rPr>
      <w:color w:val="954F72" w:themeColor="followedHyperlink"/>
      <w:u w:val="single"/>
    </w:rPr>
  </w:style>
  <w:style w:type="paragraph" w:styleId="TOCHeading">
    <w:name w:val="TOC Heading"/>
    <w:basedOn w:val="Heading1"/>
    <w:next w:val="Normal"/>
    <w:uiPriority w:val="39"/>
    <w:unhideWhenUsed/>
    <w:qFormat/>
    <w:rsid w:val="00B241A8"/>
    <w:pPr>
      <w:keepNext/>
      <w:keepLines/>
      <w:spacing w:before="240" w:line="259" w:lineRule="auto"/>
      <w:outlineLvl w:val="9"/>
    </w:pPr>
    <w:rPr>
      <w:rFonts w:asciiTheme="majorHAnsi" w:eastAsiaTheme="majorEastAsia" w:hAnsiTheme="majorHAnsi" w:cstheme="majorBidi"/>
      <w:color w:val="2F5496" w:themeColor="accent1" w:themeShade="BF"/>
      <w:lang w:val="en-US" w:eastAsia="en-US" w:bidi="ar-SA"/>
    </w:rPr>
  </w:style>
  <w:style w:type="paragraph" w:styleId="TOC1">
    <w:name w:val="toc 1"/>
    <w:basedOn w:val="Normal"/>
    <w:next w:val="Normal"/>
    <w:autoRedefine/>
    <w:uiPriority w:val="39"/>
    <w:unhideWhenUsed/>
    <w:rsid w:val="00B241A8"/>
    <w:pPr>
      <w:spacing w:after="100"/>
    </w:pPr>
  </w:style>
  <w:style w:type="paragraph" w:styleId="TOC2">
    <w:name w:val="toc 2"/>
    <w:basedOn w:val="Normal"/>
    <w:next w:val="Normal"/>
    <w:autoRedefine/>
    <w:uiPriority w:val="39"/>
    <w:unhideWhenUsed/>
    <w:rsid w:val="009C6AE6"/>
    <w:pPr>
      <w:tabs>
        <w:tab w:val="right" w:leader="dot" w:pos="9016"/>
      </w:tabs>
      <w:spacing w:after="100" w:line="360" w:lineRule="auto"/>
      <w:ind w:left="240"/>
      <w:jc w:val="both"/>
    </w:pPr>
    <w:rPr>
      <w:rFonts w:cs="Arial"/>
      <w:b/>
      <w:bCs/>
      <w:noProof/>
    </w:rPr>
  </w:style>
  <w:style w:type="paragraph" w:customStyle="1" w:styleId="TableParagraph">
    <w:name w:val="Table Paragraph"/>
    <w:basedOn w:val="Normal"/>
    <w:uiPriority w:val="1"/>
    <w:qFormat/>
    <w:rsid w:val="009C6AE6"/>
    <w:pPr>
      <w:widowControl w:val="0"/>
      <w:autoSpaceDE w:val="0"/>
      <w:autoSpaceDN w:val="0"/>
    </w:pPr>
    <w:rPr>
      <w:rFonts w:ascii="Arial MT" w:eastAsia="Arial MT" w:hAnsi="Arial MT" w:cs="Arial MT"/>
      <w:sz w:val="22"/>
      <w:szCs w:val="22"/>
      <w:lang w:val="en-US" w:eastAsia="en-US" w:bidi="ar-SA"/>
    </w:rPr>
  </w:style>
  <w:style w:type="paragraph" w:styleId="Header">
    <w:name w:val="header"/>
    <w:basedOn w:val="Normal"/>
    <w:link w:val="HeaderChar"/>
    <w:uiPriority w:val="99"/>
    <w:unhideWhenUsed/>
    <w:rsid w:val="009C6AE6"/>
    <w:pPr>
      <w:tabs>
        <w:tab w:val="center" w:pos="4680"/>
        <w:tab w:val="right" w:pos="9360"/>
      </w:tabs>
    </w:pPr>
  </w:style>
  <w:style w:type="character" w:customStyle="1" w:styleId="HeaderChar">
    <w:name w:val="Header Char"/>
    <w:basedOn w:val="DefaultParagraphFont"/>
    <w:link w:val="Header"/>
    <w:uiPriority w:val="99"/>
    <w:rsid w:val="009C6AE6"/>
    <w:rPr>
      <w:rFonts w:ascii="Arial" w:eastAsia="Times New Roman" w:hAnsi="Arial" w:cs="Times New Roman"/>
      <w:kern w:val="0"/>
      <w:szCs w:val="20"/>
      <w:lang w:eastAsia="en-IN" w:bidi="ne-NP"/>
      <w14:ligatures w14:val="none"/>
    </w:rPr>
  </w:style>
  <w:style w:type="paragraph" w:styleId="Footer">
    <w:name w:val="footer"/>
    <w:basedOn w:val="Normal"/>
    <w:link w:val="FooterChar"/>
    <w:uiPriority w:val="99"/>
    <w:unhideWhenUsed/>
    <w:rsid w:val="009C6AE6"/>
    <w:pPr>
      <w:tabs>
        <w:tab w:val="center" w:pos="4680"/>
        <w:tab w:val="right" w:pos="9360"/>
      </w:tabs>
    </w:pPr>
  </w:style>
  <w:style w:type="character" w:customStyle="1" w:styleId="FooterChar">
    <w:name w:val="Footer Char"/>
    <w:basedOn w:val="DefaultParagraphFont"/>
    <w:link w:val="Footer"/>
    <w:uiPriority w:val="99"/>
    <w:rsid w:val="009C6AE6"/>
    <w:rPr>
      <w:rFonts w:ascii="Arial" w:eastAsia="Times New Roman" w:hAnsi="Arial" w:cs="Times New Roman"/>
      <w:kern w:val="0"/>
      <w:szCs w:val="20"/>
      <w:lang w:eastAsia="en-IN" w:bidi="ne-NP"/>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274421">
      <w:bodyDiv w:val="1"/>
      <w:marLeft w:val="0"/>
      <w:marRight w:val="0"/>
      <w:marTop w:val="0"/>
      <w:marBottom w:val="0"/>
      <w:divBdr>
        <w:top w:val="none" w:sz="0" w:space="0" w:color="auto"/>
        <w:left w:val="none" w:sz="0" w:space="0" w:color="auto"/>
        <w:bottom w:val="none" w:sz="0" w:space="0" w:color="auto"/>
        <w:right w:val="none" w:sz="0" w:space="0" w:color="auto"/>
      </w:divBdr>
    </w:div>
    <w:div w:id="643388213">
      <w:bodyDiv w:val="1"/>
      <w:marLeft w:val="0"/>
      <w:marRight w:val="0"/>
      <w:marTop w:val="0"/>
      <w:marBottom w:val="0"/>
      <w:divBdr>
        <w:top w:val="none" w:sz="0" w:space="0" w:color="auto"/>
        <w:left w:val="none" w:sz="0" w:space="0" w:color="auto"/>
        <w:bottom w:val="none" w:sz="0" w:space="0" w:color="auto"/>
        <w:right w:val="none" w:sz="0" w:space="0" w:color="auto"/>
      </w:divBdr>
    </w:div>
    <w:div w:id="1224172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onlinelibrary.wiley.com/doi/abs/10.1111/deci.12545" TargetMode="External"/><Relationship Id="rId18" Type="http://schemas.openxmlformats.org/officeDocument/2006/relationships/hyperlink" Target="https://www.sciencedirect.com/science/article/abs/pii/S1059056024005604" TargetMode="External"/><Relationship Id="rId26" Type="http://schemas.openxmlformats.org/officeDocument/2006/relationships/package" Target="embeddings/Microsoft_Excel_Worksheet3.xlsx"/><Relationship Id="rId3" Type="http://schemas.openxmlformats.org/officeDocument/2006/relationships/styles" Target="styles.xml"/><Relationship Id="rId21" Type="http://schemas.openxmlformats.org/officeDocument/2006/relationships/image" Target="media/image3.emf"/><Relationship Id="rId7" Type="http://schemas.openxmlformats.org/officeDocument/2006/relationships/endnotes" Target="endnotes.xml"/><Relationship Id="rId12" Type="http://schemas.openxmlformats.org/officeDocument/2006/relationships/hyperlink" Target="https://www.sciencedirect.com/science/article/abs/pii/S0278431923001937" TargetMode="External"/><Relationship Id="rId17" Type="http://schemas.openxmlformats.org/officeDocument/2006/relationships/hyperlink" Target="https://www.tandfonline.com/doi/full/10.1080/00207543.2024.2410465" TargetMode="External"/><Relationship Id="rId25" Type="http://schemas.openxmlformats.org/officeDocument/2006/relationships/image" Target="media/image5.emf"/><Relationship Id="rId2" Type="http://schemas.openxmlformats.org/officeDocument/2006/relationships/numbering" Target="numbering.xml"/><Relationship Id="rId16" Type="http://schemas.openxmlformats.org/officeDocument/2006/relationships/hyperlink" Target="https://www.tandfonline.com/doi/full/10.1080/00036846.2023.2289951" TargetMode="External"/><Relationship Id="rId20" Type="http://schemas.openxmlformats.org/officeDocument/2006/relationships/package" Target="embeddings/Microsoft_Excel_Worksheet.xlsx"/><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vestopedia.com/terms/f/freecashflow.asp" TargetMode="External"/><Relationship Id="rId24" Type="http://schemas.openxmlformats.org/officeDocument/2006/relationships/package" Target="embeddings/Microsoft_Excel_Worksheet2.xlsx"/><Relationship Id="rId5" Type="http://schemas.openxmlformats.org/officeDocument/2006/relationships/webSettings" Target="webSettings.xml"/><Relationship Id="rId15" Type="http://schemas.openxmlformats.org/officeDocument/2006/relationships/hyperlink" Target="https://www.sciencedirect.com/science/article/abs/pii/S0278431923000038" TargetMode="External"/><Relationship Id="rId23" Type="http://schemas.openxmlformats.org/officeDocument/2006/relationships/image" Target="media/image4.emf"/><Relationship Id="rId28" Type="http://schemas.openxmlformats.org/officeDocument/2006/relationships/fontTable" Target="fontTable.xml"/><Relationship Id="rId10" Type="http://schemas.openxmlformats.org/officeDocument/2006/relationships/hyperlink" Target="https://onlinelibrary.wiley.com/doi/10.1111/jbfa.70032?af=R" TargetMode="External"/><Relationship Id="rId19"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researchgate.net/publication/383936635_Factors_Affecting_Equity_Valuation_in_the_Indonesian_Manufacturing_Companies" TargetMode="External"/><Relationship Id="rId22" Type="http://schemas.openxmlformats.org/officeDocument/2006/relationships/package" Target="embeddings/Microsoft_Excel_Worksheet1.xlsx"/><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2026DA-E354-4742-954A-73DAD70D3C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7826</Words>
  <Characters>44612</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prasanna panthee</cp:lastModifiedBy>
  <cp:revision>2</cp:revision>
  <dcterms:created xsi:type="dcterms:W3CDTF">2026-08-13T08:56:00Z</dcterms:created>
  <dcterms:modified xsi:type="dcterms:W3CDTF">2026-08-13T08:56:00Z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AMA Manual of Style 11th edition</vt:lpwstr>
  </property>
  <property fmtid="{D5CDD505-2E9C-101B-9397-08002B2CF9AE}" pid="4" name="Mendeley Recent Style Id 1_1">
    <vt:lpwstr>http://www.zotero.org/styles/apa</vt:lpwstr>
  </property>
  <property fmtid="{D5CDD505-2E9C-101B-9397-08002B2CF9AE}" pid="5" name="Mendeley Recent Style Name 1_1">
    <vt:lpwstr>APA Style 7th edition</vt:lpwstr>
  </property>
  <property fmtid="{D5CDD505-2E9C-101B-9397-08002B2CF9AE}" pid="6" name="Mendeley Recent Style Id 2_1">
    <vt:lpwstr>http://www.zotero.org/styles/american-political-science-association</vt:lpwstr>
  </property>
  <property fmtid="{D5CDD505-2E9C-101B-9397-08002B2CF9AE}" pid="7" name="Mendeley Recent Style Name 2_1">
    <vt:lpwstr>APSA Style Manual revised 2018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ASA Style Guide 6th/7th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18th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12th edition (author-date/Harvard)</vt:lpwstr>
  </property>
  <property fmtid="{D5CDD505-2E9C-101B-9397-08002B2CF9AE}" pid="14" name="Mendeley Recent Style Id 6_1">
    <vt:lpwstr>http://www.zotero.org/styles/ieee</vt:lpwstr>
  </property>
  <property fmtid="{D5CDD505-2E9C-101B-9397-08002B2CF9AE}" pid="15" name="Mendeley Recent Style Name 6_1">
    <vt:lpwstr>IEEE Reference Guide version 11.29.2023</vt:lpwstr>
  </property>
  <property fmtid="{D5CDD505-2E9C-101B-9397-08002B2CF9AE}" pid="16" name="Mendeley Recent Style Id 7_1">
    <vt:lpwstr>http://www.zotero.org/styles/modern-language-association</vt:lpwstr>
  </property>
  <property fmtid="{D5CDD505-2E9C-101B-9397-08002B2CF9AE}" pid="17" name="Mendeley Recent Style Name 7_1">
    <vt:lpwstr>MLA Handbook 9th edition (in-text citations)</vt:lpwstr>
  </property>
  <property fmtid="{D5CDD505-2E9C-101B-9397-08002B2CF9AE}" pid="18" name="Mendeley Recent Style Id 8_1">
    <vt:lpwstr>http://www.zotero.org/styles/modern-humanities-research-association</vt:lpwstr>
  </property>
  <property fmtid="{D5CDD505-2E9C-101B-9397-08002B2CF9AE}" pid="19" name="Mendeley Recent Style Name 8_1">
    <vt:lpwstr>Modern Humanities Research Association 3rd edition (note with bibliography)</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66503211-7def-3c8f-a092-5fed19d58720</vt:lpwstr>
  </property>
  <property fmtid="{D5CDD505-2E9C-101B-9397-08002B2CF9AE}" pid="24" name="Mendeley Citation Style_1">
    <vt:lpwstr>http://www.zotero.org/styles/harvard-cite-them-right</vt:lpwstr>
  </property>
  <property fmtid="{D5CDD505-2E9C-101B-9397-08002B2CF9AE}" pid="25" name="GrammarlyDocumentId">
    <vt:lpwstr>c4484d61-637e-4b59-8fd3-30bdbfcc56c7</vt:lpwstr>
  </property>
</Properties>
</file>