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751764921"/>
        <w:docPartObj>
          <w:docPartGallery w:val="Cover Pages"/>
          <w:docPartUnique/>
        </w:docPartObj>
      </w:sdtPr>
      <w:sdtContent>
        <w:p w:rsidR="004C1898" w:rsidRPr="004C1898" w:rsidRDefault="004C1898" w:rsidP="004C1898">
          <w:pPr>
            <w:jc w:val="center"/>
            <w:rPr>
              <w:sz w:val="52"/>
              <w:szCs w:val="52"/>
            </w:rPr>
          </w:pPr>
          <w:r w:rsidRPr="004C1898">
            <w:rPr>
              <w:sz w:val="52"/>
              <w:szCs w:val="52"/>
            </w:rPr>
            <w:t>Academic and Employability Skills</w:t>
          </w:r>
        </w:p>
        <w:p w:rsidR="004C1898" w:rsidRPr="004C1898" w:rsidRDefault="004C1898" w:rsidP="004C1898">
          <w:pPr>
            <w:jc w:val="center"/>
            <w:rPr>
              <w:sz w:val="52"/>
              <w:szCs w:val="52"/>
            </w:rPr>
          </w:pPr>
          <w:r w:rsidRPr="004C1898">
            <w:rPr>
              <w:sz w:val="52"/>
              <w:szCs w:val="52"/>
            </w:rPr>
            <w:t>BMSW4001</w:t>
          </w:r>
        </w:p>
        <w:p w:rsidR="004C1898" w:rsidRPr="004C1898" w:rsidRDefault="004C1898" w:rsidP="004C1898">
          <w:pPr>
            <w:jc w:val="center"/>
            <w:rPr>
              <w:sz w:val="40"/>
              <w:szCs w:val="40"/>
            </w:rPr>
          </w:pPr>
          <w:r w:rsidRPr="004C1898">
            <w:rPr>
              <w:sz w:val="40"/>
              <w:szCs w:val="40"/>
            </w:rPr>
            <w:t>Term 2, Task 2</w:t>
          </w:r>
        </w:p>
        <w:p w:rsidR="004C1898" w:rsidRPr="004C1898" w:rsidRDefault="004C1898" w:rsidP="004C1898">
          <w:pPr>
            <w:jc w:val="center"/>
            <w:rPr>
              <w:sz w:val="40"/>
              <w:szCs w:val="40"/>
            </w:rPr>
          </w:pPr>
          <w:r w:rsidRPr="004C1898">
            <w:rPr>
              <w:sz w:val="40"/>
              <w:szCs w:val="40"/>
            </w:rPr>
            <w:t>Rositsa Stoyanova</w:t>
          </w:r>
        </w:p>
        <w:p w:rsidR="004C1898" w:rsidRPr="004C1898" w:rsidRDefault="004C1898" w:rsidP="004C1898">
          <w:pPr>
            <w:jc w:val="center"/>
            <w:rPr>
              <w:sz w:val="40"/>
              <w:szCs w:val="40"/>
            </w:rPr>
          </w:pPr>
          <w:r w:rsidRPr="004C1898">
            <w:rPr>
              <w:sz w:val="40"/>
              <w:szCs w:val="40"/>
            </w:rPr>
            <w:t>Student ID: 1920410</w:t>
          </w:r>
        </w:p>
        <w:p w:rsidR="004C1898" w:rsidRPr="004C1898" w:rsidRDefault="004C1898" w:rsidP="004C1898">
          <w:pPr>
            <w:jc w:val="center"/>
            <w:rPr>
              <w:sz w:val="40"/>
              <w:szCs w:val="40"/>
            </w:rPr>
          </w:pPr>
          <w:r w:rsidRPr="004C1898">
            <w:rPr>
              <w:sz w:val="40"/>
              <w:szCs w:val="40"/>
            </w:rPr>
            <w:t>Group 2</w:t>
          </w:r>
        </w:p>
        <w:p w:rsidR="004C1898" w:rsidRPr="004C1898" w:rsidRDefault="004C1898" w:rsidP="004C1898">
          <w:pPr>
            <w:jc w:val="center"/>
            <w:rPr>
              <w:sz w:val="40"/>
              <w:szCs w:val="40"/>
            </w:rPr>
          </w:pPr>
          <w:r w:rsidRPr="004C1898">
            <w:rPr>
              <w:sz w:val="40"/>
              <w:szCs w:val="40"/>
            </w:rPr>
            <w:t>Lecturer: Joanna Walsh</w:t>
          </w:r>
        </w:p>
        <w:p w:rsidR="0079160E" w:rsidRPr="004C1898" w:rsidRDefault="0079160E" w:rsidP="004C1898">
          <w:pPr>
            <w:jc w:val="center"/>
            <w:rPr>
              <w:sz w:val="40"/>
              <w:szCs w:val="40"/>
            </w:rPr>
          </w:pPr>
        </w:p>
        <w:p w:rsidR="004C1898" w:rsidRDefault="004C1898"/>
        <w:p w:rsidR="0079160E" w:rsidRDefault="0079160E">
          <w:pPr>
            <w:spacing w:after="0" w:line="240" w:lineRule="auto"/>
          </w:pPr>
          <w:r>
            <w:br w:type="page"/>
          </w:r>
        </w:p>
      </w:sdtContent>
    </w:sdt>
    <w:sdt>
      <w:sdtPr>
        <w:rPr>
          <w:rFonts w:ascii="Arial" w:eastAsiaTheme="minorHAnsi" w:hAnsi="Arial" w:cstheme="minorBidi"/>
          <w:b w:val="0"/>
          <w:bCs w:val="0"/>
          <w:color w:val="auto"/>
          <w:sz w:val="24"/>
          <w:szCs w:val="22"/>
          <w:lang w:val="en-GB"/>
        </w:rPr>
        <w:id w:val="1944339942"/>
        <w:docPartObj>
          <w:docPartGallery w:val="Table of Contents"/>
          <w:docPartUnique/>
        </w:docPartObj>
      </w:sdtPr>
      <w:sdtEndPr>
        <w:rPr>
          <w:noProof/>
        </w:rPr>
      </w:sdtEndPr>
      <w:sdtContent>
        <w:p w:rsidR="00916DEF" w:rsidRDefault="00916DEF">
          <w:pPr>
            <w:pStyle w:val="TOCHeading"/>
          </w:pPr>
          <w:r>
            <w:t>Table of Contents</w:t>
          </w:r>
        </w:p>
        <w:p w:rsidR="00916DEF" w:rsidRDefault="00B14A11">
          <w:pPr>
            <w:pStyle w:val="TOC1"/>
            <w:tabs>
              <w:tab w:val="right" w:leader="dot" w:pos="9016"/>
            </w:tabs>
            <w:rPr>
              <w:noProof/>
            </w:rPr>
          </w:pPr>
          <w:r w:rsidRPr="00B14A11">
            <w:rPr>
              <w:b w:val="0"/>
              <w:bCs w:val="0"/>
            </w:rPr>
            <w:fldChar w:fldCharType="begin"/>
          </w:r>
          <w:r w:rsidR="00916DEF">
            <w:instrText xml:space="preserve"> TOC \o "1-3" \h \z \u </w:instrText>
          </w:r>
          <w:r w:rsidRPr="00B14A11">
            <w:rPr>
              <w:b w:val="0"/>
              <w:bCs w:val="0"/>
            </w:rPr>
            <w:fldChar w:fldCharType="separate"/>
          </w:r>
          <w:hyperlink w:anchor="_Toc70633888" w:history="1">
            <w:r w:rsidR="00916DEF" w:rsidRPr="002F0C88">
              <w:rPr>
                <w:rStyle w:val="Hyperlink"/>
                <w:noProof/>
              </w:rPr>
              <w:t>Introduction</w:t>
            </w:r>
            <w:r w:rsidR="00916DEF">
              <w:rPr>
                <w:noProof/>
                <w:webHidden/>
              </w:rPr>
              <w:tab/>
            </w:r>
            <w:r>
              <w:rPr>
                <w:noProof/>
                <w:webHidden/>
              </w:rPr>
              <w:fldChar w:fldCharType="begin"/>
            </w:r>
            <w:r w:rsidR="00916DEF">
              <w:rPr>
                <w:noProof/>
                <w:webHidden/>
              </w:rPr>
              <w:instrText xml:space="preserve"> PAGEREF _Toc70633888 \h </w:instrText>
            </w:r>
            <w:r>
              <w:rPr>
                <w:noProof/>
                <w:webHidden/>
              </w:rPr>
            </w:r>
            <w:r>
              <w:rPr>
                <w:noProof/>
                <w:webHidden/>
              </w:rPr>
              <w:fldChar w:fldCharType="separate"/>
            </w:r>
            <w:r w:rsidR="00916DEF">
              <w:rPr>
                <w:noProof/>
                <w:webHidden/>
              </w:rPr>
              <w:t>2</w:t>
            </w:r>
            <w:r>
              <w:rPr>
                <w:noProof/>
                <w:webHidden/>
              </w:rPr>
              <w:fldChar w:fldCharType="end"/>
            </w:r>
          </w:hyperlink>
        </w:p>
        <w:p w:rsidR="00916DEF" w:rsidRDefault="00B14A11">
          <w:pPr>
            <w:pStyle w:val="TOC1"/>
            <w:tabs>
              <w:tab w:val="right" w:leader="dot" w:pos="9016"/>
            </w:tabs>
            <w:rPr>
              <w:noProof/>
            </w:rPr>
          </w:pPr>
          <w:hyperlink w:anchor="_Toc70633889" w:history="1">
            <w:r w:rsidR="00916DEF" w:rsidRPr="002F0C88">
              <w:rPr>
                <w:rStyle w:val="Hyperlink"/>
                <w:noProof/>
              </w:rPr>
              <w:t>Gibbs’ Reflective Cycle</w:t>
            </w:r>
            <w:r w:rsidR="00916DEF">
              <w:rPr>
                <w:noProof/>
                <w:webHidden/>
              </w:rPr>
              <w:tab/>
            </w:r>
            <w:r>
              <w:rPr>
                <w:noProof/>
                <w:webHidden/>
              </w:rPr>
              <w:fldChar w:fldCharType="begin"/>
            </w:r>
            <w:r w:rsidR="00916DEF">
              <w:rPr>
                <w:noProof/>
                <w:webHidden/>
              </w:rPr>
              <w:instrText xml:space="preserve"> PAGEREF _Toc70633889 \h </w:instrText>
            </w:r>
            <w:r>
              <w:rPr>
                <w:noProof/>
                <w:webHidden/>
              </w:rPr>
            </w:r>
            <w:r>
              <w:rPr>
                <w:noProof/>
                <w:webHidden/>
              </w:rPr>
              <w:fldChar w:fldCharType="separate"/>
            </w:r>
            <w:r w:rsidR="00916DEF">
              <w:rPr>
                <w:noProof/>
                <w:webHidden/>
              </w:rPr>
              <w:t>2</w:t>
            </w:r>
            <w:r>
              <w:rPr>
                <w:noProof/>
                <w:webHidden/>
              </w:rPr>
              <w:fldChar w:fldCharType="end"/>
            </w:r>
          </w:hyperlink>
        </w:p>
        <w:p w:rsidR="00916DEF" w:rsidRDefault="00B14A11">
          <w:pPr>
            <w:pStyle w:val="TOC2"/>
            <w:tabs>
              <w:tab w:val="right" w:leader="dot" w:pos="9016"/>
            </w:tabs>
            <w:rPr>
              <w:noProof/>
            </w:rPr>
          </w:pPr>
          <w:hyperlink w:anchor="_Toc70633890" w:history="1">
            <w:r w:rsidR="00916DEF" w:rsidRPr="002F0C88">
              <w:rPr>
                <w:rStyle w:val="Hyperlink"/>
                <w:noProof/>
              </w:rPr>
              <w:t>Management of time</w:t>
            </w:r>
            <w:r w:rsidR="00916DEF">
              <w:rPr>
                <w:noProof/>
                <w:webHidden/>
              </w:rPr>
              <w:tab/>
            </w:r>
            <w:r>
              <w:rPr>
                <w:noProof/>
                <w:webHidden/>
              </w:rPr>
              <w:fldChar w:fldCharType="begin"/>
            </w:r>
            <w:r w:rsidR="00916DEF">
              <w:rPr>
                <w:noProof/>
                <w:webHidden/>
              </w:rPr>
              <w:instrText xml:space="preserve"> PAGEREF _Toc70633890 \h </w:instrText>
            </w:r>
            <w:r>
              <w:rPr>
                <w:noProof/>
                <w:webHidden/>
              </w:rPr>
            </w:r>
            <w:r>
              <w:rPr>
                <w:noProof/>
                <w:webHidden/>
              </w:rPr>
              <w:fldChar w:fldCharType="separate"/>
            </w:r>
            <w:r w:rsidR="00916DEF">
              <w:rPr>
                <w:noProof/>
                <w:webHidden/>
              </w:rPr>
              <w:t>3</w:t>
            </w:r>
            <w:r>
              <w:rPr>
                <w:noProof/>
                <w:webHidden/>
              </w:rPr>
              <w:fldChar w:fldCharType="end"/>
            </w:r>
          </w:hyperlink>
        </w:p>
        <w:p w:rsidR="00916DEF" w:rsidRDefault="00B14A11">
          <w:pPr>
            <w:pStyle w:val="TOC2"/>
            <w:tabs>
              <w:tab w:val="right" w:leader="dot" w:pos="9016"/>
            </w:tabs>
            <w:rPr>
              <w:noProof/>
            </w:rPr>
          </w:pPr>
          <w:hyperlink w:anchor="_Toc70633891" w:history="1">
            <w:r w:rsidR="00916DEF" w:rsidRPr="002F0C88">
              <w:rPr>
                <w:rStyle w:val="Hyperlink"/>
                <w:noProof/>
              </w:rPr>
              <w:t>Experience for digital learning and training</w:t>
            </w:r>
            <w:r w:rsidR="00916DEF">
              <w:rPr>
                <w:noProof/>
                <w:webHidden/>
              </w:rPr>
              <w:tab/>
            </w:r>
            <w:r>
              <w:rPr>
                <w:noProof/>
                <w:webHidden/>
              </w:rPr>
              <w:fldChar w:fldCharType="begin"/>
            </w:r>
            <w:r w:rsidR="00916DEF">
              <w:rPr>
                <w:noProof/>
                <w:webHidden/>
              </w:rPr>
              <w:instrText xml:space="preserve"> PAGEREF _Toc70633891 \h </w:instrText>
            </w:r>
            <w:r>
              <w:rPr>
                <w:noProof/>
                <w:webHidden/>
              </w:rPr>
            </w:r>
            <w:r>
              <w:rPr>
                <w:noProof/>
                <w:webHidden/>
              </w:rPr>
              <w:fldChar w:fldCharType="separate"/>
            </w:r>
            <w:r w:rsidR="00916DEF">
              <w:rPr>
                <w:noProof/>
                <w:webHidden/>
              </w:rPr>
              <w:t>4</w:t>
            </w:r>
            <w:r>
              <w:rPr>
                <w:noProof/>
                <w:webHidden/>
              </w:rPr>
              <w:fldChar w:fldCharType="end"/>
            </w:r>
          </w:hyperlink>
        </w:p>
        <w:p w:rsidR="00916DEF" w:rsidRDefault="00B14A11">
          <w:pPr>
            <w:pStyle w:val="TOC2"/>
            <w:tabs>
              <w:tab w:val="right" w:leader="dot" w:pos="9016"/>
            </w:tabs>
            <w:rPr>
              <w:noProof/>
            </w:rPr>
          </w:pPr>
          <w:hyperlink w:anchor="_Toc70633892" w:history="1">
            <w:r w:rsidR="00916DEF" w:rsidRPr="002F0C88">
              <w:rPr>
                <w:rStyle w:val="Hyperlink"/>
                <w:noProof/>
              </w:rPr>
              <w:t>CV composition</w:t>
            </w:r>
            <w:r w:rsidR="00916DEF">
              <w:rPr>
                <w:noProof/>
                <w:webHidden/>
              </w:rPr>
              <w:tab/>
            </w:r>
            <w:r>
              <w:rPr>
                <w:noProof/>
                <w:webHidden/>
              </w:rPr>
              <w:fldChar w:fldCharType="begin"/>
            </w:r>
            <w:r w:rsidR="00916DEF">
              <w:rPr>
                <w:noProof/>
                <w:webHidden/>
              </w:rPr>
              <w:instrText xml:space="preserve"> PAGEREF _Toc70633892 \h </w:instrText>
            </w:r>
            <w:r>
              <w:rPr>
                <w:noProof/>
                <w:webHidden/>
              </w:rPr>
            </w:r>
            <w:r>
              <w:rPr>
                <w:noProof/>
                <w:webHidden/>
              </w:rPr>
              <w:fldChar w:fldCharType="separate"/>
            </w:r>
            <w:r w:rsidR="00916DEF">
              <w:rPr>
                <w:noProof/>
                <w:webHidden/>
              </w:rPr>
              <w:t>4</w:t>
            </w:r>
            <w:r>
              <w:rPr>
                <w:noProof/>
                <w:webHidden/>
              </w:rPr>
              <w:fldChar w:fldCharType="end"/>
            </w:r>
          </w:hyperlink>
        </w:p>
        <w:p w:rsidR="00916DEF" w:rsidRDefault="00B14A11">
          <w:pPr>
            <w:pStyle w:val="TOC2"/>
            <w:tabs>
              <w:tab w:val="right" w:leader="dot" w:pos="9016"/>
            </w:tabs>
            <w:rPr>
              <w:noProof/>
            </w:rPr>
          </w:pPr>
          <w:hyperlink w:anchor="_Toc70633893" w:history="1">
            <w:r w:rsidR="00916DEF" w:rsidRPr="002F0C88">
              <w:rPr>
                <w:rStyle w:val="Hyperlink"/>
                <w:noProof/>
              </w:rPr>
              <w:t>Public speech and presentation</w:t>
            </w:r>
            <w:r w:rsidR="00916DEF">
              <w:rPr>
                <w:noProof/>
                <w:webHidden/>
              </w:rPr>
              <w:tab/>
            </w:r>
            <w:r>
              <w:rPr>
                <w:noProof/>
                <w:webHidden/>
              </w:rPr>
              <w:fldChar w:fldCharType="begin"/>
            </w:r>
            <w:r w:rsidR="00916DEF">
              <w:rPr>
                <w:noProof/>
                <w:webHidden/>
              </w:rPr>
              <w:instrText xml:space="preserve"> PAGEREF _Toc70633893 \h </w:instrText>
            </w:r>
            <w:r>
              <w:rPr>
                <w:noProof/>
                <w:webHidden/>
              </w:rPr>
            </w:r>
            <w:r>
              <w:rPr>
                <w:noProof/>
                <w:webHidden/>
              </w:rPr>
              <w:fldChar w:fldCharType="separate"/>
            </w:r>
            <w:r w:rsidR="00916DEF">
              <w:rPr>
                <w:noProof/>
                <w:webHidden/>
              </w:rPr>
              <w:t>5</w:t>
            </w:r>
            <w:r>
              <w:rPr>
                <w:noProof/>
                <w:webHidden/>
              </w:rPr>
              <w:fldChar w:fldCharType="end"/>
            </w:r>
          </w:hyperlink>
        </w:p>
        <w:p w:rsidR="00916DEF" w:rsidRDefault="00B14A11">
          <w:pPr>
            <w:pStyle w:val="TOC1"/>
            <w:tabs>
              <w:tab w:val="right" w:leader="dot" w:pos="9016"/>
            </w:tabs>
            <w:rPr>
              <w:noProof/>
            </w:rPr>
          </w:pPr>
          <w:hyperlink w:anchor="_Toc70633894" w:history="1">
            <w:r w:rsidR="00916DEF" w:rsidRPr="002F0C88">
              <w:rPr>
                <w:rStyle w:val="Hyperlink"/>
                <w:noProof/>
              </w:rPr>
              <w:t>Conclusion</w:t>
            </w:r>
            <w:r w:rsidR="00916DEF">
              <w:rPr>
                <w:noProof/>
                <w:webHidden/>
              </w:rPr>
              <w:tab/>
            </w:r>
            <w:r>
              <w:rPr>
                <w:noProof/>
                <w:webHidden/>
              </w:rPr>
              <w:fldChar w:fldCharType="begin"/>
            </w:r>
            <w:r w:rsidR="00916DEF">
              <w:rPr>
                <w:noProof/>
                <w:webHidden/>
              </w:rPr>
              <w:instrText xml:space="preserve"> PAGEREF _Toc70633894 \h </w:instrText>
            </w:r>
            <w:r>
              <w:rPr>
                <w:noProof/>
                <w:webHidden/>
              </w:rPr>
            </w:r>
            <w:r>
              <w:rPr>
                <w:noProof/>
                <w:webHidden/>
              </w:rPr>
              <w:fldChar w:fldCharType="separate"/>
            </w:r>
            <w:r w:rsidR="00916DEF">
              <w:rPr>
                <w:noProof/>
                <w:webHidden/>
              </w:rPr>
              <w:t>6</w:t>
            </w:r>
            <w:r>
              <w:rPr>
                <w:noProof/>
                <w:webHidden/>
              </w:rPr>
              <w:fldChar w:fldCharType="end"/>
            </w:r>
          </w:hyperlink>
        </w:p>
        <w:p w:rsidR="00916DEF" w:rsidRDefault="00B14A11">
          <w:pPr>
            <w:pStyle w:val="TOC1"/>
            <w:tabs>
              <w:tab w:val="right" w:leader="dot" w:pos="9016"/>
            </w:tabs>
            <w:rPr>
              <w:noProof/>
            </w:rPr>
          </w:pPr>
          <w:hyperlink w:anchor="_Toc70633895" w:history="1">
            <w:r w:rsidR="00916DEF" w:rsidRPr="002F0C88">
              <w:rPr>
                <w:rStyle w:val="Hyperlink"/>
                <w:noProof/>
              </w:rPr>
              <w:t>References</w:t>
            </w:r>
            <w:r w:rsidR="00916DEF">
              <w:rPr>
                <w:noProof/>
                <w:webHidden/>
              </w:rPr>
              <w:tab/>
            </w:r>
            <w:r>
              <w:rPr>
                <w:noProof/>
                <w:webHidden/>
              </w:rPr>
              <w:fldChar w:fldCharType="begin"/>
            </w:r>
            <w:r w:rsidR="00916DEF">
              <w:rPr>
                <w:noProof/>
                <w:webHidden/>
              </w:rPr>
              <w:instrText xml:space="preserve"> PAGEREF _Toc70633895 \h </w:instrText>
            </w:r>
            <w:r>
              <w:rPr>
                <w:noProof/>
                <w:webHidden/>
              </w:rPr>
            </w:r>
            <w:r>
              <w:rPr>
                <w:noProof/>
                <w:webHidden/>
              </w:rPr>
              <w:fldChar w:fldCharType="separate"/>
            </w:r>
            <w:r w:rsidR="00916DEF">
              <w:rPr>
                <w:noProof/>
                <w:webHidden/>
              </w:rPr>
              <w:t>7</w:t>
            </w:r>
            <w:r>
              <w:rPr>
                <w:noProof/>
                <w:webHidden/>
              </w:rPr>
              <w:fldChar w:fldCharType="end"/>
            </w:r>
          </w:hyperlink>
        </w:p>
        <w:p w:rsidR="00916DEF" w:rsidRDefault="00B14A11">
          <w:r>
            <w:rPr>
              <w:b/>
              <w:bCs/>
              <w:noProof/>
            </w:rPr>
            <w:fldChar w:fldCharType="end"/>
          </w:r>
        </w:p>
      </w:sdtContent>
    </w:sdt>
    <w:p w:rsidR="00FE6EE1" w:rsidRDefault="00937C2F"/>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p w:rsidR="00C617B4" w:rsidRDefault="00C617B4" w:rsidP="00916DEF">
      <w:pPr>
        <w:pStyle w:val="Heading1"/>
      </w:pPr>
      <w:bookmarkStart w:id="0" w:name="_Toc70633888"/>
      <w:r>
        <w:lastRenderedPageBreak/>
        <w:t>Introduction</w:t>
      </w:r>
      <w:bookmarkEnd w:id="0"/>
    </w:p>
    <w:p w:rsidR="00C617B4" w:rsidRDefault="00C617B4" w:rsidP="00C617B4">
      <w:r w:rsidRPr="00C617B4">
        <w:t xml:space="preserve">The principles of reflective writing are based on final confirmation of the study or experience of an individual, and intelligent idea usually involves analysis of the idea or event along with cautious intuition from a different point of view in a scholastic setting (Stevens, Emil and Yamashita, 2010). Nevertheless, intelligent writing is a more </w:t>
      </w:r>
      <w:r w:rsidR="00916DEF">
        <w:t>effectiveness</w:t>
      </w:r>
      <w:r w:rsidRPr="00C617B4">
        <w:t xml:space="preserve"> of academic composition, in light of the fact that people reflect on their lives every day. The vital purpose of reflection is to help one. As a rule, intelligent composition tries to connect the experience with the true truth of the individual. </w:t>
      </w:r>
      <w:r w:rsidR="00F410E5">
        <w:t>The process of reflective</w:t>
      </w:r>
      <w:r w:rsidRPr="00C617B4">
        <w:t xml:space="preserve"> makes it easier for a person to deal with a topic and scientific capacity. This </w:t>
      </w:r>
      <w:r w:rsidR="00F410E5">
        <w:t>report</w:t>
      </w:r>
      <w:r w:rsidRPr="00C617B4">
        <w:t xml:space="preserve"> </w:t>
      </w:r>
      <w:r w:rsidR="00F410E5">
        <w:t xml:space="preserve">will apply a personal information and create a reflection based on </w:t>
      </w:r>
      <w:r w:rsidRPr="00C617B4">
        <w:t>the Gibbs model</w:t>
      </w:r>
      <w:r w:rsidR="00F410E5">
        <w:t>, a tool which is appropriate for students</w:t>
      </w:r>
      <w:r w:rsidRPr="00C617B4">
        <w:t>, web-based learning experience, composition of a resume and public speaking and presentation.</w:t>
      </w:r>
    </w:p>
    <w:p w:rsidR="00C617B4" w:rsidRDefault="00C617B4" w:rsidP="00916DEF">
      <w:pPr>
        <w:pStyle w:val="Heading1"/>
      </w:pPr>
      <w:bookmarkStart w:id="1" w:name="_Toc70633889"/>
      <w:r>
        <w:t>Gibbs’ Reflective Cycle</w:t>
      </w:r>
      <w:bookmarkEnd w:id="1"/>
    </w:p>
    <w:p w:rsidR="00C617B4" w:rsidRDefault="00C617B4" w:rsidP="00C617B4">
      <w:r>
        <w:t>The Gibbs cycle is one of the most commonly used multi-action intelligent models. Graham Gibbs established this intelligent model for learning conditions in 1988 (Markkanen et al, 2020). It provides a construct for exploring associations, and the recurring idea of ​​the framework helps to plan and profit from cases that were acceptable or non-acceptable. This model is an ideal method for making experiences, which can be either a situation or an independent experience that one often encounters. Above all, Gibbs maintained this model in boring situations, but even in specific relationships, common standards and milestones are important. This model is a remarkable method of meeting communication. This can be a different event or routine, such as a meeting with a gathering that you need to work with. In his hometown, Gibbs perfected his use in unnecessary cases, but for specific collaborations, the steps and ideas are applied in a similar way. In case you have a free point of view, one can explicitly make the activity agreement to perceive how the perceptions can be applied later.</w:t>
      </w:r>
    </w:p>
    <w:p w:rsidR="00916DEF" w:rsidRPr="00916DEF" w:rsidRDefault="00916DEF" w:rsidP="00916DEF">
      <w:pPr>
        <w:spacing w:after="0" w:line="240" w:lineRule="auto"/>
        <w:jc w:val="center"/>
        <w:rPr>
          <w:rFonts w:ascii="Times New Roman" w:eastAsia="Times New Roman" w:hAnsi="Times New Roman" w:cs="Times New Roman"/>
          <w:b/>
          <w:bCs/>
          <w:szCs w:val="24"/>
          <w:lang w:eastAsia="en-GB"/>
        </w:rPr>
      </w:pPr>
      <w:r w:rsidRPr="00916DEF">
        <w:rPr>
          <w:rFonts w:ascii="Times New Roman" w:eastAsia="Times New Roman" w:hAnsi="Times New Roman" w:cs="Times New Roman"/>
          <w:b/>
          <w:bCs/>
          <w:noProof/>
          <w:szCs w:val="24"/>
          <w:lang w:eastAsia="en-GB"/>
        </w:rPr>
        <w:drawing>
          <wp:inline distT="0" distB="0" distL="0" distR="0">
            <wp:extent cx="2370667" cy="2445971"/>
            <wp:effectExtent l="0" t="0" r="4445" b="5715"/>
            <wp:docPr id="1" name="Picture 1" descr="page4image15760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image15760416"/>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72085" cy="2447434"/>
                    </a:xfrm>
                    <a:prstGeom prst="rect">
                      <a:avLst/>
                    </a:prstGeom>
                    <a:noFill/>
                    <a:ln>
                      <a:noFill/>
                    </a:ln>
                  </pic:spPr>
                </pic:pic>
              </a:graphicData>
            </a:graphic>
          </wp:inline>
        </w:drawing>
      </w:r>
    </w:p>
    <w:p w:rsidR="00C617B4" w:rsidRPr="00916DEF" w:rsidRDefault="00C617B4" w:rsidP="00916DEF">
      <w:pPr>
        <w:jc w:val="center"/>
        <w:rPr>
          <w:b/>
          <w:bCs/>
        </w:rPr>
      </w:pPr>
      <w:r w:rsidRPr="00916DEF">
        <w:rPr>
          <w:b/>
          <w:bCs/>
        </w:rPr>
        <w:t>Source: www.mmc.ac.uk</w:t>
      </w:r>
    </w:p>
    <w:p w:rsidR="00C617B4" w:rsidRDefault="00C617B4" w:rsidP="00C617B4">
      <w:r>
        <w:lastRenderedPageBreak/>
        <w:t>Using the six measures mentioned above, a distinction must be made between the qualities, the areas in need of improvement and the activities that can be set up to improve expertise. When everything is said "ready", this model allows students to take advantage of the conditions they experience every day, especially those that do not progress as agreed.</w:t>
      </w:r>
    </w:p>
    <w:p w:rsidR="00C617B4" w:rsidRDefault="00C617B4" w:rsidP="00916DEF">
      <w:pPr>
        <w:pStyle w:val="Heading2"/>
      </w:pPr>
      <w:bookmarkStart w:id="2" w:name="_Toc70633890"/>
      <w:r>
        <w:t>Management of time</w:t>
      </w:r>
      <w:bookmarkEnd w:id="2"/>
    </w:p>
    <w:p w:rsidR="00C617B4" w:rsidRDefault="00C617B4" w:rsidP="00C617B4">
      <w:r>
        <w:t xml:space="preserve">Display: The time is the tool through which time is planned and coordinated between unique cases. The time in which the manager module relied on my experience and refinement, just like the characterized use of time. Several components of managers ’time have been instructed on different orders </w:t>
      </w:r>
      <w:r w:rsidRPr="00C617B4">
        <w:t>(Sodani, Mehregan and Honarmand, 2019)</w:t>
      </w:r>
      <w:r>
        <w:t>,</w:t>
      </w:r>
    </w:p>
    <w:p w:rsidR="00C617B4" w:rsidRDefault="00C617B4" w:rsidP="00C617B4">
      <w:r>
        <w:t>Emotions: I would not realize successful time control strategies until I took this module. Gradually, I realized that leaders' time is an essential element of the people who need to succeed after considering this module. From the beginning, I seemed to have a few problems with the topic, as it was difficult to get acquainted with the time of the leaders' techniques, but as time went on, it eventually came into force.</w:t>
      </w:r>
    </w:p>
    <w:p w:rsidR="00C617B4" w:rsidRDefault="00C617B4" w:rsidP="00C617B4">
      <w:r>
        <w:t>Ability to evaluate: The best utilitarian application, reset in time on the board, was the subject that was inexplicably useful in this training module. The overall training was deeply inspiring as it helped to gain spirit and satisfy several endeavors. Nevertheless, this was not valuable to anyone, as each has its own qualities and fragile parts. The unfriendly side of this module is that it is powerful</w:t>
      </w:r>
      <w:r w:rsidRPr="00C617B4">
        <w:t xml:space="preserve"> (Sodani, Mehregan and Honarmand, 2019)</w:t>
      </w:r>
      <w:r>
        <w:t>.</w:t>
      </w:r>
    </w:p>
    <w:p w:rsidR="00C617B4" w:rsidRDefault="00C617B4" w:rsidP="00C617B4">
      <w:r>
        <w:t>Ability to research academically: The explanation that this module of investigation is effective is that the board has now become an important part of everyone's life in today's society. Running the board time caused great time management skills depending on the situation. The disadvantage of this training is that it does not show time to managers, as indicated by a person's ability. The methodologies described in the time control module do not seem to work for those people who have been moderately slow during training.</w:t>
      </w:r>
    </w:p>
    <w:p w:rsidR="00C617B4" w:rsidRDefault="00C617B4" w:rsidP="00C617B4">
      <w:r>
        <w:t>Conclusion: I have found that not all strategies are applicable to the majority. Still, after all this, I would like to join the same techniques in my organizational life, given the achievement of the climate in the room for me, which I think would definitely lead me to a more prominent level. I have met that procedures or solutions for a more remarkable implementation of the training module are regularly reviewed.</w:t>
      </w:r>
    </w:p>
    <w:p w:rsidR="00C617B4" w:rsidRDefault="00C617B4" w:rsidP="00C617B4">
      <w:r>
        <w:t>Action Plan: I need people to divide their time as indicated by their abilities, and a regular time will not be enough to complete a task while the on-board systems are running. I need to ensure that the schedule is worked efficiently and that each of the important members matches their data.</w:t>
      </w:r>
    </w:p>
    <w:p w:rsidR="00C617B4" w:rsidRDefault="00C617B4" w:rsidP="00916DEF">
      <w:pPr>
        <w:pStyle w:val="Heading2"/>
      </w:pPr>
      <w:bookmarkStart w:id="3" w:name="_Toc70633891"/>
      <w:r>
        <w:lastRenderedPageBreak/>
        <w:t>Experience for digital learning and training</w:t>
      </w:r>
      <w:bookmarkEnd w:id="3"/>
    </w:p>
    <w:p w:rsidR="00C617B4" w:rsidRDefault="00C617B4" w:rsidP="00C617B4">
      <w:r>
        <w:t xml:space="preserve">Outline: Online learning involves significant work in the 21st century among educational foundations and people </w:t>
      </w:r>
      <w:r w:rsidR="00916DEF" w:rsidRPr="00916DEF">
        <w:t>(Thompson, 2015)</w:t>
      </w:r>
      <w:r w:rsidR="00916DEF">
        <w:t xml:space="preserve">. </w:t>
      </w:r>
      <w:r>
        <w:t>As the coronavirus pandemic progresses, online learning has become significantly more basic to ensure the nature of learning. The web-based learning module tends to address many aspects of online learning in terms of the productivity and scarcity of such learning.</w:t>
      </w:r>
    </w:p>
    <w:p w:rsidR="00C617B4" w:rsidRDefault="00C617B4" w:rsidP="00C617B4">
      <w:r>
        <w:t>Emotions: I found it important to be programmed and ready to work all by myself to be a decent substitute. Since I do not follow real courses, I should be extremely careful in view of the fact that the mentor will not often remember all the orders and schedules. My first experience in online courses was great as it created a lot of interest.</w:t>
      </w:r>
    </w:p>
    <w:p w:rsidR="00C617B4" w:rsidRDefault="00C617B4" w:rsidP="00C617B4">
      <w:r>
        <w:t>Assessment: The main effects of this investigation module would be that the nature of online courses is improved reliably and effectively. Reflections, including most of the consolation exercises in a house, are important for an amazing online learning experience</w:t>
      </w:r>
      <w:r w:rsidR="00F410E5">
        <w:t xml:space="preserve"> (Maund et al., 2017)</w:t>
      </w:r>
      <w:r>
        <w:t>. The online learning module is in any case incapable of obliging students who are inclined to a regular learning strategy and cannot reset themselves in web-based learning. Conventional students did not accept the opportunity to pick up the Internet, thinking of a global real pandemic of contacts.</w:t>
      </w:r>
    </w:p>
    <w:p w:rsidR="00C617B4" w:rsidRDefault="00C617B4" w:rsidP="00C617B4">
      <w:r>
        <w:t>Analysis: The explanation behind the very end of this instructional module is that thinking about global pandemics or global constraints, online learning seems to have made the surest decision to learn and continue with the educational curriculum. People who want to learn or concentrate in a busy period need to learn online, which expands past boundaries and offers a great learning opportunity. The disadvantage of this educational program would be that it neglects to emphasize how common students can improve their instructional experience.</w:t>
      </w:r>
    </w:p>
    <w:p w:rsidR="00C617B4" w:rsidRDefault="00C617B4" w:rsidP="00C617B4">
      <w:r>
        <w:t>Conclusion: Precisely on the grounds that I do not run the mill, online courses correspond to my preferred style. I would certainly like to think online on the grounds that it makes it easier for someone like me to be fulfilled and to understand the classes better. Disappointment with network access or computer problems, which can be a major test if left unaddressed, is the lone flaw of the web-based learning experience.</w:t>
      </w:r>
    </w:p>
    <w:p w:rsidR="00C617B4" w:rsidRDefault="00C617B4" w:rsidP="00C617B4">
      <w:r>
        <w:t>Action Plan: I need to ensure that I have a large stock with a working computer to ensure that my web-based learning experience remains constant and that I ask them to follow a few individual online exercises and improve the prospects for this type of learning measure with regard to traditional low research.</w:t>
      </w:r>
    </w:p>
    <w:p w:rsidR="00C617B4" w:rsidRDefault="00C617B4" w:rsidP="00916DEF">
      <w:pPr>
        <w:pStyle w:val="Heading2"/>
      </w:pPr>
      <w:bookmarkStart w:id="4" w:name="_Toc70633892"/>
      <w:r>
        <w:t>CV composition</w:t>
      </w:r>
      <w:bookmarkEnd w:id="4"/>
    </w:p>
    <w:p w:rsidR="00C617B4" w:rsidRDefault="00C617B4" w:rsidP="00C617B4">
      <w:r>
        <w:t xml:space="preserve">Presentation: In order to find a suitable line of work, the progress of the CV is in fact enormous. The curriculum for composing a CV includes various measures to build an effective educational plan that will remember a decent picture of the candidate for </w:t>
      </w:r>
      <w:r>
        <w:lastRenderedPageBreak/>
        <w:t>another profession (Kennedy, J.L., 2011). The relevance of the experience stated in the autobiography was depicted for a moment. The module demonstrates that even the most troubling component of CV compilation is CV</w:t>
      </w:r>
      <w:r w:rsidR="00F410E5">
        <w:t xml:space="preserve"> (Morgan, 2016)</w:t>
      </w:r>
      <w:r>
        <w:t>.</w:t>
      </w:r>
    </w:p>
    <w:p w:rsidR="00C617B4" w:rsidRDefault="00C617B4" w:rsidP="00C617B4">
      <w:r>
        <w:t>Emotions: Compiling a resume is moderately easier than I thought, but there are a few subtleties. The hardest part of compiling a resume is creating an experience of fake work, so I choose the work I need to do, and then I visit the association's website and consider their vocation. At first, I tried to arrange the CV, anyway after 2-3 CVs. Eventually, I became fully accustomed to it.</w:t>
      </w:r>
    </w:p>
    <w:p w:rsidR="00C617B4" w:rsidRDefault="00C617B4" w:rsidP="00C617B4">
      <w:r>
        <w:t>Assessment: The main benefit of the vitae educational plan is that it can depict instructive and professional adventures so as to give you a quick understanding of the space of human abilities. The downside would be that arranging and changing are not the main phases of writing a resume. In case the creator is not informed about the appropriate organizational framework and changes and changes, it would be incomprehensible for an updated person to form a CV.</w:t>
      </w:r>
    </w:p>
    <w:p w:rsidR="00C617B4" w:rsidRDefault="00C617B4" w:rsidP="00C617B4">
      <w:r>
        <w:t>Analysis: The explanation for the great consequences of the vitae educational program is that it allows students to portray themselves expertly during a meeting. The management of this module showed that the help for CVs appears for the first time, which is crucial for the standards of work. The main disadvantage of this educational program is that it does not offer adequate details to students about the correct compilation of a resume, which can contribute to misconceptions during a meeting.</w:t>
      </w:r>
    </w:p>
    <w:p w:rsidR="00C617B4" w:rsidRDefault="00C617B4" w:rsidP="00C617B4">
      <w:r>
        <w:t>Conclusion: when everything is said "ready", this training module for compiling a CV allows me to put a zero in my composition. Readiness is essential given the fact that without planning I would not have been able to do a resume. In addition, the preparation of superstructures is vital as a feature of the CV, as the preparation is possible at some point.</w:t>
      </w:r>
    </w:p>
    <w:p w:rsidR="00C617B4" w:rsidRDefault="00C617B4" w:rsidP="00C617B4">
      <w:r>
        <w:t>Action plan: I would recommend working more on changing and modifying part of the CV so that the CVs are drawn up flawlessly with a small moving room, as the CV can have a disruptive effect during a meeting without them.</w:t>
      </w:r>
    </w:p>
    <w:p w:rsidR="00C617B4" w:rsidRDefault="00C617B4" w:rsidP="00916DEF">
      <w:pPr>
        <w:pStyle w:val="Heading2"/>
      </w:pPr>
      <w:bookmarkStart w:id="5" w:name="_Toc70633893"/>
      <w:r>
        <w:t>Public speech and presentation</w:t>
      </w:r>
      <w:bookmarkEnd w:id="5"/>
    </w:p>
    <w:p w:rsidR="00C617B4" w:rsidRDefault="00C617B4" w:rsidP="00C617B4">
      <w:r>
        <w:t>Outline: It is difficult to give people discourse and exhibitions with great confidence and self-confidence on public occasions (Nikitina, A., 2011). This allows them to collaborate, influence dynamically and accelerate progress. Without authoritative abilities, it will be practically difficult to progress in the functioning scene and in life itself. Public discourse is among the most critical and frightening types of information. The module for public speaking and conversation refers to the quality credits that must be developed for a successful public conversation.</w:t>
      </w:r>
    </w:p>
    <w:p w:rsidR="00C617B4" w:rsidRDefault="00C617B4" w:rsidP="00C617B4">
      <w:r>
        <w:t xml:space="preserve">Emotions: I have benefited greatly from public discourse and the demonstration training module. The training module was extremely useful for understanding the </w:t>
      </w:r>
      <w:r>
        <w:lastRenderedPageBreak/>
        <w:t>value of the position and using powerful developments. The training module, taking into account all things, does not address the issue that the next open area is forgotten by people. It takes me a lot when I speak fluently, so for the most part I feel awkward during the main stages.</w:t>
      </w:r>
    </w:p>
    <w:p w:rsidR="00C617B4" w:rsidRDefault="00C617B4" w:rsidP="00C617B4">
      <w:r>
        <w:t>Assessment: The useful consequence of this learning module is fascinating, as it means immediate strengthening of public discourse. The part of impatience, a vital factor in attracting people, is emphasized. The problem with this module, however, is that specific students seem to miss the lines when speaking freely, and the module does not have appropriate answers to these questions.</w:t>
      </w:r>
    </w:p>
    <w:p w:rsidR="00C617B4" w:rsidRDefault="00C617B4" w:rsidP="00C617B4">
      <w:r>
        <w:t>Analysis: The favorable results of this training module were attributed to the focal point of the educational plan for improving the abilities for public articulation and development, essential for the introductory interaction. The agreement builds the ability to speak calmly and does not lead to disturbing conditions. The disadvantages of the training module are that students are fired, who seem to miss remarks that could cause significant disturbances during their public speaking.</w:t>
      </w:r>
    </w:p>
    <w:p w:rsidR="00C617B4" w:rsidRDefault="00C617B4" w:rsidP="00C617B4">
      <w:r>
        <w:t>Conclusion: The public talk and show module for the most part helps build trust and is crucial for promoting student content to fewer students. Students must present different courses and this educational program is viable on these issues.</w:t>
      </w:r>
    </w:p>
    <w:p w:rsidR="00C617B4" w:rsidRDefault="00C617B4" w:rsidP="00C617B4">
      <w:r>
        <w:t>Action Plan: I would suggest focusing better on students who appear in open articulation to ignore their problems and the basics of nervousness. This would be a gigantic opportunity and would combine the ability to speak in public to create a more promising time that would come in very handy among students.</w:t>
      </w:r>
    </w:p>
    <w:p w:rsidR="00C617B4" w:rsidRDefault="00C617B4" w:rsidP="00916DEF">
      <w:pPr>
        <w:pStyle w:val="Heading1"/>
      </w:pPr>
      <w:bookmarkStart w:id="6" w:name="_Toc70633894"/>
      <w:r>
        <w:t>Conclusion</w:t>
      </w:r>
      <w:bookmarkEnd w:id="6"/>
    </w:p>
    <w:p w:rsidR="00C617B4" w:rsidRDefault="00916DEF" w:rsidP="00C617B4">
      <w:r>
        <w:t>From the above conducted analysis and evaluation</w:t>
      </w:r>
      <w:r w:rsidR="00C617B4">
        <w:t>, it can be interpreted that the insightful composition offers a wonderful perspective on the exercises that were capable, along with the great ones, just like the negative ones. The above contemplation, which depends on the Gibbs review circle, provides an understanding of the acceptance cycles acquired by the distinctive learning modules. Therefore, the intelligent article shows real care and translation of the underlined points.</w:t>
      </w:r>
    </w:p>
    <w:p w:rsidR="00C617B4" w:rsidRDefault="00C617B4" w:rsidP="00C617B4"/>
    <w:p w:rsidR="00C617B4" w:rsidRDefault="00C617B4" w:rsidP="00C617B4"/>
    <w:p w:rsidR="00C617B4" w:rsidRDefault="00C617B4" w:rsidP="00C617B4"/>
    <w:p w:rsidR="00C617B4" w:rsidRDefault="00C617B4" w:rsidP="00C617B4"/>
    <w:p w:rsidR="00C617B4" w:rsidRDefault="00C617B4" w:rsidP="00C617B4"/>
    <w:p w:rsidR="00C617B4" w:rsidRDefault="00C617B4" w:rsidP="00C617B4"/>
    <w:p w:rsidR="00C617B4" w:rsidRDefault="00C617B4" w:rsidP="00C617B4"/>
    <w:p w:rsidR="00C617B4" w:rsidRDefault="00C617B4" w:rsidP="00916DEF">
      <w:pPr>
        <w:pStyle w:val="Heading1"/>
      </w:pPr>
      <w:bookmarkStart w:id="7" w:name="_Toc70633895"/>
      <w:r>
        <w:lastRenderedPageBreak/>
        <w:t>References</w:t>
      </w:r>
      <w:bookmarkEnd w:id="7"/>
    </w:p>
    <w:p w:rsidR="00916DEF" w:rsidRDefault="00916DEF" w:rsidP="00916DEF">
      <w:r>
        <w:t xml:space="preserve">Kennedy, J.L. (2011) Reflective teaching: Resumes for dummies. John Wiley &amp; Sons. </w:t>
      </w:r>
    </w:p>
    <w:p w:rsidR="00F410E5" w:rsidRDefault="00F410E5" w:rsidP="00F410E5">
      <w:r>
        <w:t>Maund, A. Schriek, M. and Tinkler, P. (2017). Certificate in Higher Education: Skills for the Workplace Student Yearbook. Sage Publications</w:t>
      </w:r>
    </w:p>
    <w:p w:rsidR="00F410E5" w:rsidRDefault="00F410E5" w:rsidP="00F410E5">
      <w:r>
        <w:t>Morgan, P. (2016). The Business Student’s Guide to Study and Employability. Sage Publications</w:t>
      </w:r>
    </w:p>
    <w:p w:rsidR="00916DEF" w:rsidRPr="00916DEF" w:rsidRDefault="00916DEF" w:rsidP="00C617B4">
      <w:r w:rsidRPr="00916DEF">
        <w:t>Nikitina, A. (2011) Successful public speaking. Bookboon.</w:t>
      </w:r>
    </w:p>
    <w:p w:rsidR="00916DEF" w:rsidRDefault="00916DEF" w:rsidP="00C617B4">
      <w:r>
        <w:t>Sheldon, B. (2011) Cognitive-behavioural therapy: Research and practice in health and social care. Routledge.</w:t>
      </w:r>
    </w:p>
    <w:p w:rsidR="00665092" w:rsidRPr="00916DEF" w:rsidRDefault="00665092" w:rsidP="00C617B4">
      <w:r w:rsidRPr="00916DEF">
        <w:t>Sodani, M., Mehregan, S.B. and Honarmand, M.M. (2019). An Investigation into the Effectiveness of Group Life Skills Training on Life Expectancy and Psychological Well-Being of Female Students. La Prensa Medica Argentina, 105(3).</w:t>
      </w:r>
    </w:p>
    <w:p w:rsidR="00C617B4" w:rsidRDefault="00C617B4" w:rsidP="00C617B4">
      <w:r w:rsidRPr="00916DEF">
        <w:t>Stevens, D.D., Emil, S. and Yamashita, M. (2010). Mentoring through reflective journal writing: a qualitative study by a mentor/professor and two international graduate students. Reflective Practice, 11(3), pp.347–367.</w:t>
      </w:r>
    </w:p>
    <w:p w:rsidR="00916DEF" w:rsidRDefault="00916DEF" w:rsidP="00C617B4">
      <w:r w:rsidRPr="00916DEF">
        <w:t>Thompson, T.L. (2015). Enhance digital and curricular access: Online learning and digital communications. Disability Compliance for Higher Education, 20(12), pp.5–5.</w:t>
      </w:r>
    </w:p>
    <w:sectPr w:rsidR="00916DEF" w:rsidSect="0079160E">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7C2F" w:rsidRDefault="00937C2F" w:rsidP="0079160E">
      <w:pPr>
        <w:spacing w:after="0" w:line="240" w:lineRule="auto"/>
      </w:pPr>
      <w:r>
        <w:separator/>
      </w:r>
    </w:p>
  </w:endnote>
  <w:endnote w:type="continuationSeparator" w:id="0">
    <w:p w:rsidR="00937C2F" w:rsidRDefault="00937C2F" w:rsidP="0079160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897813982"/>
      <w:docPartObj>
        <w:docPartGallery w:val="Page Numbers (Bottom of Page)"/>
        <w:docPartUnique/>
      </w:docPartObj>
    </w:sdtPr>
    <w:sdtContent>
      <w:p w:rsidR="0079160E" w:rsidRDefault="00B14A11" w:rsidP="00022E70">
        <w:pPr>
          <w:pStyle w:val="Footer"/>
          <w:framePr w:wrap="none" w:vAnchor="text" w:hAnchor="margin" w:xAlign="right" w:y="1"/>
          <w:rPr>
            <w:rStyle w:val="PageNumber"/>
          </w:rPr>
        </w:pPr>
        <w:r>
          <w:rPr>
            <w:rStyle w:val="PageNumber"/>
          </w:rPr>
          <w:fldChar w:fldCharType="begin"/>
        </w:r>
        <w:r w:rsidR="0079160E">
          <w:rPr>
            <w:rStyle w:val="PageNumber"/>
          </w:rPr>
          <w:instrText xml:space="preserve"> PAGE </w:instrText>
        </w:r>
        <w:r>
          <w:rPr>
            <w:rStyle w:val="PageNumber"/>
          </w:rPr>
          <w:fldChar w:fldCharType="end"/>
        </w:r>
      </w:p>
    </w:sdtContent>
  </w:sdt>
  <w:p w:rsidR="0079160E" w:rsidRDefault="0079160E" w:rsidP="0079160E">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124258648"/>
      <w:docPartObj>
        <w:docPartGallery w:val="Page Numbers (Bottom of Page)"/>
        <w:docPartUnique/>
      </w:docPartObj>
    </w:sdtPr>
    <w:sdtContent>
      <w:p w:rsidR="0079160E" w:rsidRDefault="00B14A11" w:rsidP="00022E70">
        <w:pPr>
          <w:pStyle w:val="Footer"/>
          <w:framePr w:wrap="none" w:vAnchor="text" w:hAnchor="margin" w:xAlign="right" w:y="1"/>
          <w:rPr>
            <w:rStyle w:val="PageNumber"/>
          </w:rPr>
        </w:pPr>
        <w:r>
          <w:rPr>
            <w:rStyle w:val="PageNumber"/>
          </w:rPr>
          <w:fldChar w:fldCharType="begin"/>
        </w:r>
        <w:r w:rsidR="0079160E">
          <w:rPr>
            <w:rStyle w:val="PageNumber"/>
          </w:rPr>
          <w:instrText xml:space="preserve"> PAGE </w:instrText>
        </w:r>
        <w:r>
          <w:rPr>
            <w:rStyle w:val="PageNumber"/>
          </w:rPr>
          <w:fldChar w:fldCharType="separate"/>
        </w:r>
        <w:r w:rsidR="004C1898">
          <w:rPr>
            <w:rStyle w:val="PageNumber"/>
            <w:noProof/>
          </w:rPr>
          <w:t>1</w:t>
        </w:r>
        <w:r>
          <w:rPr>
            <w:rStyle w:val="PageNumber"/>
          </w:rPr>
          <w:fldChar w:fldCharType="end"/>
        </w:r>
      </w:p>
    </w:sdtContent>
  </w:sdt>
  <w:p w:rsidR="0079160E" w:rsidRDefault="0079160E" w:rsidP="0079160E">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7C2F" w:rsidRDefault="00937C2F" w:rsidP="0079160E">
      <w:pPr>
        <w:spacing w:after="0" w:line="240" w:lineRule="auto"/>
      </w:pPr>
      <w:r>
        <w:separator/>
      </w:r>
    </w:p>
  </w:footnote>
  <w:footnote w:type="continuationSeparator" w:id="0">
    <w:p w:rsidR="00937C2F" w:rsidRDefault="00937C2F" w:rsidP="0079160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footnotePr>
    <w:footnote w:id="-1"/>
    <w:footnote w:id="0"/>
  </w:footnotePr>
  <w:endnotePr>
    <w:endnote w:id="-1"/>
    <w:endnote w:id="0"/>
  </w:endnotePr>
  <w:compat/>
  <w:rsids>
    <w:rsidRoot w:val="0079160E"/>
    <w:rsid w:val="00192ED1"/>
    <w:rsid w:val="002578F5"/>
    <w:rsid w:val="003732D0"/>
    <w:rsid w:val="004001A0"/>
    <w:rsid w:val="004C1898"/>
    <w:rsid w:val="005433BA"/>
    <w:rsid w:val="00665092"/>
    <w:rsid w:val="0079160E"/>
    <w:rsid w:val="007A3D60"/>
    <w:rsid w:val="00834D05"/>
    <w:rsid w:val="00891FDB"/>
    <w:rsid w:val="008B3784"/>
    <w:rsid w:val="00916DEF"/>
    <w:rsid w:val="00937C2F"/>
    <w:rsid w:val="00B14A11"/>
    <w:rsid w:val="00C617B4"/>
    <w:rsid w:val="00EB0A82"/>
    <w:rsid w:val="00F410E5"/>
    <w:rsid w:val="00F6799B"/>
    <w:rsid w:val="00F801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16D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D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91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60E"/>
    <w:rPr>
      <w:rFonts w:ascii="Arial" w:hAnsi="Arial"/>
      <w:szCs w:val="22"/>
    </w:rPr>
  </w:style>
  <w:style w:type="character" w:styleId="PageNumber">
    <w:name w:val="page number"/>
    <w:basedOn w:val="DefaultParagraphFont"/>
    <w:uiPriority w:val="99"/>
    <w:semiHidden/>
    <w:unhideWhenUsed/>
    <w:rsid w:val="0079160E"/>
  </w:style>
  <w:style w:type="paragraph" w:styleId="NoSpacing">
    <w:name w:val="No Spacing"/>
    <w:link w:val="NoSpacingChar"/>
    <w:uiPriority w:val="1"/>
    <w:qFormat/>
    <w:rsid w:val="0079160E"/>
    <w:rPr>
      <w:rFonts w:eastAsiaTheme="minorEastAsia"/>
      <w:sz w:val="22"/>
      <w:szCs w:val="22"/>
      <w:lang w:val="en-US" w:eastAsia="zh-CN"/>
    </w:rPr>
  </w:style>
  <w:style w:type="character" w:customStyle="1" w:styleId="NoSpacingChar">
    <w:name w:val="No Spacing Char"/>
    <w:basedOn w:val="DefaultParagraphFont"/>
    <w:link w:val="NoSpacing"/>
    <w:uiPriority w:val="1"/>
    <w:rsid w:val="0079160E"/>
    <w:rPr>
      <w:rFonts w:eastAsiaTheme="minorEastAsia"/>
      <w:sz w:val="22"/>
      <w:szCs w:val="22"/>
      <w:lang w:val="en-US" w:eastAsia="zh-CN"/>
    </w:rPr>
  </w:style>
  <w:style w:type="paragraph" w:styleId="Header">
    <w:name w:val="header"/>
    <w:basedOn w:val="Normal"/>
    <w:link w:val="HeaderChar"/>
    <w:uiPriority w:val="99"/>
    <w:unhideWhenUsed/>
    <w:rsid w:val="00916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DEF"/>
    <w:rPr>
      <w:rFonts w:ascii="Arial" w:hAnsi="Arial"/>
      <w:szCs w:val="22"/>
    </w:rPr>
  </w:style>
  <w:style w:type="character" w:customStyle="1" w:styleId="Heading1Char">
    <w:name w:val="Heading 1 Char"/>
    <w:basedOn w:val="DefaultParagraphFont"/>
    <w:link w:val="Heading1"/>
    <w:uiPriority w:val="9"/>
    <w:rsid w:val="00916D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6DE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16DEF"/>
    <w:pPr>
      <w:spacing w:before="480"/>
      <w:outlineLvl w:val="9"/>
    </w:pPr>
    <w:rPr>
      <w:b/>
      <w:bCs/>
      <w:sz w:val="28"/>
      <w:szCs w:val="28"/>
      <w:lang w:val="en-US"/>
    </w:rPr>
  </w:style>
  <w:style w:type="paragraph" w:styleId="TOC1">
    <w:name w:val="toc 1"/>
    <w:basedOn w:val="Normal"/>
    <w:next w:val="Normal"/>
    <w:autoRedefine/>
    <w:uiPriority w:val="39"/>
    <w:unhideWhenUsed/>
    <w:rsid w:val="00916DEF"/>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916DEF"/>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916DEF"/>
    <w:rPr>
      <w:color w:val="0563C1" w:themeColor="hyperlink"/>
      <w:u w:val="single"/>
    </w:rPr>
  </w:style>
  <w:style w:type="paragraph" w:styleId="TOC3">
    <w:name w:val="toc 3"/>
    <w:basedOn w:val="Normal"/>
    <w:next w:val="Normal"/>
    <w:autoRedefine/>
    <w:uiPriority w:val="39"/>
    <w:semiHidden/>
    <w:unhideWhenUsed/>
    <w:rsid w:val="00916DE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16DE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16DE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16DE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16DE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16DE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16DEF"/>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834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D0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89753911">
      <w:bodyDiv w:val="1"/>
      <w:marLeft w:val="0"/>
      <w:marRight w:val="0"/>
      <w:marTop w:val="0"/>
      <w:marBottom w:val="0"/>
      <w:divBdr>
        <w:top w:val="none" w:sz="0" w:space="0" w:color="auto"/>
        <w:left w:val="none" w:sz="0" w:space="0" w:color="auto"/>
        <w:bottom w:val="none" w:sz="0" w:space="0" w:color="auto"/>
        <w:right w:val="none" w:sz="0" w:space="0" w:color="auto"/>
      </w:divBdr>
      <w:divsChild>
        <w:div w:id="16224190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B86D17-410D-4FE5-B8BD-05C7CAD77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14899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Rositsa</dc:creator>
  <cp:lastModifiedBy>Rosi</cp:lastModifiedBy>
  <cp:revision>3</cp:revision>
  <dcterms:created xsi:type="dcterms:W3CDTF">2021-04-30T17:28:00Z</dcterms:created>
  <dcterms:modified xsi:type="dcterms:W3CDTF">2021-04-30T18:23:00Z</dcterms:modified>
</cp:coreProperties>
</file>