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97C485" w14:textId="08D1FE42" w:rsidR="00D91BD3" w:rsidRDefault="00122103" w:rsidP="00A73368">
      <w:pPr>
        <w:jc w:val="center"/>
        <w:rPr>
          <w:u w:val="single"/>
        </w:rPr>
      </w:pPr>
      <w:bookmarkStart w:id="0" w:name="_GoBack"/>
      <w:bookmarkEnd w:id="0"/>
      <w:r w:rsidRPr="001563D8">
        <w:rPr>
          <w:noProof/>
        </w:rPr>
        <w:drawing>
          <wp:anchor distT="0" distB="0" distL="114300" distR="114300" simplePos="0" relativeHeight="251658240" behindDoc="0" locked="0" layoutInCell="1" allowOverlap="1" wp14:anchorId="1FEA8FC1" wp14:editId="4A0B1410">
            <wp:simplePos x="914400" y="914400"/>
            <wp:positionH relativeFrom="margin">
              <wp:align>left</wp:align>
            </wp:positionH>
            <wp:positionV relativeFrom="margin">
              <wp:align>center</wp:align>
            </wp:positionV>
            <wp:extent cx="4036695" cy="3891915"/>
            <wp:effectExtent l="0" t="0" r="1905" b="0"/>
            <wp:wrapSquare wrapText="bothSides"/>
            <wp:docPr id="1" name="Picture 1" descr="http://www.ancient-egypt.co.uk/Cistercians/Tintern/images/plan-of-tintern-abb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ncient-egypt.co.uk/Cistercians/Tintern/images/plan-of-tintern-abbe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6695" cy="3891915"/>
                    </a:xfrm>
                    <a:prstGeom prst="rect">
                      <a:avLst/>
                    </a:prstGeom>
                    <a:noFill/>
                    <a:ln>
                      <a:noFill/>
                    </a:ln>
                  </pic:spPr>
                </pic:pic>
              </a:graphicData>
            </a:graphic>
          </wp:anchor>
        </w:drawing>
      </w:r>
      <w:r w:rsidR="00A73368">
        <w:rPr>
          <w:u w:val="single"/>
        </w:rPr>
        <w:t>A Commentary on the Ground Plan o</w:t>
      </w:r>
      <w:r w:rsidR="00537F47">
        <w:rPr>
          <w:u w:val="single"/>
        </w:rPr>
        <w:t>f</w:t>
      </w:r>
      <w:r w:rsidR="00A73368">
        <w:rPr>
          <w:u w:val="single"/>
        </w:rPr>
        <w:t xml:space="preserve"> Tintern Abbey</w:t>
      </w:r>
    </w:p>
    <w:p w14:paraId="503387D5" w14:textId="77777777" w:rsidR="003365C8" w:rsidRDefault="003365C8" w:rsidP="003365C8"/>
    <w:p w14:paraId="29EDF8D2" w14:textId="29119E16" w:rsidR="003365C8" w:rsidRPr="003365C8" w:rsidRDefault="003365C8" w:rsidP="001B0E6B">
      <w:pPr>
        <w:spacing w:line="360" w:lineRule="auto"/>
      </w:pPr>
      <w:r w:rsidRPr="003365C8">
        <w:t xml:space="preserve">In his anthropological approach to analysing religious buildings, Oskar </w:t>
      </w:r>
      <w:proofErr w:type="spellStart"/>
      <w:r w:rsidRPr="003365C8">
        <w:t>Veraaik</w:t>
      </w:r>
      <w:proofErr w:type="spellEnd"/>
      <w:r w:rsidRPr="003365C8">
        <w:t xml:space="preserve"> stresses the importance of understanding several concepts. Firstly, the social and political purpose of the structure and how blurred the lines are between the secular and ecclesiastical nature of the building. Secondly; that the space is defined by the rituals that take place within, not vice versa. Thirdly; religious spaces are not designed due to inherent qualities rather, by a desire to be viewed as opposite to ecclesiastical structures.</w:t>
      </w:r>
      <w:r w:rsidRPr="003365C8">
        <w:rPr>
          <w:vertAlign w:val="superscript"/>
        </w:rPr>
        <w:footnoteReference w:id="1"/>
      </w:r>
      <w:r w:rsidRPr="003365C8">
        <w:t xml:space="preserve"> </w:t>
      </w:r>
      <w:r w:rsidR="0081181F">
        <w:t xml:space="preserve">From this ground plan can any of </w:t>
      </w:r>
      <w:proofErr w:type="spellStart"/>
      <w:r w:rsidR="0081181F">
        <w:t>Veraaik’s</w:t>
      </w:r>
      <w:proofErr w:type="spellEnd"/>
      <w:r w:rsidR="0081181F">
        <w:t xml:space="preserve"> concepts be interpreted? </w:t>
      </w:r>
    </w:p>
    <w:p w14:paraId="01AF765A" w14:textId="18EE86D4" w:rsidR="00514E52" w:rsidRDefault="006350B4" w:rsidP="001B0E6B">
      <w:pPr>
        <w:spacing w:line="360" w:lineRule="auto"/>
      </w:pPr>
      <w:r>
        <w:t>The initial effect of viewing Tintern Abbey</w:t>
      </w:r>
      <w:r w:rsidR="00B43480">
        <w:t>’</w:t>
      </w:r>
      <w:r>
        <w:t>s ground plan is how sprawling it is. The church follows the conventional Cistercian architectural design</w:t>
      </w:r>
      <w:r w:rsidR="00CE0133">
        <w:t>,</w:t>
      </w:r>
      <w:r>
        <w:t xml:space="preserve"> in its simplicity and rejection of superfluity</w:t>
      </w:r>
      <w:r w:rsidR="00057082">
        <w:t xml:space="preserve">; while the layout of the outer buildings </w:t>
      </w:r>
      <w:r w:rsidR="00305BEC">
        <w:t>is</w:t>
      </w:r>
      <w:r w:rsidR="00057082">
        <w:t xml:space="preserve"> chaotic and complex by comparison. </w:t>
      </w:r>
      <w:r w:rsidR="0081181F">
        <w:t xml:space="preserve">This proves </w:t>
      </w:r>
      <w:proofErr w:type="spellStart"/>
      <w:r w:rsidR="0081181F">
        <w:t>Veraaik’s</w:t>
      </w:r>
      <w:proofErr w:type="spellEnd"/>
      <w:r w:rsidR="0081181F">
        <w:t xml:space="preserve"> </w:t>
      </w:r>
      <w:r w:rsidR="00283B85">
        <w:t>point of</w:t>
      </w:r>
      <w:r w:rsidR="00CE0133">
        <w:t xml:space="preserve"> religious</w:t>
      </w:r>
      <w:r w:rsidR="00283B85">
        <w:t xml:space="preserve"> buildings being designed around the rituals that take place within. The origins of the Cistercian order was with the principle of simplicity and following the </w:t>
      </w:r>
      <w:r w:rsidR="00283B85" w:rsidRPr="00283B85">
        <w:rPr>
          <w:i/>
          <w:iCs/>
        </w:rPr>
        <w:t>Rule of St Benedict</w:t>
      </w:r>
      <w:r w:rsidR="00283B85">
        <w:t>, this is seen in the simple design of the church, but religious rituals are not the only rituals to take place within a monastery and the</w:t>
      </w:r>
      <w:r w:rsidR="008160BB">
        <w:t xml:space="preserve"> monks</w:t>
      </w:r>
      <w:r w:rsidR="00283B85">
        <w:t xml:space="preserve"> strict</w:t>
      </w:r>
      <w:r w:rsidR="008160BB">
        <w:t xml:space="preserve"> adherence to the</w:t>
      </w:r>
      <w:r w:rsidR="00283B85">
        <w:t xml:space="preserve"> regulations</w:t>
      </w:r>
      <w:r w:rsidR="00CE0133">
        <w:t xml:space="preserve"> </w:t>
      </w:r>
      <w:r w:rsidR="008160BB">
        <w:t>for</w:t>
      </w:r>
      <w:r w:rsidR="00CE0133">
        <w:t xml:space="preserve"> sleeping, eating, labour, and every other aspect of life not spent in prayer</w:t>
      </w:r>
      <w:r w:rsidR="00283B85">
        <w:t xml:space="preserve"> </w:t>
      </w:r>
      <w:r w:rsidR="00CE0133">
        <w:t>create a need for far more complex buildings.</w:t>
      </w:r>
    </w:p>
    <w:p w14:paraId="3AEC5E70" w14:textId="4292EE91" w:rsidR="00514E52" w:rsidRPr="00315A65" w:rsidRDefault="00C674EB" w:rsidP="001B0E6B">
      <w:pPr>
        <w:spacing w:line="360" w:lineRule="auto"/>
      </w:pPr>
      <w:r>
        <w:t xml:space="preserve">What political and social meaning can be derived from this ground plan? Almost at the centre sits the infirmary cloister with the infirmary situated to the east. </w:t>
      </w:r>
      <w:r w:rsidR="004B6EB8">
        <w:t>T</w:t>
      </w:r>
      <w:r>
        <w:t>he monks at Tintern</w:t>
      </w:r>
      <w:r w:rsidR="00283BAF">
        <w:t>, seemingly,</w:t>
      </w:r>
      <w:r>
        <w:t xml:space="preserve"> were </w:t>
      </w:r>
      <w:r>
        <w:lastRenderedPageBreak/>
        <w:t>engaged in their social duty of caring for the sick</w:t>
      </w:r>
      <w:r w:rsidR="0046784E">
        <w:t>, although their lay infirmary was situated a mile away. This would suggest that the infirmary</w:t>
      </w:r>
      <w:r w:rsidR="008160BB">
        <w:t xml:space="preserve"> within the monastery</w:t>
      </w:r>
      <w:r w:rsidR="0046784E">
        <w:t xml:space="preserve"> </w:t>
      </w:r>
      <w:r w:rsidR="008F58F7">
        <w:t>was used only by the monks and was probably not even used by the lay brothers.</w:t>
      </w:r>
      <w:r>
        <w:rPr>
          <w:rStyle w:val="FootnoteReference"/>
        </w:rPr>
        <w:footnoteReference w:id="2"/>
      </w:r>
      <w:r>
        <w:t xml:space="preserve"> </w:t>
      </w:r>
      <w:r w:rsidR="001922BA">
        <w:t xml:space="preserve">Tintern’s political involvement can be seen in the abbot’s elaborate chambers. Tintern was the only welsh monastery where </w:t>
      </w:r>
      <w:proofErr w:type="spellStart"/>
      <w:r w:rsidR="001922BA">
        <w:t>corrodians</w:t>
      </w:r>
      <w:proofErr w:type="spellEnd"/>
      <w:r w:rsidR="001922BA">
        <w:t xml:space="preserve"> were housed</w:t>
      </w:r>
      <w:r w:rsidR="0059512E">
        <w:t>.</w:t>
      </w:r>
      <w:r w:rsidR="001922BA">
        <w:t xml:space="preserve"> </w:t>
      </w:r>
      <w:r w:rsidR="0059512E">
        <w:t>I</w:t>
      </w:r>
      <w:r w:rsidR="001922BA">
        <w:t xml:space="preserve">n 1302 Earl Roger </w:t>
      </w:r>
      <w:proofErr w:type="spellStart"/>
      <w:r w:rsidR="001922BA">
        <w:t>Bigod</w:t>
      </w:r>
      <w:proofErr w:type="spellEnd"/>
      <w:r w:rsidR="001922BA">
        <w:t xml:space="preserve"> temporarily surrendered his estates including Tintern to the crown</w:t>
      </w:r>
      <w:r w:rsidR="007A438D">
        <w:t>,</w:t>
      </w:r>
      <w:r w:rsidR="001922BA">
        <w:t xml:space="preserve"> making it an ideal place for royal </w:t>
      </w:r>
      <w:proofErr w:type="spellStart"/>
      <w:r w:rsidR="001922BA">
        <w:t>corrodians</w:t>
      </w:r>
      <w:proofErr w:type="spellEnd"/>
      <w:r w:rsidR="001922BA">
        <w:t xml:space="preserve"> to be housed</w:t>
      </w:r>
      <w:r w:rsidR="00D61CCE">
        <w:t>; which they were from the reign of Edward I to Henry VIII.</w:t>
      </w:r>
      <w:r w:rsidR="00D61CCE">
        <w:rPr>
          <w:rStyle w:val="FootnoteReference"/>
        </w:rPr>
        <w:footnoteReference w:id="3"/>
      </w:r>
      <w:r w:rsidR="00D61CCE">
        <w:t xml:space="preserve"> The abbot</w:t>
      </w:r>
      <w:r w:rsidR="00471AD5">
        <w:t>’</w:t>
      </w:r>
      <w:r w:rsidR="00D61CCE">
        <w:t>s chambers would have been the most suitable housing for such residents.</w:t>
      </w:r>
      <w:r w:rsidR="001922BA">
        <w:t xml:space="preserve"> </w:t>
      </w:r>
      <w:r w:rsidR="00E30FD7">
        <w:t xml:space="preserve">How clearly defined were the lines between the ecclesiastical and secular uses of this monastery. The lay infirmary being situated a mile away, possibly for infection control, draws a rather solid </w:t>
      </w:r>
      <w:r w:rsidR="007C3CC4">
        <w:t xml:space="preserve">boundary. </w:t>
      </w:r>
      <w:proofErr w:type="spellStart"/>
      <w:r w:rsidR="007C3CC4">
        <w:t>Corrodian</w:t>
      </w:r>
      <w:proofErr w:type="spellEnd"/>
      <w:r w:rsidR="007C3CC4">
        <w:t xml:space="preserve"> John Owain and his household ate at the abbot</w:t>
      </w:r>
      <w:r w:rsidR="00471AD5">
        <w:t>’</w:t>
      </w:r>
      <w:r w:rsidR="007C3CC4">
        <w:t xml:space="preserve">s table and were given white bread and the best beer. While in direct contrast to the </w:t>
      </w:r>
      <w:r w:rsidR="007C3CC4" w:rsidRPr="007C3CC4">
        <w:rPr>
          <w:i/>
          <w:iCs/>
        </w:rPr>
        <w:t>Rule</w:t>
      </w:r>
      <w:r w:rsidR="007C3CC4">
        <w:t xml:space="preserve"> which states ‘all who arrive as guests are to be welcomed like Christ’, archaeological evidence shows that at Tintern </w:t>
      </w:r>
      <w:r w:rsidR="00A118FA">
        <w:t>special measures were being taken to provide for high-status guests.</w:t>
      </w:r>
      <w:r w:rsidR="00A118FA">
        <w:rPr>
          <w:rStyle w:val="FootnoteReference"/>
        </w:rPr>
        <w:footnoteReference w:id="4"/>
      </w:r>
      <w:r w:rsidR="001922BA">
        <w:t xml:space="preserve"> </w:t>
      </w:r>
      <w:r w:rsidR="00800B51">
        <w:t>The</w:t>
      </w:r>
      <w:r w:rsidR="00315A65">
        <w:t xml:space="preserve"> rather meag</w:t>
      </w:r>
      <w:r w:rsidR="00D840FD">
        <w:t>re</w:t>
      </w:r>
      <w:r w:rsidR="00315A65">
        <w:t xml:space="preserve"> living space provided for the </w:t>
      </w:r>
      <w:proofErr w:type="spellStart"/>
      <w:r w:rsidR="00315A65">
        <w:rPr>
          <w:i/>
          <w:iCs/>
        </w:rPr>
        <w:t>cistercii</w:t>
      </w:r>
      <w:proofErr w:type="spellEnd"/>
      <w:r w:rsidR="00315A65">
        <w:rPr>
          <w:i/>
          <w:iCs/>
        </w:rPr>
        <w:t xml:space="preserve"> </w:t>
      </w:r>
      <w:r w:rsidR="00315A65">
        <w:t>provides another insight int</w:t>
      </w:r>
      <w:r w:rsidR="00D9689F">
        <w:t>o</w:t>
      </w:r>
      <w:r w:rsidR="00315A65">
        <w:t xml:space="preserve"> the</w:t>
      </w:r>
      <w:r w:rsidR="00D9689F">
        <w:t xml:space="preserve"> social workings of the monastery</w:t>
      </w:r>
      <w:r w:rsidR="00A63434">
        <w:t>. The quarters of the lay brothers</w:t>
      </w:r>
      <w:r w:rsidR="00AE6FCA">
        <w:t>, small and</w:t>
      </w:r>
      <w:r w:rsidR="00A63434">
        <w:t xml:space="preserve"> situated </w:t>
      </w:r>
      <w:r w:rsidR="00725A62">
        <w:t>on the</w:t>
      </w:r>
      <w:r w:rsidR="00A63434">
        <w:t xml:space="preserve"> </w:t>
      </w:r>
      <w:r w:rsidR="00725A62">
        <w:t>very edge</w:t>
      </w:r>
      <w:r w:rsidR="008D3067">
        <w:t>, almost outside,</w:t>
      </w:r>
      <w:r w:rsidR="00725A62">
        <w:t xml:space="preserve"> of the complex suggest</w:t>
      </w:r>
      <w:r w:rsidR="00AE6FCA">
        <w:t xml:space="preserve">s </w:t>
      </w:r>
      <w:r w:rsidR="00304008">
        <w:t xml:space="preserve">an atmosphere in which they were considered second-class citizens. </w:t>
      </w:r>
      <w:r w:rsidR="00DE68B8">
        <w:t>This</w:t>
      </w:r>
      <w:r w:rsidR="00C95527">
        <w:t xml:space="preserve"> idea</w:t>
      </w:r>
      <w:r w:rsidR="00DE68B8">
        <w:t xml:space="preserve"> is </w:t>
      </w:r>
      <w:r w:rsidR="00C95527">
        <w:t>further supported</w:t>
      </w:r>
      <w:r w:rsidR="00725A62">
        <w:t xml:space="preserve"> </w:t>
      </w:r>
      <w:r w:rsidR="00C95527">
        <w:t>by the elaborate decorati</w:t>
      </w:r>
      <w:r w:rsidR="007961F9">
        <w:t>o</w:t>
      </w:r>
      <w:r w:rsidR="00C95527">
        <w:t xml:space="preserve">n </w:t>
      </w:r>
      <w:r w:rsidR="007961F9">
        <w:t xml:space="preserve">carved into the doorway for the monk’s entrance into the church, where no such decoration is made for the </w:t>
      </w:r>
      <w:proofErr w:type="spellStart"/>
      <w:r w:rsidR="007961F9" w:rsidRPr="007961F9">
        <w:rPr>
          <w:i/>
          <w:iCs/>
        </w:rPr>
        <w:t>cistercii</w:t>
      </w:r>
      <w:proofErr w:type="spellEnd"/>
      <w:r w:rsidR="007961F9">
        <w:t>.</w:t>
      </w:r>
      <w:r w:rsidR="007961F9">
        <w:rPr>
          <w:rStyle w:val="FootnoteReference"/>
        </w:rPr>
        <w:footnoteReference w:id="5"/>
      </w:r>
      <w:r w:rsidR="00315A65">
        <w:t xml:space="preserve"> </w:t>
      </w:r>
    </w:p>
    <w:p w14:paraId="60399AA9" w14:textId="708A749C" w:rsidR="00286A37" w:rsidRDefault="002E3B52" w:rsidP="001B0E6B">
      <w:pPr>
        <w:spacing w:line="360" w:lineRule="auto"/>
        <w:rPr>
          <w:noProof/>
        </w:rPr>
      </w:pPr>
      <w:r w:rsidRPr="00D1281B">
        <w:rPr>
          <w:noProof/>
        </w:rPr>
        <w:drawing>
          <wp:anchor distT="0" distB="0" distL="114300" distR="114300" simplePos="0" relativeHeight="251659264" behindDoc="0" locked="0" layoutInCell="1" allowOverlap="1" wp14:anchorId="5CD5B3FC" wp14:editId="21C6FEC2">
            <wp:simplePos x="0" y="0"/>
            <wp:positionH relativeFrom="margin">
              <wp:align>left</wp:align>
            </wp:positionH>
            <wp:positionV relativeFrom="margin">
              <wp:align>bottom</wp:align>
            </wp:positionV>
            <wp:extent cx="2736850" cy="2029460"/>
            <wp:effectExtent l="0" t="0" r="635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6850" cy="2029460"/>
                    </a:xfrm>
                    <a:prstGeom prst="rect">
                      <a:avLst/>
                    </a:prstGeom>
                  </pic:spPr>
                </pic:pic>
              </a:graphicData>
            </a:graphic>
            <wp14:sizeRelH relativeFrom="page">
              <wp14:pctWidth>0</wp14:pctWidth>
            </wp14:sizeRelH>
            <wp14:sizeRelV relativeFrom="page">
              <wp14:pctHeight>0</wp14:pctHeight>
            </wp14:sizeRelV>
          </wp:anchor>
        </w:drawing>
      </w:r>
      <w:r w:rsidR="00A118FA">
        <w:t xml:space="preserve">Differing slightly from </w:t>
      </w:r>
      <w:proofErr w:type="spellStart"/>
      <w:r w:rsidR="00A118FA">
        <w:t>Veraaik’s</w:t>
      </w:r>
      <w:proofErr w:type="spellEnd"/>
      <w:r w:rsidR="00A118FA">
        <w:t xml:space="preserve"> claim that religious buildings are designed in opposition to secular structures is the notion that Cistercian structures were designed in opposition to other religious structures. </w:t>
      </w:r>
      <w:r w:rsidR="004511FF">
        <w:t>This point is best made when comparing the design of Tintern’s church to the elaborate contemporary designs of Cluniac monasteries.</w:t>
      </w:r>
      <w:r w:rsidR="00D1281B" w:rsidRPr="00D1281B">
        <w:rPr>
          <w:noProof/>
        </w:rPr>
        <w:t xml:space="preserve"> </w:t>
      </w:r>
      <w:r w:rsidR="00D1281B">
        <w:rPr>
          <w:noProof/>
        </w:rPr>
        <w:t>The groun</w:t>
      </w:r>
      <w:r w:rsidR="002F1CB2">
        <w:rPr>
          <w:noProof/>
        </w:rPr>
        <w:t xml:space="preserve">d </w:t>
      </w:r>
      <w:r w:rsidR="00D1281B">
        <w:rPr>
          <w:noProof/>
        </w:rPr>
        <w:t>plan of Lewes,</w:t>
      </w:r>
      <w:r w:rsidR="005C7A18">
        <w:rPr>
          <w:rStyle w:val="FootnoteReference"/>
          <w:noProof/>
        </w:rPr>
        <w:footnoteReference w:id="6"/>
      </w:r>
      <w:r w:rsidR="00D1281B">
        <w:rPr>
          <w:noProof/>
        </w:rPr>
        <w:t xml:space="preserve"> the oldest Cluniac monastery in Britain illustrates the differences the </w:t>
      </w:r>
      <w:r w:rsidR="007C690D">
        <w:rPr>
          <w:noProof/>
        </w:rPr>
        <w:t>C</w:t>
      </w:r>
      <w:r w:rsidR="00D1281B">
        <w:rPr>
          <w:noProof/>
        </w:rPr>
        <w:t>istercians were striving for in their designs.</w:t>
      </w:r>
      <w:r w:rsidR="005C7A18">
        <w:rPr>
          <w:noProof/>
        </w:rPr>
        <w:t xml:space="preserve"> </w:t>
      </w:r>
      <w:r w:rsidR="00286A37" w:rsidRPr="00286A37">
        <w:rPr>
          <w:noProof/>
        </w:rPr>
        <w:t>Bucher’s claim that a rigid set of principles consciously laid out in the thirteenth century are responsible for the development of a defined Cistercian architectural system.</w:t>
      </w:r>
      <w:r w:rsidR="00FE4158">
        <w:rPr>
          <w:noProof/>
        </w:rPr>
        <w:t xml:space="preserve"> </w:t>
      </w:r>
      <w:r w:rsidR="00286A37">
        <w:rPr>
          <w:noProof/>
        </w:rPr>
        <w:t xml:space="preserve">When architect Villard de Honnecourt designed the ‘ideal plan’ </w:t>
      </w:r>
      <w:r w:rsidR="00286A37">
        <w:rPr>
          <w:noProof/>
        </w:rPr>
        <w:lastRenderedPageBreak/>
        <w:t xml:space="preserve">upon which </w:t>
      </w:r>
      <w:r>
        <w:rPr>
          <w:noProof/>
        </w:rPr>
        <w:t xml:space="preserve">all </w:t>
      </w:r>
      <w:r w:rsidR="002602E1">
        <w:rPr>
          <w:noProof/>
        </w:rPr>
        <w:t>C</w:t>
      </w:r>
      <w:r>
        <w:rPr>
          <w:noProof/>
        </w:rPr>
        <w:t>istercian monast</w:t>
      </w:r>
      <w:r w:rsidR="002602E1">
        <w:rPr>
          <w:noProof/>
        </w:rPr>
        <w:t>e</w:t>
      </w:r>
      <w:r>
        <w:rPr>
          <w:noProof/>
        </w:rPr>
        <w:t>ries were supposed to be based, it was in direct protest of the Cluniac tradition.</w:t>
      </w:r>
      <w:r w:rsidR="00286A37" w:rsidRPr="00286A37">
        <w:rPr>
          <w:noProof/>
          <w:vertAlign w:val="superscript"/>
        </w:rPr>
        <w:footnoteReference w:id="7"/>
      </w:r>
      <w:r w:rsidR="00286A37" w:rsidRPr="00286A37">
        <w:rPr>
          <w:noProof/>
        </w:rPr>
        <w:t xml:space="preserve"> </w:t>
      </w:r>
    </w:p>
    <w:p w14:paraId="17CBFA3E" w14:textId="71C3C277" w:rsidR="001B34BE" w:rsidRDefault="008160BB" w:rsidP="00556CA8">
      <w:pPr>
        <w:spacing w:line="360" w:lineRule="auto"/>
      </w:pPr>
      <w:r>
        <w:t xml:space="preserve">Studying the </w:t>
      </w:r>
      <w:r w:rsidR="00056D07">
        <w:t>ground plan at a purely practical level show that</w:t>
      </w:r>
      <w:r w:rsidR="00283B85">
        <w:t xml:space="preserve"> </w:t>
      </w:r>
      <w:r>
        <w:t>f</w:t>
      </w:r>
      <w:r w:rsidR="00057082">
        <w:t xml:space="preserve">ew </w:t>
      </w:r>
      <w:r w:rsidR="0084073F">
        <w:t>aspects of Tintern’s design set it apart from other contemporary Cistercian houses, the cloister is unusually situated to the north of the site.</w:t>
      </w:r>
      <w:r w:rsidR="00665318" w:rsidRPr="00665318">
        <w:t xml:space="preserve"> In the warming room to the north-east of the site was an elevated fireplace perhaps providing some form of central heating</w:t>
      </w:r>
      <w:r w:rsidR="00665318">
        <w:t>.</w:t>
      </w:r>
      <w:r w:rsidR="0084073F">
        <w:rPr>
          <w:rStyle w:val="FootnoteReference"/>
        </w:rPr>
        <w:footnoteReference w:id="8"/>
      </w:r>
      <w:r w:rsidR="00242549">
        <w:t xml:space="preserve"> </w:t>
      </w:r>
      <w:r w:rsidR="00EE150B">
        <w:t>The rest of the site conforms with Cistercian norms and displays their ingenuity, the</w:t>
      </w:r>
      <w:r w:rsidR="00030E7F">
        <w:t xml:space="preserve"> elaborate</w:t>
      </w:r>
      <w:r w:rsidR="00EE150B">
        <w:t xml:space="preserve"> drainage system running along the north of the site through the kitchens and latrines </w:t>
      </w:r>
      <w:r w:rsidR="00030E7F">
        <w:t>terminates at a sluice gate, designed to efficiently wash away waste. The monks built up the ground under the church elevating its position in the landscape.</w:t>
      </w:r>
      <w:r w:rsidR="00030E7F">
        <w:rPr>
          <w:rStyle w:val="FootnoteReference"/>
        </w:rPr>
        <w:footnoteReference w:id="9"/>
      </w:r>
      <w:r w:rsidR="00030E7F">
        <w:t xml:space="preserve"> </w:t>
      </w:r>
      <w:r w:rsidR="00EE150B">
        <w:t xml:space="preserve">  </w:t>
      </w:r>
    </w:p>
    <w:p w14:paraId="37CE38D3" w14:textId="7C5CEE31" w:rsidR="006350B4" w:rsidRDefault="001B34BE" w:rsidP="00556CA8">
      <w:pPr>
        <w:spacing w:line="360" w:lineRule="auto"/>
      </w:pPr>
      <w:r>
        <w:t>It is questionable to what extent Cistercian architecture was regulated in the medieval period. In h</w:t>
      </w:r>
      <w:r w:rsidR="00654373">
        <w:t>is</w:t>
      </w:r>
      <w:r>
        <w:t xml:space="preserve"> book </w:t>
      </w:r>
      <w:r w:rsidRPr="001B34BE">
        <w:rPr>
          <w:i/>
          <w:iCs/>
        </w:rPr>
        <w:t>Cistercian architecture and medieval society</w:t>
      </w:r>
      <w:r>
        <w:t xml:space="preserve">, </w:t>
      </w:r>
      <w:r w:rsidR="00654373">
        <w:t>Sternberg</w:t>
      </w:r>
      <w:r w:rsidR="0084073F">
        <w:t xml:space="preserve"> </w:t>
      </w:r>
      <w:r>
        <w:t xml:space="preserve">argues that the notion of </w:t>
      </w:r>
      <w:r w:rsidR="00B31A5A">
        <w:t>a Cistercian standard was a construct of post</w:t>
      </w:r>
      <w:r w:rsidR="00D05316">
        <w:t>-</w:t>
      </w:r>
      <w:r w:rsidR="00B31A5A">
        <w:t>WWII modernist thinking</w:t>
      </w:r>
      <w:r w:rsidR="00DE0D5F">
        <w:t>. That the modern in</w:t>
      </w:r>
      <w:r w:rsidR="00E00ADB">
        <w:t>terpretations</w:t>
      </w:r>
      <w:r w:rsidR="00DE0D5F">
        <w:t xml:space="preserve"> </w:t>
      </w:r>
      <w:r w:rsidR="001C0FF4">
        <w:t>of</w:t>
      </w:r>
      <w:r w:rsidR="00DE0D5F">
        <w:t xml:space="preserve"> Cistercian </w:t>
      </w:r>
      <w:r w:rsidR="00CF05E0">
        <w:t>design ha</w:t>
      </w:r>
      <w:r w:rsidR="001C0FF4">
        <w:t>ve</w:t>
      </w:r>
      <w:r w:rsidR="00CF05E0">
        <w:t xml:space="preserve"> obscured </w:t>
      </w:r>
      <w:r w:rsidR="00D014ED">
        <w:t>its</w:t>
      </w:r>
      <w:r w:rsidR="00CF05E0">
        <w:t xml:space="preserve"> original meaning</w:t>
      </w:r>
      <w:r w:rsidR="001C0FF4">
        <w:t>s</w:t>
      </w:r>
      <w:r w:rsidR="00E51036">
        <w:t>, over</w:t>
      </w:r>
      <w:r w:rsidR="008C4943">
        <w:t xml:space="preserve"> </w:t>
      </w:r>
      <w:r w:rsidR="00E51036">
        <w:t>emphasising some aspects of the Cistercian</w:t>
      </w:r>
      <w:r w:rsidR="00C11A21">
        <w:t>’</w:t>
      </w:r>
      <w:r w:rsidR="00E51036">
        <w:t xml:space="preserve">s apparent renouncing of the </w:t>
      </w:r>
      <w:r w:rsidR="00D3338C">
        <w:t>world</w:t>
      </w:r>
      <w:r w:rsidR="00D014ED">
        <w:t>.</w:t>
      </w:r>
      <w:r w:rsidR="00B31A5A">
        <w:rPr>
          <w:rStyle w:val="FootnoteReference"/>
        </w:rPr>
        <w:footnoteReference w:id="10"/>
      </w:r>
      <w:r w:rsidR="00B31A5A">
        <w:t xml:space="preserve"> </w:t>
      </w:r>
      <w:r w:rsidR="000E1B72">
        <w:t xml:space="preserve">In applying </w:t>
      </w:r>
      <w:proofErr w:type="spellStart"/>
      <w:r w:rsidR="000E1B72">
        <w:t>Veraaik’s</w:t>
      </w:r>
      <w:proofErr w:type="spellEnd"/>
      <w:r w:rsidR="000E1B72">
        <w:t xml:space="preserve"> concepts to </w:t>
      </w:r>
      <w:r w:rsidR="0019398B">
        <w:t>this</w:t>
      </w:r>
      <w:r w:rsidR="000E1B72">
        <w:t xml:space="preserve"> analysis</w:t>
      </w:r>
      <w:r w:rsidR="0019398B">
        <w:t xml:space="preserve"> of Tintern’s ground plan </w:t>
      </w:r>
      <w:r w:rsidR="00F979EF">
        <w:t xml:space="preserve">an appropriate level of </w:t>
      </w:r>
      <w:r w:rsidR="00977778">
        <w:t xml:space="preserve">subjectivity has been achieved to allow for Sternberg’s </w:t>
      </w:r>
      <w:r w:rsidR="000D5FB1">
        <w:t>observations.</w:t>
      </w:r>
      <w:r w:rsidR="0019398B">
        <w:t xml:space="preserve"> </w:t>
      </w:r>
      <w:r w:rsidR="000E1B72">
        <w:t xml:space="preserve">  </w:t>
      </w:r>
    </w:p>
    <w:p w14:paraId="1A96F0A9" w14:textId="27957C4A" w:rsidR="00A73368" w:rsidRDefault="00A73368" w:rsidP="00A73368">
      <w:pPr>
        <w:jc w:val="center"/>
        <w:rPr>
          <w:u w:val="single"/>
        </w:rPr>
      </w:pPr>
    </w:p>
    <w:p w14:paraId="2CCDEE0A" w14:textId="7331B039" w:rsidR="00556CA8" w:rsidRDefault="00556CA8" w:rsidP="00A73368">
      <w:pPr>
        <w:jc w:val="center"/>
        <w:rPr>
          <w:u w:val="single"/>
        </w:rPr>
      </w:pPr>
    </w:p>
    <w:p w14:paraId="3698B948" w14:textId="77777777" w:rsidR="00DA5B55" w:rsidRDefault="00DA5B55" w:rsidP="00556CA8">
      <w:pPr>
        <w:rPr>
          <w:u w:val="single"/>
        </w:rPr>
      </w:pPr>
    </w:p>
    <w:p w14:paraId="17E45E0E" w14:textId="77777777" w:rsidR="00DA5B55" w:rsidRDefault="00DA5B55" w:rsidP="00556CA8">
      <w:pPr>
        <w:rPr>
          <w:u w:val="single"/>
        </w:rPr>
      </w:pPr>
    </w:p>
    <w:p w14:paraId="237DA1F2" w14:textId="77777777" w:rsidR="00DA5B55" w:rsidRDefault="00DA5B55" w:rsidP="00556CA8">
      <w:pPr>
        <w:rPr>
          <w:u w:val="single"/>
        </w:rPr>
      </w:pPr>
    </w:p>
    <w:p w14:paraId="015A009A" w14:textId="77777777" w:rsidR="00DA5B55" w:rsidRDefault="00DA5B55" w:rsidP="00556CA8">
      <w:pPr>
        <w:rPr>
          <w:u w:val="single"/>
        </w:rPr>
      </w:pPr>
    </w:p>
    <w:p w14:paraId="480B4F03" w14:textId="77777777" w:rsidR="00DA5B55" w:rsidRDefault="00DA5B55" w:rsidP="00556CA8">
      <w:pPr>
        <w:rPr>
          <w:u w:val="single"/>
        </w:rPr>
      </w:pPr>
    </w:p>
    <w:p w14:paraId="42BDA7ED" w14:textId="77777777" w:rsidR="00DA5B55" w:rsidRDefault="00DA5B55" w:rsidP="00556CA8">
      <w:pPr>
        <w:rPr>
          <w:u w:val="single"/>
        </w:rPr>
      </w:pPr>
    </w:p>
    <w:p w14:paraId="2F789D34" w14:textId="77777777" w:rsidR="00DA5B55" w:rsidRDefault="00DA5B55" w:rsidP="00556CA8">
      <w:pPr>
        <w:rPr>
          <w:u w:val="single"/>
        </w:rPr>
      </w:pPr>
    </w:p>
    <w:p w14:paraId="74A8929B" w14:textId="77777777" w:rsidR="00DA5B55" w:rsidRDefault="00DA5B55" w:rsidP="00556CA8">
      <w:pPr>
        <w:rPr>
          <w:u w:val="single"/>
        </w:rPr>
      </w:pPr>
    </w:p>
    <w:p w14:paraId="52634367" w14:textId="77777777" w:rsidR="00DA5B55" w:rsidRDefault="00DA5B55" w:rsidP="00556CA8">
      <w:pPr>
        <w:rPr>
          <w:u w:val="single"/>
        </w:rPr>
      </w:pPr>
    </w:p>
    <w:p w14:paraId="1CB98B3B" w14:textId="77777777" w:rsidR="00DA5B55" w:rsidRDefault="00DA5B55" w:rsidP="00556CA8">
      <w:pPr>
        <w:rPr>
          <w:u w:val="single"/>
        </w:rPr>
      </w:pPr>
    </w:p>
    <w:p w14:paraId="54427C8F" w14:textId="451DA115" w:rsidR="00556CA8" w:rsidRDefault="00556CA8" w:rsidP="00556CA8">
      <w:pPr>
        <w:rPr>
          <w:u w:val="single"/>
        </w:rPr>
      </w:pPr>
      <w:r>
        <w:rPr>
          <w:u w:val="single"/>
        </w:rPr>
        <w:lastRenderedPageBreak/>
        <w:t>Bibliography</w:t>
      </w:r>
    </w:p>
    <w:p w14:paraId="70713604" w14:textId="61E4114E" w:rsidR="00556CA8" w:rsidRDefault="00556CA8" w:rsidP="00556CA8">
      <w:pPr>
        <w:rPr>
          <w:u w:val="single"/>
        </w:rPr>
      </w:pPr>
    </w:p>
    <w:p w14:paraId="28B02BE0" w14:textId="58AA3913" w:rsidR="00715D47" w:rsidRPr="00715D47" w:rsidRDefault="00715D47" w:rsidP="00715D47">
      <w:bookmarkStart w:id="7" w:name="_Hlk33988040"/>
      <w:r w:rsidRPr="00715D47">
        <w:t xml:space="preserve">Bucher Francois, </w:t>
      </w:r>
      <w:bookmarkEnd w:id="7"/>
      <w:r w:rsidRPr="00715D47">
        <w:t xml:space="preserve">'Cistercian Architectural Purism', </w:t>
      </w:r>
      <w:r w:rsidRPr="00715D47">
        <w:rPr>
          <w:i/>
          <w:iCs/>
        </w:rPr>
        <w:t xml:space="preserve">Comparative Studies in Society and History, </w:t>
      </w:r>
      <w:r w:rsidRPr="00715D47">
        <w:t>3 (1960), 89-105</w:t>
      </w:r>
      <w:r w:rsidR="00274296">
        <w:t>.</w:t>
      </w:r>
      <w:r w:rsidRPr="00715D47">
        <w:t xml:space="preserve"> </w:t>
      </w:r>
    </w:p>
    <w:p w14:paraId="098FFD25" w14:textId="4B4219AA" w:rsidR="00715D47" w:rsidRPr="00715D47" w:rsidRDefault="00DA5B55" w:rsidP="00715D47">
      <w:r w:rsidRPr="00715D47">
        <w:t>Bucher Francois,</w:t>
      </w:r>
      <w:r>
        <w:t xml:space="preserve"> </w:t>
      </w:r>
      <w:r w:rsidR="00715D47" w:rsidRPr="00715D47">
        <w:t xml:space="preserve">A Failure of Architectural Purism', </w:t>
      </w:r>
      <w:proofErr w:type="spellStart"/>
      <w:r w:rsidR="00715D47" w:rsidRPr="00715D47">
        <w:rPr>
          <w:i/>
          <w:iCs/>
        </w:rPr>
        <w:t>Perspecta</w:t>
      </w:r>
      <w:proofErr w:type="spellEnd"/>
      <w:r w:rsidR="00715D47" w:rsidRPr="00715D47">
        <w:rPr>
          <w:i/>
          <w:iCs/>
        </w:rPr>
        <w:t xml:space="preserve">, </w:t>
      </w:r>
      <w:r w:rsidR="00715D47" w:rsidRPr="00715D47">
        <w:t>(1960), 4-15</w:t>
      </w:r>
      <w:r w:rsidR="00274296">
        <w:t>.</w:t>
      </w:r>
      <w:r w:rsidR="00715D47" w:rsidRPr="00715D47">
        <w:t xml:space="preserve"> </w:t>
      </w:r>
    </w:p>
    <w:p w14:paraId="73EF1838" w14:textId="41DF6899" w:rsidR="00715D47" w:rsidRPr="00715D47" w:rsidRDefault="00715D47" w:rsidP="00715D47">
      <w:r w:rsidRPr="00715D47">
        <w:t xml:space="preserve">Burton Janet and </w:t>
      </w:r>
      <w:proofErr w:type="spellStart"/>
      <w:r w:rsidRPr="00715D47">
        <w:t>Stober</w:t>
      </w:r>
      <w:proofErr w:type="spellEnd"/>
      <w:r w:rsidRPr="00715D47">
        <w:t xml:space="preserve"> Karen, </w:t>
      </w:r>
      <w:r w:rsidRPr="00715D47">
        <w:rPr>
          <w:i/>
          <w:iCs/>
        </w:rPr>
        <w:t>Abbeys and Priories of Medieval Wales</w:t>
      </w:r>
      <w:r w:rsidRPr="00715D47">
        <w:t xml:space="preserve"> (Cardiff: University of Wales Press, 2015)</w:t>
      </w:r>
      <w:r w:rsidR="00274296">
        <w:t>.</w:t>
      </w:r>
      <w:r w:rsidRPr="00715D47">
        <w:t xml:space="preserve"> </w:t>
      </w:r>
    </w:p>
    <w:p w14:paraId="60BA3546" w14:textId="32BC8741" w:rsidR="00DA5B55" w:rsidRPr="00DA5B55" w:rsidRDefault="00DA5B55" w:rsidP="00DA5B55">
      <w:r w:rsidRPr="00DA5B55">
        <w:t xml:space="preserve">Sternberg Maximilian, </w:t>
      </w:r>
      <w:r w:rsidRPr="00DA5B55">
        <w:rPr>
          <w:i/>
          <w:iCs/>
        </w:rPr>
        <w:t>Cistercian Architecture and Medieval Society</w:t>
      </w:r>
      <w:r w:rsidRPr="00DA5B55">
        <w:t xml:space="preserve"> (Boston: Leiden, 2013)</w:t>
      </w:r>
      <w:r w:rsidR="00274296">
        <w:t>.</w:t>
      </w:r>
      <w:r w:rsidRPr="00DA5B55">
        <w:t xml:space="preserve"> </w:t>
      </w:r>
    </w:p>
    <w:p w14:paraId="629A9652" w14:textId="026E429D" w:rsidR="00DA5B55" w:rsidRPr="00DA5B55" w:rsidRDefault="00DA5B55" w:rsidP="00DA5B55">
      <w:proofErr w:type="spellStart"/>
      <w:r w:rsidRPr="00DA5B55">
        <w:t>Verkaaik</w:t>
      </w:r>
      <w:proofErr w:type="spellEnd"/>
      <w:r w:rsidRPr="00DA5B55">
        <w:t xml:space="preserve"> Oskar, 'Religious Architecture: Anthropological Perspectives', in </w:t>
      </w:r>
      <w:r w:rsidRPr="00DA5B55">
        <w:rPr>
          <w:i/>
          <w:iCs/>
        </w:rPr>
        <w:t>Religious Architecture: Anthropological Perspectives</w:t>
      </w:r>
      <w:r w:rsidR="00274296">
        <w:rPr>
          <w:i/>
          <w:iCs/>
        </w:rPr>
        <w:t xml:space="preserve"> </w:t>
      </w:r>
      <w:r w:rsidRPr="00DA5B55">
        <w:t>(Amsterdam: Amsterdam University Press, 2013), pp. 7-24</w:t>
      </w:r>
      <w:r w:rsidR="00274296">
        <w:t>.</w:t>
      </w:r>
      <w:r w:rsidRPr="00DA5B55">
        <w:t xml:space="preserve"> </w:t>
      </w:r>
    </w:p>
    <w:p w14:paraId="5F85A419" w14:textId="4A27248E" w:rsidR="00DA5B55" w:rsidRDefault="00DA5B55" w:rsidP="00DA5B55">
      <w:r w:rsidRPr="00DA5B55">
        <w:t xml:space="preserve">Williams David H., </w:t>
      </w:r>
      <w:r w:rsidRPr="00DA5B55">
        <w:rPr>
          <w:i/>
          <w:iCs/>
        </w:rPr>
        <w:t>The Welsh Cistercians</w:t>
      </w:r>
      <w:r w:rsidRPr="00DA5B55">
        <w:t xml:space="preserve"> (Gloucester: Action Publishing Tech, 2001)</w:t>
      </w:r>
      <w:r w:rsidR="00274296">
        <w:t>.</w:t>
      </w:r>
      <w:r w:rsidRPr="00DA5B55">
        <w:t xml:space="preserve"> </w:t>
      </w:r>
    </w:p>
    <w:p w14:paraId="5AB2393F" w14:textId="024B01AE" w:rsidR="002040E9" w:rsidRDefault="002040E9" w:rsidP="00DA5B55"/>
    <w:p w14:paraId="128C10E2" w14:textId="68D10518" w:rsidR="002040E9" w:rsidRDefault="002040E9" w:rsidP="00DA5B55">
      <w:pPr>
        <w:rPr>
          <w:u w:val="single"/>
        </w:rPr>
      </w:pPr>
      <w:r>
        <w:rPr>
          <w:u w:val="single"/>
        </w:rPr>
        <w:t>Digital Sources</w:t>
      </w:r>
    </w:p>
    <w:p w14:paraId="35BD5C6F" w14:textId="3C8FEBAF" w:rsidR="002040E9" w:rsidRDefault="002040E9" w:rsidP="00DA5B55">
      <w:pPr>
        <w:rPr>
          <w:u w:val="single"/>
        </w:rPr>
      </w:pPr>
    </w:p>
    <w:p w14:paraId="78517ED9" w14:textId="31241B9C" w:rsidR="002040E9" w:rsidRPr="00DA5B55" w:rsidRDefault="002040E9" w:rsidP="00DA5B55">
      <w:r w:rsidRPr="002040E9">
        <w:t xml:space="preserve">A Floor Plan of Lewes Priory, </w:t>
      </w:r>
      <w:hyperlink r:id="rId10" w:history="1">
        <w:r w:rsidRPr="002040E9">
          <w:rPr>
            <w:rStyle w:val="Hyperlink"/>
            <w:u w:val="none"/>
          </w:rPr>
          <w:t>https://www.lewespriory.org.uk/excavations</w:t>
        </w:r>
      </w:hyperlink>
      <w:r w:rsidRPr="002040E9">
        <w:t xml:space="preserve"> [Accessed 29-02-20].</w:t>
      </w:r>
    </w:p>
    <w:p w14:paraId="0578CFFB" w14:textId="77777777" w:rsidR="00955B86" w:rsidRPr="00DA5B55" w:rsidRDefault="00955B86" w:rsidP="00556CA8"/>
    <w:p w14:paraId="7DE80B6B" w14:textId="77777777" w:rsidR="00A73368" w:rsidRPr="00DA5B55" w:rsidRDefault="00A73368" w:rsidP="00A73368"/>
    <w:p w14:paraId="525AFE7A" w14:textId="77777777" w:rsidR="00122103" w:rsidRPr="00DA5B55" w:rsidRDefault="00122103" w:rsidP="00A73368"/>
    <w:p w14:paraId="6FCCE2E3" w14:textId="77777777" w:rsidR="00B22E12" w:rsidRDefault="00B22E12" w:rsidP="00122103">
      <w:pPr>
        <w:ind w:left="720"/>
        <w:rPr>
          <w:u w:val="single"/>
        </w:rPr>
      </w:pPr>
    </w:p>
    <w:p w14:paraId="454FC2A2" w14:textId="77777777" w:rsidR="00122103" w:rsidRDefault="00122103"/>
    <w:sectPr w:rsidR="001221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ED275" w14:textId="77777777" w:rsidR="005B33AC" w:rsidRDefault="005B33AC" w:rsidP="0084073F">
      <w:pPr>
        <w:spacing w:after="0" w:line="240" w:lineRule="auto"/>
      </w:pPr>
      <w:r>
        <w:separator/>
      </w:r>
    </w:p>
  </w:endnote>
  <w:endnote w:type="continuationSeparator" w:id="0">
    <w:p w14:paraId="42AE9044" w14:textId="77777777" w:rsidR="005B33AC" w:rsidRDefault="005B33AC" w:rsidP="00840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E72891" w14:textId="77777777" w:rsidR="005B33AC" w:rsidRDefault="005B33AC" w:rsidP="0084073F">
      <w:pPr>
        <w:spacing w:after="0" w:line="240" w:lineRule="auto"/>
      </w:pPr>
      <w:r>
        <w:separator/>
      </w:r>
    </w:p>
  </w:footnote>
  <w:footnote w:type="continuationSeparator" w:id="0">
    <w:p w14:paraId="5C423895" w14:textId="77777777" w:rsidR="005B33AC" w:rsidRDefault="005B33AC" w:rsidP="0084073F">
      <w:pPr>
        <w:spacing w:after="0" w:line="240" w:lineRule="auto"/>
      </w:pPr>
      <w:r>
        <w:continuationSeparator/>
      </w:r>
    </w:p>
  </w:footnote>
  <w:footnote w:id="1">
    <w:p w14:paraId="296F62C9" w14:textId="084A189F" w:rsidR="003365C8" w:rsidRDefault="003365C8" w:rsidP="003365C8">
      <w:pPr>
        <w:pStyle w:val="FootnoteText"/>
      </w:pPr>
      <w:r>
        <w:rPr>
          <w:rStyle w:val="FootnoteReference"/>
        </w:rPr>
        <w:footnoteRef/>
      </w:r>
      <w:r>
        <w:t xml:space="preserve"> </w:t>
      </w:r>
      <w:r w:rsidR="00D3338C">
        <w:t xml:space="preserve">Oskar </w:t>
      </w:r>
      <w:proofErr w:type="spellStart"/>
      <w:r w:rsidRPr="003365C8">
        <w:t>Verkaaik</w:t>
      </w:r>
      <w:proofErr w:type="spellEnd"/>
      <w:r w:rsidRPr="003365C8">
        <w:t xml:space="preserve">, </w:t>
      </w:r>
      <w:r w:rsidRPr="007A0D46">
        <w:rPr>
          <w:i/>
          <w:iCs/>
        </w:rPr>
        <w:t>Religious Architecture: Anthropological Perspectives</w:t>
      </w:r>
      <w:r w:rsidRPr="003365C8">
        <w:t>,</w:t>
      </w:r>
      <w:r>
        <w:t xml:space="preserve"> </w:t>
      </w:r>
      <w:r w:rsidRPr="003365C8">
        <w:t xml:space="preserve">(Amsterdam: Amsterdam University Press, 2013), pp. </w:t>
      </w:r>
      <w:r w:rsidR="00654373">
        <w:t>8, 9, 14, 15.</w:t>
      </w:r>
    </w:p>
  </w:footnote>
  <w:footnote w:id="2">
    <w:p w14:paraId="00C96167" w14:textId="11C9BC00" w:rsidR="00C674EB" w:rsidRDefault="00C674EB">
      <w:pPr>
        <w:pStyle w:val="FootnoteText"/>
      </w:pPr>
      <w:r>
        <w:rPr>
          <w:rStyle w:val="FootnoteReference"/>
        </w:rPr>
        <w:footnoteRef/>
      </w:r>
      <w:r>
        <w:t xml:space="preserve"> </w:t>
      </w:r>
      <w:r w:rsidR="001B0E6B">
        <w:t xml:space="preserve">David H </w:t>
      </w:r>
      <w:r w:rsidR="008F58F7" w:rsidRPr="008F58F7">
        <w:t>Williams, </w:t>
      </w:r>
      <w:r w:rsidR="008F58F7" w:rsidRPr="008F58F7">
        <w:rPr>
          <w:i/>
          <w:iCs/>
        </w:rPr>
        <w:t>The Welsh Cistercians</w:t>
      </w:r>
      <w:r w:rsidR="001B0E6B">
        <w:t>,</w:t>
      </w:r>
      <w:r w:rsidR="001B0E6B" w:rsidRPr="001B0E6B">
        <w:t xml:space="preserve"> (Gloucester: Action Publishing Tech, 2001</w:t>
      </w:r>
      <w:r w:rsidR="001B0E6B">
        <w:t>),</w:t>
      </w:r>
      <w:r w:rsidR="001B0E6B" w:rsidRPr="001B0E6B">
        <w:rPr>
          <w:i/>
          <w:iCs/>
        </w:rPr>
        <w:t xml:space="preserve"> </w:t>
      </w:r>
      <w:r w:rsidR="008F58F7" w:rsidRPr="008F58F7">
        <w:t>p. 152</w:t>
      </w:r>
      <w:r w:rsidR="008F58F7">
        <w:rPr>
          <w:i/>
          <w:iCs/>
        </w:rPr>
        <w:t>.</w:t>
      </w:r>
    </w:p>
  </w:footnote>
  <w:footnote w:id="3">
    <w:p w14:paraId="1EF04B1F" w14:textId="44201882" w:rsidR="00D61CCE" w:rsidRDefault="00D61CCE">
      <w:pPr>
        <w:pStyle w:val="FootnoteText"/>
      </w:pPr>
      <w:r>
        <w:rPr>
          <w:rStyle w:val="FootnoteReference"/>
        </w:rPr>
        <w:footnoteRef/>
      </w:r>
      <w:r>
        <w:t xml:space="preserve"> </w:t>
      </w:r>
      <w:bookmarkStart w:id="1" w:name="_Hlk33953407"/>
      <w:r w:rsidRPr="00D61CCE">
        <w:t>Williams, </w:t>
      </w:r>
      <w:r w:rsidRPr="00D61CCE">
        <w:rPr>
          <w:i/>
          <w:iCs/>
        </w:rPr>
        <w:t>The Welsh Cistercians</w:t>
      </w:r>
      <w:bookmarkEnd w:id="1"/>
      <w:r>
        <w:rPr>
          <w:i/>
          <w:iCs/>
        </w:rPr>
        <w:t>,</w:t>
      </w:r>
      <w:r w:rsidRPr="00D61CCE">
        <w:t> </w:t>
      </w:r>
      <w:r>
        <w:t>pp. 141, 142.</w:t>
      </w:r>
    </w:p>
  </w:footnote>
  <w:footnote w:id="4">
    <w:p w14:paraId="4DBBF793" w14:textId="28228111" w:rsidR="00A118FA" w:rsidRPr="00A118FA" w:rsidRDefault="00A118FA">
      <w:pPr>
        <w:pStyle w:val="FootnoteText"/>
      </w:pPr>
      <w:r>
        <w:rPr>
          <w:rStyle w:val="FootnoteReference"/>
        </w:rPr>
        <w:footnoteRef/>
      </w:r>
      <w:r>
        <w:t xml:space="preserve"> </w:t>
      </w:r>
      <w:bookmarkStart w:id="2" w:name="_Hlk33986868"/>
      <w:r w:rsidRPr="00A118FA">
        <w:t>Williams, </w:t>
      </w:r>
      <w:r w:rsidRPr="00A118FA">
        <w:rPr>
          <w:i/>
          <w:iCs/>
        </w:rPr>
        <w:t>The Welsh Cistercians</w:t>
      </w:r>
      <w:r>
        <w:rPr>
          <w:i/>
          <w:iCs/>
        </w:rPr>
        <w:t xml:space="preserve">, </w:t>
      </w:r>
      <w:r>
        <w:t>p</w:t>
      </w:r>
      <w:bookmarkEnd w:id="2"/>
      <w:r>
        <w:t>p. 143, 144.</w:t>
      </w:r>
    </w:p>
  </w:footnote>
  <w:footnote w:id="5">
    <w:p w14:paraId="59A9A3E9" w14:textId="3424E1BF" w:rsidR="007961F9" w:rsidRDefault="007961F9">
      <w:pPr>
        <w:pStyle w:val="FootnoteText"/>
      </w:pPr>
      <w:r>
        <w:rPr>
          <w:rStyle w:val="FootnoteReference"/>
        </w:rPr>
        <w:footnoteRef/>
      </w:r>
      <w:r>
        <w:t xml:space="preserve"> </w:t>
      </w:r>
      <w:r w:rsidRPr="007961F9">
        <w:t>Williams, </w:t>
      </w:r>
      <w:r w:rsidRPr="007961F9">
        <w:rPr>
          <w:i/>
          <w:iCs/>
        </w:rPr>
        <w:t xml:space="preserve">The Welsh Cistercians, </w:t>
      </w:r>
      <w:r w:rsidRPr="007961F9">
        <w:t>p</w:t>
      </w:r>
      <w:r>
        <w:t>. 111.</w:t>
      </w:r>
    </w:p>
  </w:footnote>
  <w:footnote w:id="6">
    <w:p w14:paraId="13463205" w14:textId="1CBF0EC2" w:rsidR="005C7A18" w:rsidRDefault="005C7A18">
      <w:pPr>
        <w:pStyle w:val="FootnoteText"/>
      </w:pPr>
      <w:r>
        <w:rPr>
          <w:rStyle w:val="FootnoteReference"/>
        </w:rPr>
        <w:footnoteRef/>
      </w:r>
      <w:r>
        <w:t xml:space="preserve"> </w:t>
      </w:r>
      <w:bookmarkStart w:id="3" w:name="_Hlk33988244"/>
      <w:r w:rsidR="008165ED">
        <w:t xml:space="preserve">A </w:t>
      </w:r>
      <w:r w:rsidR="002040E9">
        <w:t xml:space="preserve">Floor Plan of Lewes Priory, </w:t>
      </w:r>
      <w:hyperlink r:id="rId1" w:history="1">
        <w:r w:rsidR="002040E9" w:rsidRPr="00151DCC">
          <w:rPr>
            <w:rStyle w:val="Hyperlink"/>
          </w:rPr>
          <w:t>https://www.lewespriory.org.uk/excavations</w:t>
        </w:r>
      </w:hyperlink>
      <w:r>
        <w:t xml:space="preserve"> [Accessed 29-02-20]. </w:t>
      </w:r>
      <w:bookmarkEnd w:id="3"/>
    </w:p>
  </w:footnote>
  <w:footnote w:id="7">
    <w:p w14:paraId="1CEF3C88" w14:textId="06C47D26" w:rsidR="00286A37" w:rsidRDefault="00286A37" w:rsidP="00286A37">
      <w:pPr>
        <w:pStyle w:val="FootnoteText"/>
      </w:pPr>
      <w:r>
        <w:rPr>
          <w:rStyle w:val="FootnoteReference"/>
        </w:rPr>
        <w:footnoteRef/>
      </w:r>
      <w:r>
        <w:t xml:space="preserve"> </w:t>
      </w:r>
      <w:r w:rsidR="00C11A21">
        <w:t xml:space="preserve">Francois </w:t>
      </w:r>
      <w:r w:rsidRPr="005A36F5">
        <w:t xml:space="preserve">Bucher, 'Cistercian Architectural Purism', </w:t>
      </w:r>
      <w:r w:rsidRPr="005A36F5">
        <w:rPr>
          <w:i/>
          <w:iCs/>
        </w:rPr>
        <w:t xml:space="preserve">Comparative Studies in Society and History, </w:t>
      </w:r>
      <w:r w:rsidRPr="005A36F5">
        <w:t>3 (1960), 89-105</w:t>
      </w:r>
      <w:r>
        <w:t>, p</w:t>
      </w:r>
      <w:r w:rsidR="002E3B52">
        <w:t>p.</w:t>
      </w:r>
      <w:r>
        <w:t xml:space="preserve"> 89</w:t>
      </w:r>
      <w:r w:rsidR="002E3B52">
        <w:t>, 91.</w:t>
      </w:r>
    </w:p>
  </w:footnote>
  <w:footnote w:id="8">
    <w:p w14:paraId="6AE41198" w14:textId="50470D00" w:rsidR="0084073F" w:rsidRDefault="0084073F">
      <w:pPr>
        <w:pStyle w:val="FootnoteText"/>
      </w:pPr>
      <w:r>
        <w:rPr>
          <w:rStyle w:val="FootnoteReference"/>
        </w:rPr>
        <w:footnoteRef/>
      </w:r>
      <w:r>
        <w:t xml:space="preserve"> </w:t>
      </w:r>
      <w:bookmarkStart w:id="4" w:name="_Hlk33915363"/>
      <w:bookmarkStart w:id="5" w:name="_Hlk33952793"/>
      <w:r w:rsidRPr="00BD45F0">
        <w:t>Williams, </w:t>
      </w:r>
      <w:r w:rsidRPr="00BD45F0">
        <w:rPr>
          <w:i/>
          <w:iCs/>
        </w:rPr>
        <w:t>The Welsh Cistercians</w:t>
      </w:r>
      <w:bookmarkStart w:id="6" w:name="_Hlk33987641"/>
      <w:bookmarkEnd w:id="4"/>
      <w:bookmarkEnd w:id="5"/>
      <w:r>
        <w:t xml:space="preserve">, </w:t>
      </w:r>
      <w:bookmarkEnd w:id="6"/>
      <w:r>
        <w:t>p</w:t>
      </w:r>
      <w:r w:rsidR="00665318">
        <w:t xml:space="preserve">p. </w:t>
      </w:r>
      <w:r>
        <w:t>111</w:t>
      </w:r>
      <w:r w:rsidR="00665318">
        <w:t>, 116.</w:t>
      </w:r>
    </w:p>
  </w:footnote>
  <w:footnote w:id="9">
    <w:p w14:paraId="4FE2327D" w14:textId="300AB2D7" w:rsidR="00030E7F" w:rsidRDefault="00030E7F">
      <w:pPr>
        <w:pStyle w:val="FootnoteText"/>
      </w:pPr>
      <w:r>
        <w:rPr>
          <w:rStyle w:val="FootnoteReference"/>
        </w:rPr>
        <w:footnoteRef/>
      </w:r>
      <w:r>
        <w:t xml:space="preserve"> </w:t>
      </w:r>
      <w:r w:rsidR="001B34BE" w:rsidRPr="001B34BE">
        <w:t>Williams, </w:t>
      </w:r>
      <w:r w:rsidR="001B34BE" w:rsidRPr="001B34BE">
        <w:rPr>
          <w:i/>
          <w:iCs/>
        </w:rPr>
        <w:t>The Welsh Cistercians</w:t>
      </w:r>
      <w:r w:rsidR="001B34BE">
        <w:rPr>
          <w:i/>
          <w:iCs/>
        </w:rPr>
        <w:t xml:space="preserve">, </w:t>
      </w:r>
      <w:r w:rsidR="001B34BE">
        <w:t>pp. 106, 114.</w:t>
      </w:r>
      <w:r w:rsidR="001B34BE" w:rsidRPr="001B34BE">
        <w:t> </w:t>
      </w:r>
    </w:p>
  </w:footnote>
  <w:footnote w:id="10">
    <w:p w14:paraId="70B64068" w14:textId="79A7CEAE" w:rsidR="00B31A5A" w:rsidRDefault="00B31A5A">
      <w:pPr>
        <w:pStyle w:val="FootnoteText"/>
      </w:pPr>
      <w:r>
        <w:rPr>
          <w:rStyle w:val="FootnoteReference"/>
        </w:rPr>
        <w:footnoteRef/>
      </w:r>
      <w:r>
        <w:t xml:space="preserve"> </w:t>
      </w:r>
      <w:r w:rsidR="00C11A21">
        <w:t>Maxi</w:t>
      </w:r>
      <w:r w:rsidR="00F94D6E">
        <w:t xml:space="preserve">millian </w:t>
      </w:r>
      <w:r w:rsidR="00654373" w:rsidRPr="00654373">
        <w:t>Sternberg</w:t>
      </w:r>
      <w:r w:rsidR="00654373" w:rsidRPr="00F94D6E">
        <w:rPr>
          <w:i/>
          <w:iCs/>
        </w:rPr>
        <w:t>, Cistercian Architecture and Medieval Society</w:t>
      </w:r>
      <w:r w:rsidR="00654373" w:rsidRPr="00654373">
        <w:t xml:space="preserve"> (Boston: Leiden, 2013)</w:t>
      </w:r>
      <w:r w:rsidR="00654373">
        <w:t>, p</w:t>
      </w:r>
      <w:r w:rsidR="00025015">
        <w:t>p</w:t>
      </w:r>
      <w:r w:rsidR="00654373">
        <w:t>.</w:t>
      </w:r>
      <w:r w:rsidR="00025015">
        <w:t xml:space="preserve"> 1,</w:t>
      </w:r>
      <w:r w:rsidR="00654373">
        <w:t xml:space="preserve"> 15.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B808CC"/>
    <w:multiLevelType w:val="hybridMultilevel"/>
    <w:tmpl w:val="6A441F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AFD664D"/>
    <w:multiLevelType w:val="hybridMultilevel"/>
    <w:tmpl w:val="687E01D8"/>
    <w:lvl w:ilvl="0" w:tplc="E3DC165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103"/>
    <w:rsid w:val="00010A63"/>
    <w:rsid w:val="00025015"/>
    <w:rsid w:val="00025652"/>
    <w:rsid w:val="00030E7F"/>
    <w:rsid w:val="00056D07"/>
    <w:rsid w:val="00057082"/>
    <w:rsid w:val="00081AD0"/>
    <w:rsid w:val="000D5FB1"/>
    <w:rsid w:val="000E1B72"/>
    <w:rsid w:val="001138AF"/>
    <w:rsid w:val="00122103"/>
    <w:rsid w:val="001922BA"/>
    <w:rsid w:val="0019398B"/>
    <w:rsid w:val="001B0E6B"/>
    <w:rsid w:val="001B34BE"/>
    <w:rsid w:val="001C0FF4"/>
    <w:rsid w:val="002040E9"/>
    <w:rsid w:val="00242549"/>
    <w:rsid w:val="00244CFC"/>
    <w:rsid w:val="002602E1"/>
    <w:rsid w:val="00274296"/>
    <w:rsid w:val="00283B85"/>
    <w:rsid w:val="00283BAF"/>
    <w:rsid w:val="00286A37"/>
    <w:rsid w:val="002B3A42"/>
    <w:rsid w:val="002E3B52"/>
    <w:rsid w:val="002F1CB2"/>
    <w:rsid w:val="00304008"/>
    <w:rsid w:val="00305BEC"/>
    <w:rsid w:val="00315A65"/>
    <w:rsid w:val="003365C8"/>
    <w:rsid w:val="0037044C"/>
    <w:rsid w:val="003D3386"/>
    <w:rsid w:val="003F2DA9"/>
    <w:rsid w:val="00405F0F"/>
    <w:rsid w:val="004511FF"/>
    <w:rsid w:val="00455E06"/>
    <w:rsid w:val="0046070B"/>
    <w:rsid w:val="0046784E"/>
    <w:rsid w:val="00471AD5"/>
    <w:rsid w:val="004B6EB8"/>
    <w:rsid w:val="004D3D9C"/>
    <w:rsid w:val="004F1439"/>
    <w:rsid w:val="004F2A5B"/>
    <w:rsid w:val="00514E52"/>
    <w:rsid w:val="00537F47"/>
    <w:rsid w:val="00556CA8"/>
    <w:rsid w:val="005619EA"/>
    <w:rsid w:val="0056652E"/>
    <w:rsid w:val="0059512E"/>
    <w:rsid w:val="005A36F5"/>
    <w:rsid w:val="005B0FF7"/>
    <w:rsid w:val="005B33AC"/>
    <w:rsid w:val="005C7A18"/>
    <w:rsid w:val="005D0A20"/>
    <w:rsid w:val="005E719F"/>
    <w:rsid w:val="0061579E"/>
    <w:rsid w:val="0063393A"/>
    <w:rsid w:val="006350B4"/>
    <w:rsid w:val="00654373"/>
    <w:rsid w:val="00665318"/>
    <w:rsid w:val="006E0900"/>
    <w:rsid w:val="00715D47"/>
    <w:rsid w:val="00725A62"/>
    <w:rsid w:val="00777C09"/>
    <w:rsid w:val="007961F9"/>
    <w:rsid w:val="007A0D46"/>
    <w:rsid w:val="007A438D"/>
    <w:rsid w:val="007C3CC4"/>
    <w:rsid w:val="007C690D"/>
    <w:rsid w:val="00800B51"/>
    <w:rsid w:val="0081181F"/>
    <w:rsid w:val="008160BB"/>
    <w:rsid w:val="008165ED"/>
    <w:rsid w:val="0084073F"/>
    <w:rsid w:val="00876F29"/>
    <w:rsid w:val="008C4943"/>
    <w:rsid w:val="008D3067"/>
    <w:rsid w:val="008F3441"/>
    <w:rsid w:val="008F58F7"/>
    <w:rsid w:val="009072C1"/>
    <w:rsid w:val="009219D8"/>
    <w:rsid w:val="00955B86"/>
    <w:rsid w:val="00977778"/>
    <w:rsid w:val="00A118FA"/>
    <w:rsid w:val="00A17681"/>
    <w:rsid w:val="00A63434"/>
    <w:rsid w:val="00A73368"/>
    <w:rsid w:val="00AB1B71"/>
    <w:rsid w:val="00AD4361"/>
    <w:rsid w:val="00AE238F"/>
    <w:rsid w:val="00AE6FCA"/>
    <w:rsid w:val="00B000BE"/>
    <w:rsid w:val="00B11658"/>
    <w:rsid w:val="00B22E12"/>
    <w:rsid w:val="00B31A5A"/>
    <w:rsid w:val="00B43480"/>
    <w:rsid w:val="00BE5D3C"/>
    <w:rsid w:val="00C11A21"/>
    <w:rsid w:val="00C328F7"/>
    <w:rsid w:val="00C674EB"/>
    <w:rsid w:val="00C95527"/>
    <w:rsid w:val="00C9592D"/>
    <w:rsid w:val="00CE0133"/>
    <w:rsid w:val="00CF05E0"/>
    <w:rsid w:val="00D014ED"/>
    <w:rsid w:val="00D05316"/>
    <w:rsid w:val="00D1281B"/>
    <w:rsid w:val="00D275C4"/>
    <w:rsid w:val="00D3338C"/>
    <w:rsid w:val="00D4057D"/>
    <w:rsid w:val="00D61CCE"/>
    <w:rsid w:val="00D840FD"/>
    <w:rsid w:val="00D91BD3"/>
    <w:rsid w:val="00D9689F"/>
    <w:rsid w:val="00DA5B55"/>
    <w:rsid w:val="00DB42A0"/>
    <w:rsid w:val="00DD215E"/>
    <w:rsid w:val="00DE0D5F"/>
    <w:rsid w:val="00DE2ACF"/>
    <w:rsid w:val="00DE68B8"/>
    <w:rsid w:val="00DF1CD4"/>
    <w:rsid w:val="00E00ADB"/>
    <w:rsid w:val="00E30FD7"/>
    <w:rsid w:val="00E51036"/>
    <w:rsid w:val="00ED3219"/>
    <w:rsid w:val="00EE150B"/>
    <w:rsid w:val="00EF099D"/>
    <w:rsid w:val="00F1637A"/>
    <w:rsid w:val="00F20C07"/>
    <w:rsid w:val="00F33A44"/>
    <w:rsid w:val="00F53838"/>
    <w:rsid w:val="00F94D6E"/>
    <w:rsid w:val="00F979EF"/>
    <w:rsid w:val="00FC44A0"/>
    <w:rsid w:val="00FE4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9CB74"/>
  <w15:chartTrackingRefBased/>
  <w15:docId w15:val="{9E922AF1-7C1A-48EE-A729-43DBAB5FD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2A0"/>
    <w:pPr>
      <w:ind w:left="720"/>
      <w:contextualSpacing/>
    </w:pPr>
  </w:style>
  <w:style w:type="paragraph" w:styleId="FootnoteText">
    <w:name w:val="footnote text"/>
    <w:basedOn w:val="Normal"/>
    <w:link w:val="FootnoteTextChar"/>
    <w:uiPriority w:val="99"/>
    <w:semiHidden/>
    <w:unhideWhenUsed/>
    <w:rsid w:val="008407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4073F"/>
    <w:rPr>
      <w:sz w:val="20"/>
      <w:szCs w:val="20"/>
    </w:rPr>
  </w:style>
  <w:style w:type="character" w:styleId="FootnoteReference">
    <w:name w:val="footnote reference"/>
    <w:basedOn w:val="DefaultParagraphFont"/>
    <w:uiPriority w:val="99"/>
    <w:semiHidden/>
    <w:unhideWhenUsed/>
    <w:rsid w:val="0084073F"/>
    <w:rPr>
      <w:vertAlign w:val="superscript"/>
    </w:rPr>
  </w:style>
  <w:style w:type="character" w:styleId="Hyperlink">
    <w:name w:val="Hyperlink"/>
    <w:basedOn w:val="DefaultParagraphFont"/>
    <w:uiPriority w:val="99"/>
    <w:unhideWhenUsed/>
    <w:rsid w:val="005C7A18"/>
    <w:rPr>
      <w:color w:val="0563C1" w:themeColor="hyperlink"/>
      <w:u w:val="single"/>
    </w:rPr>
  </w:style>
  <w:style w:type="character" w:styleId="UnresolvedMention">
    <w:name w:val="Unresolved Mention"/>
    <w:basedOn w:val="DefaultParagraphFont"/>
    <w:uiPriority w:val="99"/>
    <w:semiHidden/>
    <w:unhideWhenUsed/>
    <w:rsid w:val="005C7A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918868">
      <w:bodyDiv w:val="1"/>
      <w:marLeft w:val="0"/>
      <w:marRight w:val="0"/>
      <w:marTop w:val="0"/>
      <w:marBottom w:val="0"/>
      <w:divBdr>
        <w:top w:val="none" w:sz="0" w:space="0" w:color="auto"/>
        <w:left w:val="none" w:sz="0" w:space="0" w:color="auto"/>
        <w:bottom w:val="none" w:sz="0" w:space="0" w:color="auto"/>
        <w:right w:val="none" w:sz="0" w:space="0" w:color="auto"/>
      </w:divBdr>
    </w:div>
    <w:div w:id="1031027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ewespriory.org.uk/excavations" TargetMode="External"/><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1" Type="http://schemas.openxmlformats.org/officeDocument/2006/relationships/hyperlink" Target="https://www.lewespriory.org.uk/excav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437CA-8996-4EDF-AD1E-59B8C39EA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951</Words>
  <Characters>5423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Matthew Jevon</cp:lastModifiedBy>
  <cp:revision>2</cp:revision>
  <dcterms:created xsi:type="dcterms:W3CDTF">2020-03-01T21:18:00Z</dcterms:created>
  <dcterms:modified xsi:type="dcterms:W3CDTF">2020-03-01T21:18:00Z</dcterms:modified>
</cp:coreProperties>
</file>