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E51A4C" w14:textId="77777777" w:rsidR="0070003B" w:rsidRPr="00F02C9D" w:rsidRDefault="00000000">
      <w:pPr>
        <w:spacing w:after="480"/>
        <w:jc w:val="center"/>
        <w:rPr>
          <w:rFonts w:ascii="Arial" w:hAnsi="Arial" w:cs="Arial"/>
          <w:bCs/>
          <w:color w:val="000000" w:themeColor="text1"/>
          <w:sz w:val="22"/>
        </w:rPr>
      </w:pPr>
      <w:r w:rsidRPr="00F02C9D">
        <w:rPr>
          <w:rFonts w:ascii="Arial" w:hAnsi="Arial" w:cs="Arial"/>
          <w:bCs/>
          <w:color w:val="000000" w:themeColor="text1"/>
          <w:sz w:val="22"/>
        </w:rPr>
        <w:t>University of Wales Trinity Saint David</w:t>
      </w:r>
    </w:p>
    <w:p w14:paraId="772EB42A" w14:textId="77777777" w:rsidR="0070003B" w:rsidRPr="00F02C9D" w:rsidRDefault="00000000">
      <w:pPr>
        <w:jc w:val="center"/>
        <w:rPr>
          <w:rFonts w:ascii="Arial" w:hAnsi="Arial" w:cs="Arial"/>
          <w:bCs/>
          <w:color w:val="000000" w:themeColor="text1"/>
          <w:sz w:val="22"/>
        </w:rPr>
      </w:pPr>
      <w:r w:rsidRPr="00F02C9D">
        <w:rPr>
          <w:rFonts w:ascii="Arial" w:hAnsi="Arial" w:cs="Arial"/>
          <w:bCs/>
          <w:color w:val="000000" w:themeColor="text1"/>
          <w:sz w:val="22"/>
        </w:rPr>
        <w:t>BA (Hons) Leadership and Management Skills in the Workplace</w:t>
      </w:r>
    </w:p>
    <w:p w14:paraId="55C2B84D" w14:textId="77777777" w:rsidR="0070003B" w:rsidRPr="00F02C9D" w:rsidRDefault="0070003B">
      <w:pPr>
        <w:rPr>
          <w:rFonts w:ascii="Arial" w:hAnsi="Arial" w:cs="Arial"/>
          <w:bCs/>
          <w:color w:val="000000" w:themeColor="text1"/>
          <w:sz w:val="22"/>
        </w:rPr>
      </w:pPr>
    </w:p>
    <w:p w14:paraId="2A25445B" w14:textId="77777777" w:rsidR="0070003B" w:rsidRPr="00F02C9D" w:rsidRDefault="00000000">
      <w:pPr>
        <w:jc w:val="center"/>
        <w:rPr>
          <w:rFonts w:ascii="Arial" w:hAnsi="Arial" w:cs="Arial"/>
          <w:bCs/>
          <w:color w:val="000000" w:themeColor="text1"/>
          <w:sz w:val="22"/>
        </w:rPr>
      </w:pPr>
      <w:r w:rsidRPr="00F02C9D">
        <w:rPr>
          <w:rFonts w:ascii="Arial" w:hAnsi="Arial" w:cs="Arial"/>
          <w:bCs/>
          <w:color w:val="000000" w:themeColor="text1"/>
          <w:sz w:val="22"/>
        </w:rPr>
        <w:t>LCLM5003 – Project Management</w:t>
      </w:r>
    </w:p>
    <w:p w14:paraId="72BC1D7D" w14:textId="77777777" w:rsidR="0070003B" w:rsidRPr="00F02C9D" w:rsidRDefault="0070003B">
      <w:pPr>
        <w:rPr>
          <w:rFonts w:ascii="Arial" w:hAnsi="Arial" w:cs="Arial"/>
          <w:bCs/>
          <w:color w:val="000000" w:themeColor="text1"/>
          <w:sz w:val="22"/>
        </w:rPr>
      </w:pPr>
    </w:p>
    <w:p w14:paraId="35C43AB9" w14:textId="77777777" w:rsidR="0070003B" w:rsidRPr="00F02C9D" w:rsidRDefault="00000000">
      <w:pPr>
        <w:jc w:val="center"/>
        <w:rPr>
          <w:rFonts w:ascii="Arial" w:hAnsi="Arial" w:cs="Arial"/>
          <w:bCs/>
          <w:color w:val="000000" w:themeColor="text1"/>
          <w:sz w:val="22"/>
        </w:rPr>
      </w:pPr>
      <w:r w:rsidRPr="00F02C9D">
        <w:rPr>
          <w:rFonts w:ascii="Arial" w:hAnsi="Arial" w:cs="Arial"/>
          <w:bCs/>
          <w:color w:val="000000" w:themeColor="text1"/>
          <w:sz w:val="22"/>
        </w:rPr>
        <w:t>PROJECT PORTFOLIO</w:t>
      </w:r>
    </w:p>
    <w:p w14:paraId="440D9DDA" w14:textId="77777777" w:rsidR="0070003B" w:rsidRPr="00F02C9D" w:rsidRDefault="00000000">
      <w:pPr>
        <w:jc w:val="center"/>
        <w:rPr>
          <w:rFonts w:ascii="Arial" w:hAnsi="Arial" w:cs="Arial"/>
          <w:bCs/>
          <w:color w:val="000000" w:themeColor="text1"/>
          <w:sz w:val="22"/>
        </w:rPr>
      </w:pPr>
      <w:r w:rsidRPr="00F02C9D">
        <w:rPr>
          <w:rFonts w:ascii="Arial" w:hAnsi="Arial" w:cs="Arial"/>
          <w:bCs/>
          <w:color w:val="000000" w:themeColor="text1"/>
          <w:sz w:val="22"/>
        </w:rPr>
        <w:t>Metropolitan Central Transport Hub Renewal Project</w:t>
      </w:r>
    </w:p>
    <w:p w14:paraId="596D9B72"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Part A: Project Proposal Poster | Part B: Critical Self-Reflection | Part C: Project Management Plan</w:t>
      </w:r>
    </w:p>
    <w:p w14:paraId="5CF149CA" w14:textId="77777777" w:rsidR="0070003B" w:rsidRPr="00F02C9D" w:rsidRDefault="0070003B">
      <w:pPr>
        <w:rPr>
          <w:rFonts w:ascii="Arial" w:hAnsi="Arial" w:cs="Arial"/>
          <w:bCs/>
          <w:color w:val="000000" w:themeColor="text1"/>
          <w:sz w:val="22"/>
        </w:rPr>
      </w:pPr>
    </w:p>
    <w:p w14:paraId="11607795"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br w:type="page"/>
      </w:r>
    </w:p>
    <w:p w14:paraId="3CD84B26"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lastRenderedPageBreak/>
        <w:t>Contents</w:t>
      </w:r>
    </w:p>
    <w:p w14:paraId="50C7B73D"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Part A – Project Proposal Poster</w:t>
      </w:r>
      <w:r w:rsidRPr="00F02C9D">
        <w:rPr>
          <w:rFonts w:ascii="Arial" w:hAnsi="Arial" w:cs="Arial"/>
          <w:bCs/>
          <w:color w:val="000000" w:themeColor="text1"/>
          <w:sz w:val="22"/>
        </w:rPr>
        <w:tab/>
        <w:t>3</w:t>
      </w:r>
    </w:p>
    <w:p w14:paraId="18CD6F1D"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Part B – Critical Self-Reflection</w:t>
      </w:r>
      <w:r w:rsidRPr="00F02C9D">
        <w:rPr>
          <w:rFonts w:ascii="Arial" w:hAnsi="Arial" w:cs="Arial"/>
          <w:bCs/>
          <w:color w:val="000000" w:themeColor="text1"/>
          <w:sz w:val="22"/>
        </w:rPr>
        <w:tab/>
        <w:t>4</w:t>
      </w:r>
    </w:p>
    <w:p w14:paraId="1C2C57BF"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Part C – Project Management Plan</w:t>
      </w:r>
      <w:r w:rsidRPr="00F02C9D">
        <w:rPr>
          <w:rFonts w:ascii="Arial" w:hAnsi="Arial" w:cs="Arial"/>
          <w:bCs/>
          <w:color w:val="000000" w:themeColor="text1"/>
          <w:sz w:val="22"/>
        </w:rPr>
        <w:tab/>
        <w:t>6</w:t>
      </w:r>
    </w:p>
    <w:p w14:paraId="6C2EF44E"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Executive Summary</w:t>
      </w:r>
      <w:r w:rsidRPr="00F02C9D">
        <w:rPr>
          <w:rFonts w:ascii="Arial" w:hAnsi="Arial" w:cs="Arial"/>
          <w:bCs/>
          <w:color w:val="000000" w:themeColor="text1"/>
          <w:sz w:val="22"/>
        </w:rPr>
        <w:tab/>
        <w:t>7</w:t>
      </w:r>
    </w:p>
    <w:p w14:paraId="605F3DD5"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1. Introduction</w:t>
      </w:r>
      <w:r w:rsidRPr="00F02C9D">
        <w:rPr>
          <w:rFonts w:ascii="Arial" w:hAnsi="Arial" w:cs="Arial"/>
          <w:bCs/>
          <w:color w:val="000000" w:themeColor="text1"/>
          <w:sz w:val="22"/>
        </w:rPr>
        <w:tab/>
        <w:t>7</w:t>
      </w:r>
    </w:p>
    <w:p w14:paraId="40D40AFE"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2. Project Description</w:t>
      </w:r>
      <w:r w:rsidRPr="00F02C9D">
        <w:rPr>
          <w:rFonts w:ascii="Arial" w:hAnsi="Arial" w:cs="Arial"/>
          <w:bCs/>
          <w:color w:val="000000" w:themeColor="text1"/>
          <w:sz w:val="22"/>
        </w:rPr>
        <w:tab/>
        <w:t>8</w:t>
      </w:r>
    </w:p>
    <w:p w14:paraId="21B67A5B"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3. Scope</w:t>
      </w:r>
      <w:r w:rsidRPr="00F02C9D">
        <w:rPr>
          <w:rFonts w:ascii="Arial" w:hAnsi="Arial" w:cs="Arial"/>
          <w:bCs/>
          <w:color w:val="000000" w:themeColor="text1"/>
          <w:sz w:val="22"/>
        </w:rPr>
        <w:tab/>
        <w:t>9</w:t>
      </w:r>
    </w:p>
    <w:p w14:paraId="7080C4DB"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4. Work Breakdown Structure</w:t>
      </w:r>
      <w:r w:rsidRPr="00F02C9D">
        <w:rPr>
          <w:rFonts w:ascii="Arial" w:hAnsi="Arial" w:cs="Arial"/>
          <w:bCs/>
          <w:color w:val="000000" w:themeColor="text1"/>
          <w:sz w:val="22"/>
        </w:rPr>
        <w:tab/>
        <w:t>10</w:t>
      </w:r>
    </w:p>
    <w:p w14:paraId="170CF08F"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5. Quad Chart</w:t>
      </w:r>
      <w:r w:rsidRPr="00F02C9D">
        <w:rPr>
          <w:rFonts w:ascii="Arial" w:hAnsi="Arial" w:cs="Arial"/>
          <w:bCs/>
          <w:color w:val="000000" w:themeColor="text1"/>
          <w:sz w:val="22"/>
        </w:rPr>
        <w:tab/>
        <w:t>11</w:t>
      </w:r>
    </w:p>
    <w:p w14:paraId="6675601C"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6. Gantt Chart</w:t>
      </w:r>
      <w:r w:rsidRPr="00F02C9D">
        <w:rPr>
          <w:rFonts w:ascii="Arial" w:hAnsi="Arial" w:cs="Arial"/>
          <w:bCs/>
          <w:color w:val="000000" w:themeColor="text1"/>
          <w:sz w:val="22"/>
        </w:rPr>
        <w:tab/>
        <w:t>11</w:t>
      </w:r>
    </w:p>
    <w:p w14:paraId="3FF4FAEC"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7. Stakeholder Involvement</w:t>
      </w:r>
      <w:r w:rsidRPr="00F02C9D">
        <w:rPr>
          <w:rFonts w:ascii="Arial" w:hAnsi="Arial" w:cs="Arial"/>
          <w:bCs/>
          <w:color w:val="000000" w:themeColor="text1"/>
          <w:sz w:val="22"/>
        </w:rPr>
        <w:tab/>
        <w:t>12</w:t>
      </w:r>
    </w:p>
    <w:p w14:paraId="344B0707"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8. Allocation of Resources</w:t>
      </w:r>
      <w:r w:rsidRPr="00F02C9D">
        <w:rPr>
          <w:rFonts w:ascii="Arial" w:hAnsi="Arial" w:cs="Arial"/>
          <w:bCs/>
          <w:color w:val="000000" w:themeColor="text1"/>
          <w:sz w:val="22"/>
        </w:rPr>
        <w:tab/>
        <w:t>14</w:t>
      </w:r>
    </w:p>
    <w:p w14:paraId="3D596279"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9. Risk Analysis</w:t>
      </w:r>
      <w:r w:rsidRPr="00F02C9D">
        <w:rPr>
          <w:rFonts w:ascii="Arial" w:hAnsi="Arial" w:cs="Arial"/>
          <w:bCs/>
          <w:color w:val="000000" w:themeColor="text1"/>
          <w:sz w:val="22"/>
        </w:rPr>
        <w:tab/>
        <w:t>15</w:t>
      </w:r>
    </w:p>
    <w:p w14:paraId="29238803"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10. Conclusion</w:t>
      </w:r>
      <w:r w:rsidRPr="00F02C9D">
        <w:rPr>
          <w:rFonts w:ascii="Arial" w:hAnsi="Arial" w:cs="Arial"/>
          <w:bCs/>
          <w:color w:val="000000" w:themeColor="text1"/>
          <w:sz w:val="22"/>
        </w:rPr>
        <w:tab/>
        <w:t>18</w:t>
      </w:r>
    </w:p>
    <w:p w14:paraId="53259C94"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br w:type="page"/>
      </w:r>
    </w:p>
    <w:p w14:paraId="64F4AA29" w14:textId="77777777" w:rsidR="0070003B" w:rsidRPr="00F02C9D" w:rsidRDefault="0070003B">
      <w:pPr>
        <w:rPr>
          <w:rFonts w:ascii="Arial" w:hAnsi="Arial" w:cs="Arial"/>
          <w:bCs/>
          <w:color w:val="000000" w:themeColor="text1"/>
          <w:sz w:val="22"/>
        </w:rPr>
        <w:sectPr w:rsidR="0070003B" w:rsidRPr="00F02C9D">
          <w:footerReference w:type="default" r:id="rId8"/>
          <w:pgSz w:w="11906" w:h="16838"/>
          <w:pgMar w:top="1020" w:right="1247" w:bottom="907" w:left="1247" w:header="720" w:footer="720" w:gutter="0"/>
          <w:cols w:space="720"/>
          <w:docGrid w:linePitch="360"/>
        </w:sectPr>
      </w:pPr>
    </w:p>
    <w:tbl>
      <w:tblPr>
        <w:tblW w:w="0" w:type="auto"/>
        <w:jc w:val="center"/>
        <w:tblLayout w:type="fixed"/>
        <w:tblLook w:val="04A0" w:firstRow="1" w:lastRow="0" w:firstColumn="1" w:lastColumn="0" w:noHBand="0" w:noVBand="1"/>
      </w:tblPr>
      <w:tblGrid>
        <w:gridCol w:w="7597"/>
        <w:gridCol w:w="7597"/>
        <w:gridCol w:w="7597"/>
      </w:tblGrid>
      <w:tr w:rsidR="0070003B" w:rsidRPr="00F02C9D" w14:paraId="28775C15" w14:textId="77777777">
        <w:trPr>
          <w:cantSplit/>
          <w:trHeight w:hRule="exact" w:val="1304"/>
          <w:jc w:val="center"/>
        </w:trPr>
        <w:tc>
          <w:tcPr>
            <w:tcW w:w="22791" w:type="dxa"/>
            <w:gridSpan w:val="3"/>
            <w:shd w:val="clear" w:color="auto" w:fill="17365D"/>
            <w:tcMar>
              <w:top w:w="100" w:type="dxa"/>
              <w:left w:w="100" w:type="dxa"/>
              <w:bottom w:w="100" w:type="dxa"/>
              <w:right w:w="100" w:type="dxa"/>
            </w:tcMar>
            <w:vAlign w:val="center"/>
          </w:tcPr>
          <w:p w14:paraId="1930E347"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lastRenderedPageBreak/>
              <w:t>METROPOLITAN CENTRAL TRANSPORT HUB RENEWAL</w:t>
            </w:r>
          </w:p>
          <w:p w14:paraId="038BE25A"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i/>
                <w:color w:val="000000" w:themeColor="text1"/>
                <w:sz w:val="22"/>
              </w:rPr>
              <w:t>A safe, inclusive, low-carbon and digitally connected multimodal gateway</w:t>
            </w:r>
          </w:p>
        </w:tc>
      </w:tr>
      <w:tr w:rsidR="0070003B" w:rsidRPr="00F02C9D" w14:paraId="53D1214A" w14:textId="77777777">
        <w:trPr>
          <w:cantSplit/>
          <w:trHeight w:hRule="exact" w:val="454"/>
          <w:jc w:val="center"/>
        </w:trPr>
        <w:tc>
          <w:tcPr>
            <w:tcW w:w="22791" w:type="dxa"/>
            <w:gridSpan w:val="3"/>
            <w:shd w:val="clear" w:color="auto" w:fill="D9EAF7"/>
            <w:tcMar>
              <w:top w:w="100" w:type="dxa"/>
              <w:left w:w="100" w:type="dxa"/>
              <w:bottom w:w="100" w:type="dxa"/>
              <w:right w:w="100" w:type="dxa"/>
            </w:tcMar>
            <w:vAlign w:val="center"/>
          </w:tcPr>
          <w:p w14:paraId="06144CC0"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36-MONTH HYBRID PUBLIC-SECTOR PROJECT</w:t>
            </w:r>
          </w:p>
        </w:tc>
      </w:tr>
      <w:tr w:rsidR="0070003B" w:rsidRPr="00F02C9D" w14:paraId="5B7F91C8" w14:textId="77777777">
        <w:trPr>
          <w:cantSplit/>
          <w:trHeight w:hRule="exact" w:val="3883"/>
          <w:jc w:val="center"/>
        </w:trPr>
        <w:tc>
          <w:tcPr>
            <w:tcW w:w="7597" w:type="dxa"/>
            <w:shd w:val="clear" w:color="auto" w:fill="F5F8FB"/>
            <w:tcMar>
              <w:top w:w="100" w:type="dxa"/>
              <w:left w:w="100" w:type="dxa"/>
              <w:bottom w:w="100" w:type="dxa"/>
              <w:right w:w="100" w:type="dxa"/>
            </w:tcMar>
            <w:vAlign w:val="center"/>
          </w:tcPr>
          <w:p w14:paraId="18F6EEEC"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BACKGROUND &amp; RATIONALE</w:t>
            </w:r>
          </w:p>
          <w:p w14:paraId="5438A1CF"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The 40-year-old central hub has closed after structural inspection identified serious safety and accessibility deficiencies. The closure disrupts rail, bus and freight interchange, damages local trade and weakens public confidence. Renewal is preferred to a temporary-only response because it restores capacity while embedding inclusive design, digital coordination and whole-life carbon management.</w:t>
            </w:r>
          </w:p>
        </w:tc>
        <w:tc>
          <w:tcPr>
            <w:tcW w:w="7597" w:type="dxa"/>
            <w:shd w:val="clear" w:color="auto" w:fill="F5F8FB"/>
            <w:tcMar>
              <w:top w:w="100" w:type="dxa"/>
              <w:left w:w="100" w:type="dxa"/>
              <w:bottom w:w="100" w:type="dxa"/>
              <w:right w:w="100" w:type="dxa"/>
            </w:tcMar>
            <w:vAlign w:val="center"/>
          </w:tcPr>
          <w:p w14:paraId="1BA46662"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AIM &amp; SMART OBJECTIVES</w:t>
            </w:r>
          </w:p>
          <w:p w14:paraId="0CF86B76"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Aim: reopen the hub as a safe, resilient multimodal facility. Provisional objectives are to approve the business case and concept by month 6; obtain statutory approvals by month 12; open a temporary interchange by month 16; provide step-free routes and accessible information; reduce whole-life carbon against the approved baseline; and complete handover by month 36 within the approved P80 envelope.</w:t>
            </w:r>
          </w:p>
        </w:tc>
        <w:tc>
          <w:tcPr>
            <w:tcW w:w="7597" w:type="dxa"/>
            <w:shd w:val="clear" w:color="auto" w:fill="F5F8FB"/>
            <w:tcMar>
              <w:top w:w="100" w:type="dxa"/>
              <w:left w:w="100" w:type="dxa"/>
              <w:bottom w:w="100" w:type="dxa"/>
              <w:right w:w="100" w:type="dxa"/>
            </w:tcMar>
            <w:vAlign w:val="center"/>
          </w:tcPr>
          <w:p w14:paraId="313F47A3"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STRATEGIC VALUE</w:t>
            </w:r>
          </w:p>
          <w:p w14:paraId="63AC13C6"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The hub reconnects people, employment and supply chains; supports regeneration; improves access for disabled passengers; and enables real-time passenger and logistics information. Benefits include restored capacity, reliability, accessibility, user satisfaction, whole-life carbon and resilience. Project value therefore includes social, environmental and strategic outcomes, not only time, cost and scope.</w:t>
            </w:r>
          </w:p>
        </w:tc>
      </w:tr>
      <w:tr w:rsidR="0070003B" w:rsidRPr="00F02C9D" w14:paraId="63FAFE78" w14:textId="77777777">
        <w:trPr>
          <w:cantSplit/>
          <w:trHeight w:hRule="exact" w:val="3883"/>
          <w:jc w:val="center"/>
        </w:trPr>
        <w:tc>
          <w:tcPr>
            <w:tcW w:w="7597" w:type="dxa"/>
            <w:shd w:val="clear" w:color="auto" w:fill="F5F8FB"/>
            <w:tcMar>
              <w:top w:w="100" w:type="dxa"/>
              <w:left w:w="100" w:type="dxa"/>
              <w:bottom w:w="100" w:type="dxa"/>
              <w:right w:w="100" w:type="dxa"/>
            </w:tcMar>
            <w:vAlign w:val="center"/>
          </w:tcPr>
          <w:p w14:paraId="4808935A"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SCOPE &amp; BOUNDARIES</w:t>
            </w:r>
          </w:p>
          <w:p w14:paraId="0C09BA8A"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Included: surveys; options validation; demolition and structural renewal; rail–bus–freight interfaces; temporary interchange; utilities; fire and building systems; step-free access; passenger facilities; wayfinding; digital passenger-flow and freight coordination; testing; training and handover. Excluded: new rolling stock, citywide track or highway upgrades, unrelated property development and long-term operation beyond the defects/benefits-transition period. Scope changes require documented impact analysis and sponsor approval.</w:t>
            </w:r>
          </w:p>
        </w:tc>
        <w:tc>
          <w:tcPr>
            <w:tcW w:w="7597" w:type="dxa"/>
            <w:shd w:val="clear" w:color="auto" w:fill="F5F8FB"/>
            <w:tcMar>
              <w:top w:w="100" w:type="dxa"/>
              <w:left w:w="100" w:type="dxa"/>
              <w:bottom w:w="100" w:type="dxa"/>
              <w:right w:w="100" w:type="dxa"/>
            </w:tcMar>
            <w:vAlign w:val="center"/>
          </w:tcPr>
          <w:p w14:paraId="6C46079D"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KEY STAKEHOLDERS</w:t>
            </w:r>
          </w:p>
          <w:p w14:paraId="559EF6D0"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Manage closely: the city authority and SRO, funders, network owners, operators, regulators, emergency services and delivery partners. Co-design with passengers, disabled people’s organisations, residents, freight users, businesses and workforce representatives. Engagement uses governance boards, interface meetings, accessible consultation, prototype trials, community updates and published responses.</w:t>
            </w:r>
          </w:p>
        </w:tc>
        <w:tc>
          <w:tcPr>
            <w:tcW w:w="7597" w:type="dxa"/>
            <w:shd w:val="clear" w:color="auto" w:fill="F5F8FB"/>
            <w:tcMar>
              <w:top w:w="100" w:type="dxa"/>
              <w:left w:w="100" w:type="dxa"/>
              <w:bottom w:w="100" w:type="dxa"/>
              <w:right w:w="100" w:type="dxa"/>
            </w:tcMar>
            <w:vAlign w:val="center"/>
          </w:tcPr>
          <w:p w14:paraId="4E6F6F3D"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DELIVERY APPROACH</w:t>
            </w:r>
          </w:p>
          <w:p w14:paraId="240B63A9"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 xml:space="preserve">A hybrid approach combines </w:t>
            </w:r>
            <w:r w:rsidRPr="00F02C9D">
              <w:rPr>
                <w:rFonts w:ascii="Arial" w:hAnsi="Arial" w:cs="Arial"/>
                <w:bCs/>
                <w:color w:val="000000" w:themeColor="text1"/>
                <w:sz w:val="22"/>
                <w:lang w:val="en-GB"/>
              </w:rPr>
              <w:t>PRINCE2</w:t>
            </w:r>
            <w:r w:rsidRPr="00F02C9D">
              <w:rPr>
                <w:rFonts w:ascii="Arial" w:hAnsi="Arial" w:cs="Arial"/>
                <w:bCs/>
                <w:color w:val="000000" w:themeColor="text1"/>
                <w:sz w:val="22"/>
              </w:rPr>
              <w:t>-style stage governance with predictive control of design, procurement and construction. Agile iterations support passenger information, logistics coordination and user testing. The approach is tailored to the project, with clear sponsorship, objectives and operating responsibilities.</w:t>
            </w:r>
          </w:p>
        </w:tc>
      </w:tr>
      <w:tr w:rsidR="0070003B" w:rsidRPr="00F02C9D" w14:paraId="00DC3916" w14:textId="77777777">
        <w:trPr>
          <w:cantSplit/>
          <w:trHeight w:hRule="exact" w:val="3883"/>
          <w:jc w:val="center"/>
        </w:trPr>
        <w:tc>
          <w:tcPr>
            <w:tcW w:w="7597" w:type="dxa"/>
            <w:shd w:val="clear" w:color="auto" w:fill="F5F8FB"/>
            <w:tcMar>
              <w:top w:w="100" w:type="dxa"/>
              <w:left w:w="100" w:type="dxa"/>
              <w:bottom w:w="100" w:type="dxa"/>
              <w:right w:w="100" w:type="dxa"/>
            </w:tcMar>
            <w:vAlign w:val="center"/>
          </w:tcPr>
          <w:p w14:paraId="2F0124A6"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HIGH-LEVEL RISKS</w:t>
            </w:r>
          </w:p>
          <w:p w14:paraId="59E7D316"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Principal risks are unknown conditions, approval delays, utility conflicts, safety incidents, inflation, disruption to temporary operations, digital failure, opposition, accessibility or carbon shortfalls and contractor underperformance. Controls include intrusive surveys, reference-class challenge, early regulator engagement, quantified risk analysis, clear interfaces, independent assurance and controlled contingency.</w:t>
            </w:r>
          </w:p>
        </w:tc>
        <w:tc>
          <w:tcPr>
            <w:tcW w:w="7597" w:type="dxa"/>
            <w:shd w:val="clear" w:color="auto" w:fill="F5F8FB"/>
            <w:tcMar>
              <w:top w:w="100" w:type="dxa"/>
              <w:left w:w="100" w:type="dxa"/>
              <w:bottom w:w="100" w:type="dxa"/>
              <w:right w:w="100" w:type="dxa"/>
            </w:tcMar>
            <w:vAlign w:val="center"/>
          </w:tcPr>
          <w:p w14:paraId="2D99EA94"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TRADE-OFFS</w:t>
            </w:r>
          </w:p>
          <w:p w14:paraId="04C905B6"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Trade-offs include speed versus consultation, initial price versus whole-life value, temporary capacity versus enabling cost, standardisation versus local needs, carbon versus material availability and digital innovation versus cyber risk. Decisions follow the business case and change control; safety and inclusivity are not exchanged for schedule recovery.</w:t>
            </w:r>
          </w:p>
        </w:tc>
        <w:tc>
          <w:tcPr>
            <w:tcW w:w="7597" w:type="dxa"/>
            <w:shd w:val="clear" w:color="auto" w:fill="F5F8FB"/>
            <w:tcMar>
              <w:top w:w="100" w:type="dxa"/>
              <w:left w:w="100" w:type="dxa"/>
              <w:bottom w:w="100" w:type="dxa"/>
              <w:right w:w="100" w:type="dxa"/>
            </w:tcMar>
            <w:vAlign w:val="center"/>
          </w:tcPr>
          <w:p w14:paraId="2EECD7B5"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SUCCESS MEASURES</w:t>
            </w:r>
          </w:p>
          <w:p w14:paraId="4F1C0442"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Success measures include safety approval, 100% step-free routes, accessible audio and visual information, reopening by month 36, cost within tolerance, restored capacity, user satisfaction, verified carbon performance, digital availability, staff readiness and transferred benefits ownership. Baselines are confirmed in the Outline Business Case.</w:t>
            </w:r>
          </w:p>
        </w:tc>
      </w:tr>
      <w:tr w:rsidR="0070003B" w:rsidRPr="00F02C9D" w14:paraId="6264A02D" w14:textId="77777777">
        <w:trPr>
          <w:cantSplit/>
          <w:trHeight w:hRule="exact" w:val="907"/>
          <w:jc w:val="center"/>
        </w:trPr>
        <w:tc>
          <w:tcPr>
            <w:tcW w:w="7597" w:type="dxa"/>
            <w:shd w:val="clear" w:color="auto" w:fill="D9EAD3"/>
            <w:tcMar>
              <w:top w:w="100" w:type="dxa"/>
              <w:left w:w="100" w:type="dxa"/>
              <w:bottom w:w="100" w:type="dxa"/>
              <w:right w:w="100" w:type="dxa"/>
            </w:tcMar>
            <w:vAlign w:val="center"/>
          </w:tcPr>
          <w:p w14:paraId="1B86C40E"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M1 | Month 6</w:t>
            </w:r>
          </w:p>
          <w:p w14:paraId="1C1C165F"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Business case and concept approved</w:t>
            </w:r>
          </w:p>
        </w:tc>
        <w:tc>
          <w:tcPr>
            <w:tcW w:w="7597" w:type="dxa"/>
            <w:shd w:val="clear" w:color="auto" w:fill="D9EAD3"/>
            <w:tcMar>
              <w:top w:w="100" w:type="dxa"/>
              <w:left w:w="100" w:type="dxa"/>
              <w:bottom w:w="100" w:type="dxa"/>
              <w:right w:w="100" w:type="dxa"/>
            </w:tcMar>
            <w:vAlign w:val="center"/>
          </w:tcPr>
          <w:p w14:paraId="7C92EBD9"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M2 | Month 16</w:t>
            </w:r>
          </w:p>
          <w:p w14:paraId="2B6EE845"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Temporary interchange operational</w:t>
            </w:r>
          </w:p>
        </w:tc>
        <w:tc>
          <w:tcPr>
            <w:tcW w:w="7597" w:type="dxa"/>
            <w:shd w:val="clear" w:color="auto" w:fill="D9EAD3"/>
            <w:tcMar>
              <w:top w:w="100" w:type="dxa"/>
              <w:left w:w="100" w:type="dxa"/>
              <w:bottom w:w="100" w:type="dxa"/>
              <w:right w:w="100" w:type="dxa"/>
            </w:tcMar>
            <w:vAlign w:val="center"/>
          </w:tcPr>
          <w:p w14:paraId="58D167AC"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M3 | Month 36</w:t>
            </w:r>
          </w:p>
          <w:p w14:paraId="74830BB2"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Safety-authorised opening and handover</w:t>
            </w:r>
          </w:p>
        </w:tc>
      </w:tr>
    </w:tbl>
    <w:p w14:paraId="4961C992" w14:textId="77777777" w:rsidR="0070003B" w:rsidRPr="00F02C9D" w:rsidRDefault="0070003B">
      <w:pPr>
        <w:rPr>
          <w:rFonts w:ascii="Arial" w:hAnsi="Arial" w:cs="Arial"/>
          <w:bCs/>
          <w:color w:val="000000" w:themeColor="text1"/>
          <w:sz w:val="22"/>
        </w:rPr>
        <w:sectPr w:rsidR="0070003B" w:rsidRPr="00F02C9D">
          <w:footerReference w:type="default" r:id="rId9"/>
          <w:pgSz w:w="23811" w:h="16838" w:orient="landscape"/>
          <w:pgMar w:top="454" w:right="510" w:bottom="454" w:left="510" w:header="720" w:footer="720" w:gutter="0"/>
          <w:cols w:space="720"/>
          <w:docGrid w:linePitch="360"/>
        </w:sectPr>
      </w:pPr>
    </w:p>
    <w:p w14:paraId="477EBD1B"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lastRenderedPageBreak/>
        <w:t>Part B – Critical Reflection on the Poster and Development of the Final Plan</w:t>
      </w:r>
    </w:p>
    <w:p w14:paraId="64299131"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Reflective context</w:t>
      </w:r>
    </w:p>
    <w:p w14:paraId="29B40395" w14:textId="77777777" w:rsidR="0070003B" w:rsidRPr="00F02C9D" w:rsidRDefault="00000000">
      <w:pPr>
        <w:spacing w:after="120"/>
        <w:jc w:val="both"/>
        <w:rPr>
          <w:rFonts w:ascii="Arial" w:hAnsi="Arial" w:cs="Arial"/>
          <w:bCs/>
          <w:color w:val="000000" w:themeColor="text1"/>
          <w:sz w:val="22"/>
        </w:rPr>
      </w:pPr>
      <w:r w:rsidRPr="00F02C9D">
        <w:rPr>
          <w:rFonts w:ascii="Arial" w:hAnsi="Arial" w:cs="Arial"/>
          <w:bCs/>
          <w:color w:val="000000" w:themeColor="text1"/>
          <w:sz w:val="22"/>
        </w:rPr>
        <w:t>No formal tutor or peer feedback was available when this portfolio was finalised. To avoid inventing comments, this section uses a structured self-review against the assessment brief and the needs of the proposed stakeholder audience. The reflection therefore evaluates what the poster communicates effectively, where it could be challenged, and how the final project plan has been strengthened. The absence of external challenge is a limitation, because another reader may identify assumptions or presentation problems that are not visible to the author.</w:t>
      </w:r>
    </w:p>
    <w:p w14:paraId="79FA2B7D"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Strengths of the proposal poster</w:t>
      </w:r>
    </w:p>
    <w:p w14:paraId="0D635BBD" w14:textId="77777777" w:rsidR="0070003B" w:rsidRPr="00F02C9D" w:rsidRDefault="00000000">
      <w:pPr>
        <w:spacing w:after="120"/>
        <w:jc w:val="both"/>
        <w:rPr>
          <w:rFonts w:ascii="Arial" w:hAnsi="Arial" w:cs="Arial"/>
          <w:bCs/>
          <w:color w:val="000000" w:themeColor="text1"/>
          <w:sz w:val="22"/>
        </w:rPr>
      </w:pPr>
      <w:r w:rsidRPr="00F02C9D">
        <w:rPr>
          <w:rFonts w:ascii="Arial" w:hAnsi="Arial" w:cs="Arial"/>
          <w:bCs/>
          <w:color w:val="000000" w:themeColor="text1"/>
          <w:sz w:val="22"/>
        </w:rPr>
        <w:t>The poster establishes a clear line from the transport-hub closure to a justified renewal project. It states the background, aim, measurable objectives, scope boundaries, stakeholders, strategic value, risks, trade-offs and success measures in one view. This is appropriate for senior stakeholders who need rapid understanding before examining detailed evidence. The three milestones make the 36-month delivery logic visible, while the risk and trade-off sections show that the proposal does not present regeneration as simple or consequence-free. The visual hierarchy is consistent, the headings are easy to scan, and the project is framed as a public-value intervention rather than only a construction exercise.</w:t>
      </w:r>
    </w:p>
    <w:p w14:paraId="37C328C5"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Areas requiring improvement</w:t>
      </w:r>
    </w:p>
    <w:p w14:paraId="54FFCF81" w14:textId="63C78D95" w:rsidR="0070003B" w:rsidRPr="00F02C9D" w:rsidRDefault="00000000">
      <w:pPr>
        <w:spacing w:after="120"/>
        <w:jc w:val="both"/>
        <w:rPr>
          <w:rFonts w:ascii="Arial" w:hAnsi="Arial" w:cs="Arial"/>
          <w:bCs/>
          <w:color w:val="000000" w:themeColor="text1"/>
          <w:sz w:val="22"/>
        </w:rPr>
      </w:pPr>
      <w:r w:rsidRPr="00F02C9D">
        <w:rPr>
          <w:rFonts w:ascii="Arial" w:hAnsi="Arial" w:cs="Arial"/>
          <w:bCs/>
          <w:color w:val="000000" w:themeColor="text1"/>
          <w:sz w:val="22"/>
        </w:rPr>
        <w:t xml:space="preserve">The poster is necessarily </w:t>
      </w:r>
      <w:r w:rsidR="00F02C9D" w:rsidRPr="00F02C9D">
        <w:rPr>
          <w:rFonts w:ascii="Arial" w:hAnsi="Arial" w:cs="Arial"/>
          <w:bCs/>
          <w:color w:val="000000" w:themeColor="text1"/>
          <w:sz w:val="22"/>
        </w:rPr>
        <w:t>compressed,</w:t>
      </w:r>
      <w:r w:rsidRPr="00F02C9D">
        <w:rPr>
          <w:rFonts w:ascii="Arial" w:hAnsi="Arial" w:cs="Arial"/>
          <w:bCs/>
          <w:color w:val="000000" w:themeColor="text1"/>
          <w:sz w:val="22"/>
        </w:rPr>
        <w:t xml:space="preserve"> and some statements could be interpreted as firm commitments even though the scenario provides no confirmed budget, demand forecast, asset survey or planning position. The original proposal also gave limited visibility to acceptance authorities, temporary-operation arrangements, stakeholder conflict and the reasons for selecting a hybrid method. Success measures such as restored capacity and carbon reduction require baselines before they can be treated as controlled targets. A further weakness is that risks were listed without owners or triggers. Finally, a visually concise poster cannot explain how schedule pressure, consultation, whole-life value, accessibility and safety would be balanced when they compete.</w:t>
      </w:r>
    </w:p>
    <w:p w14:paraId="74C85BB5"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Changes made to the final project plan</w:t>
      </w:r>
    </w:p>
    <w:p w14:paraId="45731269" w14:textId="77777777" w:rsidR="0070003B" w:rsidRPr="00F02C9D" w:rsidRDefault="00000000">
      <w:pPr>
        <w:spacing w:after="120"/>
        <w:jc w:val="both"/>
        <w:rPr>
          <w:rFonts w:ascii="Arial" w:hAnsi="Arial" w:cs="Arial"/>
          <w:bCs/>
          <w:color w:val="000000" w:themeColor="text1"/>
          <w:sz w:val="22"/>
        </w:rPr>
      </w:pPr>
      <w:r w:rsidRPr="00F02C9D">
        <w:rPr>
          <w:rFonts w:ascii="Arial" w:hAnsi="Arial" w:cs="Arial"/>
          <w:bCs/>
          <w:color w:val="000000" w:themeColor="text1"/>
          <w:sz w:val="22"/>
        </w:rPr>
        <w:t xml:space="preserve">The final plan responds to these weaknesses by separating assumptions from approved commitments and by applying specific management tools. A methodology appraisal explains why predictive control is retained for physical works and approvals while iterative delivery is used for digital services and user testing. The scope section now includes acceptance criteria, evidence and accountable acceptors. The WBS is connected to the Gantt chart, budget, ownership and risk controls. The stakeholder matrix is supported by an involvement plan that gives accessibility groups a co-design role. Resource allocation now includes a responsibility assignment table, while the risk section adds owners, triggers, residual scores, opportunities and </w:t>
      </w:r>
      <w:r w:rsidRPr="00F02C9D">
        <w:rPr>
          <w:rFonts w:ascii="Arial" w:hAnsi="Arial" w:cs="Arial"/>
          <w:bCs/>
          <w:color w:val="000000" w:themeColor="text1"/>
          <w:sz w:val="22"/>
        </w:rPr>
        <w:lastRenderedPageBreak/>
        <w:t>contingency logic. These additions make the plan more testable and reduce dependence on broad statements of intent.</w:t>
      </w:r>
    </w:p>
    <w:p w14:paraId="6A960FF2"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Critical evaluation and next action</w:t>
      </w:r>
    </w:p>
    <w:p w14:paraId="19EEB3E6" w14:textId="77777777" w:rsidR="0070003B" w:rsidRPr="00F02C9D" w:rsidRDefault="00000000">
      <w:pPr>
        <w:spacing w:after="120"/>
        <w:jc w:val="both"/>
        <w:rPr>
          <w:rFonts w:ascii="Arial" w:hAnsi="Arial" w:cs="Arial"/>
          <w:bCs/>
          <w:color w:val="000000" w:themeColor="text1"/>
          <w:sz w:val="22"/>
        </w:rPr>
      </w:pPr>
      <w:r w:rsidRPr="00F02C9D">
        <w:rPr>
          <w:rFonts w:ascii="Arial" w:hAnsi="Arial" w:cs="Arial"/>
          <w:bCs/>
          <w:color w:val="000000" w:themeColor="text1"/>
          <w:sz w:val="22"/>
        </w:rPr>
        <w:t>The self-review has improved traceability between the poster and the detailed plan, but it cannot substitute fully for independent feedback. A final presentation should therefore test whether non-specialists understand the project within two minutes and whether affected users consider the proposed engagement credible. Any later tutor or peer feedback should be recorded accurately, compared with this self-assessment and used to amend the portfolio only where the change improves project value, feasibility or clarity. This approach avoids agreeing with every comment automatically while still demonstrating openness to justified challenge.</w:t>
      </w:r>
    </w:p>
    <w:p w14:paraId="75783121" w14:textId="77777777" w:rsidR="0070003B" w:rsidRPr="00F02C9D" w:rsidRDefault="0070003B">
      <w:pPr>
        <w:rPr>
          <w:rFonts w:ascii="Arial" w:hAnsi="Arial" w:cs="Arial"/>
          <w:bCs/>
          <w:color w:val="000000" w:themeColor="text1"/>
          <w:sz w:val="22"/>
        </w:rPr>
        <w:sectPr w:rsidR="0070003B" w:rsidRPr="00F02C9D">
          <w:footerReference w:type="default" r:id="rId10"/>
          <w:pgSz w:w="11906" w:h="16838"/>
          <w:pgMar w:top="1020" w:right="1247" w:bottom="907" w:left="1247" w:header="720" w:footer="720" w:gutter="0"/>
          <w:cols w:space="720"/>
          <w:docGrid w:linePitch="360"/>
        </w:sectPr>
      </w:pPr>
    </w:p>
    <w:p w14:paraId="1F01B022" w14:textId="77777777" w:rsidR="0070003B" w:rsidRPr="00F02C9D" w:rsidRDefault="00000000">
      <w:pPr>
        <w:spacing w:after="200"/>
        <w:jc w:val="center"/>
        <w:rPr>
          <w:rFonts w:ascii="Arial" w:hAnsi="Arial" w:cs="Arial"/>
          <w:bCs/>
          <w:color w:val="000000" w:themeColor="text1"/>
          <w:sz w:val="22"/>
        </w:rPr>
      </w:pPr>
      <w:r w:rsidRPr="00F02C9D">
        <w:rPr>
          <w:rFonts w:ascii="Arial" w:hAnsi="Arial" w:cs="Arial"/>
          <w:bCs/>
          <w:color w:val="000000" w:themeColor="text1"/>
          <w:sz w:val="22"/>
        </w:rPr>
        <w:lastRenderedPageBreak/>
        <w:t>PART C</w:t>
      </w:r>
    </w:p>
    <w:p w14:paraId="1ECEC678" w14:textId="77777777" w:rsidR="0070003B" w:rsidRPr="00F02C9D" w:rsidRDefault="00000000">
      <w:pPr>
        <w:jc w:val="center"/>
        <w:rPr>
          <w:rFonts w:ascii="Arial" w:hAnsi="Arial" w:cs="Arial"/>
          <w:bCs/>
          <w:color w:val="000000" w:themeColor="text1"/>
          <w:sz w:val="22"/>
        </w:rPr>
      </w:pPr>
      <w:r w:rsidRPr="00F02C9D">
        <w:rPr>
          <w:rFonts w:ascii="Arial" w:hAnsi="Arial" w:cs="Arial"/>
          <w:bCs/>
          <w:color w:val="000000" w:themeColor="text1"/>
          <w:sz w:val="22"/>
        </w:rPr>
        <w:t>PROJECT MANAGEMENT PLAN</w:t>
      </w:r>
    </w:p>
    <w:p w14:paraId="7DA0B352" w14:textId="77777777" w:rsidR="0070003B" w:rsidRPr="00F02C9D" w:rsidRDefault="00000000">
      <w:pPr>
        <w:jc w:val="center"/>
        <w:rPr>
          <w:rFonts w:ascii="Arial" w:hAnsi="Arial" w:cs="Arial"/>
          <w:bCs/>
          <w:color w:val="000000" w:themeColor="text1"/>
          <w:sz w:val="22"/>
        </w:rPr>
      </w:pPr>
      <w:r w:rsidRPr="00F02C9D">
        <w:rPr>
          <w:rFonts w:ascii="Arial" w:hAnsi="Arial" w:cs="Arial"/>
          <w:bCs/>
          <w:color w:val="000000" w:themeColor="text1"/>
          <w:sz w:val="22"/>
        </w:rPr>
        <w:t>Metropolitan Central Transport Hub Renewal Project</w:t>
      </w:r>
    </w:p>
    <w:p w14:paraId="190C46CE"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br w:type="page"/>
      </w:r>
    </w:p>
    <w:p w14:paraId="0705039D"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lastRenderedPageBreak/>
        <w:t>Executive Summary</w:t>
      </w:r>
    </w:p>
    <w:p w14:paraId="6668490B" w14:textId="77777777" w:rsidR="0070003B" w:rsidRPr="00F02C9D" w:rsidRDefault="00000000">
      <w:pPr>
        <w:jc w:val="both"/>
        <w:rPr>
          <w:rFonts w:ascii="Arial" w:hAnsi="Arial" w:cs="Arial"/>
          <w:bCs/>
          <w:color w:val="000000" w:themeColor="text1"/>
          <w:sz w:val="22"/>
        </w:rPr>
      </w:pPr>
      <w:r w:rsidRPr="00F02C9D">
        <w:rPr>
          <w:rFonts w:ascii="Arial" w:hAnsi="Arial" w:cs="Arial"/>
          <w:bCs/>
          <w:color w:val="000000" w:themeColor="text1"/>
          <w:sz w:val="22"/>
        </w:rPr>
        <w:t xml:space="preserve">The proposed project renews the closed metropolitan central transport hub as a safe, inclusive, low-carbon and digitally connected interchange. A hybrid delivery model combines stage-gated governance and predictive construction control with iterative development of passenger and logistics technology. The plan defines a controlled scope, deliverable-oriented work breakdown structure, 36-month schedule, stakeholder strategy, resource model and risk framework. Success is judged not only by time and cost but also by restored capacity, statutory safety, step-free access, user experience, whole-life carbon, operational readiness and benefits realisation. The principal threats are uncertain asset condition, approvals, interfaces with temporary operations, market volatility, safety, digital integration and stakeholder opposition. These are addressed through early surveys, reference-class challenge, co-design, independent assurance, quantified risk analysis, clear ownership and phased commissioning. All </w:t>
      </w:r>
      <w:proofErr w:type="gramStart"/>
      <w:r w:rsidRPr="00F02C9D">
        <w:rPr>
          <w:rFonts w:ascii="Arial" w:hAnsi="Arial" w:cs="Arial"/>
          <w:bCs/>
          <w:color w:val="000000" w:themeColor="text1"/>
          <w:sz w:val="22"/>
        </w:rPr>
        <w:t>cost,</w:t>
      </w:r>
      <w:proofErr w:type="gramEnd"/>
      <w:r w:rsidRPr="00F02C9D">
        <w:rPr>
          <w:rFonts w:ascii="Arial" w:hAnsi="Arial" w:cs="Arial"/>
          <w:bCs/>
          <w:color w:val="000000" w:themeColor="text1"/>
          <w:sz w:val="22"/>
        </w:rPr>
        <w:t xml:space="preserve"> duration and performance targets remain planning assumptions until validated through the Outline Business Case and supplier competition.</w:t>
      </w:r>
    </w:p>
    <w:p w14:paraId="49C70EE0"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t>1. Introduction</w:t>
      </w:r>
    </w:p>
    <w:p w14:paraId="74928615" w14:textId="77777777" w:rsidR="0070003B" w:rsidRPr="00F02C9D" w:rsidRDefault="00000000">
      <w:pPr>
        <w:jc w:val="both"/>
        <w:rPr>
          <w:rFonts w:ascii="Arial" w:hAnsi="Arial" w:cs="Arial"/>
          <w:bCs/>
          <w:color w:val="000000" w:themeColor="text1"/>
          <w:sz w:val="22"/>
        </w:rPr>
      </w:pPr>
      <w:r w:rsidRPr="00F02C9D">
        <w:rPr>
          <w:rFonts w:ascii="Arial" w:hAnsi="Arial" w:cs="Arial"/>
          <w:bCs/>
          <w:color w:val="000000" w:themeColor="text1"/>
          <w:sz w:val="22"/>
        </w:rPr>
        <w:t>The closure of the city’s central rail, bus and freight interchange creates an urgent public-safety, mobility and economic problem. The selected project is the full renewal of the hub rather than a stand-alone temporary or digital solution. Temporary capacity and digital coordination are retained as enabling work packages because a major asset cannot be rebuilt responsibly without continuity arrangements or modern information systems. The plan assumes a 36-month delivery period from authorisation to handover. Budget values are expressed as percentages until the business case establishes a validated cost baseline.</w:t>
      </w:r>
    </w:p>
    <w:p w14:paraId="342EC43F"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The plan follows the principle that project practices must be tailored to context. Predictive, iterative, adaptive and hybrid approaches are all available, while systems thinking, sustainability, controls and leadership must be considered together. The project is complex because it combines legacy structures, safety regulation, multiple operators, public scrutiny, digital systems and conflicting stakeholder needs. Success therefore requires a method that preserves control without assuming that every requirement can be fixed at the outset.</w:t>
      </w:r>
    </w:p>
    <w:p w14:paraId="012B7F08"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t>2. Project Description</w:t>
      </w:r>
    </w:p>
    <w:p w14:paraId="7CB4F6B9"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2.1 Case for change and intended outcomes</w:t>
      </w:r>
    </w:p>
    <w:p w14:paraId="456A067A"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The project will design, construct, integrate and commission a renewed multimodal hub. The strategic case is based on safe restoration of transport capacity, inclusive access, resilient logistics, city-centre regeneration and lower whole-life carbon. Objectives, options, risks and distributional effects must be evaluated transparently rather than selecting a preferred scheme first and justifying it later. The Outline Business Case will therefore compare minimum-repair, phased-renewal and comprehensive-renewal options before confirming the final design and affordability envelope.</w:t>
      </w:r>
    </w:p>
    <w:p w14:paraId="0F875183" w14:textId="4A84C38C"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lastRenderedPageBreak/>
        <w:t xml:space="preserve">Provisional outcomes </w:t>
      </w:r>
      <w:r w:rsidR="00F02C9D" w:rsidRPr="00F02C9D">
        <w:rPr>
          <w:rFonts w:ascii="Arial" w:hAnsi="Arial" w:cs="Arial"/>
          <w:bCs/>
          <w:color w:val="000000" w:themeColor="text1"/>
          <w:sz w:val="22"/>
        </w:rPr>
        <w:t>are</w:t>
      </w:r>
      <w:r w:rsidRPr="00F02C9D">
        <w:rPr>
          <w:rFonts w:ascii="Arial" w:hAnsi="Arial" w:cs="Arial"/>
          <w:bCs/>
          <w:color w:val="000000" w:themeColor="text1"/>
          <w:sz w:val="22"/>
        </w:rPr>
        <w:t xml:space="preserve"> statutory safety approval; reliable interchange capacity; step-free routes and accessible audio, visual and digital information; improved passenger and freight coordination; resilient operations; and verified carbon reduction against a defined baseline. Public-transport infrastructure should be barrier-free and usable by people with different physical, sensory and cognitive needs. Accessibility groups are consequently design partners, not consultees added at the end.</w:t>
      </w:r>
    </w:p>
    <w:p w14:paraId="554EC43D"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2.2 Project management approach</w:t>
      </w:r>
    </w:p>
    <w:p w14:paraId="49CB3419"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PRINCE2-style governance is used for continued business justification, role clarity, stage boundaries, tolerances and exception escalation. Predictive planning is appropriate for statutory approvals, procurement and construction sequencing because physical dependencies and safety evidence require disciplined configuration control. Purely predictive management is insufficient for passenger-flow software and interfaces, where user feedback and technical discovery continue during delivery. Digital work is therefore developed through short iterations within fixed architectural, cyber and safety constraints.</w:t>
      </w:r>
    </w:p>
    <w:p w14:paraId="139A780E"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A hybrid model is selected rather than applying agile terminology across the whole project. Hybrid delivery can perform strongly when it is tailored to context, while weak sponsorship, unclear objectives and poor organisational readiness can undermine it. Governance and civil works remain stage-controlled; digital products use demonstrations, prioritised backlogs and user testing. This tailoring is more credible than treating construction as continuously reprioritised work or freezing digital requirements several years before opening. A common configuration-management process links both modes: approved interfaces, safety requirements and acceptance criteria are controlled, while digital feature priority can change within those boundaries. The Project Board reviews outcome forecasts at each gate rather than rewarding compliance with a method for its own sake.</w:t>
      </w:r>
    </w:p>
    <w:p w14:paraId="27FC63D0"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2.3 Methodology appraisal and definition of success</w:t>
      </w:r>
    </w:p>
    <w:p w14:paraId="188DFB48"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Table 1 tests each approach against the project’s safety, physical-delivery and digital-learning needs. The method is selected for contextual fit rather than fashion.</w:t>
      </w:r>
    </w:p>
    <w:p w14:paraId="19EDAF08" w14:textId="77777777" w:rsidR="0070003B" w:rsidRPr="00F02C9D" w:rsidRDefault="00000000">
      <w:pPr>
        <w:pStyle w:val="Caption"/>
        <w:keepNext/>
        <w:jc w:val="center"/>
        <w:rPr>
          <w:rFonts w:ascii="Arial" w:hAnsi="Arial" w:cs="Arial"/>
          <w:b w:val="0"/>
          <w:color w:val="000000" w:themeColor="text1"/>
          <w:sz w:val="22"/>
          <w:szCs w:val="22"/>
        </w:rPr>
      </w:pPr>
      <w:r w:rsidRPr="00F02C9D">
        <w:rPr>
          <w:rFonts w:ascii="Arial" w:hAnsi="Arial" w:cs="Arial"/>
          <w:b w:val="0"/>
          <w:color w:val="000000" w:themeColor="text1"/>
          <w:sz w:val="22"/>
          <w:szCs w:val="22"/>
        </w:rPr>
        <w:t>Table 1. Critical appraisal of project management approaches.</w:t>
      </w:r>
    </w:p>
    <w:tbl>
      <w:tblPr>
        <w:tblStyle w:val="TableGrid"/>
        <w:tblW w:w="0" w:type="auto"/>
        <w:jc w:val="center"/>
        <w:tblLook w:val="04A0" w:firstRow="1" w:lastRow="0" w:firstColumn="1" w:lastColumn="0" w:noHBand="0" w:noVBand="1"/>
      </w:tblPr>
      <w:tblGrid>
        <w:gridCol w:w="2350"/>
        <w:gridCol w:w="2351"/>
        <w:gridCol w:w="2351"/>
        <w:gridCol w:w="2350"/>
      </w:tblGrid>
      <w:tr w:rsidR="0070003B" w:rsidRPr="00F02C9D" w14:paraId="6E101BFC" w14:textId="77777777" w:rsidTr="00F02C9D">
        <w:trPr>
          <w:cantSplit/>
          <w:tblHeader/>
          <w:jc w:val="center"/>
        </w:trPr>
        <w:tc>
          <w:tcPr>
            <w:tcW w:w="2353" w:type="dxa"/>
            <w:vAlign w:val="center"/>
          </w:tcPr>
          <w:p w14:paraId="4E609062"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Decision factor</w:t>
            </w:r>
          </w:p>
        </w:tc>
        <w:tc>
          <w:tcPr>
            <w:tcW w:w="2353" w:type="dxa"/>
            <w:vAlign w:val="center"/>
          </w:tcPr>
          <w:p w14:paraId="698FEE9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Predictive approach</w:t>
            </w:r>
          </w:p>
        </w:tc>
        <w:tc>
          <w:tcPr>
            <w:tcW w:w="2353" w:type="dxa"/>
            <w:vAlign w:val="center"/>
          </w:tcPr>
          <w:p w14:paraId="51C0314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Agile approach</w:t>
            </w:r>
          </w:p>
        </w:tc>
        <w:tc>
          <w:tcPr>
            <w:tcW w:w="2353" w:type="dxa"/>
            <w:vAlign w:val="center"/>
          </w:tcPr>
          <w:p w14:paraId="552E58C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Hybrid judgement</w:t>
            </w:r>
          </w:p>
        </w:tc>
      </w:tr>
      <w:tr w:rsidR="0070003B" w:rsidRPr="00F02C9D" w14:paraId="402D9985" w14:textId="77777777">
        <w:trPr>
          <w:cantSplit/>
          <w:jc w:val="center"/>
        </w:trPr>
        <w:tc>
          <w:tcPr>
            <w:tcW w:w="2353" w:type="dxa"/>
            <w:vAlign w:val="center"/>
          </w:tcPr>
          <w:p w14:paraId="7B0E890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Safety and physical delivery</w:t>
            </w:r>
          </w:p>
        </w:tc>
        <w:tc>
          <w:tcPr>
            <w:tcW w:w="2353" w:type="dxa"/>
            <w:vAlign w:val="center"/>
          </w:tcPr>
          <w:p w14:paraId="77AAF24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Formal gates, traceability and stable dependencies</w:t>
            </w:r>
          </w:p>
        </w:tc>
        <w:tc>
          <w:tcPr>
            <w:tcW w:w="2353" w:type="dxa"/>
            <w:vAlign w:val="center"/>
          </w:tcPr>
          <w:p w14:paraId="741E9FC8"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Frequent change can weaken controlled configuration</w:t>
            </w:r>
          </w:p>
        </w:tc>
        <w:tc>
          <w:tcPr>
            <w:tcW w:w="2353" w:type="dxa"/>
            <w:vAlign w:val="center"/>
          </w:tcPr>
          <w:p w14:paraId="55E4A8D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Predictive packages and approval evidence</w:t>
            </w:r>
          </w:p>
        </w:tc>
      </w:tr>
      <w:tr w:rsidR="0070003B" w:rsidRPr="00F02C9D" w14:paraId="7AE7BC67" w14:textId="77777777">
        <w:trPr>
          <w:cantSplit/>
          <w:jc w:val="center"/>
        </w:trPr>
        <w:tc>
          <w:tcPr>
            <w:tcW w:w="2353" w:type="dxa"/>
            <w:vAlign w:val="center"/>
          </w:tcPr>
          <w:p w14:paraId="3067484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Digital systems and user needs</w:t>
            </w:r>
          </w:p>
        </w:tc>
        <w:tc>
          <w:tcPr>
            <w:tcW w:w="2353" w:type="dxa"/>
            <w:vAlign w:val="center"/>
          </w:tcPr>
          <w:p w14:paraId="054B9D4A"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Late validation risk</w:t>
            </w:r>
          </w:p>
        </w:tc>
        <w:tc>
          <w:tcPr>
            <w:tcW w:w="2353" w:type="dxa"/>
            <w:vAlign w:val="center"/>
          </w:tcPr>
          <w:p w14:paraId="40DDD1C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Strong feedback and incremental testing</w:t>
            </w:r>
          </w:p>
        </w:tc>
        <w:tc>
          <w:tcPr>
            <w:tcW w:w="2353" w:type="dxa"/>
            <w:vAlign w:val="center"/>
          </w:tcPr>
          <w:p w14:paraId="18C5E4D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Iterative releases within fixed interfaces</w:t>
            </w:r>
          </w:p>
        </w:tc>
      </w:tr>
      <w:tr w:rsidR="0070003B" w:rsidRPr="00F02C9D" w14:paraId="655F08C5" w14:textId="77777777">
        <w:trPr>
          <w:cantSplit/>
          <w:jc w:val="center"/>
        </w:trPr>
        <w:tc>
          <w:tcPr>
            <w:tcW w:w="2353" w:type="dxa"/>
            <w:vAlign w:val="center"/>
          </w:tcPr>
          <w:p w14:paraId="2733A824"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Overall judgement</w:t>
            </w:r>
          </w:p>
        </w:tc>
        <w:tc>
          <w:tcPr>
            <w:tcW w:w="2353" w:type="dxa"/>
            <w:vAlign w:val="center"/>
          </w:tcPr>
          <w:p w14:paraId="03C6362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Necessary but insufficient</w:t>
            </w:r>
          </w:p>
        </w:tc>
        <w:tc>
          <w:tcPr>
            <w:tcW w:w="2353" w:type="dxa"/>
            <w:vAlign w:val="center"/>
          </w:tcPr>
          <w:p w14:paraId="6617940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Useful but unsuitable for the whole project</w:t>
            </w:r>
          </w:p>
        </w:tc>
        <w:tc>
          <w:tcPr>
            <w:tcW w:w="2353" w:type="dxa"/>
            <w:vAlign w:val="center"/>
          </w:tcPr>
          <w:p w14:paraId="319612E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Hybrid selected</w:t>
            </w:r>
          </w:p>
        </w:tc>
      </w:tr>
    </w:tbl>
    <w:p w14:paraId="09E04EE7"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Success extends beyond time, cost and scope to safe opening, continuity, accessibility, operational readiness, carbon performance and benefits. Schedule or budget recovery cannot justify transferring unacceptable safety or whole-life costs to future users.</w:t>
      </w:r>
    </w:p>
    <w:p w14:paraId="7D3FA584"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lastRenderedPageBreak/>
        <w:t>3. Scope</w:t>
      </w:r>
    </w:p>
    <w:p w14:paraId="0DBDC29A"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3.1 Scope statement and boundaries</w:t>
      </w:r>
    </w:p>
    <w:p w14:paraId="43DF34FC" w14:textId="77777777" w:rsidR="0070003B" w:rsidRPr="00F02C9D" w:rsidRDefault="00000000">
      <w:pPr>
        <w:jc w:val="both"/>
        <w:rPr>
          <w:rFonts w:ascii="Arial" w:hAnsi="Arial" w:cs="Arial"/>
          <w:bCs/>
          <w:color w:val="000000" w:themeColor="text1"/>
          <w:sz w:val="22"/>
        </w:rPr>
      </w:pPr>
      <w:r w:rsidRPr="00F02C9D">
        <w:rPr>
          <w:rFonts w:ascii="Arial" w:hAnsi="Arial" w:cs="Arial"/>
          <w:bCs/>
          <w:color w:val="000000" w:themeColor="text1"/>
          <w:sz w:val="22"/>
        </w:rPr>
        <w:t>The project includes surveys, options validation, design, planning and safety approvals, demolition, temporary interchange, utility diversions, structural and building services work, rail–bus–freight interfaces, passenger facilities, inclusive wayfinding, digital passenger and logistics coordination, testing, training and handover. The renewed hub must be capable of safe operations, maintainable by the future operator and compatible with adjacent networks.</w:t>
      </w:r>
    </w:p>
    <w:p w14:paraId="6500735F" w14:textId="77777777" w:rsidR="0070003B" w:rsidRPr="00F02C9D" w:rsidRDefault="00000000">
      <w:pPr>
        <w:jc w:val="both"/>
        <w:rPr>
          <w:rFonts w:ascii="Arial" w:hAnsi="Arial" w:cs="Arial"/>
          <w:bCs/>
          <w:color w:val="000000" w:themeColor="text1"/>
          <w:sz w:val="22"/>
        </w:rPr>
      </w:pPr>
      <w:r w:rsidRPr="00F02C9D">
        <w:rPr>
          <w:rFonts w:ascii="Arial" w:hAnsi="Arial" w:cs="Arial"/>
          <w:bCs/>
          <w:color w:val="000000" w:themeColor="text1"/>
          <w:sz w:val="22"/>
        </w:rPr>
        <w:t>Excluded work comprises rolling-stock purchase, citywide track and highway enhancement, unrelated commercial property, permanent operation beyond the defects and benefits-transition period, and wider freight policy. Exclusions prevent the hub project becoming a programme for every urban-transport ambition. Interfaces with excluded projects are controlled through agreements, assumptions and named owners.</w:t>
      </w:r>
    </w:p>
    <w:p w14:paraId="5D56FCD2"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3.2 Scope control</w:t>
      </w:r>
    </w:p>
    <w:p w14:paraId="6D2DE10C" w14:textId="77777777" w:rsidR="0070003B" w:rsidRPr="00F02C9D" w:rsidRDefault="00000000">
      <w:pPr>
        <w:jc w:val="both"/>
        <w:rPr>
          <w:rFonts w:ascii="Arial" w:hAnsi="Arial" w:cs="Arial"/>
          <w:bCs/>
          <w:color w:val="000000" w:themeColor="text1"/>
          <w:sz w:val="22"/>
        </w:rPr>
      </w:pPr>
      <w:r w:rsidRPr="00F02C9D">
        <w:rPr>
          <w:rFonts w:ascii="Arial" w:hAnsi="Arial" w:cs="Arial"/>
          <w:bCs/>
          <w:color w:val="000000" w:themeColor="text1"/>
          <w:sz w:val="22"/>
        </w:rPr>
        <w:t>Requirements are baselined after concept approval and traced to design, testing and acceptance evidence. Any proposed change records its reason, benefits, safety implications, carbon effect, cost, schedule and operational impact. The project manager may approve changes within delegated tolerance; changes affecting the business case, key outcomes or sponsor tolerance go to the Project Board. A change budget is controlled separately from risk contingency so that discretionary enhancement does not consume provision for uncertainty. This process reduces scope creep while retaining a justified route to adapt.</w:t>
      </w:r>
    </w:p>
    <w:p w14:paraId="141F849F"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3.3 Acceptance criteria, assumptions and constraints</w:t>
      </w:r>
    </w:p>
    <w:p w14:paraId="182F7399"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Table 2 converts strategic intentions into evidence-based acceptance. Criteria remain provisional until surveys, the business case and operator requirements are approved.</w:t>
      </w:r>
    </w:p>
    <w:p w14:paraId="6F727205" w14:textId="77777777" w:rsidR="0070003B" w:rsidRPr="00F02C9D" w:rsidRDefault="00000000">
      <w:pPr>
        <w:pStyle w:val="Caption"/>
        <w:keepNext/>
        <w:jc w:val="center"/>
        <w:rPr>
          <w:rFonts w:ascii="Arial" w:hAnsi="Arial" w:cs="Arial"/>
          <w:b w:val="0"/>
          <w:color w:val="000000" w:themeColor="text1"/>
          <w:sz w:val="22"/>
          <w:szCs w:val="22"/>
        </w:rPr>
      </w:pPr>
      <w:r w:rsidRPr="00F02C9D">
        <w:rPr>
          <w:rFonts w:ascii="Arial" w:hAnsi="Arial" w:cs="Arial"/>
          <w:b w:val="0"/>
          <w:color w:val="000000" w:themeColor="text1"/>
          <w:sz w:val="22"/>
          <w:szCs w:val="22"/>
        </w:rPr>
        <w:t>Table 2. Principal deliverable acceptance criteria.</w:t>
      </w:r>
    </w:p>
    <w:tbl>
      <w:tblPr>
        <w:tblStyle w:val="TableGrid"/>
        <w:tblW w:w="0" w:type="auto"/>
        <w:jc w:val="center"/>
        <w:tblLook w:val="04A0" w:firstRow="1" w:lastRow="0" w:firstColumn="1" w:lastColumn="0" w:noHBand="0" w:noVBand="1"/>
      </w:tblPr>
      <w:tblGrid>
        <w:gridCol w:w="3134"/>
        <w:gridCol w:w="3134"/>
        <w:gridCol w:w="3134"/>
      </w:tblGrid>
      <w:tr w:rsidR="0070003B" w:rsidRPr="00F02C9D" w14:paraId="75CF99E8" w14:textId="77777777" w:rsidTr="00F02C9D">
        <w:trPr>
          <w:cantSplit/>
          <w:tblHeader/>
          <w:jc w:val="center"/>
        </w:trPr>
        <w:tc>
          <w:tcPr>
            <w:tcW w:w="3137" w:type="dxa"/>
            <w:vAlign w:val="center"/>
          </w:tcPr>
          <w:p w14:paraId="148D27EC"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Deliverable / criterion</w:t>
            </w:r>
          </w:p>
        </w:tc>
        <w:tc>
          <w:tcPr>
            <w:tcW w:w="3137" w:type="dxa"/>
            <w:vAlign w:val="center"/>
          </w:tcPr>
          <w:p w14:paraId="0641573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Acceptance evidence</w:t>
            </w:r>
          </w:p>
        </w:tc>
        <w:tc>
          <w:tcPr>
            <w:tcW w:w="3137" w:type="dxa"/>
            <w:vAlign w:val="center"/>
          </w:tcPr>
          <w:p w14:paraId="13BA86BC"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Accountable acceptor</w:t>
            </w:r>
          </w:p>
        </w:tc>
      </w:tr>
      <w:tr w:rsidR="0070003B" w:rsidRPr="00F02C9D" w14:paraId="2E5A0120" w14:textId="77777777">
        <w:trPr>
          <w:cantSplit/>
          <w:jc w:val="center"/>
        </w:trPr>
        <w:tc>
          <w:tcPr>
            <w:tcW w:w="3137" w:type="dxa"/>
            <w:vAlign w:val="center"/>
          </w:tcPr>
          <w:p w14:paraId="385061A7"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Safety authorisation</w:t>
            </w:r>
          </w:p>
        </w:tc>
        <w:tc>
          <w:tcPr>
            <w:tcW w:w="3137" w:type="dxa"/>
            <w:vAlign w:val="center"/>
          </w:tcPr>
          <w:p w14:paraId="7EBF0D9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Safety case, closed hazards and assurance</w:t>
            </w:r>
          </w:p>
        </w:tc>
        <w:tc>
          <w:tcPr>
            <w:tcW w:w="3137" w:type="dxa"/>
            <w:vAlign w:val="center"/>
          </w:tcPr>
          <w:p w14:paraId="027A7152"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Regulator / operator</w:t>
            </w:r>
          </w:p>
        </w:tc>
      </w:tr>
      <w:tr w:rsidR="0070003B" w:rsidRPr="00F02C9D" w14:paraId="124265A2" w14:textId="77777777">
        <w:trPr>
          <w:cantSplit/>
          <w:jc w:val="center"/>
        </w:trPr>
        <w:tc>
          <w:tcPr>
            <w:tcW w:w="3137" w:type="dxa"/>
            <w:vAlign w:val="center"/>
          </w:tcPr>
          <w:p w14:paraId="4DE9F428"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Inclusive access</w:t>
            </w:r>
          </w:p>
        </w:tc>
        <w:tc>
          <w:tcPr>
            <w:tcW w:w="3137" w:type="dxa"/>
            <w:vAlign w:val="center"/>
          </w:tcPr>
          <w:p w14:paraId="2348709C"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Step-free audit, information tests and user trials</w:t>
            </w:r>
          </w:p>
        </w:tc>
        <w:tc>
          <w:tcPr>
            <w:tcW w:w="3137" w:type="dxa"/>
            <w:vAlign w:val="center"/>
          </w:tcPr>
          <w:p w14:paraId="2D14CE7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SRO with access-panel advice</w:t>
            </w:r>
          </w:p>
        </w:tc>
      </w:tr>
      <w:tr w:rsidR="0070003B" w:rsidRPr="00F02C9D" w14:paraId="58958546" w14:textId="77777777">
        <w:trPr>
          <w:cantSplit/>
          <w:jc w:val="center"/>
        </w:trPr>
        <w:tc>
          <w:tcPr>
            <w:tcW w:w="3137" w:type="dxa"/>
            <w:vAlign w:val="center"/>
          </w:tcPr>
          <w:p w14:paraId="1841B1A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Operational capacity</w:t>
            </w:r>
          </w:p>
        </w:tc>
        <w:tc>
          <w:tcPr>
            <w:tcW w:w="3137" w:type="dxa"/>
            <w:vAlign w:val="center"/>
          </w:tcPr>
          <w:p w14:paraId="2B47FC5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Flow simulation and trial operations</w:t>
            </w:r>
          </w:p>
        </w:tc>
        <w:tc>
          <w:tcPr>
            <w:tcW w:w="3137" w:type="dxa"/>
            <w:vAlign w:val="center"/>
          </w:tcPr>
          <w:p w14:paraId="03A7D4A6"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Operations Lead / operators</w:t>
            </w:r>
          </w:p>
        </w:tc>
      </w:tr>
      <w:tr w:rsidR="0070003B" w:rsidRPr="00F02C9D" w14:paraId="5A56E4D6" w14:textId="77777777">
        <w:trPr>
          <w:cantSplit/>
          <w:jc w:val="center"/>
        </w:trPr>
        <w:tc>
          <w:tcPr>
            <w:tcW w:w="3137" w:type="dxa"/>
            <w:vAlign w:val="center"/>
          </w:tcPr>
          <w:p w14:paraId="7B26A545"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Digital systems</w:t>
            </w:r>
          </w:p>
        </w:tc>
        <w:tc>
          <w:tcPr>
            <w:tcW w:w="3137" w:type="dxa"/>
            <w:vAlign w:val="center"/>
          </w:tcPr>
          <w:p w14:paraId="149F35EA"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Integration, cyber and recovery tests</w:t>
            </w:r>
          </w:p>
        </w:tc>
        <w:tc>
          <w:tcPr>
            <w:tcW w:w="3137" w:type="dxa"/>
            <w:vAlign w:val="center"/>
          </w:tcPr>
          <w:p w14:paraId="3AE4106C"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Digital Product Owner</w:t>
            </w:r>
          </w:p>
        </w:tc>
      </w:tr>
      <w:tr w:rsidR="0070003B" w:rsidRPr="00F02C9D" w14:paraId="57164124" w14:textId="77777777">
        <w:trPr>
          <w:cantSplit/>
          <w:jc w:val="center"/>
        </w:trPr>
        <w:tc>
          <w:tcPr>
            <w:tcW w:w="3137" w:type="dxa"/>
            <w:vAlign w:val="center"/>
          </w:tcPr>
          <w:p w14:paraId="5295CB45"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Handover readiness</w:t>
            </w:r>
          </w:p>
        </w:tc>
        <w:tc>
          <w:tcPr>
            <w:tcW w:w="3137" w:type="dxa"/>
            <w:vAlign w:val="center"/>
          </w:tcPr>
          <w:p w14:paraId="57A3F4A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Trained staff, asset data and maintenance plans</w:t>
            </w:r>
          </w:p>
        </w:tc>
        <w:tc>
          <w:tcPr>
            <w:tcW w:w="3137" w:type="dxa"/>
            <w:vAlign w:val="center"/>
          </w:tcPr>
          <w:p w14:paraId="47EC80C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Transition Lead</w:t>
            </w:r>
          </w:p>
        </w:tc>
      </w:tr>
    </w:tbl>
    <w:p w14:paraId="0BCDE7E9"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t>4. Work Breakdown Structure (WBS)</w:t>
      </w:r>
    </w:p>
    <w:p w14:paraId="75468359"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 xml:space="preserve">Figure 1 decomposes the complete project into deliverable-oriented control accounts and work packages. The WBS provides a structured representation of all project work. Each lowest-level package receives an owner, description, acceptance criteria, dependencies, estimate, schedule </w:t>
      </w:r>
      <w:r w:rsidRPr="00F02C9D">
        <w:rPr>
          <w:rFonts w:ascii="Arial" w:hAnsi="Arial" w:cs="Arial"/>
          <w:bCs/>
          <w:color w:val="000000" w:themeColor="text1"/>
          <w:sz w:val="22"/>
        </w:rPr>
        <w:lastRenderedPageBreak/>
        <w:t>activities and cost code. The WBS therefore connects scope to the Gantt chart, budget, responsibility matrix, risks and progress reporting rather than acting as a decorative list.</w:t>
      </w:r>
    </w:p>
    <w:p w14:paraId="2D29E5E5" w14:textId="77777777" w:rsidR="0070003B" w:rsidRPr="00F02C9D" w:rsidRDefault="00000000">
      <w:pPr>
        <w:jc w:val="center"/>
        <w:rPr>
          <w:rFonts w:ascii="Arial" w:hAnsi="Arial" w:cs="Arial"/>
          <w:bCs/>
          <w:color w:val="000000" w:themeColor="text1"/>
          <w:sz w:val="22"/>
        </w:rPr>
      </w:pPr>
      <w:r w:rsidRPr="00F02C9D">
        <w:rPr>
          <w:rFonts w:ascii="Arial" w:hAnsi="Arial" w:cs="Arial"/>
          <w:bCs/>
          <w:noProof/>
          <w:color w:val="000000" w:themeColor="text1"/>
          <w:sz w:val="22"/>
        </w:rPr>
        <w:drawing>
          <wp:inline distT="0" distB="0" distL="0" distR="0" wp14:anchorId="37F2C4A2" wp14:editId="776E5A4F">
            <wp:extent cx="5832000" cy="3620921"/>
            <wp:effectExtent l="0" t="0" r="0" b="0"/>
            <wp:docPr id="1" name="Picture 1" descr="Deliverable-oriented work breakdown structure for the metropolitan transport hub renewal project." title="Deliverable-oriented work breakdown structure for the metropolitan transport hub renewal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bs.png"/>
                    <pic:cNvPicPr/>
                  </pic:nvPicPr>
                  <pic:blipFill>
                    <a:blip r:embed="rId11"/>
                    <a:stretch>
                      <a:fillRect/>
                    </a:stretch>
                  </pic:blipFill>
                  <pic:spPr>
                    <a:xfrm>
                      <a:off x="0" y="0"/>
                      <a:ext cx="5832000" cy="3620921"/>
                    </a:xfrm>
                    <a:prstGeom prst="rect">
                      <a:avLst/>
                    </a:prstGeom>
                  </pic:spPr>
                </pic:pic>
              </a:graphicData>
            </a:graphic>
          </wp:inline>
        </w:drawing>
      </w:r>
    </w:p>
    <w:p w14:paraId="3B653FB5"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Figure 1. Deliverable-oriented work breakdown structure for the hub renewal project.</w:t>
      </w:r>
    </w:p>
    <w:p w14:paraId="3649E177" w14:textId="77777777" w:rsidR="0070003B" w:rsidRPr="00F02C9D" w:rsidRDefault="00000000">
      <w:pPr>
        <w:jc w:val="both"/>
        <w:rPr>
          <w:rFonts w:ascii="Arial" w:hAnsi="Arial" w:cs="Arial"/>
          <w:bCs/>
          <w:color w:val="000000" w:themeColor="text1"/>
          <w:sz w:val="22"/>
        </w:rPr>
      </w:pPr>
      <w:r w:rsidRPr="00F02C9D">
        <w:rPr>
          <w:rFonts w:ascii="Arial" w:hAnsi="Arial" w:cs="Arial"/>
          <w:bCs/>
          <w:color w:val="000000" w:themeColor="text1"/>
          <w:sz w:val="22"/>
        </w:rPr>
        <w:t>The structure separates governance and assurance from technical delivery, while retaining dedicated packages for continuity, accessibility, digital systems, carbon management and handover. This avoids a common weakness in infrastructure plans: treating testing, transition and benefits as activities that occur automatically after construction. Work-package completion requires accepted evidence, not percentage estimates based only on expenditure.</w:t>
      </w:r>
    </w:p>
    <w:p w14:paraId="4B5B5C7C"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t>5. Quad Chart</w:t>
      </w:r>
    </w:p>
    <w:p w14:paraId="0AF7DB1D"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Table 3 provides the project’s single-page control summary. It is used at Project Board reviews to keep strategic purpose, deliverables, constraints and exposure visible together. The quad chart does not replace the detailed business case or plans; its limitation is deliberate compression, so every statement links to a controlled document or owner.</w:t>
      </w:r>
    </w:p>
    <w:p w14:paraId="619DA7BF"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Table 3. Project quad chart.</w:t>
      </w:r>
    </w:p>
    <w:tbl>
      <w:tblPr>
        <w:tblStyle w:val="TableGrid"/>
        <w:tblW w:w="0" w:type="auto"/>
        <w:jc w:val="center"/>
        <w:tblLook w:val="04A0" w:firstRow="1" w:lastRow="0" w:firstColumn="1" w:lastColumn="0" w:noHBand="0" w:noVBand="1"/>
      </w:tblPr>
      <w:tblGrid>
        <w:gridCol w:w="4701"/>
        <w:gridCol w:w="4701"/>
      </w:tblGrid>
      <w:tr w:rsidR="0070003B" w:rsidRPr="00F02C9D" w14:paraId="1B5382C5" w14:textId="77777777">
        <w:trPr>
          <w:cantSplit/>
          <w:jc w:val="center"/>
        </w:trPr>
        <w:tc>
          <w:tcPr>
            <w:tcW w:w="4706" w:type="dxa"/>
            <w:shd w:val="clear" w:color="auto" w:fill="EAF0F6"/>
            <w:tcMar>
              <w:top w:w="100" w:type="dxa"/>
              <w:left w:w="100" w:type="dxa"/>
              <w:bottom w:w="100" w:type="dxa"/>
              <w:right w:w="100" w:type="dxa"/>
            </w:tcMar>
            <w:vAlign w:val="center"/>
          </w:tcPr>
          <w:p w14:paraId="78393DC6"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PURPOSE &amp; OUTCOMES</w:t>
            </w:r>
          </w:p>
          <w:p w14:paraId="4703CAA4"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Restore safe multimodal capacity; deliver step-free and inclusive travel; improve passenger and freight coordination; support regeneration; reduce whole-life carbon; transfer a maintainable asset and measurable benefits.</w:t>
            </w:r>
          </w:p>
        </w:tc>
        <w:tc>
          <w:tcPr>
            <w:tcW w:w="4706" w:type="dxa"/>
            <w:shd w:val="clear" w:color="auto" w:fill="EAF0F6"/>
            <w:tcMar>
              <w:top w:w="100" w:type="dxa"/>
              <w:left w:w="100" w:type="dxa"/>
              <w:bottom w:w="100" w:type="dxa"/>
              <w:right w:w="100" w:type="dxa"/>
            </w:tcMar>
            <w:vAlign w:val="center"/>
          </w:tcPr>
          <w:p w14:paraId="7781DD33"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SCOPE &amp; DELIVERABLES</w:t>
            </w:r>
          </w:p>
          <w:p w14:paraId="4C0FF5BF"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Approved design and consents; temporary interchange; renewed structure and systems; accessible passenger facilities; digital flow/logistics platform; tested operations; trained staff; asset information; handover and benefits baseline.</w:t>
            </w:r>
          </w:p>
        </w:tc>
      </w:tr>
      <w:tr w:rsidR="0070003B" w:rsidRPr="00F02C9D" w14:paraId="70A2E9EC" w14:textId="77777777">
        <w:trPr>
          <w:cantSplit/>
          <w:jc w:val="center"/>
        </w:trPr>
        <w:tc>
          <w:tcPr>
            <w:tcW w:w="4706" w:type="dxa"/>
            <w:shd w:val="clear" w:color="auto" w:fill="EAF0F6"/>
            <w:tcMar>
              <w:top w:w="100" w:type="dxa"/>
              <w:left w:w="100" w:type="dxa"/>
              <w:bottom w:w="100" w:type="dxa"/>
              <w:right w:w="100" w:type="dxa"/>
            </w:tcMar>
            <w:vAlign w:val="center"/>
          </w:tcPr>
          <w:p w14:paraId="6DCC85FF"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lastRenderedPageBreak/>
              <w:t>TIME, COST &amp; GOVERNANCE</w:t>
            </w:r>
          </w:p>
          <w:p w14:paraId="5A3D7DF2"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36-month planning assumption. Stage gates at business case, concept/consent, contract award, construction completion and opening. Cost baseline established at Outline Business Case with quantified risk allowance and sponsor tolerances.</w:t>
            </w:r>
          </w:p>
        </w:tc>
        <w:tc>
          <w:tcPr>
            <w:tcW w:w="4706" w:type="dxa"/>
            <w:shd w:val="clear" w:color="auto" w:fill="EAF0F6"/>
            <w:tcMar>
              <w:top w:w="100" w:type="dxa"/>
              <w:left w:w="100" w:type="dxa"/>
              <w:bottom w:w="100" w:type="dxa"/>
              <w:right w:w="100" w:type="dxa"/>
            </w:tcMar>
            <w:vAlign w:val="center"/>
          </w:tcPr>
          <w:p w14:paraId="0415A5ED"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KEY RISKS &amp; STAKEHOLDERS</w:t>
            </w:r>
          </w:p>
          <w:p w14:paraId="4D8B35FC" w14:textId="77777777" w:rsidR="0070003B" w:rsidRPr="00F02C9D" w:rsidRDefault="00000000">
            <w:pPr>
              <w:spacing w:after="30" w:line="240" w:lineRule="auto"/>
              <w:jc w:val="both"/>
              <w:rPr>
                <w:rFonts w:ascii="Arial" w:hAnsi="Arial" w:cs="Arial"/>
                <w:bCs/>
                <w:color w:val="000000" w:themeColor="text1"/>
                <w:sz w:val="22"/>
              </w:rPr>
            </w:pPr>
            <w:r w:rsidRPr="00F02C9D">
              <w:rPr>
                <w:rFonts w:ascii="Arial" w:hAnsi="Arial" w:cs="Arial"/>
                <w:bCs/>
                <w:color w:val="000000" w:themeColor="text1"/>
                <w:sz w:val="22"/>
              </w:rPr>
              <w:t>Asset condition; approvals; utility interfaces; safety; market inflation; temporary operations; digital integration; accessibility; carbon and opposition. Key parties: sponsor, funders, operators, regulators, passengers, access groups, local businesses and delivery partners.</w:t>
            </w:r>
          </w:p>
        </w:tc>
      </w:tr>
    </w:tbl>
    <w:p w14:paraId="34F4F9B9"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t>6. Gantt Chart</w:t>
      </w:r>
    </w:p>
    <w:p w14:paraId="351CF2C4"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Figure 2 translates the WBS into a 36-month integrated schedule. The critical path is expected to run through surveys and concept approval, statutory approvals, detailed design and procurement, enabling works, structural construction, systems integration, safety authorisation and handover. The exact critical path must be recalculated when suppliers provide logic-linked schedules; the high-level chart cannot display detailed dependencies, calendars, resource limits or float.</w:t>
      </w:r>
    </w:p>
    <w:p w14:paraId="329A2AC3" w14:textId="77777777" w:rsidR="0070003B" w:rsidRPr="00F02C9D" w:rsidRDefault="00000000">
      <w:pPr>
        <w:jc w:val="center"/>
        <w:rPr>
          <w:rFonts w:ascii="Arial" w:hAnsi="Arial" w:cs="Arial"/>
          <w:bCs/>
          <w:color w:val="000000" w:themeColor="text1"/>
          <w:sz w:val="22"/>
        </w:rPr>
      </w:pPr>
      <w:r w:rsidRPr="00F02C9D">
        <w:rPr>
          <w:rFonts w:ascii="Arial" w:hAnsi="Arial" w:cs="Arial"/>
          <w:bCs/>
          <w:noProof/>
          <w:color w:val="000000" w:themeColor="text1"/>
          <w:sz w:val="22"/>
        </w:rPr>
        <w:drawing>
          <wp:inline distT="0" distB="0" distL="0" distR="0" wp14:anchorId="5F8B7246" wp14:editId="03ABBEBA">
            <wp:extent cx="5903999" cy="3117817"/>
            <wp:effectExtent l="0" t="0" r="0" b="0"/>
            <wp:docPr id="2" name="Picture 2" descr="High-level 36-month Gantt chart showing project phases, dependencies and milestones." title="High-level 36-month Gantt chart showing project phases, dependencies and milest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png"/>
                    <pic:cNvPicPr/>
                  </pic:nvPicPr>
                  <pic:blipFill>
                    <a:blip r:embed="rId12"/>
                    <a:stretch>
                      <a:fillRect/>
                    </a:stretch>
                  </pic:blipFill>
                  <pic:spPr>
                    <a:xfrm>
                      <a:off x="0" y="0"/>
                      <a:ext cx="5903999" cy="3117817"/>
                    </a:xfrm>
                    <a:prstGeom prst="rect">
                      <a:avLst/>
                    </a:prstGeom>
                  </pic:spPr>
                </pic:pic>
              </a:graphicData>
            </a:graphic>
          </wp:inline>
        </w:drawing>
      </w:r>
    </w:p>
    <w:p w14:paraId="5F674159"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Figure 2. High-level 36-month Gantt chart.</w:t>
      </w:r>
    </w:p>
    <w:p w14:paraId="1742CA40" w14:textId="77777777" w:rsidR="0070003B" w:rsidRPr="00F02C9D" w:rsidRDefault="00000000">
      <w:pPr>
        <w:jc w:val="both"/>
        <w:rPr>
          <w:rFonts w:ascii="Arial" w:hAnsi="Arial" w:cs="Arial"/>
          <w:bCs/>
          <w:color w:val="000000" w:themeColor="text1"/>
          <w:sz w:val="22"/>
        </w:rPr>
      </w:pPr>
      <w:r w:rsidRPr="00F02C9D">
        <w:rPr>
          <w:rFonts w:ascii="Arial" w:hAnsi="Arial" w:cs="Arial"/>
          <w:bCs/>
          <w:color w:val="000000" w:themeColor="text1"/>
          <w:sz w:val="22"/>
        </w:rPr>
        <w:t>Schedule control uses a formally approved baseline, monthly status date, milestone trend analysis, critical-path review and forecast completion. Near-term work is planned in greater detail through rolling-wave planning. Digital releases overlap construction so interfaces can be tested early, but final commissioning follows physical installation and operational readiness. Schedule compression is not accepted where it removes safety testing or accessibility validation. Recovery options include resequencing, additional shifts and off-site manufacture, subject to risk, workforce and cost assessment.</w:t>
      </w:r>
    </w:p>
    <w:p w14:paraId="7855C7B2"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Near-critical paths, resource constraints and interfaces are reviewed alongside the critical path. Recovery may resequence work or add resources, but cannot bypass safety evidence, accessibility trials or quality hold points.</w:t>
      </w:r>
    </w:p>
    <w:p w14:paraId="0DDAFEB0"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lastRenderedPageBreak/>
        <w:t>7. Stakeholders’ Involvement</w:t>
      </w:r>
    </w:p>
    <w:p w14:paraId="2569658E"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Stakeholder management is central because transport projects distribute disruption, benefits and decision power unevenly. Stakeholder influence depends on interests, formal position and the capacity to affect delivery. Figure 3 therefore groups stakeholders by power and interest, while engagement is further adjusted for legitimacy, urgency, accessibility and the project phase.</w:t>
      </w:r>
    </w:p>
    <w:p w14:paraId="5769B43A" w14:textId="77777777" w:rsidR="0070003B" w:rsidRPr="00F02C9D" w:rsidRDefault="00000000">
      <w:pPr>
        <w:jc w:val="center"/>
        <w:rPr>
          <w:rFonts w:ascii="Arial" w:hAnsi="Arial" w:cs="Arial"/>
          <w:bCs/>
          <w:color w:val="000000" w:themeColor="text1"/>
          <w:sz w:val="22"/>
        </w:rPr>
      </w:pPr>
      <w:r w:rsidRPr="00F02C9D">
        <w:rPr>
          <w:rFonts w:ascii="Arial" w:hAnsi="Arial" w:cs="Arial"/>
          <w:bCs/>
          <w:noProof/>
          <w:color w:val="000000" w:themeColor="text1"/>
          <w:sz w:val="22"/>
        </w:rPr>
        <w:drawing>
          <wp:inline distT="0" distB="0" distL="0" distR="0" wp14:anchorId="6EC08A22" wp14:editId="6B802CC4">
            <wp:extent cx="4968000" cy="3795714"/>
            <wp:effectExtent l="0" t="0" r="0" b="0"/>
            <wp:docPr id="3" name="Picture 3" descr="Stakeholder power-interest matrix for the metropolitan transport hub renewal project." title="Stakeholder power-interest matrix for the metropolitan transport hub renewal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keholder_matrix.png"/>
                    <pic:cNvPicPr/>
                  </pic:nvPicPr>
                  <pic:blipFill>
                    <a:blip r:embed="rId13"/>
                    <a:stretch>
                      <a:fillRect/>
                    </a:stretch>
                  </pic:blipFill>
                  <pic:spPr>
                    <a:xfrm>
                      <a:off x="0" y="0"/>
                      <a:ext cx="4968000" cy="3795714"/>
                    </a:xfrm>
                    <a:prstGeom prst="rect">
                      <a:avLst/>
                    </a:prstGeom>
                  </pic:spPr>
                </pic:pic>
              </a:graphicData>
            </a:graphic>
          </wp:inline>
        </w:drawing>
      </w:r>
    </w:p>
    <w:p w14:paraId="0D340564"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Figure 3. Stakeholder power–interest matrix.</w:t>
      </w:r>
    </w:p>
    <w:p w14:paraId="1FBF8B85"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Table 4. Stakeholder involvement plan.</w:t>
      </w:r>
    </w:p>
    <w:tbl>
      <w:tblPr>
        <w:tblStyle w:val="TableGrid"/>
        <w:tblW w:w="0" w:type="auto"/>
        <w:jc w:val="center"/>
        <w:tblLook w:val="04A0" w:firstRow="1" w:lastRow="0" w:firstColumn="1" w:lastColumn="0" w:noHBand="0" w:noVBand="1"/>
      </w:tblPr>
      <w:tblGrid>
        <w:gridCol w:w="2350"/>
        <w:gridCol w:w="2351"/>
        <w:gridCol w:w="2350"/>
        <w:gridCol w:w="2351"/>
      </w:tblGrid>
      <w:tr w:rsidR="0070003B" w:rsidRPr="00F02C9D" w14:paraId="2F60DB57" w14:textId="77777777" w:rsidTr="00F02C9D">
        <w:trPr>
          <w:cantSplit/>
          <w:tblHeader/>
          <w:jc w:val="center"/>
        </w:trPr>
        <w:tc>
          <w:tcPr>
            <w:tcW w:w="2353" w:type="dxa"/>
            <w:tcMar>
              <w:top w:w="100" w:type="dxa"/>
              <w:left w:w="100" w:type="dxa"/>
              <w:bottom w:w="100" w:type="dxa"/>
              <w:right w:w="100" w:type="dxa"/>
            </w:tcMar>
            <w:vAlign w:val="center"/>
          </w:tcPr>
          <w:p w14:paraId="12583E04"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Stakeholder group</w:t>
            </w:r>
          </w:p>
        </w:tc>
        <w:tc>
          <w:tcPr>
            <w:tcW w:w="2353" w:type="dxa"/>
            <w:tcMar>
              <w:top w:w="100" w:type="dxa"/>
              <w:left w:w="100" w:type="dxa"/>
              <w:bottom w:w="100" w:type="dxa"/>
              <w:right w:w="100" w:type="dxa"/>
            </w:tcMar>
            <w:vAlign w:val="center"/>
          </w:tcPr>
          <w:p w14:paraId="5E4FEAFB"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Main interest / influence</w:t>
            </w:r>
          </w:p>
        </w:tc>
        <w:tc>
          <w:tcPr>
            <w:tcW w:w="2353" w:type="dxa"/>
            <w:tcMar>
              <w:top w:w="100" w:type="dxa"/>
              <w:left w:w="100" w:type="dxa"/>
              <w:bottom w:w="100" w:type="dxa"/>
              <w:right w:w="100" w:type="dxa"/>
            </w:tcMar>
            <w:vAlign w:val="center"/>
          </w:tcPr>
          <w:p w14:paraId="3AF67C9F"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Engagement method</w:t>
            </w:r>
          </w:p>
        </w:tc>
        <w:tc>
          <w:tcPr>
            <w:tcW w:w="2353" w:type="dxa"/>
            <w:tcMar>
              <w:top w:w="100" w:type="dxa"/>
              <w:left w:w="100" w:type="dxa"/>
              <w:bottom w:w="100" w:type="dxa"/>
              <w:right w:w="100" w:type="dxa"/>
            </w:tcMar>
            <w:vAlign w:val="center"/>
          </w:tcPr>
          <w:p w14:paraId="1D17A6A5"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Frequency / owner</w:t>
            </w:r>
          </w:p>
        </w:tc>
      </w:tr>
      <w:tr w:rsidR="0070003B" w:rsidRPr="00F02C9D" w14:paraId="4B716135" w14:textId="77777777">
        <w:trPr>
          <w:cantSplit/>
          <w:jc w:val="center"/>
        </w:trPr>
        <w:tc>
          <w:tcPr>
            <w:tcW w:w="2353" w:type="dxa"/>
            <w:tcMar>
              <w:top w:w="100" w:type="dxa"/>
              <w:left w:w="100" w:type="dxa"/>
              <w:bottom w:w="100" w:type="dxa"/>
              <w:right w:w="100" w:type="dxa"/>
            </w:tcMar>
            <w:vAlign w:val="center"/>
          </w:tcPr>
          <w:p w14:paraId="31CB5274"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SRO, funders and Project Board</w:t>
            </w:r>
          </w:p>
        </w:tc>
        <w:tc>
          <w:tcPr>
            <w:tcW w:w="2353" w:type="dxa"/>
            <w:tcMar>
              <w:top w:w="100" w:type="dxa"/>
              <w:left w:w="100" w:type="dxa"/>
              <w:bottom w:w="100" w:type="dxa"/>
              <w:right w:w="100" w:type="dxa"/>
            </w:tcMar>
            <w:vAlign w:val="center"/>
          </w:tcPr>
          <w:p w14:paraId="6026E84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Business case, affordability, outcomes and tolerance decisions</w:t>
            </w:r>
          </w:p>
        </w:tc>
        <w:tc>
          <w:tcPr>
            <w:tcW w:w="2353" w:type="dxa"/>
            <w:tcMar>
              <w:top w:w="100" w:type="dxa"/>
              <w:left w:w="100" w:type="dxa"/>
              <w:bottom w:w="100" w:type="dxa"/>
              <w:right w:w="100" w:type="dxa"/>
            </w:tcMar>
            <w:vAlign w:val="center"/>
          </w:tcPr>
          <w:p w14:paraId="4FAAF31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Stage-gate papers, dashboard, decision log and assurance reviews</w:t>
            </w:r>
          </w:p>
        </w:tc>
        <w:tc>
          <w:tcPr>
            <w:tcW w:w="2353" w:type="dxa"/>
            <w:tcMar>
              <w:top w:w="100" w:type="dxa"/>
              <w:left w:w="100" w:type="dxa"/>
              <w:bottom w:w="100" w:type="dxa"/>
              <w:right w:w="100" w:type="dxa"/>
            </w:tcMar>
            <w:vAlign w:val="center"/>
          </w:tcPr>
          <w:p w14:paraId="6C3BC13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Monthly / Project Manager</w:t>
            </w:r>
          </w:p>
        </w:tc>
      </w:tr>
      <w:tr w:rsidR="0070003B" w:rsidRPr="00F02C9D" w14:paraId="1D30D758" w14:textId="77777777">
        <w:trPr>
          <w:cantSplit/>
          <w:jc w:val="center"/>
        </w:trPr>
        <w:tc>
          <w:tcPr>
            <w:tcW w:w="2353" w:type="dxa"/>
            <w:tcMar>
              <w:top w:w="100" w:type="dxa"/>
              <w:left w:w="100" w:type="dxa"/>
              <w:bottom w:w="100" w:type="dxa"/>
              <w:right w:w="100" w:type="dxa"/>
            </w:tcMar>
            <w:vAlign w:val="center"/>
          </w:tcPr>
          <w:p w14:paraId="57AB077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Network owners, operators and regulators</w:t>
            </w:r>
          </w:p>
        </w:tc>
        <w:tc>
          <w:tcPr>
            <w:tcW w:w="2353" w:type="dxa"/>
            <w:tcMar>
              <w:top w:w="100" w:type="dxa"/>
              <w:left w:w="100" w:type="dxa"/>
              <w:bottom w:w="100" w:type="dxa"/>
              <w:right w:w="100" w:type="dxa"/>
            </w:tcMar>
            <w:vAlign w:val="center"/>
          </w:tcPr>
          <w:p w14:paraId="574B536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Safe interfaces, possessions, operability and authorisation</w:t>
            </w:r>
          </w:p>
        </w:tc>
        <w:tc>
          <w:tcPr>
            <w:tcW w:w="2353" w:type="dxa"/>
            <w:tcMar>
              <w:top w:w="100" w:type="dxa"/>
              <w:left w:w="100" w:type="dxa"/>
              <w:bottom w:w="100" w:type="dxa"/>
              <w:right w:w="100" w:type="dxa"/>
            </w:tcMar>
            <w:vAlign w:val="center"/>
          </w:tcPr>
          <w:p w14:paraId="7FCC5097"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Interface boards, design reviews, hazard workshops and test witnessing</w:t>
            </w:r>
          </w:p>
        </w:tc>
        <w:tc>
          <w:tcPr>
            <w:tcW w:w="2353" w:type="dxa"/>
            <w:tcMar>
              <w:top w:w="100" w:type="dxa"/>
              <w:left w:w="100" w:type="dxa"/>
              <w:bottom w:w="100" w:type="dxa"/>
              <w:right w:w="100" w:type="dxa"/>
            </w:tcMar>
            <w:vAlign w:val="center"/>
          </w:tcPr>
          <w:p w14:paraId="5C3CA272"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Fortnightly / Integration Lead</w:t>
            </w:r>
          </w:p>
        </w:tc>
      </w:tr>
      <w:tr w:rsidR="0070003B" w:rsidRPr="00F02C9D" w14:paraId="1BDF8E7C" w14:textId="77777777">
        <w:trPr>
          <w:cantSplit/>
          <w:jc w:val="center"/>
        </w:trPr>
        <w:tc>
          <w:tcPr>
            <w:tcW w:w="2353" w:type="dxa"/>
            <w:tcMar>
              <w:top w:w="100" w:type="dxa"/>
              <w:left w:w="100" w:type="dxa"/>
              <w:bottom w:w="100" w:type="dxa"/>
              <w:right w:w="100" w:type="dxa"/>
            </w:tcMar>
            <w:vAlign w:val="center"/>
          </w:tcPr>
          <w:p w14:paraId="75C1FBF8"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Passengers and accessibility organisations</w:t>
            </w:r>
          </w:p>
        </w:tc>
        <w:tc>
          <w:tcPr>
            <w:tcW w:w="2353" w:type="dxa"/>
            <w:tcMar>
              <w:top w:w="100" w:type="dxa"/>
              <w:left w:w="100" w:type="dxa"/>
              <w:bottom w:w="100" w:type="dxa"/>
              <w:right w:w="100" w:type="dxa"/>
            </w:tcMar>
            <w:vAlign w:val="center"/>
          </w:tcPr>
          <w:p w14:paraId="2DEC515B"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Step-free movement, information, dignity and confidence</w:t>
            </w:r>
          </w:p>
        </w:tc>
        <w:tc>
          <w:tcPr>
            <w:tcW w:w="2353" w:type="dxa"/>
            <w:tcMar>
              <w:top w:w="100" w:type="dxa"/>
              <w:left w:w="100" w:type="dxa"/>
              <w:bottom w:w="100" w:type="dxa"/>
              <w:right w:w="100" w:type="dxa"/>
            </w:tcMar>
            <w:vAlign w:val="center"/>
          </w:tcPr>
          <w:p w14:paraId="5DF9D81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Paid co-design panels, prototype trials, access audits and response reports</w:t>
            </w:r>
          </w:p>
        </w:tc>
        <w:tc>
          <w:tcPr>
            <w:tcW w:w="2353" w:type="dxa"/>
            <w:tcMar>
              <w:top w:w="100" w:type="dxa"/>
              <w:left w:w="100" w:type="dxa"/>
              <w:bottom w:w="100" w:type="dxa"/>
              <w:right w:w="100" w:type="dxa"/>
            </w:tcMar>
            <w:vAlign w:val="center"/>
          </w:tcPr>
          <w:p w14:paraId="54E2CD0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At each design/release stage / Engagement Lead</w:t>
            </w:r>
          </w:p>
        </w:tc>
      </w:tr>
      <w:tr w:rsidR="0070003B" w:rsidRPr="00F02C9D" w14:paraId="2F0B93A7" w14:textId="77777777">
        <w:trPr>
          <w:cantSplit/>
          <w:jc w:val="center"/>
        </w:trPr>
        <w:tc>
          <w:tcPr>
            <w:tcW w:w="2353" w:type="dxa"/>
            <w:tcMar>
              <w:top w:w="100" w:type="dxa"/>
              <w:left w:w="100" w:type="dxa"/>
              <w:bottom w:w="100" w:type="dxa"/>
              <w:right w:w="100" w:type="dxa"/>
            </w:tcMar>
            <w:vAlign w:val="center"/>
          </w:tcPr>
          <w:p w14:paraId="6A69ECD5"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lastRenderedPageBreak/>
              <w:t>Residents, businesses and freight users</w:t>
            </w:r>
          </w:p>
        </w:tc>
        <w:tc>
          <w:tcPr>
            <w:tcW w:w="2353" w:type="dxa"/>
            <w:tcMar>
              <w:top w:w="100" w:type="dxa"/>
              <w:left w:w="100" w:type="dxa"/>
              <w:bottom w:w="100" w:type="dxa"/>
              <w:right w:w="100" w:type="dxa"/>
            </w:tcMar>
            <w:vAlign w:val="center"/>
          </w:tcPr>
          <w:p w14:paraId="7CAF93A6"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Disruption, access, deliveries, local benefits and compensation</w:t>
            </w:r>
          </w:p>
        </w:tc>
        <w:tc>
          <w:tcPr>
            <w:tcW w:w="2353" w:type="dxa"/>
            <w:tcMar>
              <w:top w:w="100" w:type="dxa"/>
              <w:left w:w="100" w:type="dxa"/>
              <w:bottom w:w="100" w:type="dxa"/>
              <w:right w:w="100" w:type="dxa"/>
            </w:tcMar>
            <w:vAlign w:val="center"/>
          </w:tcPr>
          <w:p w14:paraId="76C0333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Public forums, targeted logistics plans, notices, complaints route and liaison groups</w:t>
            </w:r>
          </w:p>
        </w:tc>
        <w:tc>
          <w:tcPr>
            <w:tcW w:w="2353" w:type="dxa"/>
            <w:tcMar>
              <w:top w:w="100" w:type="dxa"/>
              <w:left w:w="100" w:type="dxa"/>
              <w:bottom w:w="100" w:type="dxa"/>
              <w:right w:w="100" w:type="dxa"/>
            </w:tcMar>
            <w:vAlign w:val="center"/>
          </w:tcPr>
          <w:p w14:paraId="46791AF2"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Monthly and before disruptive work / Community Lead</w:t>
            </w:r>
          </w:p>
        </w:tc>
      </w:tr>
      <w:tr w:rsidR="0070003B" w:rsidRPr="00F02C9D" w14:paraId="53955DE4" w14:textId="77777777">
        <w:trPr>
          <w:cantSplit/>
          <w:jc w:val="center"/>
        </w:trPr>
        <w:tc>
          <w:tcPr>
            <w:tcW w:w="2353" w:type="dxa"/>
            <w:tcMar>
              <w:top w:w="100" w:type="dxa"/>
              <w:left w:w="100" w:type="dxa"/>
              <w:bottom w:w="100" w:type="dxa"/>
              <w:right w:w="100" w:type="dxa"/>
            </w:tcMar>
            <w:vAlign w:val="center"/>
          </w:tcPr>
          <w:p w14:paraId="6A2C2A0F"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Contractors, workforce and unions</w:t>
            </w:r>
          </w:p>
        </w:tc>
        <w:tc>
          <w:tcPr>
            <w:tcW w:w="2353" w:type="dxa"/>
            <w:tcMar>
              <w:top w:w="100" w:type="dxa"/>
              <w:left w:w="100" w:type="dxa"/>
              <w:bottom w:w="100" w:type="dxa"/>
              <w:right w:w="100" w:type="dxa"/>
            </w:tcMar>
            <w:vAlign w:val="center"/>
          </w:tcPr>
          <w:p w14:paraId="3B566AB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Safe methods, workload, competence, employment and constructability</w:t>
            </w:r>
          </w:p>
        </w:tc>
        <w:tc>
          <w:tcPr>
            <w:tcW w:w="2353" w:type="dxa"/>
            <w:tcMar>
              <w:top w:w="100" w:type="dxa"/>
              <w:left w:w="100" w:type="dxa"/>
              <w:bottom w:w="100" w:type="dxa"/>
              <w:right w:w="100" w:type="dxa"/>
            </w:tcMar>
            <w:vAlign w:val="center"/>
          </w:tcPr>
          <w:p w14:paraId="7D491CE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Daily coordination, safety leadership, design-for-construction and workforce forums</w:t>
            </w:r>
          </w:p>
        </w:tc>
        <w:tc>
          <w:tcPr>
            <w:tcW w:w="2353" w:type="dxa"/>
            <w:tcMar>
              <w:top w:w="100" w:type="dxa"/>
              <w:left w:w="100" w:type="dxa"/>
              <w:bottom w:w="100" w:type="dxa"/>
              <w:right w:w="100" w:type="dxa"/>
            </w:tcMar>
            <w:vAlign w:val="center"/>
          </w:tcPr>
          <w:p w14:paraId="78E7117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Daily/weekly / Construction Director</w:t>
            </w:r>
          </w:p>
        </w:tc>
      </w:tr>
    </w:tbl>
    <w:p w14:paraId="243FCA13" w14:textId="77777777" w:rsidR="0070003B" w:rsidRPr="00F02C9D" w:rsidRDefault="00000000">
      <w:pPr>
        <w:jc w:val="both"/>
        <w:rPr>
          <w:rFonts w:ascii="Arial" w:hAnsi="Arial" w:cs="Arial"/>
          <w:bCs/>
          <w:color w:val="000000" w:themeColor="text1"/>
          <w:sz w:val="22"/>
        </w:rPr>
      </w:pPr>
      <w:r w:rsidRPr="00F02C9D">
        <w:rPr>
          <w:rFonts w:ascii="Arial" w:hAnsi="Arial" w:cs="Arial"/>
          <w:bCs/>
          <w:color w:val="000000" w:themeColor="text1"/>
          <w:sz w:val="22"/>
        </w:rPr>
        <w:t>Consultation is not equivalent to shared decision authority. Statutory, safety and budget decisions remain with accountable bodies, but reasons and trade-offs are published. Participation is made accessible through multiple formats, accessible venues, remote options and compensated specialist input. An issue-and-commitment register records what was heard, the response and the accountable owner. This strengthens trust while preventing consultation from becoming an untraceable collection of promises.</w:t>
      </w:r>
    </w:p>
    <w:p w14:paraId="3E37F100"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t>8. Allocation of Resources</w:t>
      </w:r>
    </w:p>
    <w:p w14:paraId="03256C63"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Governance separates direction from delivery. The SRO owns the business case and benefits; the Project Board sets tolerances and resolves escalated issues; the project manager integrates delivery; and the PMO maintains controls, information and assurance. The sponsor and PMO form part of the wider value-delivery system rather than simply providing administration. Technical leadership includes design, systems integration, commercial, planning, safety, environment/carbon, digital product, stakeholder and operations-transition roles.</w:t>
      </w:r>
    </w:p>
    <w:p w14:paraId="4DBBCE35"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Table 5. Resource allocation and control budget profile.</w:t>
      </w:r>
    </w:p>
    <w:tbl>
      <w:tblPr>
        <w:tblStyle w:val="TableGrid"/>
        <w:tblW w:w="0" w:type="auto"/>
        <w:jc w:val="center"/>
        <w:tblLook w:val="04A0" w:firstRow="1" w:lastRow="0" w:firstColumn="1" w:lastColumn="0" w:noHBand="0" w:noVBand="1"/>
      </w:tblPr>
      <w:tblGrid>
        <w:gridCol w:w="2351"/>
        <w:gridCol w:w="2350"/>
        <w:gridCol w:w="2350"/>
        <w:gridCol w:w="2351"/>
      </w:tblGrid>
      <w:tr w:rsidR="0070003B" w:rsidRPr="00F02C9D" w14:paraId="283F7CEC" w14:textId="77777777" w:rsidTr="00F02C9D">
        <w:trPr>
          <w:cantSplit/>
          <w:tblHeader/>
          <w:jc w:val="center"/>
        </w:trPr>
        <w:tc>
          <w:tcPr>
            <w:tcW w:w="2353" w:type="dxa"/>
            <w:tcMar>
              <w:top w:w="100" w:type="dxa"/>
              <w:left w:w="100" w:type="dxa"/>
              <w:bottom w:w="100" w:type="dxa"/>
              <w:right w:w="100" w:type="dxa"/>
            </w:tcMar>
            <w:vAlign w:val="center"/>
          </w:tcPr>
          <w:p w14:paraId="38E2A298"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Resource / cost group</w:t>
            </w:r>
          </w:p>
        </w:tc>
        <w:tc>
          <w:tcPr>
            <w:tcW w:w="2353" w:type="dxa"/>
            <w:tcMar>
              <w:top w:w="100" w:type="dxa"/>
              <w:left w:w="100" w:type="dxa"/>
              <w:bottom w:w="100" w:type="dxa"/>
              <w:right w:w="100" w:type="dxa"/>
            </w:tcMar>
            <w:vAlign w:val="center"/>
          </w:tcPr>
          <w:p w14:paraId="69847BCE"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Peak phase</w:t>
            </w:r>
          </w:p>
        </w:tc>
        <w:tc>
          <w:tcPr>
            <w:tcW w:w="2353" w:type="dxa"/>
            <w:tcMar>
              <w:top w:w="100" w:type="dxa"/>
              <w:left w:w="100" w:type="dxa"/>
              <w:bottom w:w="100" w:type="dxa"/>
              <w:right w:w="100" w:type="dxa"/>
            </w:tcMar>
            <w:vAlign w:val="center"/>
          </w:tcPr>
          <w:p w14:paraId="1A8E7ED5"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Indicative budget share</w:t>
            </w:r>
          </w:p>
        </w:tc>
        <w:tc>
          <w:tcPr>
            <w:tcW w:w="2353" w:type="dxa"/>
            <w:tcMar>
              <w:top w:w="100" w:type="dxa"/>
              <w:left w:w="100" w:type="dxa"/>
              <w:bottom w:w="100" w:type="dxa"/>
              <w:right w:w="100" w:type="dxa"/>
            </w:tcMar>
            <w:vAlign w:val="center"/>
          </w:tcPr>
          <w:p w14:paraId="67A4618E"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Control responsibility</w:t>
            </w:r>
          </w:p>
        </w:tc>
      </w:tr>
      <w:tr w:rsidR="0070003B" w:rsidRPr="00F02C9D" w14:paraId="1F08CAD7" w14:textId="77777777">
        <w:trPr>
          <w:cantSplit/>
          <w:jc w:val="center"/>
        </w:trPr>
        <w:tc>
          <w:tcPr>
            <w:tcW w:w="2353" w:type="dxa"/>
            <w:tcMar>
              <w:top w:w="100" w:type="dxa"/>
              <w:left w:w="100" w:type="dxa"/>
              <w:bottom w:w="100" w:type="dxa"/>
              <w:right w:w="100" w:type="dxa"/>
            </w:tcMar>
            <w:vAlign w:val="center"/>
          </w:tcPr>
          <w:p w14:paraId="26A838A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Client team, PMO, assurance and professional services</w:t>
            </w:r>
          </w:p>
        </w:tc>
        <w:tc>
          <w:tcPr>
            <w:tcW w:w="2353" w:type="dxa"/>
            <w:tcMar>
              <w:top w:w="100" w:type="dxa"/>
              <w:left w:w="100" w:type="dxa"/>
              <w:bottom w:w="100" w:type="dxa"/>
              <w:right w:w="100" w:type="dxa"/>
            </w:tcMar>
            <w:vAlign w:val="center"/>
          </w:tcPr>
          <w:p w14:paraId="1E9182F5"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All phases</w:t>
            </w:r>
          </w:p>
        </w:tc>
        <w:tc>
          <w:tcPr>
            <w:tcW w:w="2353" w:type="dxa"/>
            <w:tcMar>
              <w:top w:w="100" w:type="dxa"/>
              <w:left w:w="100" w:type="dxa"/>
              <w:bottom w:w="100" w:type="dxa"/>
              <w:right w:w="100" w:type="dxa"/>
            </w:tcMar>
            <w:vAlign w:val="center"/>
          </w:tcPr>
          <w:p w14:paraId="4F59BE4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10%</w:t>
            </w:r>
          </w:p>
        </w:tc>
        <w:tc>
          <w:tcPr>
            <w:tcW w:w="2353" w:type="dxa"/>
            <w:tcMar>
              <w:top w:w="100" w:type="dxa"/>
              <w:left w:w="100" w:type="dxa"/>
              <w:bottom w:w="100" w:type="dxa"/>
              <w:right w:w="100" w:type="dxa"/>
            </w:tcMar>
            <w:vAlign w:val="center"/>
          </w:tcPr>
          <w:p w14:paraId="40E4A7D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SRO / Project Manager</w:t>
            </w:r>
          </w:p>
        </w:tc>
      </w:tr>
      <w:tr w:rsidR="0070003B" w:rsidRPr="00F02C9D" w14:paraId="539CFE1E" w14:textId="77777777">
        <w:trPr>
          <w:cantSplit/>
          <w:jc w:val="center"/>
        </w:trPr>
        <w:tc>
          <w:tcPr>
            <w:tcW w:w="2353" w:type="dxa"/>
            <w:tcMar>
              <w:top w:w="100" w:type="dxa"/>
              <w:left w:w="100" w:type="dxa"/>
              <w:bottom w:w="100" w:type="dxa"/>
              <w:right w:w="100" w:type="dxa"/>
            </w:tcMar>
            <w:vAlign w:val="center"/>
          </w:tcPr>
          <w:p w14:paraId="2F5A4FC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Design, surveys, consents and information management</w:t>
            </w:r>
          </w:p>
        </w:tc>
        <w:tc>
          <w:tcPr>
            <w:tcW w:w="2353" w:type="dxa"/>
            <w:tcMar>
              <w:top w:w="100" w:type="dxa"/>
              <w:left w:w="100" w:type="dxa"/>
              <w:bottom w:w="100" w:type="dxa"/>
              <w:right w:w="100" w:type="dxa"/>
            </w:tcMar>
            <w:vAlign w:val="center"/>
          </w:tcPr>
          <w:p w14:paraId="36B27B0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Months 1–16</w:t>
            </w:r>
          </w:p>
        </w:tc>
        <w:tc>
          <w:tcPr>
            <w:tcW w:w="2353" w:type="dxa"/>
            <w:tcMar>
              <w:top w:w="100" w:type="dxa"/>
              <w:left w:w="100" w:type="dxa"/>
              <w:bottom w:w="100" w:type="dxa"/>
              <w:right w:w="100" w:type="dxa"/>
            </w:tcMar>
            <w:vAlign w:val="center"/>
          </w:tcPr>
          <w:p w14:paraId="782776B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10%</w:t>
            </w:r>
          </w:p>
        </w:tc>
        <w:tc>
          <w:tcPr>
            <w:tcW w:w="2353" w:type="dxa"/>
            <w:tcMar>
              <w:top w:w="100" w:type="dxa"/>
              <w:left w:w="100" w:type="dxa"/>
              <w:bottom w:w="100" w:type="dxa"/>
              <w:right w:w="100" w:type="dxa"/>
            </w:tcMar>
            <w:vAlign w:val="center"/>
          </w:tcPr>
          <w:p w14:paraId="1D013D65"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Design Director</w:t>
            </w:r>
          </w:p>
        </w:tc>
      </w:tr>
      <w:tr w:rsidR="0070003B" w:rsidRPr="00F02C9D" w14:paraId="75BA1B1F" w14:textId="77777777">
        <w:trPr>
          <w:cantSplit/>
          <w:jc w:val="center"/>
        </w:trPr>
        <w:tc>
          <w:tcPr>
            <w:tcW w:w="2353" w:type="dxa"/>
            <w:tcMar>
              <w:top w:w="100" w:type="dxa"/>
              <w:left w:w="100" w:type="dxa"/>
              <w:bottom w:w="100" w:type="dxa"/>
              <w:right w:w="100" w:type="dxa"/>
            </w:tcMar>
            <w:vAlign w:val="center"/>
          </w:tcPr>
          <w:p w14:paraId="48CDA81A"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Temporary interchange, utilities and enabling works</w:t>
            </w:r>
          </w:p>
        </w:tc>
        <w:tc>
          <w:tcPr>
            <w:tcW w:w="2353" w:type="dxa"/>
            <w:tcMar>
              <w:top w:w="100" w:type="dxa"/>
              <w:left w:w="100" w:type="dxa"/>
              <w:bottom w:w="100" w:type="dxa"/>
              <w:right w:w="100" w:type="dxa"/>
            </w:tcMar>
            <w:vAlign w:val="center"/>
          </w:tcPr>
          <w:p w14:paraId="14B6DA2B"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Months 10–18</w:t>
            </w:r>
          </w:p>
        </w:tc>
        <w:tc>
          <w:tcPr>
            <w:tcW w:w="2353" w:type="dxa"/>
            <w:tcMar>
              <w:top w:w="100" w:type="dxa"/>
              <w:left w:w="100" w:type="dxa"/>
              <w:bottom w:w="100" w:type="dxa"/>
              <w:right w:w="100" w:type="dxa"/>
            </w:tcMar>
            <w:vAlign w:val="center"/>
          </w:tcPr>
          <w:p w14:paraId="45DC6C9A"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12%</w:t>
            </w:r>
          </w:p>
        </w:tc>
        <w:tc>
          <w:tcPr>
            <w:tcW w:w="2353" w:type="dxa"/>
            <w:tcMar>
              <w:top w:w="100" w:type="dxa"/>
              <w:left w:w="100" w:type="dxa"/>
              <w:bottom w:w="100" w:type="dxa"/>
              <w:right w:w="100" w:type="dxa"/>
            </w:tcMar>
            <w:vAlign w:val="center"/>
          </w:tcPr>
          <w:p w14:paraId="343F26A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Construction Director</w:t>
            </w:r>
          </w:p>
        </w:tc>
      </w:tr>
      <w:tr w:rsidR="0070003B" w:rsidRPr="00F02C9D" w14:paraId="3989A07B" w14:textId="77777777">
        <w:trPr>
          <w:cantSplit/>
          <w:jc w:val="center"/>
        </w:trPr>
        <w:tc>
          <w:tcPr>
            <w:tcW w:w="2353" w:type="dxa"/>
            <w:tcMar>
              <w:top w:w="100" w:type="dxa"/>
              <w:left w:w="100" w:type="dxa"/>
              <w:bottom w:w="100" w:type="dxa"/>
              <w:right w:w="100" w:type="dxa"/>
            </w:tcMar>
            <w:vAlign w:val="center"/>
          </w:tcPr>
          <w:p w14:paraId="7FAF6147"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Civil, structural, MEP and passenger facilities</w:t>
            </w:r>
          </w:p>
        </w:tc>
        <w:tc>
          <w:tcPr>
            <w:tcW w:w="2353" w:type="dxa"/>
            <w:tcMar>
              <w:top w:w="100" w:type="dxa"/>
              <w:left w:w="100" w:type="dxa"/>
              <w:bottom w:w="100" w:type="dxa"/>
              <w:right w:w="100" w:type="dxa"/>
            </w:tcMar>
            <w:vAlign w:val="center"/>
          </w:tcPr>
          <w:p w14:paraId="0633EC17"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Months 15–32</w:t>
            </w:r>
          </w:p>
        </w:tc>
        <w:tc>
          <w:tcPr>
            <w:tcW w:w="2353" w:type="dxa"/>
            <w:tcMar>
              <w:top w:w="100" w:type="dxa"/>
              <w:left w:w="100" w:type="dxa"/>
              <w:bottom w:w="100" w:type="dxa"/>
              <w:right w:w="100" w:type="dxa"/>
            </w:tcMar>
            <w:vAlign w:val="center"/>
          </w:tcPr>
          <w:p w14:paraId="10F4D53F"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43%</w:t>
            </w:r>
          </w:p>
        </w:tc>
        <w:tc>
          <w:tcPr>
            <w:tcW w:w="2353" w:type="dxa"/>
            <w:tcMar>
              <w:top w:w="100" w:type="dxa"/>
              <w:left w:w="100" w:type="dxa"/>
              <w:bottom w:w="100" w:type="dxa"/>
              <w:right w:w="100" w:type="dxa"/>
            </w:tcMar>
            <w:vAlign w:val="center"/>
          </w:tcPr>
          <w:p w14:paraId="1BA58FC8"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Construction Director</w:t>
            </w:r>
          </w:p>
        </w:tc>
      </w:tr>
      <w:tr w:rsidR="0070003B" w:rsidRPr="00F02C9D" w14:paraId="03345DB1" w14:textId="77777777">
        <w:trPr>
          <w:cantSplit/>
          <w:jc w:val="center"/>
        </w:trPr>
        <w:tc>
          <w:tcPr>
            <w:tcW w:w="2353" w:type="dxa"/>
            <w:tcMar>
              <w:top w:w="100" w:type="dxa"/>
              <w:left w:w="100" w:type="dxa"/>
              <w:bottom w:w="100" w:type="dxa"/>
              <w:right w:w="100" w:type="dxa"/>
            </w:tcMar>
            <w:vAlign w:val="center"/>
          </w:tcPr>
          <w:p w14:paraId="6FDE6AB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lastRenderedPageBreak/>
              <w:t>Digital, systems integration and cyber assurance</w:t>
            </w:r>
          </w:p>
        </w:tc>
        <w:tc>
          <w:tcPr>
            <w:tcW w:w="2353" w:type="dxa"/>
            <w:tcMar>
              <w:top w:w="100" w:type="dxa"/>
              <w:left w:w="100" w:type="dxa"/>
              <w:bottom w:w="100" w:type="dxa"/>
              <w:right w:w="100" w:type="dxa"/>
            </w:tcMar>
            <w:vAlign w:val="center"/>
          </w:tcPr>
          <w:p w14:paraId="42B00A9A"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Months 13–34</w:t>
            </w:r>
          </w:p>
        </w:tc>
        <w:tc>
          <w:tcPr>
            <w:tcW w:w="2353" w:type="dxa"/>
            <w:tcMar>
              <w:top w:w="100" w:type="dxa"/>
              <w:left w:w="100" w:type="dxa"/>
              <w:bottom w:w="100" w:type="dxa"/>
              <w:right w:w="100" w:type="dxa"/>
            </w:tcMar>
            <w:vAlign w:val="center"/>
          </w:tcPr>
          <w:p w14:paraId="76938AFC"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8%</w:t>
            </w:r>
          </w:p>
        </w:tc>
        <w:tc>
          <w:tcPr>
            <w:tcW w:w="2353" w:type="dxa"/>
            <w:tcMar>
              <w:top w:w="100" w:type="dxa"/>
              <w:left w:w="100" w:type="dxa"/>
              <w:bottom w:w="100" w:type="dxa"/>
              <w:right w:w="100" w:type="dxa"/>
            </w:tcMar>
            <w:vAlign w:val="center"/>
          </w:tcPr>
          <w:p w14:paraId="1547EBF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Digital Product Owner / Integration Lead</w:t>
            </w:r>
          </w:p>
        </w:tc>
      </w:tr>
      <w:tr w:rsidR="0070003B" w:rsidRPr="00F02C9D" w14:paraId="1FA5E010" w14:textId="77777777">
        <w:trPr>
          <w:cantSplit/>
          <w:jc w:val="center"/>
        </w:trPr>
        <w:tc>
          <w:tcPr>
            <w:tcW w:w="2353" w:type="dxa"/>
            <w:tcMar>
              <w:top w:w="100" w:type="dxa"/>
              <w:left w:w="100" w:type="dxa"/>
              <w:bottom w:w="100" w:type="dxa"/>
              <w:right w:w="100" w:type="dxa"/>
            </w:tcMar>
            <w:vAlign w:val="center"/>
          </w:tcPr>
          <w:p w14:paraId="0AFB058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Testing, training, handover and benefits transition</w:t>
            </w:r>
          </w:p>
        </w:tc>
        <w:tc>
          <w:tcPr>
            <w:tcW w:w="2353" w:type="dxa"/>
            <w:tcMar>
              <w:top w:w="100" w:type="dxa"/>
              <w:left w:w="100" w:type="dxa"/>
              <w:bottom w:w="100" w:type="dxa"/>
              <w:right w:w="100" w:type="dxa"/>
            </w:tcMar>
            <w:vAlign w:val="center"/>
          </w:tcPr>
          <w:p w14:paraId="5B10B92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Months 28–36</w:t>
            </w:r>
          </w:p>
        </w:tc>
        <w:tc>
          <w:tcPr>
            <w:tcW w:w="2353" w:type="dxa"/>
            <w:tcMar>
              <w:top w:w="100" w:type="dxa"/>
              <w:left w:w="100" w:type="dxa"/>
              <w:bottom w:w="100" w:type="dxa"/>
              <w:right w:w="100" w:type="dxa"/>
            </w:tcMar>
            <w:vAlign w:val="center"/>
          </w:tcPr>
          <w:p w14:paraId="2B9D0B12"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5%</w:t>
            </w:r>
          </w:p>
        </w:tc>
        <w:tc>
          <w:tcPr>
            <w:tcW w:w="2353" w:type="dxa"/>
            <w:tcMar>
              <w:top w:w="100" w:type="dxa"/>
              <w:left w:w="100" w:type="dxa"/>
              <w:bottom w:w="100" w:type="dxa"/>
              <w:right w:w="100" w:type="dxa"/>
            </w:tcMar>
            <w:vAlign w:val="center"/>
          </w:tcPr>
          <w:p w14:paraId="42BE7546"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Operations Transition Lead</w:t>
            </w:r>
          </w:p>
        </w:tc>
      </w:tr>
      <w:tr w:rsidR="0070003B" w:rsidRPr="00F02C9D" w14:paraId="62290727" w14:textId="77777777">
        <w:trPr>
          <w:cantSplit/>
          <w:jc w:val="center"/>
        </w:trPr>
        <w:tc>
          <w:tcPr>
            <w:tcW w:w="2353" w:type="dxa"/>
            <w:tcMar>
              <w:top w:w="100" w:type="dxa"/>
              <w:left w:w="100" w:type="dxa"/>
              <w:bottom w:w="100" w:type="dxa"/>
              <w:right w:w="100" w:type="dxa"/>
            </w:tcMar>
            <w:vAlign w:val="center"/>
          </w:tcPr>
          <w:p w14:paraId="3991934A"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Quantified risk allowance and sponsor contingency</w:t>
            </w:r>
          </w:p>
        </w:tc>
        <w:tc>
          <w:tcPr>
            <w:tcW w:w="2353" w:type="dxa"/>
            <w:tcMar>
              <w:top w:w="100" w:type="dxa"/>
              <w:left w:w="100" w:type="dxa"/>
              <w:bottom w:w="100" w:type="dxa"/>
              <w:right w:w="100" w:type="dxa"/>
            </w:tcMar>
            <w:vAlign w:val="center"/>
          </w:tcPr>
          <w:p w14:paraId="20CC50A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Controlled throughout</w:t>
            </w:r>
          </w:p>
        </w:tc>
        <w:tc>
          <w:tcPr>
            <w:tcW w:w="2353" w:type="dxa"/>
            <w:tcMar>
              <w:top w:w="100" w:type="dxa"/>
              <w:left w:w="100" w:type="dxa"/>
              <w:bottom w:w="100" w:type="dxa"/>
              <w:right w:w="100" w:type="dxa"/>
            </w:tcMar>
            <w:vAlign w:val="center"/>
          </w:tcPr>
          <w:p w14:paraId="593FF20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12%</w:t>
            </w:r>
          </w:p>
        </w:tc>
        <w:tc>
          <w:tcPr>
            <w:tcW w:w="2353" w:type="dxa"/>
            <w:tcMar>
              <w:top w:w="100" w:type="dxa"/>
              <w:left w:w="100" w:type="dxa"/>
              <w:bottom w:w="100" w:type="dxa"/>
              <w:right w:w="100" w:type="dxa"/>
            </w:tcMar>
            <w:vAlign w:val="center"/>
          </w:tcPr>
          <w:p w14:paraId="0535206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SRO / Project Board</w:t>
            </w:r>
          </w:p>
        </w:tc>
      </w:tr>
    </w:tbl>
    <w:p w14:paraId="5B04470C" w14:textId="77777777" w:rsidR="0070003B" w:rsidRPr="00F02C9D" w:rsidRDefault="00000000">
      <w:pPr>
        <w:jc w:val="both"/>
        <w:rPr>
          <w:rFonts w:ascii="Arial" w:hAnsi="Arial" w:cs="Arial"/>
          <w:bCs/>
          <w:color w:val="000000" w:themeColor="text1"/>
          <w:sz w:val="22"/>
        </w:rPr>
      </w:pPr>
      <w:r w:rsidRPr="00F02C9D">
        <w:rPr>
          <w:rFonts w:ascii="Arial" w:hAnsi="Arial" w:cs="Arial"/>
          <w:bCs/>
          <w:color w:val="000000" w:themeColor="text1"/>
          <w:sz w:val="22"/>
        </w:rPr>
        <w:t>Percentages are planning assumptions rather than supplier prices. The baseline is developed from WBS estimates, market testing and quantified cost risk. Resource-loaded scheduling identifies peaks in specialist design, safety and systems-integration demand. Scarce roles cannot be assumed available simply because budget exists; early framework call-offs, succession and knowledge-transfer requirements are included. Earned-value indicators may support trend detection, but physical progress, accepted deliverables and forecast outcomes remain more important than mechanically reporting expenditure as achievement. A responsibility-assignment matrix is maintained for every control account, and no package begins without a named accountable owner, competent delivery lead and approved acceptance route. Monthly resource reviews compare demand, availability and productivity so that delayed decisions are not disguised as contractor underperformance.</w:t>
      </w:r>
    </w:p>
    <w:p w14:paraId="4E267611"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8.1 Responsibility, leadership and team coordination</w:t>
      </w:r>
    </w:p>
    <w:p w14:paraId="348C5ACB"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Table 6 prevents accountability gaps between the client, designers, contractors and operators. Leadership is directive during emergencies and safety-critical cutovers, but collaborative during design and co-creation. Common terminology and decision records reduce communication risk across specialist suppliers.</w:t>
      </w:r>
    </w:p>
    <w:p w14:paraId="0783F7D0" w14:textId="77777777" w:rsidR="0070003B" w:rsidRPr="00F02C9D" w:rsidRDefault="00000000">
      <w:pPr>
        <w:pStyle w:val="Caption"/>
        <w:keepNext/>
        <w:jc w:val="center"/>
        <w:rPr>
          <w:rFonts w:ascii="Arial" w:hAnsi="Arial" w:cs="Arial"/>
          <w:b w:val="0"/>
          <w:color w:val="000000" w:themeColor="text1"/>
          <w:sz w:val="22"/>
          <w:szCs w:val="22"/>
        </w:rPr>
      </w:pPr>
      <w:r w:rsidRPr="00F02C9D">
        <w:rPr>
          <w:rFonts w:ascii="Arial" w:hAnsi="Arial" w:cs="Arial"/>
          <w:b w:val="0"/>
          <w:color w:val="000000" w:themeColor="text1"/>
          <w:sz w:val="22"/>
          <w:szCs w:val="22"/>
        </w:rPr>
        <w:t>Table 6. Responsibility assignment for principal deliverables.</w:t>
      </w:r>
    </w:p>
    <w:tbl>
      <w:tblPr>
        <w:tblStyle w:val="TableGrid"/>
        <w:tblW w:w="0" w:type="auto"/>
        <w:jc w:val="center"/>
        <w:tblLook w:val="04A0" w:firstRow="1" w:lastRow="0" w:firstColumn="1" w:lastColumn="0" w:noHBand="0" w:noVBand="1"/>
      </w:tblPr>
      <w:tblGrid>
        <w:gridCol w:w="1881"/>
        <w:gridCol w:w="1880"/>
        <w:gridCol w:w="1880"/>
        <w:gridCol w:w="1880"/>
        <w:gridCol w:w="1881"/>
      </w:tblGrid>
      <w:tr w:rsidR="0070003B" w:rsidRPr="00F02C9D" w14:paraId="3B0C565C" w14:textId="77777777" w:rsidTr="00F02C9D">
        <w:trPr>
          <w:cantSplit/>
          <w:tblHeader/>
          <w:jc w:val="center"/>
        </w:trPr>
        <w:tc>
          <w:tcPr>
            <w:tcW w:w="1882" w:type="dxa"/>
            <w:vAlign w:val="center"/>
          </w:tcPr>
          <w:p w14:paraId="6CC6A6C6"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Deliverable</w:t>
            </w:r>
          </w:p>
        </w:tc>
        <w:tc>
          <w:tcPr>
            <w:tcW w:w="1882" w:type="dxa"/>
            <w:vAlign w:val="center"/>
          </w:tcPr>
          <w:p w14:paraId="1BF8ED52"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Accountable</w:t>
            </w:r>
          </w:p>
        </w:tc>
        <w:tc>
          <w:tcPr>
            <w:tcW w:w="1882" w:type="dxa"/>
            <w:vAlign w:val="center"/>
          </w:tcPr>
          <w:p w14:paraId="37B53224"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Responsible</w:t>
            </w:r>
          </w:p>
        </w:tc>
        <w:tc>
          <w:tcPr>
            <w:tcW w:w="1882" w:type="dxa"/>
            <w:vAlign w:val="center"/>
          </w:tcPr>
          <w:p w14:paraId="3D515044"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Consulted</w:t>
            </w:r>
          </w:p>
        </w:tc>
        <w:tc>
          <w:tcPr>
            <w:tcW w:w="1882" w:type="dxa"/>
            <w:vAlign w:val="center"/>
          </w:tcPr>
          <w:p w14:paraId="73811B97"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Informed</w:t>
            </w:r>
          </w:p>
        </w:tc>
      </w:tr>
      <w:tr w:rsidR="0070003B" w:rsidRPr="00F02C9D" w14:paraId="4E13B4BB" w14:textId="77777777">
        <w:trPr>
          <w:cantSplit/>
          <w:jc w:val="center"/>
        </w:trPr>
        <w:tc>
          <w:tcPr>
            <w:tcW w:w="1882" w:type="dxa"/>
            <w:vAlign w:val="center"/>
          </w:tcPr>
          <w:p w14:paraId="6359CD7A"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Business case</w:t>
            </w:r>
          </w:p>
        </w:tc>
        <w:tc>
          <w:tcPr>
            <w:tcW w:w="1882" w:type="dxa"/>
            <w:vAlign w:val="center"/>
          </w:tcPr>
          <w:p w14:paraId="072CBB28"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SRO</w:t>
            </w:r>
          </w:p>
        </w:tc>
        <w:tc>
          <w:tcPr>
            <w:tcW w:w="1882" w:type="dxa"/>
            <w:vAlign w:val="center"/>
          </w:tcPr>
          <w:p w14:paraId="5A14AE58"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Project Manager</w:t>
            </w:r>
          </w:p>
        </w:tc>
        <w:tc>
          <w:tcPr>
            <w:tcW w:w="1882" w:type="dxa"/>
            <w:vAlign w:val="center"/>
          </w:tcPr>
          <w:p w14:paraId="6671446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Funders / operators</w:t>
            </w:r>
          </w:p>
        </w:tc>
        <w:tc>
          <w:tcPr>
            <w:tcW w:w="1882" w:type="dxa"/>
            <w:vAlign w:val="center"/>
          </w:tcPr>
          <w:p w14:paraId="225911FC"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Board / public</w:t>
            </w:r>
          </w:p>
        </w:tc>
      </w:tr>
      <w:tr w:rsidR="0070003B" w:rsidRPr="00F02C9D" w14:paraId="77344F46" w14:textId="77777777">
        <w:trPr>
          <w:cantSplit/>
          <w:jc w:val="center"/>
        </w:trPr>
        <w:tc>
          <w:tcPr>
            <w:tcW w:w="1882" w:type="dxa"/>
            <w:vAlign w:val="center"/>
          </w:tcPr>
          <w:p w14:paraId="65094F0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Design baseline</w:t>
            </w:r>
          </w:p>
        </w:tc>
        <w:tc>
          <w:tcPr>
            <w:tcW w:w="1882" w:type="dxa"/>
            <w:vAlign w:val="center"/>
          </w:tcPr>
          <w:p w14:paraId="31290134"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Project Manager</w:t>
            </w:r>
          </w:p>
        </w:tc>
        <w:tc>
          <w:tcPr>
            <w:tcW w:w="1882" w:type="dxa"/>
            <w:vAlign w:val="center"/>
          </w:tcPr>
          <w:p w14:paraId="0D1FFCF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Design Director</w:t>
            </w:r>
          </w:p>
        </w:tc>
        <w:tc>
          <w:tcPr>
            <w:tcW w:w="1882" w:type="dxa"/>
            <w:vAlign w:val="center"/>
          </w:tcPr>
          <w:p w14:paraId="1F373CE2"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Operators / regulators / users</w:t>
            </w:r>
          </w:p>
        </w:tc>
        <w:tc>
          <w:tcPr>
            <w:tcW w:w="1882" w:type="dxa"/>
            <w:vAlign w:val="center"/>
          </w:tcPr>
          <w:p w14:paraId="25277EB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Contractors</w:t>
            </w:r>
          </w:p>
        </w:tc>
      </w:tr>
      <w:tr w:rsidR="0070003B" w:rsidRPr="00F02C9D" w14:paraId="29BCEDEE" w14:textId="77777777">
        <w:trPr>
          <w:cantSplit/>
          <w:jc w:val="center"/>
        </w:trPr>
        <w:tc>
          <w:tcPr>
            <w:tcW w:w="1882" w:type="dxa"/>
            <w:vAlign w:val="center"/>
          </w:tcPr>
          <w:p w14:paraId="2CD21DC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Temporary interchange</w:t>
            </w:r>
          </w:p>
        </w:tc>
        <w:tc>
          <w:tcPr>
            <w:tcW w:w="1882" w:type="dxa"/>
            <w:vAlign w:val="center"/>
          </w:tcPr>
          <w:p w14:paraId="13CC293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Project Manager</w:t>
            </w:r>
          </w:p>
        </w:tc>
        <w:tc>
          <w:tcPr>
            <w:tcW w:w="1882" w:type="dxa"/>
            <w:vAlign w:val="center"/>
          </w:tcPr>
          <w:p w14:paraId="1A54F97F"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Operations Lead</w:t>
            </w:r>
          </w:p>
        </w:tc>
        <w:tc>
          <w:tcPr>
            <w:tcW w:w="1882" w:type="dxa"/>
            <w:vAlign w:val="center"/>
          </w:tcPr>
          <w:p w14:paraId="48F4358F"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Networks / emergency services</w:t>
            </w:r>
          </w:p>
        </w:tc>
        <w:tc>
          <w:tcPr>
            <w:tcW w:w="1882" w:type="dxa"/>
            <w:vAlign w:val="center"/>
          </w:tcPr>
          <w:p w14:paraId="5BB7802C"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Passengers</w:t>
            </w:r>
          </w:p>
        </w:tc>
      </w:tr>
      <w:tr w:rsidR="0070003B" w:rsidRPr="00F02C9D" w14:paraId="0A2A0DD3" w14:textId="77777777">
        <w:trPr>
          <w:cantSplit/>
          <w:jc w:val="center"/>
        </w:trPr>
        <w:tc>
          <w:tcPr>
            <w:tcW w:w="1882" w:type="dxa"/>
            <w:vAlign w:val="center"/>
          </w:tcPr>
          <w:p w14:paraId="5000840C"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Digital integration</w:t>
            </w:r>
          </w:p>
        </w:tc>
        <w:tc>
          <w:tcPr>
            <w:tcW w:w="1882" w:type="dxa"/>
            <w:vAlign w:val="center"/>
          </w:tcPr>
          <w:p w14:paraId="3ED6B03A"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Project Manager</w:t>
            </w:r>
          </w:p>
        </w:tc>
        <w:tc>
          <w:tcPr>
            <w:tcW w:w="1882" w:type="dxa"/>
            <w:vAlign w:val="center"/>
          </w:tcPr>
          <w:p w14:paraId="4D33822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Digital Product Owner</w:t>
            </w:r>
          </w:p>
        </w:tc>
        <w:tc>
          <w:tcPr>
            <w:tcW w:w="1882" w:type="dxa"/>
            <w:vAlign w:val="center"/>
          </w:tcPr>
          <w:p w14:paraId="4C15E1C5"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Cyber / integration / users</w:t>
            </w:r>
          </w:p>
        </w:tc>
        <w:tc>
          <w:tcPr>
            <w:tcW w:w="1882" w:type="dxa"/>
            <w:vAlign w:val="center"/>
          </w:tcPr>
          <w:p w14:paraId="7E833235"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Operators</w:t>
            </w:r>
          </w:p>
        </w:tc>
      </w:tr>
      <w:tr w:rsidR="0070003B" w:rsidRPr="00F02C9D" w14:paraId="27AD6D78" w14:textId="77777777">
        <w:trPr>
          <w:cantSplit/>
          <w:jc w:val="center"/>
        </w:trPr>
        <w:tc>
          <w:tcPr>
            <w:tcW w:w="1882" w:type="dxa"/>
            <w:vAlign w:val="center"/>
          </w:tcPr>
          <w:p w14:paraId="0A6100CB"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Opening and handover</w:t>
            </w:r>
          </w:p>
        </w:tc>
        <w:tc>
          <w:tcPr>
            <w:tcW w:w="1882" w:type="dxa"/>
            <w:vAlign w:val="center"/>
          </w:tcPr>
          <w:p w14:paraId="46681482"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SRO</w:t>
            </w:r>
          </w:p>
        </w:tc>
        <w:tc>
          <w:tcPr>
            <w:tcW w:w="1882" w:type="dxa"/>
            <w:vAlign w:val="center"/>
          </w:tcPr>
          <w:p w14:paraId="21E791E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Transition Lead</w:t>
            </w:r>
          </w:p>
        </w:tc>
        <w:tc>
          <w:tcPr>
            <w:tcW w:w="1882" w:type="dxa"/>
            <w:vAlign w:val="center"/>
          </w:tcPr>
          <w:p w14:paraId="4BD3FF4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Regulators / operators / PM</w:t>
            </w:r>
          </w:p>
        </w:tc>
        <w:tc>
          <w:tcPr>
            <w:tcW w:w="1882" w:type="dxa"/>
            <w:vAlign w:val="center"/>
          </w:tcPr>
          <w:p w14:paraId="1EF492B8"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All stakeholders</w:t>
            </w:r>
          </w:p>
        </w:tc>
      </w:tr>
    </w:tbl>
    <w:p w14:paraId="434D5927"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lastRenderedPageBreak/>
        <w:t>9. Risk Analysis</w:t>
      </w:r>
    </w:p>
    <w:p w14:paraId="09620EBA"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Risk management is continuous and owned by those able to act. A five-point likelihood-impact matrix supports prioritisation, although simple probability-impact scoring can obscure interactions and different consequences. High-value risks therefore receive schedule and cost modelling, scenario analysis and clear response actions. The risk register distinguishes inherent exposure, planned controls, residual exposure, trigger, owner and contingency action.</w:t>
      </w:r>
    </w:p>
    <w:p w14:paraId="11DBBC15" w14:textId="77777777" w:rsidR="0070003B" w:rsidRPr="00F02C9D" w:rsidRDefault="00000000">
      <w:pPr>
        <w:jc w:val="center"/>
        <w:rPr>
          <w:rFonts w:ascii="Arial" w:hAnsi="Arial" w:cs="Arial"/>
          <w:bCs/>
          <w:color w:val="000000" w:themeColor="text1"/>
          <w:sz w:val="22"/>
        </w:rPr>
      </w:pPr>
      <w:r w:rsidRPr="00F02C9D">
        <w:rPr>
          <w:rFonts w:ascii="Arial" w:hAnsi="Arial" w:cs="Arial"/>
          <w:bCs/>
          <w:noProof/>
          <w:color w:val="000000" w:themeColor="text1"/>
          <w:sz w:val="22"/>
        </w:rPr>
        <w:drawing>
          <wp:inline distT="0" distB="0" distL="0" distR="0" wp14:anchorId="2F424321" wp14:editId="1C16206F">
            <wp:extent cx="4500000" cy="4700547"/>
            <wp:effectExtent l="0" t="0" r="0" b="0"/>
            <wp:docPr id="4" name="Picture 4" descr="Five-by-five qualitative risk heat map showing priority project risks." title="Five-by-five qualitative risk heat map showing priority project ris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isk_heatmap.png"/>
                    <pic:cNvPicPr/>
                  </pic:nvPicPr>
                  <pic:blipFill>
                    <a:blip r:embed="rId14"/>
                    <a:stretch>
                      <a:fillRect/>
                    </a:stretch>
                  </pic:blipFill>
                  <pic:spPr>
                    <a:xfrm>
                      <a:off x="0" y="0"/>
                      <a:ext cx="4500000" cy="4700547"/>
                    </a:xfrm>
                    <a:prstGeom prst="rect">
                      <a:avLst/>
                    </a:prstGeom>
                  </pic:spPr>
                </pic:pic>
              </a:graphicData>
            </a:graphic>
          </wp:inline>
        </w:drawing>
      </w:r>
    </w:p>
    <w:p w14:paraId="35CB222F"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Figure 4. Initial qualitative risk heat map; R1–R8 correspond to Table 7.</w:t>
      </w:r>
    </w:p>
    <w:p w14:paraId="4CEB3386"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Table 7. Priority risk register.</w:t>
      </w:r>
    </w:p>
    <w:tbl>
      <w:tblPr>
        <w:tblStyle w:val="TableGrid"/>
        <w:tblW w:w="0" w:type="auto"/>
        <w:jc w:val="center"/>
        <w:tblLook w:val="04A0" w:firstRow="1" w:lastRow="0" w:firstColumn="1" w:lastColumn="0" w:noHBand="0" w:noVBand="1"/>
      </w:tblPr>
      <w:tblGrid>
        <w:gridCol w:w="1542"/>
        <w:gridCol w:w="1437"/>
        <w:gridCol w:w="1559"/>
        <w:gridCol w:w="1827"/>
        <w:gridCol w:w="1550"/>
        <w:gridCol w:w="1487"/>
      </w:tblGrid>
      <w:tr w:rsidR="0070003B" w:rsidRPr="00F02C9D" w14:paraId="178B71C1" w14:textId="77777777" w:rsidTr="00F02C9D">
        <w:trPr>
          <w:cantSplit/>
          <w:tblHeader/>
          <w:jc w:val="center"/>
        </w:trPr>
        <w:tc>
          <w:tcPr>
            <w:tcW w:w="1569" w:type="dxa"/>
            <w:tcMar>
              <w:top w:w="100" w:type="dxa"/>
              <w:left w:w="100" w:type="dxa"/>
              <w:bottom w:w="100" w:type="dxa"/>
              <w:right w:w="100" w:type="dxa"/>
            </w:tcMar>
            <w:vAlign w:val="center"/>
          </w:tcPr>
          <w:p w14:paraId="76247C56"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ID / risk</w:t>
            </w:r>
          </w:p>
        </w:tc>
        <w:tc>
          <w:tcPr>
            <w:tcW w:w="1569" w:type="dxa"/>
            <w:tcMar>
              <w:top w:w="100" w:type="dxa"/>
              <w:left w:w="100" w:type="dxa"/>
              <w:bottom w:w="100" w:type="dxa"/>
              <w:right w:w="100" w:type="dxa"/>
            </w:tcMar>
            <w:vAlign w:val="center"/>
          </w:tcPr>
          <w:p w14:paraId="70C2D538"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Initial score</w:t>
            </w:r>
          </w:p>
        </w:tc>
        <w:tc>
          <w:tcPr>
            <w:tcW w:w="1569" w:type="dxa"/>
            <w:tcMar>
              <w:top w:w="100" w:type="dxa"/>
              <w:left w:w="100" w:type="dxa"/>
              <w:bottom w:w="100" w:type="dxa"/>
              <w:right w:w="100" w:type="dxa"/>
            </w:tcMar>
            <w:vAlign w:val="center"/>
          </w:tcPr>
          <w:p w14:paraId="7D7AA76C"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Preventive response</w:t>
            </w:r>
          </w:p>
        </w:tc>
        <w:tc>
          <w:tcPr>
            <w:tcW w:w="1569" w:type="dxa"/>
            <w:tcMar>
              <w:top w:w="100" w:type="dxa"/>
              <w:left w:w="100" w:type="dxa"/>
              <w:bottom w:w="100" w:type="dxa"/>
              <w:right w:w="100" w:type="dxa"/>
            </w:tcMar>
            <w:vAlign w:val="center"/>
          </w:tcPr>
          <w:p w14:paraId="6575D198"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Trigger / contingency</w:t>
            </w:r>
          </w:p>
        </w:tc>
        <w:tc>
          <w:tcPr>
            <w:tcW w:w="1569" w:type="dxa"/>
            <w:tcMar>
              <w:top w:w="100" w:type="dxa"/>
              <w:left w:w="100" w:type="dxa"/>
              <w:bottom w:w="100" w:type="dxa"/>
              <w:right w:w="100" w:type="dxa"/>
            </w:tcMar>
            <w:vAlign w:val="center"/>
          </w:tcPr>
          <w:p w14:paraId="73F69BB1"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Owner</w:t>
            </w:r>
          </w:p>
        </w:tc>
        <w:tc>
          <w:tcPr>
            <w:tcW w:w="1569" w:type="dxa"/>
            <w:tcMar>
              <w:top w:w="100" w:type="dxa"/>
              <w:left w:w="100" w:type="dxa"/>
              <w:bottom w:w="100" w:type="dxa"/>
              <w:right w:w="100" w:type="dxa"/>
            </w:tcMar>
            <w:vAlign w:val="center"/>
          </w:tcPr>
          <w:p w14:paraId="56BFCF95" w14:textId="77777777" w:rsidR="0070003B" w:rsidRPr="00F02C9D" w:rsidRDefault="00000000">
            <w:pPr>
              <w:spacing w:after="30" w:line="240" w:lineRule="auto"/>
              <w:jc w:val="center"/>
              <w:rPr>
                <w:rFonts w:ascii="Arial" w:hAnsi="Arial" w:cs="Arial"/>
                <w:bCs/>
                <w:color w:val="000000" w:themeColor="text1"/>
                <w:sz w:val="22"/>
              </w:rPr>
            </w:pPr>
            <w:r w:rsidRPr="00F02C9D">
              <w:rPr>
                <w:rFonts w:ascii="Arial" w:hAnsi="Arial" w:cs="Arial"/>
                <w:bCs/>
                <w:color w:val="000000" w:themeColor="text1"/>
                <w:sz w:val="22"/>
              </w:rPr>
              <w:t>Residual</w:t>
            </w:r>
          </w:p>
        </w:tc>
      </w:tr>
      <w:tr w:rsidR="0070003B" w:rsidRPr="00F02C9D" w14:paraId="2D02F887" w14:textId="77777777">
        <w:trPr>
          <w:cantSplit/>
          <w:jc w:val="center"/>
        </w:trPr>
        <w:tc>
          <w:tcPr>
            <w:tcW w:w="1569" w:type="dxa"/>
            <w:tcMar>
              <w:top w:w="100" w:type="dxa"/>
              <w:left w:w="100" w:type="dxa"/>
              <w:bottom w:w="100" w:type="dxa"/>
              <w:right w:w="100" w:type="dxa"/>
            </w:tcMar>
            <w:vAlign w:val="center"/>
          </w:tcPr>
          <w:p w14:paraId="5B97BECC"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R1 Unknown structural or ground conditions</w:t>
            </w:r>
          </w:p>
        </w:tc>
        <w:tc>
          <w:tcPr>
            <w:tcW w:w="1569" w:type="dxa"/>
            <w:tcMar>
              <w:top w:w="100" w:type="dxa"/>
              <w:left w:w="100" w:type="dxa"/>
              <w:bottom w:w="100" w:type="dxa"/>
              <w:right w:w="100" w:type="dxa"/>
            </w:tcMar>
            <w:vAlign w:val="center"/>
          </w:tcPr>
          <w:p w14:paraId="677F6F1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16</w:t>
            </w:r>
          </w:p>
        </w:tc>
        <w:tc>
          <w:tcPr>
            <w:tcW w:w="1569" w:type="dxa"/>
            <w:tcMar>
              <w:top w:w="100" w:type="dxa"/>
              <w:left w:w="100" w:type="dxa"/>
              <w:bottom w:w="100" w:type="dxa"/>
              <w:right w:w="100" w:type="dxa"/>
            </w:tcMar>
            <w:vAlign w:val="center"/>
          </w:tcPr>
          <w:p w14:paraId="1ED60DD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Intrusive surveys, asset records, early contractor input</w:t>
            </w:r>
          </w:p>
        </w:tc>
        <w:tc>
          <w:tcPr>
            <w:tcW w:w="1569" w:type="dxa"/>
            <w:tcMar>
              <w:top w:w="100" w:type="dxa"/>
              <w:left w:w="100" w:type="dxa"/>
              <w:bottom w:w="100" w:type="dxa"/>
              <w:right w:w="100" w:type="dxa"/>
            </w:tcMar>
            <w:vAlign w:val="center"/>
          </w:tcPr>
          <w:p w14:paraId="14DEB3D3"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Unexpected defects; isolate area, redesign and use risk allowance</w:t>
            </w:r>
          </w:p>
        </w:tc>
        <w:tc>
          <w:tcPr>
            <w:tcW w:w="1569" w:type="dxa"/>
            <w:tcMar>
              <w:top w:w="100" w:type="dxa"/>
              <w:left w:w="100" w:type="dxa"/>
              <w:bottom w:w="100" w:type="dxa"/>
              <w:right w:w="100" w:type="dxa"/>
            </w:tcMar>
            <w:vAlign w:val="center"/>
          </w:tcPr>
          <w:p w14:paraId="3EA565A4"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Design Director</w:t>
            </w:r>
          </w:p>
        </w:tc>
        <w:tc>
          <w:tcPr>
            <w:tcW w:w="1569" w:type="dxa"/>
            <w:tcMar>
              <w:top w:w="100" w:type="dxa"/>
              <w:left w:w="100" w:type="dxa"/>
              <w:bottom w:w="100" w:type="dxa"/>
              <w:right w:w="100" w:type="dxa"/>
            </w:tcMar>
            <w:vAlign w:val="center"/>
          </w:tcPr>
          <w:p w14:paraId="6A39230F"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9</w:t>
            </w:r>
          </w:p>
        </w:tc>
      </w:tr>
      <w:tr w:rsidR="0070003B" w:rsidRPr="00F02C9D" w14:paraId="4DE68F47" w14:textId="77777777">
        <w:trPr>
          <w:cantSplit/>
          <w:jc w:val="center"/>
        </w:trPr>
        <w:tc>
          <w:tcPr>
            <w:tcW w:w="1569" w:type="dxa"/>
            <w:tcMar>
              <w:top w:w="100" w:type="dxa"/>
              <w:left w:w="100" w:type="dxa"/>
              <w:bottom w:w="100" w:type="dxa"/>
              <w:right w:w="100" w:type="dxa"/>
            </w:tcMar>
            <w:vAlign w:val="center"/>
          </w:tcPr>
          <w:p w14:paraId="6605131B"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lastRenderedPageBreak/>
              <w:t>R2 Planning or safety approval delay</w:t>
            </w:r>
          </w:p>
        </w:tc>
        <w:tc>
          <w:tcPr>
            <w:tcW w:w="1569" w:type="dxa"/>
            <w:tcMar>
              <w:top w:w="100" w:type="dxa"/>
              <w:left w:w="100" w:type="dxa"/>
              <w:bottom w:w="100" w:type="dxa"/>
              <w:right w:w="100" w:type="dxa"/>
            </w:tcMar>
            <w:vAlign w:val="center"/>
          </w:tcPr>
          <w:p w14:paraId="6BBAD842"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12</w:t>
            </w:r>
          </w:p>
        </w:tc>
        <w:tc>
          <w:tcPr>
            <w:tcW w:w="1569" w:type="dxa"/>
            <w:tcMar>
              <w:top w:w="100" w:type="dxa"/>
              <w:left w:w="100" w:type="dxa"/>
              <w:bottom w:w="100" w:type="dxa"/>
              <w:right w:w="100" w:type="dxa"/>
            </w:tcMar>
            <w:vAlign w:val="center"/>
          </w:tcPr>
          <w:p w14:paraId="7A0759E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Approval strategy, early regulator reviews and evidence plan</w:t>
            </w:r>
          </w:p>
        </w:tc>
        <w:tc>
          <w:tcPr>
            <w:tcW w:w="1569" w:type="dxa"/>
            <w:tcMar>
              <w:top w:w="100" w:type="dxa"/>
              <w:left w:w="100" w:type="dxa"/>
              <w:bottom w:w="100" w:type="dxa"/>
              <w:right w:w="100" w:type="dxa"/>
            </w:tcMar>
            <w:vAlign w:val="center"/>
          </w:tcPr>
          <w:p w14:paraId="0711E657"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Missed review date; escalate, add evidence team and resequence</w:t>
            </w:r>
          </w:p>
        </w:tc>
        <w:tc>
          <w:tcPr>
            <w:tcW w:w="1569" w:type="dxa"/>
            <w:tcMar>
              <w:top w:w="100" w:type="dxa"/>
              <w:left w:w="100" w:type="dxa"/>
              <w:bottom w:w="100" w:type="dxa"/>
              <w:right w:w="100" w:type="dxa"/>
            </w:tcMar>
            <w:vAlign w:val="center"/>
          </w:tcPr>
          <w:p w14:paraId="54BE5A37"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Consents Lead</w:t>
            </w:r>
          </w:p>
        </w:tc>
        <w:tc>
          <w:tcPr>
            <w:tcW w:w="1569" w:type="dxa"/>
            <w:tcMar>
              <w:top w:w="100" w:type="dxa"/>
              <w:left w:w="100" w:type="dxa"/>
              <w:bottom w:w="100" w:type="dxa"/>
              <w:right w:w="100" w:type="dxa"/>
            </w:tcMar>
            <w:vAlign w:val="center"/>
          </w:tcPr>
          <w:p w14:paraId="2597DC2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6</w:t>
            </w:r>
          </w:p>
        </w:tc>
      </w:tr>
      <w:tr w:rsidR="0070003B" w:rsidRPr="00F02C9D" w14:paraId="0DB3CDF7" w14:textId="77777777">
        <w:trPr>
          <w:cantSplit/>
          <w:jc w:val="center"/>
        </w:trPr>
        <w:tc>
          <w:tcPr>
            <w:tcW w:w="1569" w:type="dxa"/>
            <w:tcMar>
              <w:top w:w="100" w:type="dxa"/>
              <w:left w:w="100" w:type="dxa"/>
              <w:bottom w:w="100" w:type="dxa"/>
              <w:right w:w="100" w:type="dxa"/>
            </w:tcMar>
            <w:vAlign w:val="center"/>
          </w:tcPr>
          <w:p w14:paraId="211363F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R3 Temporary-operation interface failure</w:t>
            </w:r>
          </w:p>
        </w:tc>
        <w:tc>
          <w:tcPr>
            <w:tcW w:w="1569" w:type="dxa"/>
            <w:tcMar>
              <w:top w:w="100" w:type="dxa"/>
              <w:left w:w="100" w:type="dxa"/>
              <w:bottom w:w="100" w:type="dxa"/>
              <w:right w:w="100" w:type="dxa"/>
            </w:tcMar>
            <w:vAlign w:val="center"/>
          </w:tcPr>
          <w:p w14:paraId="7FEEFE6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12</w:t>
            </w:r>
          </w:p>
        </w:tc>
        <w:tc>
          <w:tcPr>
            <w:tcW w:w="1569" w:type="dxa"/>
            <w:tcMar>
              <w:top w:w="100" w:type="dxa"/>
              <w:left w:w="100" w:type="dxa"/>
              <w:bottom w:w="100" w:type="dxa"/>
              <w:right w:w="100" w:type="dxa"/>
            </w:tcMar>
            <w:vAlign w:val="center"/>
          </w:tcPr>
          <w:p w14:paraId="0EA1AE8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Joint operating plan, possessions and rehearsals</w:t>
            </w:r>
          </w:p>
        </w:tc>
        <w:tc>
          <w:tcPr>
            <w:tcW w:w="1569" w:type="dxa"/>
            <w:tcMar>
              <w:top w:w="100" w:type="dxa"/>
              <w:left w:w="100" w:type="dxa"/>
              <w:bottom w:w="100" w:type="dxa"/>
              <w:right w:w="100" w:type="dxa"/>
            </w:tcMar>
            <w:vAlign w:val="center"/>
          </w:tcPr>
          <w:p w14:paraId="6BB20C7F"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Capacity/safety threshold missed; activate alternative routing</w:t>
            </w:r>
          </w:p>
        </w:tc>
        <w:tc>
          <w:tcPr>
            <w:tcW w:w="1569" w:type="dxa"/>
            <w:tcMar>
              <w:top w:w="100" w:type="dxa"/>
              <w:left w:w="100" w:type="dxa"/>
              <w:bottom w:w="100" w:type="dxa"/>
              <w:right w:w="100" w:type="dxa"/>
            </w:tcMar>
            <w:vAlign w:val="center"/>
          </w:tcPr>
          <w:p w14:paraId="2896439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Operations Lead</w:t>
            </w:r>
          </w:p>
        </w:tc>
        <w:tc>
          <w:tcPr>
            <w:tcW w:w="1569" w:type="dxa"/>
            <w:tcMar>
              <w:top w:w="100" w:type="dxa"/>
              <w:left w:w="100" w:type="dxa"/>
              <w:bottom w:w="100" w:type="dxa"/>
              <w:right w:w="100" w:type="dxa"/>
            </w:tcMar>
            <w:vAlign w:val="center"/>
          </w:tcPr>
          <w:p w14:paraId="27AC07CB"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6</w:t>
            </w:r>
          </w:p>
        </w:tc>
      </w:tr>
      <w:tr w:rsidR="0070003B" w:rsidRPr="00F02C9D" w14:paraId="04E9EF68" w14:textId="77777777">
        <w:trPr>
          <w:cantSplit/>
          <w:jc w:val="center"/>
        </w:trPr>
        <w:tc>
          <w:tcPr>
            <w:tcW w:w="1569" w:type="dxa"/>
            <w:tcMar>
              <w:top w:w="100" w:type="dxa"/>
              <w:left w:w="100" w:type="dxa"/>
              <w:bottom w:w="100" w:type="dxa"/>
              <w:right w:w="100" w:type="dxa"/>
            </w:tcMar>
            <w:vAlign w:val="center"/>
          </w:tcPr>
          <w:p w14:paraId="45F140B1"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R4 Inflation, shortages or contractor failure</w:t>
            </w:r>
          </w:p>
        </w:tc>
        <w:tc>
          <w:tcPr>
            <w:tcW w:w="1569" w:type="dxa"/>
            <w:tcMar>
              <w:top w:w="100" w:type="dxa"/>
              <w:left w:w="100" w:type="dxa"/>
              <w:bottom w:w="100" w:type="dxa"/>
              <w:right w:w="100" w:type="dxa"/>
            </w:tcMar>
            <w:vAlign w:val="center"/>
          </w:tcPr>
          <w:p w14:paraId="534B967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16</w:t>
            </w:r>
          </w:p>
        </w:tc>
        <w:tc>
          <w:tcPr>
            <w:tcW w:w="1569" w:type="dxa"/>
            <w:tcMar>
              <w:top w:w="100" w:type="dxa"/>
              <w:left w:w="100" w:type="dxa"/>
              <w:bottom w:w="100" w:type="dxa"/>
              <w:right w:w="100" w:type="dxa"/>
            </w:tcMar>
            <w:vAlign w:val="center"/>
          </w:tcPr>
          <w:p w14:paraId="15D8877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Packaging strategy, financial checks, indexed risk and alternatives</w:t>
            </w:r>
          </w:p>
        </w:tc>
        <w:tc>
          <w:tcPr>
            <w:tcW w:w="1569" w:type="dxa"/>
            <w:tcMar>
              <w:top w:w="100" w:type="dxa"/>
              <w:left w:w="100" w:type="dxa"/>
              <w:bottom w:w="100" w:type="dxa"/>
              <w:right w:w="100" w:type="dxa"/>
            </w:tcMar>
            <w:vAlign w:val="center"/>
          </w:tcPr>
          <w:p w14:paraId="2ED0813F"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Supplier distress or price spike; invoke step-in/re-procurement plan</w:t>
            </w:r>
          </w:p>
        </w:tc>
        <w:tc>
          <w:tcPr>
            <w:tcW w:w="1569" w:type="dxa"/>
            <w:tcMar>
              <w:top w:w="100" w:type="dxa"/>
              <w:left w:w="100" w:type="dxa"/>
              <w:bottom w:w="100" w:type="dxa"/>
              <w:right w:w="100" w:type="dxa"/>
            </w:tcMar>
            <w:vAlign w:val="center"/>
          </w:tcPr>
          <w:p w14:paraId="0FFB1226"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Commercial Director</w:t>
            </w:r>
          </w:p>
        </w:tc>
        <w:tc>
          <w:tcPr>
            <w:tcW w:w="1569" w:type="dxa"/>
            <w:tcMar>
              <w:top w:w="100" w:type="dxa"/>
              <w:left w:w="100" w:type="dxa"/>
              <w:bottom w:w="100" w:type="dxa"/>
              <w:right w:w="100" w:type="dxa"/>
            </w:tcMar>
            <w:vAlign w:val="center"/>
          </w:tcPr>
          <w:p w14:paraId="2DF4017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9</w:t>
            </w:r>
          </w:p>
        </w:tc>
      </w:tr>
      <w:tr w:rsidR="0070003B" w:rsidRPr="00F02C9D" w14:paraId="2E8F2194" w14:textId="77777777">
        <w:trPr>
          <w:cantSplit/>
          <w:jc w:val="center"/>
        </w:trPr>
        <w:tc>
          <w:tcPr>
            <w:tcW w:w="1569" w:type="dxa"/>
            <w:tcMar>
              <w:top w:w="100" w:type="dxa"/>
              <w:left w:w="100" w:type="dxa"/>
              <w:bottom w:w="100" w:type="dxa"/>
              <w:right w:w="100" w:type="dxa"/>
            </w:tcMar>
            <w:vAlign w:val="center"/>
          </w:tcPr>
          <w:p w14:paraId="1D9217D7"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R5 Major safety incident</w:t>
            </w:r>
          </w:p>
        </w:tc>
        <w:tc>
          <w:tcPr>
            <w:tcW w:w="1569" w:type="dxa"/>
            <w:tcMar>
              <w:top w:w="100" w:type="dxa"/>
              <w:left w:w="100" w:type="dxa"/>
              <w:bottom w:w="100" w:type="dxa"/>
              <w:right w:w="100" w:type="dxa"/>
            </w:tcMar>
            <w:vAlign w:val="center"/>
          </w:tcPr>
          <w:p w14:paraId="08A94948"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15</w:t>
            </w:r>
          </w:p>
        </w:tc>
        <w:tc>
          <w:tcPr>
            <w:tcW w:w="1569" w:type="dxa"/>
            <w:tcMar>
              <w:top w:w="100" w:type="dxa"/>
              <w:left w:w="100" w:type="dxa"/>
              <w:bottom w:w="100" w:type="dxa"/>
              <w:right w:w="100" w:type="dxa"/>
            </w:tcMar>
            <w:vAlign w:val="center"/>
          </w:tcPr>
          <w:p w14:paraId="616D0F25"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Design hazard elimination, competence, permit systems and leadership</w:t>
            </w:r>
          </w:p>
        </w:tc>
        <w:tc>
          <w:tcPr>
            <w:tcW w:w="1569" w:type="dxa"/>
            <w:tcMar>
              <w:top w:w="100" w:type="dxa"/>
              <w:left w:w="100" w:type="dxa"/>
              <w:bottom w:w="100" w:type="dxa"/>
              <w:right w:w="100" w:type="dxa"/>
            </w:tcMar>
            <w:vAlign w:val="center"/>
          </w:tcPr>
          <w:p w14:paraId="2FEADCE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Serious event; stop work, emergency response and independent review</w:t>
            </w:r>
          </w:p>
        </w:tc>
        <w:tc>
          <w:tcPr>
            <w:tcW w:w="1569" w:type="dxa"/>
            <w:tcMar>
              <w:top w:w="100" w:type="dxa"/>
              <w:left w:w="100" w:type="dxa"/>
              <w:bottom w:w="100" w:type="dxa"/>
              <w:right w:w="100" w:type="dxa"/>
            </w:tcMar>
            <w:vAlign w:val="center"/>
          </w:tcPr>
          <w:p w14:paraId="602A4BCF"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Construction Director</w:t>
            </w:r>
          </w:p>
        </w:tc>
        <w:tc>
          <w:tcPr>
            <w:tcW w:w="1569" w:type="dxa"/>
            <w:tcMar>
              <w:top w:w="100" w:type="dxa"/>
              <w:left w:w="100" w:type="dxa"/>
              <w:bottom w:w="100" w:type="dxa"/>
              <w:right w:w="100" w:type="dxa"/>
            </w:tcMar>
            <w:vAlign w:val="center"/>
          </w:tcPr>
          <w:p w14:paraId="51AB2AA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5</w:t>
            </w:r>
          </w:p>
        </w:tc>
      </w:tr>
      <w:tr w:rsidR="0070003B" w:rsidRPr="00F02C9D" w14:paraId="0EE2E32F" w14:textId="77777777">
        <w:trPr>
          <w:cantSplit/>
          <w:jc w:val="center"/>
        </w:trPr>
        <w:tc>
          <w:tcPr>
            <w:tcW w:w="1569" w:type="dxa"/>
            <w:tcMar>
              <w:top w:w="100" w:type="dxa"/>
              <w:left w:w="100" w:type="dxa"/>
              <w:bottom w:w="100" w:type="dxa"/>
              <w:right w:w="100" w:type="dxa"/>
            </w:tcMar>
            <w:vAlign w:val="center"/>
          </w:tcPr>
          <w:p w14:paraId="4408025B"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R6 Accessibility outcome not accepted</w:t>
            </w:r>
          </w:p>
        </w:tc>
        <w:tc>
          <w:tcPr>
            <w:tcW w:w="1569" w:type="dxa"/>
            <w:tcMar>
              <w:top w:w="100" w:type="dxa"/>
              <w:left w:w="100" w:type="dxa"/>
              <w:bottom w:w="100" w:type="dxa"/>
              <w:right w:w="100" w:type="dxa"/>
            </w:tcMar>
            <w:vAlign w:val="center"/>
          </w:tcPr>
          <w:p w14:paraId="024F43D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10</w:t>
            </w:r>
          </w:p>
        </w:tc>
        <w:tc>
          <w:tcPr>
            <w:tcW w:w="1569" w:type="dxa"/>
            <w:tcMar>
              <w:top w:w="100" w:type="dxa"/>
              <w:left w:w="100" w:type="dxa"/>
              <w:bottom w:w="100" w:type="dxa"/>
              <w:right w:w="100" w:type="dxa"/>
            </w:tcMar>
            <w:vAlign w:val="center"/>
          </w:tcPr>
          <w:p w14:paraId="35EB30DB"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Co-design, access audits, requirements traceability and trials</w:t>
            </w:r>
          </w:p>
        </w:tc>
        <w:tc>
          <w:tcPr>
            <w:tcW w:w="1569" w:type="dxa"/>
            <w:tcMar>
              <w:top w:w="100" w:type="dxa"/>
              <w:left w:w="100" w:type="dxa"/>
              <w:bottom w:w="100" w:type="dxa"/>
              <w:right w:w="100" w:type="dxa"/>
            </w:tcMar>
            <w:vAlign w:val="center"/>
          </w:tcPr>
          <w:p w14:paraId="1ABE048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Audit failure; redesign before final finishes and retest</w:t>
            </w:r>
          </w:p>
        </w:tc>
        <w:tc>
          <w:tcPr>
            <w:tcW w:w="1569" w:type="dxa"/>
            <w:tcMar>
              <w:top w:w="100" w:type="dxa"/>
              <w:left w:w="100" w:type="dxa"/>
              <w:bottom w:w="100" w:type="dxa"/>
              <w:right w:w="100" w:type="dxa"/>
            </w:tcMar>
            <w:vAlign w:val="center"/>
          </w:tcPr>
          <w:p w14:paraId="06C1482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Design Director</w:t>
            </w:r>
          </w:p>
        </w:tc>
        <w:tc>
          <w:tcPr>
            <w:tcW w:w="1569" w:type="dxa"/>
            <w:tcMar>
              <w:top w:w="100" w:type="dxa"/>
              <w:left w:w="100" w:type="dxa"/>
              <w:bottom w:w="100" w:type="dxa"/>
              <w:right w:w="100" w:type="dxa"/>
            </w:tcMar>
            <w:vAlign w:val="center"/>
          </w:tcPr>
          <w:p w14:paraId="3FFAAD9B"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4</w:t>
            </w:r>
          </w:p>
        </w:tc>
      </w:tr>
      <w:tr w:rsidR="0070003B" w:rsidRPr="00F02C9D" w14:paraId="352D1EB7" w14:textId="77777777">
        <w:trPr>
          <w:cantSplit/>
          <w:jc w:val="center"/>
        </w:trPr>
        <w:tc>
          <w:tcPr>
            <w:tcW w:w="1569" w:type="dxa"/>
            <w:tcMar>
              <w:top w:w="100" w:type="dxa"/>
              <w:left w:w="100" w:type="dxa"/>
              <w:bottom w:w="100" w:type="dxa"/>
              <w:right w:w="100" w:type="dxa"/>
            </w:tcMar>
            <w:vAlign w:val="center"/>
          </w:tcPr>
          <w:p w14:paraId="31324DAE"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R7 Digital integration or cyber failure</w:t>
            </w:r>
          </w:p>
        </w:tc>
        <w:tc>
          <w:tcPr>
            <w:tcW w:w="1569" w:type="dxa"/>
            <w:tcMar>
              <w:top w:w="100" w:type="dxa"/>
              <w:left w:w="100" w:type="dxa"/>
              <w:bottom w:w="100" w:type="dxa"/>
              <w:right w:w="100" w:type="dxa"/>
            </w:tcMar>
            <w:vAlign w:val="center"/>
          </w:tcPr>
          <w:p w14:paraId="71DACA40"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12</w:t>
            </w:r>
          </w:p>
        </w:tc>
        <w:tc>
          <w:tcPr>
            <w:tcW w:w="1569" w:type="dxa"/>
            <w:tcMar>
              <w:top w:w="100" w:type="dxa"/>
              <w:left w:w="100" w:type="dxa"/>
              <w:bottom w:w="100" w:type="dxa"/>
              <w:right w:w="100" w:type="dxa"/>
            </w:tcMar>
            <w:vAlign w:val="center"/>
          </w:tcPr>
          <w:p w14:paraId="718DE25F"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Open interfaces, architecture control, secure development and test lab</w:t>
            </w:r>
          </w:p>
        </w:tc>
        <w:tc>
          <w:tcPr>
            <w:tcW w:w="1569" w:type="dxa"/>
            <w:tcMar>
              <w:top w:w="100" w:type="dxa"/>
              <w:left w:w="100" w:type="dxa"/>
              <w:bottom w:w="100" w:type="dxa"/>
              <w:right w:w="100" w:type="dxa"/>
            </w:tcMar>
            <w:vAlign w:val="center"/>
          </w:tcPr>
          <w:p w14:paraId="6B3250B8"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Failed integration/cyber test; rollback, isolate and staged release</w:t>
            </w:r>
          </w:p>
        </w:tc>
        <w:tc>
          <w:tcPr>
            <w:tcW w:w="1569" w:type="dxa"/>
            <w:tcMar>
              <w:top w:w="100" w:type="dxa"/>
              <w:left w:w="100" w:type="dxa"/>
              <w:bottom w:w="100" w:type="dxa"/>
              <w:right w:w="100" w:type="dxa"/>
            </w:tcMar>
            <w:vAlign w:val="center"/>
          </w:tcPr>
          <w:p w14:paraId="044F8694"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Digital Product Owner</w:t>
            </w:r>
          </w:p>
        </w:tc>
        <w:tc>
          <w:tcPr>
            <w:tcW w:w="1569" w:type="dxa"/>
            <w:tcMar>
              <w:top w:w="100" w:type="dxa"/>
              <w:left w:w="100" w:type="dxa"/>
              <w:bottom w:w="100" w:type="dxa"/>
              <w:right w:w="100" w:type="dxa"/>
            </w:tcMar>
            <w:vAlign w:val="center"/>
          </w:tcPr>
          <w:p w14:paraId="79EA863F"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6</w:t>
            </w:r>
          </w:p>
        </w:tc>
      </w:tr>
      <w:tr w:rsidR="0070003B" w:rsidRPr="00F02C9D" w14:paraId="666D72AD" w14:textId="77777777">
        <w:trPr>
          <w:cantSplit/>
          <w:jc w:val="center"/>
        </w:trPr>
        <w:tc>
          <w:tcPr>
            <w:tcW w:w="1569" w:type="dxa"/>
            <w:tcMar>
              <w:top w:w="100" w:type="dxa"/>
              <w:left w:w="100" w:type="dxa"/>
              <w:bottom w:w="100" w:type="dxa"/>
              <w:right w:w="100" w:type="dxa"/>
            </w:tcMar>
            <w:vAlign w:val="center"/>
          </w:tcPr>
          <w:p w14:paraId="1F0027AD"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R8 Stakeholder opposition and legal challenge</w:t>
            </w:r>
          </w:p>
        </w:tc>
        <w:tc>
          <w:tcPr>
            <w:tcW w:w="1569" w:type="dxa"/>
            <w:tcMar>
              <w:top w:w="100" w:type="dxa"/>
              <w:left w:w="100" w:type="dxa"/>
              <w:bottom w:w="100" w:type="dxa"/>
              <w:right w:w="100" w:type="dxa"/>
            </w:tcMar>
            <w:vAlign w:val="center"/>
          </w:tcPr>
          <w:p w14:paraId="63FEDF7A"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9</w:t>
            </w:r>
          </w:p>
        </w:tc>
        <w:tc>
          <w:tcPr>
            <w:tcW w:w="1569" w:type="dxa"/>
            <w:tcMar>
              <w:top w:w="100" w:type="dxa"/>
              <w:left w:w="100" w:type="dxa"/>
              <w:bottom w:w="100" w:type="dxa"/>
              <w:right w:w="100" w:type="dxa"/>
            </w:tcMar>
            <w:vAlign w:val="center"/>
          </w:tcPr>
          <w:p w14:paraId="43D03E0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Transparent options, equality assessment, consultation and commitments</w:t>
            </w:r>
          </w:p>
        </w:tc>
        <w:tc>
          <w:tcPr>
            <w:tcW w:w="1569" w:type="dxa"/>
            <w:tcMar>
              <w:top w:w="100" w:type="dxa"/>
              <w:left w:w="100" w:type="dxa"/>
              <w:bottom w:w="100" w:type="dxa"/>
              <w:right w:w="100" w:type="dxa"/>
            </w:tcMar>
            <w:vAlign w:val="center"/>
          </w:tcPr>
          <w:p w14:paraId="26E8BCA2"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Formal objection; independent review, mediation and design response</w:t>
            </w:r>
          </w:p>
        </w:tc>
        <w:tc>
          <w:tcPr>
            <w:tcW w:w="1569" w:type="dxa"/>
            <w:tcMar>
              <w:top w:w="100" w:type="dxa"/>
              <w:left w:w="100" w:type="dxa"/>
              <w:bottom w:w="100" w:type="dxa"/>
              <w:right w:w="100" w:type="dxa"/>
            </w:tcMar>
            <w:vAlign w:val="center"/>
          </w:tcPr>
          <w:p w14:paraId="499952C4"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Engagement Lead</w:t>
            </w:r>
          </w:p>
        </w:tc>
        <w:tc>
          <w:tcPr>
            <w:tcW w:w="1569" w:type="dxa"/>
            <w:tcMar>
              <w:top w:w="100" w:type="dxa"/>
              <w:left w:w="100" w:type="dxa"/>
              <w:bottom w:w="100" w:type="dxa"/>
              <w:right w:w="100" w:type="dxa"/>
            </w:tcMar>
            <w:vAlign w:val="center"/>
          </w:tcPr>
          <w:p w14:paraId="1A0900B9" w14:textId="77777777" w:rsidR="0070003B" w:rsidRPr="00F02C9D" w:rsidRDefault="00000000">
            <w:pPr>
              <w:spacing w:after="30" w:line="240" w:lineRule="auto"/>
              <w:rPr>
                <w:rFonts w:ascii="Arial" w:hAnsi="Arial" w:cs="Arial"/>
                <w:bCs/>
                <w:color w:val="000000" w:themeColor="text1"/>
                <w:sz w:val="22"/>
              </w:rPr>
            </w:pPr>
            <w:r w:rsidRPr="00F02C9D">
              <w:rPr>
                <w:rFonts w:ascii="Arial" w:hAnsi="Arial" w:cs="Arial"/>
                <w:bCs/>
                <w:color w:val="000000" w:themeColor="text1"/>
                <w:sz w:val="22"/>
              </w:rPr>
              <w:t>4</w:t>
            </w:r>
          </w:p>
        </w:tc>
      </w:tr>
    </w:tbl>
    <w:p w14:paraId="0FD53CE7"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 xml:space="preserve">Cost and schedule contingency are informed by quantitative risk analysis rather than adding an arbitrary percentage. Large infrastructure projects are vulnerable to optimism bias and strategic </w:t>
      </w:r>
      <w:r w:rsidRPr="00F02C9D">
        <w:rPr>
          <w:rFonts w:ascii="Arial" w:hAnsi="Arial" w:cs="Arial"/>
          <w:bCs/>
          <w:color w:val="000000" w:themeColor="text1"/>
          <w:sz w:val="22"/>
        </w:rPr>
        <w:lastRenderedPageBreak/>
        <w:t>underestimation. The business case therefore applies an outside view using comparable transport projects, then reduces uplifts only when evidence demonstrates mature scope and effective controls. Monte Carlo modelling is repeated at major gates and reports confidence levels such as P50 and P80. Contingency is released only through governance; it is not treated as an available enhancement budget.</w:t>
      </w:r>
    </w:p>
    <w:p w14:paraId="028E2C89"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Sustainability risk is integrated rather than maintained in a separate register. Whole-life carbon, climate resilience, social value and accessibility are requirements with owners and acceptance evidence. Sustainability management can improve broader project success, although environmental, social and economic objectives may conflict. The carbon baseline, design carbon budget and supplier reporting follow current whole-life carbon practice. Carbon and accessibility exceptions use the same change-control discipline as cost and schedule changes, ensuring that pressure at the end of construction cannot silently reduce strategic outcomes. The benefits owner must approve any proposed tolerance and identify compensating action.</w:t>
      </w:r>
    </w:p>
    <w:p w14:paraId="234F233E" w14:textId="77777777" w:rsidR="0070003B" w:rsidRPr="00F02C9D" w:rsidRDefault="00000000">
      <w:pPr>
        <w:pStyle w:val="Heading2"/>
        <w:rPr>
          <w:rFonts w:ascii="Arial" w:hAnsi="Arial" w:cs="Arial"/>
          <w:b w:val="0"/>
          <w:color w:val="000000" w:themeColor="text1"/>
          <w:sz w:val="22"/>
          <w:szCs w:val="22"/>
        </w:rPr>
      </w:pPr>
      <w:r w:rsidRPr="00F02C9D">
        <w:rPr>
          <w:rFonts w:ascii="Arial" w:hAnsi="Arial" w:cs="Arial"/>
          <w:b w:val="0"/>
          <w:color w:val="000000" w:themeColor="text1"/>
          <w:sz w:val="22"/>
          <w:szCs w:val="22"/>
        </w:rPr>
        <w:t>9.1 Opportunities and residual uncertainty</w:t>
      </w:r>
    </w:p>
    <w:p w14:paraId="2E07C018"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Opportunities such as modular construction, a digital twin, local supplier development and renewable energy are tested through the same governance as threats. Residual uncertainty in surveys, prices, approvals and demand is reported as ranges and confidence levels; the SRO may pause or rescope the project when exposure exceeds value.</w:t>
      </w:r>
    </w:p>
    <w:p w14:paraId="7A611688" w14:textId="77777777" w:rsidR="0070003B" w:rsidRPr="00F02C9D" w:rsidRDefault="00000000">
      <w:pPr>
        <w:pStyle w:val="Heading1"/>
        <w:rPr>
          <w:rFonts w:ascii="Arial" w:hAnsi="Arial" w:cs="Arial"/>
          <w:b w:val="0"/>
          <w:color w:val="000000" w:themeColor="text1"/>
          <w:sz w:val="22"/>
          <w:szCs w:val="22"/>
        </w:rPr>
      </w:pPr>
      <w:r w:rsidRPr="00F02C9D">
        <w:rPr>
          <w:rFonts w:ascii="Arial" w:hAnsi="Arial" w:cs="Arial"/>
          <w:b w:val="0"/>
          <w:color w:val="000000" w:themeColor="text1"/>
          <w:sz w:val="22"/>
          <w:szCs w:val="22"/>
        </w:rPr>
        <w:t>10. Conclusion</w:t>
      </w:r>
    </w:p>
    <w:p w14:paraId="79AA59FC" w14:textId="77777777" w:rsidR="0070003B" w:rsidRPr="00F02C9D" w:rsidRDefault="00000000">
      <w:pPr>
        <w:jc w:val="both"/>
        <w:rPr>
          <w:rFonts w:ascii="Arial" w:hAnsi="Arial" w:cs="Arial"/>
          <w:bCs/>
          <w:color w:val="000000" w:themeColor="text1"/>
          <w:sz w:val="22"/>
        </w:rPr>
      </w:pPr>
      <w:r w:rsidRPr="00F02C9D">
        <w:rPr>
          <w:rFonts w:ascii="Arial" w:hAnsi="Arial" w:cs="Arial"/>
          <w:bCs/>
          <w:color w:val="000000" w:themeColor="text1"/>
          <w:sz w:val="22"/>
        </w:rPr>
        <w:t>The hub renewal is justified because it resolves the unsafe asset condition while restoring integrated transport capacity and creating inclusive, digital and low-carbon outcomes. A temporary facility or digital upgrade alone would manage disruption without correcting the structural failure. The proposed hybrid model gives stage-gated control to the public sponsor, predictive discipline to construction and iterative learning to digital work.</w:t>
      </w:r>
    </w:p>
    <w:p w14:paraId="174B1F0C" w14:textId="77777777" w:rsidR="0070003B" w:rsidRPr="00F02C9D" w:rsidRDefault="00000000">
      <w:pPr>
        <w:rPr>
          <w:rFonts w:ascii="Arial" w:hAnsi="Arial" w:cs="Arial"/>
          <w:bCs/>
          <w:color w:val="000000" w:themeColor="text1"/>
          <w:sz w:val="22"/>
        </w:rPr>
      </w:pPr>
      <w:r w:rsidRPr="00F02C9D">
        <w:rPr>
          <w:rFonts w:ascii="Arial" w:hAnsi="Arial" w:cs="Arial"/>
          <w:bCs/>
          <w:color w:val="000000" w:themeColor="text1"/>
          <w:sz w:val="22"/>
        </w:rPr>
        <w:t>The plan connects outcomes to methodology selection, acceptance criteria, scope, WBS, schedule, stakeholder involvement, responsibilities, resources, risks and opportunities. Its limitations are explicit: cost, duration, capacity and carbon targets remain assumptions until surveys, option appraisal, consultation and market testing mature the business case. Successful delivery therefore depends on maintaining business justification, transparent decisions, independent assurance and measurable benefits—not merely completing construction by a target date.</w:t>
      </w:r>
    </w:p>
    <w:sectPr w:rsidR="0070003B" w:rsidRPr="00F02C9D" w:rsidSect="00034616">
      <w:footerReference w:type="default" r:id="rId15"/>
      <w:pgSz w:w="11906" w:h="16838"/>
      <w:pgMar w:top="1020" w:right="1247" w:bottom="907" w:left="124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D3E954F" w14:textId="77777777" w:rsidR="00A26CB7" w:rsidRDefault="00A26CB7">
      <w:pPr>
        <w:spacing w:after="0" w:line="240" w:lineRule="auto"/>
      </w:pPr>
      <w:r>
        <w:separator/>
      </w:r>
    </w:p>
  </w:endnote>
  <w:endnote w:type="continuationSeparator" w:id="0">
    <w:p w14:paraId="00DF1E02" w14:textId="77777777" w:rsidR="00A26CB7" w:rsidRDefault="00A26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83E8F77" w14:textId="77777777" w:rsidR="0070003B" w:rsidRDefault="00000000">
    <w:pPr>
      <w:pStyle w:val="Footer"/>
      <w:jc w:val="center"/>
    </w:pPr>
    <w:r>
      <w:fldChar w:fldCharType="begin"/>
    </w:r>
    <w:r>
      <w:instrText>PAGE</w:instrText>
    </w:r>
    <w:r w:rsidR="00F02C9D">
      <w:fldChar w:fldCharType="separate"/>
    </w:r>
    <w:r w:rsidR="00F02C9D">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D0B7C46" w14:textId="3E8396B4" w:rsidR="0070003B" w:rsidRDefault="00000000">
    <w:pPr>
      <w:pStyle w:val="Footer"/>
      <w:jc w:val="center"/>
    </w:pPr>
    <w:r>
      <w:fldChar w:fldCharType="begin"/>
    </w:r>
    <w:r>
      <w:instrText>PAGE</w:instrText>
    </w:r>
    <w:r w:rsidR="00F02C9D">
      <w:fldChar w:fldCharType="separate"/>
    </w:r>
    <w:r w:rsidR="00F02C9D">
      <w:rPr>
        <w:noProof/>
      </w:rPr>
      <w:t>3</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27728FF" w14:textId="05C6036E" w:rsidR="0070003B" w:rsidRDefault="00000000">
    <w:pPr>
      <w:pStyle w:val="Footer"/>
      <w:jc w:val="center"/>
    </w:pPr>
    <w:r>
      <w:fldChar w:fldCharType="begin"/>
    </w:r>
    <w:r>
      <w:instrText>PAGE</w:instrText>
    </w:r>
    <w:r w:rsidR="00F02C9D">
      <w:fldChar w:fldCharType="separate"/>
    </w:r>
    <w:r w:rsidR="00F02C9D">
      <w:rPr>
        <w:noProof/>
      </w:rPr>
      <w:t>4</w:t>
    </w:r>
    <w: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CDB2343" w14:textId="3FAEA4DE" w:rsidR="0070003B" w:rsidRDefault="00000000">
    <w:pPr>
      <w:pStyle w:val="Footer"/>
      <w:jc w:val="center"/>
    </w:pPr>
    <w:r>
      <w:fldChar w:fldCharType="begin"/>
    </w:r>
    <w:r>
      <w:instrText>PAGE</w:instrText>
    </w:r>
    <w:r w:rsidR="00F02C9D">
      <w:fldChar w:fldCharType="separate"/>
    </w:r>
    <w:r w:rsidR="00F02C9D">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FF3452B" w14:textId="77777777" w:rsidR="00A26CB7" w:rsidRDefault="00A26CB7">
      <w:pPr>
        <w:spacing w:after="0" w:line="240" w:lineRule="auto"/>
      </w:pPr>
      <w:r>
        <w:separator/>
      </w:r>
    </w:p>
  </w:footnote>
  <w:footnote w:type="continuationSeparator" w:id="0">
    <w:p w14:paraId="4DB878A0" w14:textId="77777777" w:rsidR="00A26CB7" w:rsidRDefault="00A26C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10112655">
    <w:abstractNumId w:val="8"/>
  </w:num>
  <w:num w:numId="2" w16cid:durableId="1618832156">
    <w:abstractNumId w:val="6"/>
  </w:num>
  <w:num w:numId="3" w16cid:durableId="1812823611">
    <w:abstractNumId w:val="5"/>
  </w:num>
  <w:num w:numId="4" w16cid:durableId="905602346">
    <w:abstractNumId w:val="4"/>
  </w:num>
  <w:num w:numId="5" w16cid:durableId="518930105">
    <w:abstractNumId w:val="7"/>
  </w:num>
  <w:num w:numId="6" w16cid:durableId="220869886">
    <w:abstractNumId w:val="3"/>
  </w:num>
  <w:num w:numId="7" w16cid:durableId="1177110315">
    <w:abstractNumId w:val="2"/>
  </w:num>
  <w:num w:numId="8" w16cid:durableId="880870460">
    <w:abstractNumId w:val="1"/>
  </w:num>
  <w:num w:numId="9" w16cid:durableId="87693915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A52"/>
    <w:rsid w:val="0006063C"/>
    <w:rsid w:val="0015074B"/>
    <w:rsid w:val="0029639D"/>
    <w:rsid w:val="00326F90"/>
    <w:rsid w:val="0070003B"/>
    <w:rsid w:val="00A26CB7"/>
    <w:rsid w:val="00AA1D8D"/>
    <w:rsid w:val="00B47730"/>
    <w:rsid w:val="00CB0664"/>
    <w:rsid w:val="00F02C9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E992298"/>
  <w14:defaultImageDpi w14:val="300"/>
  <w15:docId w15:val="{862B7EF7-391C-EE4C-B291-DEFB9F3AC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line="360" w:lineRule="auto"/>
    </w:pPr>
    <w:rPr>
      <w:rFonts w:ascii="Calibri" w:eastAsia="Calibri" w:hAnsi="Calibri"/>
      <w:sz w:val="24"/>
    </w:rPr>
  </w:style>
  <w:style w:type="paragraph" w:styleId="Heading1">
    <w:name w:val="heading 1"/>
    <w:basedOn w:val="Normal"/>
    <w:next w:val="Normal"/>
    <w:link w:val="Heading1Char"/>
    <w:uiPriority w:val="9"/>
    <w:qFormat/>
    <w:rsid w:val="00FC693F"/>
    <w:pPr>
      <w:keepNext/>
      <w:keepLines/>
      <w:spacing w:before="180" w:after="80"/>
      <w:outlineLvl w:val="0"/>
    </w:pPr>
    <w:rPr>
      <w:rFonts w:asciiTheme="majorHAnsi" w:eastAsiaTheme="majorEastAsia" w:hAnsiTheme="majorHAnsi" w:cstheme="majorBidi"/>
      <w:b/>
      <w:bCs/>
      <w:color w:val="17365D"/>
      <w:sz w:val="32"/>
      <w:szCs w:val="28"/>
    </w:rPr>
  </w:style>
  <w:style w:type="paragraph" w:styleId="Heading2">
    <w:name w:val="heading 2"/>
    <w:basedOn w:val="Normal"/>
    <w:next w:val="Normal"/>
    <w:link w:val="Heading2Char"/>
    <w:uiPriority w:val="9"/>
    <w:unhideWhenUsed/>
    <w:qFormat/>
    <w:rsid w:val="00FC693F"/>
    <w:pPr>
      <w:keepNext/>
      <w:keepLines/>
      <w:spacing w:before="180" w:after="80"/>
      <w:outlineLvl w:val="1"/>
    </w:pPr>
    <w:rPr>
      <w:rFonts w:asciiTheme="majorHAnsi" w:eastAsiaTheme="majorEastAsia" w:hAnsiTheme="majorHAnsi" w:cstheme="majorBidi"/>
      <w:b/>
      <w:bCs/>
      <w:color w:val="2F5597"/>
      <w:sz w:val="26"/>
      <w:szCs w:val="26"/>
    </w:rPr>
  </w:style>
  <w:style w:type="paragraph" w:styleId="Heading3">
    <w:name w:val="heading 3"/>
    <w:basedOn w:val="Normal"/>
    <w:next w:val="Normal"/>
    <w:link w:val="Heading3Char"/>
    <w:uiPriority w:val="9"/>
    <w:unhideWhenUsed/>
    <w:qFormat/>
    <w:rsid w:val="00FC693F"/>
    <w:pPr>
      <w:keepNext/>
      <w:keepLines/>
      <w:spacing w:before="180" w:after="80"/>
      <w:outlineLvl w:val="2"/>
    </w:pPr>
    <w:rPr>
      <w:rFonts w:asciiTheme="majorHAnsi" w:eastAsiaTheme="majorEastAsia" w:hAnsiTheme="majorHAnsi" w:cstheme="majorBidi"/>
      <w:b/>
      <w:bCs/>
      <w:color w:val="365F9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180" w:after="80" w:line="240" w:lineRule="auto"/>
      <w:contextualSpacing/>
    </w:pPr>
    <w:rPr>
      <w:rFonts w:asciiTheme="majorHAnsi" w:eastAsiaTheme="majorEastAsia" w:hAnsiTheme="majorHAnsi" w:cstheme="majorBidi"/>
      <w:b/>
      <w:color w:val="17365D"/>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i/>
      <w:color w:val="464646"/>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17</Pages>
  <Words>4640</Words>
  <Characters>26452</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31030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LCLM5003 Project Portfolio – Metropolitan Central Transport Hub Renewal</dc:title>
  <dc:subject>Project Management</dc:subject>
  <dc:creator>Abdullah Navsarka (2419942)</dc:creator>
  <cp:keywords/>
  <dc:description>Part B intentionally left as a template because no genuine tutor or peer feedback was available.</dc:description>
  <cp:lastModifiedBy>Abdullah Navsarka (2419942)</cp:lastModifiedBy>
  <cp:revision>2</cp:revision>
  <dcterms:created xsi:type="dcterms:W3CDTF">2026-07-27T01:38:00Z</dcterms:created>
  <dcterms:modified xsi:type="dcterms:W3CDTF">2026-07-27T01:38:00Z</dcterms:modified>
  <cp:category/>
</cp:coreProperties>
</file>