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7F751" w14:textId="519FF3C9" w:rsidR="00CD65D2" w:rsidRPr="0032229D" w:rsidRDefault="00F92649" w:rsidP="0032229D">
      <w:pPr>
        <w:jc w:val="center"/>
        <w:rPr>
          <w:rFonts w:ascii="Arial" w:hAnsi="Arial" w:cs="Arial"/>
          <w:sz w:val="44"/>
          <w:szCs w:val="44"/>
        </w:rPr>
      </w:pPr>
      <w:r w:rsidRPr="0032229D">
        <w:rPr>
          <w:rFonts w:ascii="Arial" w:hAnsi="Arial" w:cs="Arial"/>
          <w:sz w:val="44"/>
          <w:szCs w:val="44"/>
        </w:rPr>
        <w:t>Student Name: Corina-Florina Barbu</w:t>
      </w:r>
    </w:p>
    <w:p w14:paraId="56F2516F" w14:textId="6C759BF4" w:rsidR="00F92649" w:rsidRPr="0032229D" w:rsidRDefault="00F92649" w:rsidP="0032229D">
      <w:pPr>
        <w:jc w:val="center"/>
        <w:rPr>
          <w:rFonts w:ascii="Arial" w:hAnsi="Arial" w:cs="Arial"/>
          <w:sz w:val="44"/>
          <w:szCs w:val="44"/>
        </w:rPr>
      </w:pPr>
      <w:r w:rsidRPr="0032229D">
        <w:rPr>
          <w:rFonts w:ascii="Arial" w:hAnsi="Arial" w:cs="Arial"/>
          <w:sz w:val="44"/>
          <w:szCs w:val="44"/>
        </w:rPr>
        <w:t>Student ID: 2332679</w:t>
      </w:r>
    </w:p>
    <w:p w14:paraId="73356E2F" w14:textId="72938D7D" w:rsidR="00F92649" w:rsidRPr="0032229D" w:rsidRDefault="00F92649" w:rsidP="0032229D">
      <w:pPr>
        <w:jc w:val="center"/>
        <w:rPr>
          <w:rFonts w:ascii="Arial" w:hAnsi="Arial" w:cs="Arial"/>
          <w:sz w:val="44"/>
          <w:szCs w:val="44"/>
        </w:rPr>
      </w:pPr>
      <w:r w:rsidRPr="0032229D">
        <w:rPr>
          <w:rFonts w:ascii="Arial" w:hAnsi="Arial" w:cs="Arial"/>
          <w:sz w:val="44"/>
          <w:szCs w:val="44"/>
        </w:rPr>
        <w:t>Module Name: Understanding and Engaging Stakeholders</w:t>
      </w:r>
    </w:p>
    <w:p w14:paraId="417752C4" w14:textId="38D07B35" w:rsidR="00F92649" w:rsidRPr="0032229D" w:rsidRDefault="00F92649" w:rsidP="0032229D">
      <w:pPr>
        <w:jc w:val="center"/>
        <w:rPr>
          <w:rFonts w:ascii="Arial" w:hAnsi="Arial" w:cs="Arial"/>
          <w:sz w:val="44"/>
          <w:szCs w:val="44"/>
        </w:rPr>
      </w:pPr>
      <w:r w:rsidRPr="0032229D">
        <w:rPr>
          <w:rFonts w:ascii="Arial" w:hAnsi="Arial" w:cs="Arial"/>
          <w:sz w:val="44"/>
          <w:szCs w:val="44"/>
        </w:rPr>
        <w:t>Module Code: LCLM5001</w:t>
      </w:r>
    </w:p>
    <w:p w14:paraId="549E6C9D" w14:textId="5261DE79" w:rsidR="00F92649" w:rsidRPr="0032229D" w:rsidRDefault="00F92649" w:rsidP="0032229D">
      <w:pPr>
        <w:jc w:val="center"/>
        <w:rPr>
          <w:rFonts w:ascii="Arial" w:hAnsi="Arial" w:cs="Arial"/>
          <w:sz w:val="44"/>
          <w:szCs w:val="44"/>
        </w:rPr>
      </w:pPr>
      <w:r w:rsidRPr="0032229D">
        <w:rPr>
          <w:rFonts w:ascii="Arial" w:hAnsi="Arial" w:cs="Arial"/>
          <w:sz w:val="44"/>
          <w:szCs w:val="44"/>
        </w:rPr>
        <w:t>Lecturer Name: Eric Osei</w:t>
      </w:r>
    </w:p>
    <w:p w14:paraId="6AAAD166" w14:textId="77777777" w:rsidR="00F92649" w:rsidRDefault="00F92649">
      <w:pPr>
        <w:rPr>
          <w:rFonts w:ascii="Arial" w:hAnsi="Arial" w:cs="Arial"/>
          <w:sz w:val="28"/>
          <w:szCs w:val="28"/>
        </w:rPr>
      </w:pPr>
    </w:p>
    <w:p w14:paraId="6E06A88A" w14:textId="77777777" w:rsidR="00F92649" w:rsidRDefault="00F92649">
      <w:pPr>
        <w:rPr>
          <w:rFonts w:ascii="Arial" w:hAnsi="Arial" w:cs="Arial"/>
          <w:sz w:val="28"/>
          <w:szCs w:val="28"/>
        </w:rPr>
      </w:pPr>
    </w:p>
    <w:p w14:paraId="1AFBB7F6" w14:textId="77777777" w:rsidR="00F92649" w:rsidRDefault="00F92649">
      <w:pPr>
        <w:rPr>
          <w:rFonts w:ascii="Arial" w:hAnsi="Arial" w:cs="Arial"/>
          <w:sz w:val="28"/>
          <w:szCs w:val="28"/>
        </w:rPr>
      </w:pPr>
    </w:p>
    <w:p w14:paraId="6751C35F" w14:textId="77777777" w:rsidR="00F92649" w:rsidRDefault="00F92649">
      <w:pPr>
        <w:rPr>
          <w:rFonts w:ascii="Arial" w:hAnsi="Arial" w:cs="Arial"/>
          <w:sz w:val="28"/>
          <w:szCs w:val="28"/>
        </w:rPr>
      </w:pPr>
    </w:p>
    <w:p w14:paraId="7397B945" w14:textId="77777777" w:rsidR="00F92649" w:rsidRDefault="00F92649">
      <w:pPr>
        <w:rPr>
          <w:rFonts w:ascii="Arial" w:hAnsi="Arial" w:cs="Arial"/>
          <w:sz w:val="28"/>
          <w:szCs w:val="28"/>
        </w:rPr>
      </w:pPr>
    </w:p>
    <w:p w14:paraId="320C549C" w14:textId="77777777" w:rsidR="00F92649" w:rsidRDefault="00F92649">
      <w:pPr>
        <w:rPr>
          <w:rFonts w:ascii="Arial" w:hAnsi="Arial" w:cs="Arial"/>
          <w:sz w:val="28"/>
          <w:szCs w:val="28"/>
        </w:rPr>
      </w:pPr>
    </w:p>
    <w:p w14:paraId="698919E8" w14:textId="77777777" w:rsidR="00F92649" w:rsidRDefault="00F92649">
      <w:pPr>
        <w:rPr>
          <w:rFonts w:ascii="Arial" w:hAnsi="Arial" w:cs="Arial"/>
          <w:sz w:val="28"/>
          <w:szCs w:val="28"/>
        </w:rPr>
      </w:pPr>
    </w:p>
    <w:p w14:paraId="4AF0BB25" w14:textId="77777777" w:rsidR="00F92649" w:rsidRDefault="00F92649">
      <w:pPr>
        <w:rPr>
          <w:rFonts w:ascii="Arial" w:hAnsi="Arial" w:cs="Arial"/>
          <w:sz w:val="28"/>
          <w:szCs w:val="28"/>
        </w:rPr>
      </w:pPr>
    </w:p>
    <w:p w14:paraId="425D39C0" w14:textId="77777777" w:rsidR="00F92649" w:rsidRDefault="00F92649">
      <w:pPr>
        <w:rPr>
          <w:rFonts w:ascii="Arial" w:hAnsi="Arial" w:cs="Arial"/>
          <w:sz w:val="28"/>
          <w:szCs w:val="28"/>
        </w:rPr>
      </w:pPr>
    </w:p>
    <w:p w14:paraId="1BC9DA8A" w14:textId="77777777" w:rsidR="00F92649" w:rsidRDefault="00F92649">
      <w:pPr>
        <w:rPr>
          <w:rFonts w:ascii="Arial" w:hAnsi="Arial" w:cs="Arial"/>
          <w:sz w:val="28"/>
          <w:szCs w:val="28"/>
        </w:rPr>
      </w:pPr>
    </w:p>
    <w:p w14:paraId="69ED2443" w14:textId="77777777" w:rsidR="00F92649" w:rsidRDefault="00F92649">
      <w:pPr>
        <w:rPr>
          <w:rFonts w:ascii="Arial" w:hAnsi="Arial" w:cs="Arial"/>
          <w:sz w:val="28"/>
          <w:szCs w:val="28"/>
        </w:rPr>
      </w:pPr>
    </w:p>
    <w:p w14:paraId="75C20EB2" w14:textId="77777777" w:rsidR="00F92649" w:rsidRDefault="00F92649">
      <w:pPr>
        <w:rPr>
          <w:rFonts w:ascii="Arial" w:hAnsi="Arial" w:cs="Arial"/>
          <w:sz w:val="28"/>
          <w:szCs w:val="28"/>
        </w:rPr>
      </w:pPr>
    </w:p>
    <w:p w14:paraId="05ECC654" w14:textId="77777777" w:rsidR="00F92649" w:rsidRDefault="00F92649">
      <w:pPr>
        <w:rPr>
          <w:rFonts w:ascii="Arial" w:hAnsi="Arial" w:cs="Arial"/>
          <w:sz w:val="28"/>
          <w:szCs w:val="28"/>
        </w:rPr>
      </w:pPr>
    </w:p>
    <w:p w14:paraId="66365B73" w14:textId="77777777" w:rsidR="00F92649" w:rsidRDefault="00F92649">
      <w:pPr>
        <w:rPr>
          <w:rFonts w:ascii="Arial" w:hAnsi="Arial" w:cs="Arial"/>
          <w:sz w:val="28"/>
          <w:szCs w:val="28"/>
        </w:rPr>
      </w:pPr>
    </w:p>
    <w:p w14:paraId="3400E814" w14:textId="77777777" w:rsidR="00F92649" w:rsidRDefault="00F92649">
      <w:pPr>
        <w:rPr>
          <w:rFonts w:ascii="Arial" w:hAnsi="Arial" w:cs="Arial"/>
          <w:sz w:val="28"/>
          <w:szCs w:val="28"/>
        </w:rPr>
      </w:pPr>
    </w:p>
    <w:p w14:paraId="613503EB" w14:textId="77777777" w:rsidR="00F92649" w:rsidRDefault="00F92649">
      <w:pPr>
        <w:rPr>
          <w:rFonts w:ascii="Arial" w:hAnsi="Arial" w:cs="Arial"/>
          <w:sz w:val="28"/>
          <w:szCs w:val="28"/>
        </w:rPr>
      </w:pPr>
    </w:p>
    <w:p w14:paraId="55AD1A53" w14:textId="77777777" w:rsidR="00F92649" w:rsidRDefault="00F92649">
      <w:pPr>
        <w:rPr>
          <w:rFonts w:ascii="Arial" w:hAnsi="Arial" w:cs="Arial"/>
          <w:sz w:val="28"/>
          <w:szCs w:val="28"/>
        </w:rPr>
      </w:pPr>
    </w:p>
    <w:p w14:paraId="2D3F5AD5" w14:textId="77777777" w:rsidR="00F92649" w:rsidRDefault="00F92649">
      <w:pPr>
        <w:rPr>
          <w:rFonts w:ascii="Arial" w:hAnsi="Arial" w:cs="Arial"/>
          <w:sz w:val="28"/>
          <w:szCs w:val="28"/>
        </w:rPr>
      </w:pPr>
    </w:p>
    <w:p w14:paraId="0F98CA1C" w14:textId="77777777" w:rsidR="00F92649" w:rsidRDefault="00F92649">
      <w:pPr>
        <w:rPr>
          <w:rFonts w:ascii="Arial" w:hAnsi="Arial" w:cs="Arial"/>
          <w:sz w:val="28"/>
          <w:szCs w:val="28"/>
        </w:rPr>
      </w:pPr>
    </w:p>
    <w:p w14:paraId="3362885C" w14:textId="77777777" w:rsidR="00F92649" w:rsidRDefault="00F92649">
      <w:pPr>
        <w:rPr>
          <w:rFonts w:ascii="Arial" w:hAnsi="Arial" w:cs="Arial"/>
          <w:sz w:val="28"/>
          <w:szCs w:val="28"/>
        </w:rPr>
      </w:pPr>
    </w:p>
    <w:p w14:paraId="738A7FBD" w14:textId="77777777" w:rsidR="00F92649" w:rsidRDefault="00F92649">
      <w:pPr>
        <w:rPr>
          <w:rFonts w:ascii="Arial" w:hAnsi="Arial" w:cs="Arial"/>
          <w:sz w:val="28"/>
          <w:szCs w:val="28"/>
        </w:rPr>
      </w:pPr>
    </w:p>
    <w:p w14:paraId="50F7D266" w14:textId="7EDFDE2A" w:rsidR="00F92649" w:rsidRDefault="00F92649">
      <w:pPr>
        <w:rPr>
          <w:rFonts w:ascii="Arial" w:hAnsi="Arial" w:cs="Arial"/>
          <w:sz w:val="28"/>
          <w:szCs w:val="28"/>
        </w:rPr>
      </w:pPr>
      <w:r>
        <w:rPr>
          <w:rFonts w:ascii="Arial" w:hAnsi="Arial" w:cs="Arial"/>
          <w:sz w:val="28"/>
          <w:szCs w:val="28"/>
        </w:rPr>
        <w:t>Executive Summ</w:t>
      </w:r>
      <w:r w:rsidR="0032229D">
        <w:rPr>
          <w:rFonts w:ascii="Arial" w:hAnsi="Arial" w:cs="Arial"/>
          <w:sz w:val="28"/>
          <w:szCs w:val="28"/>
        </w:rPr>
        <w:t>a</w:t>
      </w:r>
      <w:r>
        <w:rPr>
          <w:rFonts w:ascii="Arial" w:hAnsi="Arial" w:cs="Arial"/>
          <w:sz w:val="28"/>
          <w:szCs w:val="28"/>
        </w:rPr>
        <w:t>ry</w:t>
      </w:r>
    </w:p>
    <w:p w14:paraId="6EA8BC53" w14:textId="4EB35EEA" w:rsidR="00F92649" w:rsidRDefault="00F92649">
      <w:pPr>
        <w:rPr>
          <w:rFonts w:ascii="Arial" w:hAnsi="Arial" w:cs="Arial"/>
          <w:sz w:val="22"/>
          <w:szCs w:val="22"/>
        </w:rPr>
      </w:pPr>
      <w:r w:rsidRPr="00F92649">
        <w:rPr>
          <w:rFonts w:ascii="Arial" w:hAnsi="Arial" w:cs="Arial"/>
          <w:sz w:val="22"/>
          <w:szCs w:val="22"/>
        </w:rPr>
        <w:t>This report outlines the stakeholder engagement approach required to support the development and successful launch of a new Medtronic UK wearable health device that monitors heart rate, oxygen levels and sleep patterns. As project manager, the focus is to identify key stakeholders, analyse their influence and expectations, and implement suitable engagement and communication strategies throughout the six-month project timeline. Using stakeholder management models and planning tools, the report demonstrates how effective collaboration, regulatory alignment and user involvement will support product quality, compliance and market readiness. The report concludes with recommendations to sustain engagement post-launch and ensure long-term product adoption.</w:t>
      </w:r>
    </w:p>
    <w:p w14:paraId="71D2C80B" w14:textId="77777777" w:rsidR="00F92649" w:rsidRDefault="00F92649">
      <w:pPr>
        <w:rPr>
          <w:rFonts w:ascii="Arial" w:hAnsi="Arial" w:cs="Arial"/>
          <w:sz w:val="22"/>
          <w:szCs w:val="22"/>
        </w:rPr>
      </w:pPr>
    </w:p>
    <w:p w14:paraId="510962A6" w14:textId="77777777" w:rsidR="00F92649" w:rsidRDefault="00F92649">
      <w:pPr>
        <w:rPr>
          <w:rFonts w:ascii="Arial" w:hAnsi="Arial" w:cs="Arial"/>
          <w:sz w:val="22"/>
          <w:szCs w:val="22"/>
        </w:rPr>
      </w:pPr>
    </w:p>
    <w:p w14:paraId="3ECCED96" w14:textId="77777777" w:rsidR="00F92649" w:rsidRDefault="00F92649">
      <w:pPr>
        <w:rPr>
          <w:rFonts w:ascii="Arial" w:hAnsi="Arial" w:cs="Arial"/>
          <w:sz w:val="22"/>
          <w:szCs w:val="22"/>
        </w:rPr>
      </w:pPr>
    </w:p>
    <w:p w14:paraId="20F2F6D0" w14:textId="77777777" w:rsidR="00F92649" w:rsidRDefault="00F92649">
      <w:pPr>
        <w:rPr>
          <w:rFonts w:ascii="Arial" w:hAnsi="Arial" w:cs="Arial"/>
          <w:sz w:val="22"/>
          <w:szCs w:val="22"/>
        </w:rPr>
      </w:pPr>
    </w:p>
    <w:p w14:paraId="494ACE55" w14:textId="77777777" w:rsidR="00F92649" w:rsidRDefault="00F92649">
      <w:pPr>
        <w:rPr>
          <w:rFonts w:ascii="Arial" w:hAnsi="Arial" w:cs="Arial"/>
          <w:sz w:val="22"/>
          <w:szCs w:val="22"/>
        </w:rPr>
      </w:pPr>
    </w:p>
    <w:p w14:paraId="3A35C1BD" w14:textId="77777777" w:rsidR="00F92649" w:rsidRDefault="00F92649">
      <w:pPr>
        <w:rPr>
          <w:rFonts w:ascii="Arial" w:hAnsi="Arial" w:cs="Arial"/>
          <w:sz w:val="22"/>
          <w:szCs w:val="22"/>
        </w:rPr>
      </w:pPr>
    </w:p>
    <w:p w14:paraId="74FBAB73" w14:textId="77777777" w:rsidR="00F92649" w:rsidRDefault="00F92649">
      <w:pPr>
        <w:rPr>
          <w:rFonts w:ascii="Arial" w:hAnsi="Arial" w:cs="Arial"/>
          <w:sz w:val="22"/>
          <w:szCs w:val="22"/>
        </w:rPr>
      </w:pPr>
    </w:p>
    <w:p w14:paraId="2C8BEF28" w14:textId="77777777" w:rsidR="00F92649" w:rsidRDefault="00F92649">
      <w:pPr>
        <w:rPr>
          <w:rFonts w:ascii="Arial" w:hAnsi="Arial" w:cs="Arial"/>
          <w:sz w:val="22"/>
          <w:szCs w:val="22"/>
        </w:rPr>
      </w:pPr>
    </w:p>
    <w:p w14:paraId="5743EDF5" w14:textId="77777777" w:rsidR="00F92649" w:rsidRDefault="00F92649">
      <w:pPr>
        <w:rPr>
          <w:rFonts w:ascii="Arial" w:hAnsi="Arial" w:cs="Arial"/>
          <w:sz w:val="22"/>
          <w:szCs w:val="22"/>
        </w:rPr>
      </w:pPr>
    </w:p>
    <w:p w14:paraId="587FEB3D" w14:textId="77777777" w:rsidR="00F92649" w:rsidRDefault="00F92649">
      <w:pPr>
        <w:rPr>
          <w:rFonts w:ascii="Arial" w:hAnsi="Arial" w:cs="Arial"/>
          <w:sz w:val="22"/>
          <w:szCs w:val="22"/>
        </w:rPr>
      </w:pPr>
    </w:p>
    <w:p w14:paraId="78BACE83" w14:textId="77777777" w:rsidR="00F92649" w:rsidRDefault="00F92649">
      <w:pPr>
        <w:rPr>
          <w:rFonts w:ascii="Arial" w:hAnsi="Arial" w:cs="Arial"/>
          <w:sz w:val="22"/>
          <w:szCs w:val="22"/>
        </w:rPr>
      </w:pPr>
    </w:p>
    <w:p w14:paraId="340C7FBC" w14:textId="77777777" w:rsidR="00F92649" w:rsidRDefault="00F92649">
      <w:pPr>
        <w:rPr>
          <w:rFonts w:ascii="Arial" w:hAnsi="Arial" w:cs="Arial"/>
          <w:sz w:val="22"/>
          <w:szCs w:val="22"/>
        </w:rPr>
      </w:pPr>
    </w:p>
    <w:p w14:paraId="69810919" w14:textId="77777777" w:rsidR="00F92649" w:rsidRDefault="00F92649">
      <w:pPr>
        <w:rPr>
          <w:rFonts w:ascii="Arial" w:hAnsi="Arial" w:cs="Arial"/>
          <w:sz w:val="22"/>
          <w:szCs w:val="22"/>
        </w:rPr>
      </w:pPr>
    </w:p>
    <w:p w14:paraId="3C3D248C" w14:textId="77777777" w:rsidR="00F92649" w:rsidRDefault="00F92649">
      <w:pPr>
        <w:rPr>
          <w:rFonts w:ascii="Arial" w:hAnsi="Arial" w:cs="Arial"/>
          <w:sz w:val="22"/>
          <w:szCs w:val="22"/>
        </w:rPr>
      </w:pPr>
    </w:p>
    <w:p w14:paraId="46FD9285" w14:textId="77777777" w:rsidR="00F92649" w:rsidRDefault="00F92649">
      <w:pPr>
        <w:rPr>
          <w:rFonts w:ascii="Arial" w:hAnsi="Arial" w:cs="Arial"/>
          <w:sz w:val="22"/>
          <w:szCs w:val="22"/>
        </w:rPr>
      </w:pPr>
    </w:p>
    <w:p w14:paraId="328785F9" w14:textId="77777777" w:rsidR="00F92649" w:rsidRDefault="00F92649">
      <w:pPr>
        <w:rPr>
          <w:rFonts w:ascii="Arial" w:hAnsi="Arial" w:cs="Arial"/>
          <w:sz w:val="22"/>
          <w:szCs w:val="22"/>
        </w:rPr>
      </w:pPr>
    </w:p>
    <w:p w14:paraId="61CA13EE" w14:textId="77777777" w:rsidR="00F92649" w:rsidRDefault="00F92649">
      <w:pPr>
        <w:rPr>
          <w:rFonts w:ascii="Arial" w:hAnsi="Arial" w:cs="Arial"/>
          <w:sz w:val="22"/>
          <w:szCs w:val="22"/>
        </w:rPr>
      </w:pPr>
    </w:p>
    <w:p w14:paraId="53EC1B8D" w14:textId="77777777" w:rsidR="00F92649" w:rsidRDefault="00F92649">
      <w:pPr>
        <w:rPr>
          <w:rFonts w:ascii="Arial" w:hAnsi="Arial" w:cs="Arial"/>
          <w:sz w:val="22"/>
          <w:szCs w:val="22"/>
        </w:rPr>
      </w:pPr>
    </w:p>
    <w:p w14:paraId="597B4AAF" w14:textId="77777777" w:rsidR="00F92649" w:rsidRDefault="00F92649">
      <w:pPr>
        <w:rPr>
          <w:rFonts w:ascii="Arial" w:hAnsi="Arial" w:cs="Arial"/>
          <w:sz w:val="22"/>
          <w:szCs w:val="22"/>
        </w:rPr>
      </w:pPr>
    </w:p>
    <w:p w14:paraId="0DA6B878" w14:textId="07E49D72" w:rsidR="00F92649" w:rsidRDefault="00F92649" w:rsidP="00D90E14">
      <w:pPr>
        <w:jc w:val="center"/>
        <w:rPr>
          <w:rFonts w:ascii="Arial" w:hAnsi="Arial" w:cs="Arial"/>
          <w:b/>
          <w:bCs/>
          <w:sz w:val="40"/>
          <w:szCs w:val="40"/>
        </w:rPr>
      </w:pPr>
      <w:r w:rsidRPr="00D90E14">
        <w:rPr>
          <w:rFonts w:ascii="Arial" w:hAnsi="Arial" w:cs="Arial"/>
          <w:b/>
          <w:bCs/>
          <w:sz w:val="40"/>
          <w:szCs w:val="40"/>
        </w:rPr>
        <w:lastRenderedPageBreak/>
        <w:t>Table Of content</w:t>
      </w:r>
    </w:p>
    <w:p w14:paraId="70A2604C" w14:textId="77777777" w:rsidR="00E767C2" w:rsidRDefault="00E767C2" w:rsidP="00D90E14">
      <w:pPr>
        <w:jc w:val="center"/>
        <w:rPr>
          <w:rFonts w:ascii="Arial" w:hAnsi="Arial" w:cs="Arial"/>
          <w:b/>
          <w:bCs/>
          <w:sz w:val="40"/>
          <w:szCs w:val="40"/>
        </w:rPr>
      </w:pPr>
    </w:p>
    <w:p w14:paraId="00DB228A" w14:textId="77777777" w:rsidR="00E767C2" w:rsidRDefault="00E767C2" w:rsidP="00966D90">
      <w:pPr>
        <w:rPr>
          <w:rFonts w:ascii="Arial" w:hAnsi="Arial" w:cs="Arial"/>
          <w:b/>
          <w:bCs/>
          <w:sz w:val="40"/>
          <w:szCs w:val="40"/>
        </w:rPr>
      </w:pPr>
    </w:p>
    <w:p w14:paraId="74520D5B" w14:textId="11C7B11C" w:rsidR="00966D90" w:rsidRDefault="00D141ED" w:rsidP="00174238">
      <w:pPr>
        <w:rPr>
          <w:rFonts w:ascii="Arial" w:hAnsi="Arial" w:cs="Arial"/>
        </w:rPr>
      </w:pPr>
      <w:r>
        <w:rPr>
          <w:rFonts w:ascii="Arial" w:hAnsi="Arial" w:cs="Arial"/>
        </w:rPr>
        <w:t>Introduction…………………………………………………………………</w:t>
      </w:r>
      <w:r w:rsidR="00174238">
        <w:rPr>
          <w:rFonts w:ascii="Arial" w:hAnsi="Arial" w:cs="Arial"/>
        </w:rPr>
        <w:t>…</w:t>
      </w:r>
      <w:r>
        <w:rPr>
          <w:rFonts w:ascii="Arial" w:hAnsi="Arial" w:cs="Arial"/>
        </w:rPr>
        <w:t>4</w:t>
      </w:r>
    </w:p>
    <w:p w14:paraId="34CA9CA5" w14:textId="7DF0966C" w:rsidR="00D141ED" w:rsidRDefault="00D141ED" w:rsidP="00174238">
      <w:pPr>
        <w:rPr>
          <w:rFonts w:ascii="Arial" w:hAnsi="Arial" w:cs="Arial"/>
        </w:rPr>
      </w:pPr>
      <w:r>
        <w:rPr>
          <w:rFonts w:ascii="Arial" w:hAnsi="Arial" w:cs="Arial"/>
        </w:rPr>
        <w:t>Introduction of the Company……………………………………………</w:t>
      </w:r>
      <w:proofErr w:type="gramStart"/>
      <w:r w:rsidR="00174238">
        <w:rPr>
          <w:rFonts w:ascii="Arial" w:hAnsi="Arial" w:cs="Arial"/>
        </w:rPr>
        <w:t>…..</w:t>
      </w:r>
      <w:proofErr w:type="gramEnd"/>
      <w:r>
        <w:rPr>
          <w:rFonts w:ascii="Arial" w:hAnsi="Arial" w:cs="Arial"/>
        </w:rPr>
        <w:t>4</w:t>
      </w:r>
    </w:p>
    <w:p w14:paraId="79665916" w14:textId="20ED6AD2" w:rsidR="00D141ED" w:rsidRDefault="00D141ED" w:rsidP="00174238">
      <w:pPr>
        <w:rPr>
          <w:rFonts w:ascii="Arial" w:hAnsi="Arial" w:cs="Arial"/>
          <w:sz w:val="22"/>
          <w:szCs w:val="22"/>
        </w:rPr>
      </w:pPr>
      <w:r w:rsidRPr="00D141ED">
        <w:rPr>
          <w:rFonts w:ascii="Arial" w:hAnsi="Arial" w:cs="Arial"/>
          <w:sz w:val="22"/>
          <w:szCs w:val="22"/>
        </w:rPr>
        <w:t>APPRAISAL OF THE COMPANY</w:t>
      </w:r>
      <w:r>
        <w:rPr>
          <w:rFonts w:ascii="Arial" w:hAnsi="Arial" w:cs="Arial"/>
          <w:sz w:val="22"/>
          <w:szCs w:val="22"/>
        </w:rPr>
        <w:t>……………………………………………</w:t>
      </w:r>
      <w:r w:rsidR="00174238">
        <w:rPr>
          <w:rFonts w:ascii="Arial" w:hAnsi="Arial" w:cs="Arial"/>
          <w:sz w:val="22"/>
          <w:szCs w:val="22"/>
        </w:rPr>
        <w:t>…....</w:t>
      </w:r>
      <w:r>
        <w:rPr>
          <w:rFonts w:ascii="Arial" w:hAnsi="Arial" w:cs="Arial"/>
          <w:sz w:val="22"/>
          <w:szCs w:val="22"/>
        </w:rPr>
        <w:t>5</w:t>
      </w:r>
    </w:p>
    <w:p w14:paraId="1D68ADC3" w14:textId="5488D8AE" w:rsidR="00D141ED" w:rsidRDefault="00D141ED" w:rsidP="00174238">
      <w:pPr>
        <w:rPr>
          <w:rFonts w:ascii="Arial" w:hAnsi="Arial" w:cs="Arial"/>
          <w:sz w:val="22"/>
          <w:szCs w:val="22"/>
        </w:rPr>
      </w:pPr>
      <w:r w:rsidRPr="00D141ED">
        <w:rPr>
          <w:rFonts w:ascii="Arial" w:hAnsi="Arial" w:cs="Arial"/>
          <w:sz w:val="22"/>
          <w:szCs w:val="22"/>
        </w:rPr>
        <w:t>SWOT ANALYSIS</w:t>
      </w:r>
      <w:r>
        <w:rPr>
          <w:rFonts w:ascii="Arial" w:hAnsi="Arial" w:cs="Arial"/>
          <w:sz w:val="22"/>
          <w:szCs w:val="22"/>
        </w:rPr>
        <w:t>………………………………………………………………</w:t>
      </w:r>
      <w:r w:rsidR="00174238">
        <w:rPr>
          <w:rFonts w:ascii="Arial" w:hAnsi="Arial" w:cs="Arial"/>
          <w:sz w:val="22"/>
          <w:szCs w:val="22"/>
        </w:rPr>
        <w:t>…...</w:t>
      </w:r>
      <w:r w:rsidR="00E875FC">
        <w:rPr>
          <w:rFonts w:ascii="Arial" w:hAnsi="Arial" w:cs="Arial"/>
          <w:sz w:val="22"/>
          <w:szCs w:val="22"/>
        </w:rPr>
        <w:t>5</w:t>
      </w:r>
    </w:p>
    <w:p w14:paraId="320C2256" w14:textId="25EA3038" w:rsidR="00E875FC" w:rsidRDefault="00E875FC" w:rsidP="00174238">
      <w:pPr>
        <w:rPr>
          <w:rFonts w:ascii="Arial" w:hAnsi="Arial" w:cs="Arial"/>
          <w:sz w:val="22"/>
          <w:szCs w:val="22"/>
        </w:rPr>
      </w:pPr>
      <w:r w:rsidRPr="00E875FC">
        <w:rPr>
          <w:rFonts w:ascii="Arial" w:hAnsi="Arial" w:cs="Arial"/>
          <w:sz w:val="22"/>
          <w:szCs w:val="22"/>
        </w:rPr>
        <w:t>PESTLE ANALYSIS………………………………………………………………</w:t>
      </w:r>
      <w:r w:rsidR="00174238">
        <w:rPr>
          <w:rFonts w:ascii="Arial" w:hAnsi="Arial" w:cs="Arial"/>
          <w:sz w:val="22"/>
          <w:szCs w:val="22"/>
        </w:rPr>
        <w:t>…</w:t>
      </w:r>
      <w:r w:rsidRPr="00E875FC">
        <w:rPr>
          <w:rFonts w:ascii="Arial" w:hAnsi="Arial" w:cs="Arial"/>
          <w:sz w:val="22"/>
          <w:szCs w:val="22"/>
        </w:rPr>
        <w:t>6</w:t>
      </w:r>
    </w:p>
    <w:p w14:paraId="7DE2EBCF" w14:textId="73D710D3" w:rsidR="00174238" w:rsidRDefault="00174238" w:rsidP="00174238">
      <w:pPr>
        <w:rPr>
          <w:rFonts w:ascii="Arial" w:hAnsi="Arial" w:cs="Arial"/>
          <w:sz w:val="22"/>
          <w:szCs w:val="22"/>
        </w:rPr>
      </w:pPr>
      <w:r w:rsidRPr="00174238">
        <w:rPr>
          <w:rFonts w:ascii="Arial" w:hAnsi="Arial" w:cs="Arial"/>
          <w:sz w:val="22"/>
          <w:szCs w:val="22"/>
        </w:rPr>
        <w:t>SMART Objectives and Their Importance…………………………………</w:t>
      </w:r>
      <w:r>
        <w:rPr>
          <w:rFonts w:ascii="Arial" w:hAnsi="Arial" w:cs="Arial"/>
          <w:sz w:val="22"/>
          <w:szCs w:val="22"/>
        </w:rPr>
        <w:t>…..</w:t>
      </w:r>
      <w:r w:rsidRPr="00174238">
        <w:rPr>
          <w:rFonts w:ascii="Arial" w:hAnsi="Arial" w:cs="Arial"/>
          <w:sz w:val="22"/>
          <w:szCs w:val="22"/>
        </w:rPr>
        <w:t>.</w:t>
      </w:r>
      <w:r>
        <w:rPr>
          <w:rFonts w:ascii="Arial" w:hAnsi="Arial" w:cs="Arial"/>
          <w:sz w:val="22"/>
          <w:szCs w:val="22"/>
        </w:rPr>
        <w:t>...</w:t>
      </w:r>
      <w:r w:rsidRPr="00174238">
        <w:rPr>
          <w:rFonts w:ascii="Arial" w:hAnsi="Arial" w:cs="Arial"/>
          <w:sz w:val="22"/>
          <w:szCs w:val="22"/>
        </w:rPr>
        <w:t>7</w:t>
      </w:r>
    </w:p>
    <w:p w14:paraId="5D391A12" w14:textId="66A80515" w:rsidR="00174238" w:rsidRDefault="00174238" w:rsidP="00174238">
      <w:pPr>
        <w:rPr>
          <w:rFonts w:ascii="Arial" w:hAnsi="Arial" w:cs="Arial"/>
          <w:sz w:val="22"/>
          <w:szCs w:val="22"/>
        </w:rPr>
      </w:pPr>
      <w:r w:rsidRPr="00174238">
        <w:rPr>
          <w:rFonts w:ascii="Arial" w:hAnsi="Arial" w:cs="Arial"/>
          <w:sz w:val="22"/>
          <w:szCs w:val="22"/>
        </w:rPr>
        <w:t>Examples of SMART Objectives for the Project</w:t>
      </w:r>
      <w:r>
        <w:rPr>
          <w:rFonts w:ascii="Arial" w:hAnsi="Arial" w:cs="Arial"/>
          <w:sz w:val="22"/>
          <w:szCs w:val="22"/>
        </w:rPr>
        <w:t>…………………………………7</w:t>
      </w:r>
    </w:p>
    <w:p w14:paraId="269FCBD7" w14:textId="318302BC" w:rsidR="00174238" w:rsidRPr="00174238" w:rsidRDefault="00174238" w:rsidP="00174238">
      <w:pPr>
        <w:rPr>
          <w:rFonts w:ascii="Arial" w:hAnsi="Arial" w:cs="Arial"/>
          <w:sz w:val="22"/>
          <w:szCs w:val="22"/>
        </w:rPr>
      </w:pPr>
      <w:r w:rsidRPr="00174238">
        <w:rPr>
          <w:rFonts w:ascii="Arial" w:hAnsi="Arial" w:cs="Arial"/>
          <w:sz w:val="22"/>
          <w:szCs w:val="22"/>
        </w:rPr>
        <w:t>Stakeholder Identification</w:t>
      </w:r>
      <w:r>
        <w:rPr>
          <w:rFonts w:ascii="Arial" w:hAnsi="Arial" w:cs="Arial"/>
          <w:sz w:val="22"/>
          <w:szCs w:val="22"/>
        </w:rPr>
        <w:t>………………………………………………………….8</w:t>
      </w:r>
    </w:p>
    <w:p w14:paraId="4AFE58A1" w14:textId="2605D275" w:rsidR="00174238" w:rsidRDefault="00174238" w:rsidP="00174238">
      <w:pPr>
        <w:rPr>
          <w:rFonts w:ascii="Arial" w:hAnsi="Arial" w:cs="Arial"/>
          <w:sz w:val="22"/>
          <w:szCs w:val="22"/>
        </w:rPr>
      </w:pPr>
      <w:r w:rsidRPr="00174238">
        <w:rPr>
          <w:rFonts w:ascii="Arial" w:hAnsi="Arial" w:cs="Arial"/>
          <w:sz w:val="22"/>
          <w:szCs w:val="22"/>
        </w:rPr>
        <w:t>Stakeholder Identification</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9</w:t>
      </w:r>
    </w:p>
    <w:p w14:paraId="6C54F74E" w14:textId="7CA95AE7" w:rsidR="00174238" w:rsidRDefault="00174238" w:rsidP="00174238">
      <w:pPr>
        <w:rPr>
          <w:rFonts w:ascii="Arial" w:hAnsi="Arial" w:cs="Arial"/>
          <w:sz w:val="22"/>
          <w:szCs w:val="22"/>
        </w:rPr>
      </w:pPr>
      <w:r w:rsidRPr="00174238">
        <w:rPr>
          <w:rFonts w:ascii="Arial" w:hAnsi="Arial" w:cs="Arial"/>
          <w:sz w:val="22"/>
          <w:szCs w:val="22"/>
        </w:rPr>
        <w:t>Stakeholder Identification</w:t>
      </w:r>
      <w:r>
        <w:rPr>
          <w:rFonts w:ascii="Arial" w:hAnsi="Arial" w:cs="Arial"/>
          <w:sz w:val="22"/>
          <w:szCs w:val="22"/>
        </w:rPr>
        <w:t>…………………………………………………………10</w:t>
      </w:r>
    </w:p>
    <w:p w14:paraId="51564531" w14:textId="7FB7900C" w:rsidR="00174238" w:rsidRDefault="00174238" w:rsidP="00174238">
      <w:pPr>
        <w:rPr>
          <w:rFonts w:ascii="Arial" w:hAnsi="Arial" w:cs="Arial"/>
          <w:sz w:val="22"/>
          <w:szCs w:val="22"/>
        </w:rPr>
      </w:pPr>
      <w:r w:rsidRPr="00174238">
        <w:rPr>
          <w:rFonts w:ascii="Arial" w:hAnsi="Arial" w:cs="Arial"/>
          <w:sz w:val="22"/>
          <w:szCs w:val="22"/>
        </w:rPr>
        <w:t>CRITICAL EXPLANATION OF STAKEHOLDER ENGAGEMENT AND CONFLICT MANAGEMENT</w:t>
      </w:r>
      <w:r>
        <w:rPr>
          <w:rFonts w:ascii="Arial" w:hAnsi="Arial" w:cs="Arial"/>
          <w:sz w:val="22"/>
          <w:szCs w:val="22"/>
        </w:rPr>
        <w:t>……………………………………………………………………12</w:t>
      </w:r>
    </w:p>
    <w:p w14:paraId="253DAFF3" w14:textId="6AECEF1C" w:rsidR="00174238" w:rsidRDefault="00174238" w:rsidP="00174238">
      <w:pPr>
        <w:rPr>
          <w:rFonts w:ascii="Arial" w:hAnsi="Arial" w:cs="Arial"/>
          <w:sz w:val="22"/>
          <w:szCs w:val="22"/>
        </w:rPr>
      </w:pPr>
      <w:r w:rsidRPr="00174238">
        <w:rPr>
          <w:rFonts w:ascii="Arial" w:hAnsi="Arial" w:cs="Arial"/>
          <w:sz w:val="22"/>
          <w:szCs w:val="22"/>
        </w:rPr>
        <w:t>EVALUATION OF THE IMPACT OF STAKEHOLDER ENGAGEMENT ON BUSINESS PERFORMANCE AND RECOMMENDATIONS FOR THE FUTURE</w:t>
      </w:r>
      <w:r>
        <w:rPr>
          <w:rFonts w:ascii="Arial" w:hAnsi="Arial" w:cs="Arial"/>
          <w:sz w:val="22"/>
          <w:szCs w:val="22"/>
        </w:rPr>
        <w:t>……….16</w:t>
      </w:r>
    </w:p>
    <w:p w14:paraId="2DEDE6A8" w14:textId="1345B4E2" w:rsidR="00174238" w:rsidRDefault="00174238" w:rsidP="00174238">
      <w:pPr>
        <w:rPr>
          <w:rFonts w:ascii="Arial" w:hAnsi="Arial" w:cs="Arial"/>
        </w:rPr>
      </w:pPr>
      <w:r w:rsidRPr="00174238">
        <w:rPr>
          <w:rFonts w:ascii="Arial" w:hAnsi="Arial" w:cs="Arial"/>
        </w:rPr>
        <w:t>Conclusion…………………………………………………</w:t>
      </w:r>
      <w:r>
        <w:rPr>
          <w:rFonts w:ascii="Arial" w:hAnsi="Arial" w:cs="Arial"/>
        </w:rPr>
        <w:t>……………….</w:t>
      </w:r>
      <w:r w:rsidRPr="00174238">
        <w:rPr>
          <w:rFonts w:ascii="Arial" w:hAnsi="Arial" w:cs="Arial"/>
        </w:rPr>
        <w:t>18</w:t>
      </w:r>
    </w:p>
    <w:p w14:paraId="5235578F" w14:textId="4BA42A42" w:rsidR="00174238" w:rsidRPr="00174238" w:rsidRDefault="00174238" w:rsidP="00174238">
      <w:pPr>
        <w:rPr>
          <w:rFonts w:ascii="Arial" w:hAnsi="Arial" w:cs="Arial"/>
        </w:rPr>
      </w:pPr>
      <w:r>
        <w:rPr>
          <w:rFonts w:ascii="Arial" w:hAnsi="Arial" w:cs="Arial"/>
        </w:rPr>
        <w:t>Reference List…………………………………………………...…………20</w:t>
      </w:r>
    </w:p>
    <w:p w14:paraId="76D39451" w14:textId="77777777" w:rsidR="00174238" w:rsidRDefault="00174238" w:rsidP="00174238">
      <w:pPr>
        <w:rPr>
          <w:rFonts w:ascii="Arial" w:hAnsi="Arial" w:cs="Arial"/>
          <w:sz w:val="22"/>
          <w:szCs w:val="22"/>
        </w:rPr>
      </w:pPr>
    </w:p>
    <w:p w14:paraId="3DA2661C" w14:textId="77777777" w:rsidR="00174238" w:rsidRPr="00174238" w:rsidRDefault="00174238" w:rsidP="00174238">
      <w:pPr>
        <w:rPr>
          <w:rFonts w:ascii="Arial" w:hAnsi="Arial" w:cs="Arial"/>
          <w:sz w:val="22"/>
          <w:szCs w:val="22"/>
        </w:rPr>
      </w:pPr>
    </w:p>
    <w:p w14:paraId="20AF33F3" w14:textId="77777777" w:rsidR="00174238" w:rsidRPr="00174238" w:rsidRDefault="00174238" w:rsidP="00174238">
      <w:pPr>
        <w:rPr>
          <w:rFonts w:ascii="Arial" w:hAnsi="Arial" w:cs="Arial"/>
          <w:sz w:val="22"/>
          <w:szCs w:val="22"/>
        </w:rPr>
      </w:pPr>
    </w:p>
    <w:p w14:paraId="3F203321" w14:textId="77777777" w:rsidR="00174238" w:rsidRDefault="00174238" w:rsidP="00174238">
      <w:pPr>
        <w:rPr>
          <w:rFonts w:ascii="Arial" w:hAnsi="Arial" w:cs="Arial"/>
          <w:sz w:val="22"/>
          <w:szCs w:val="22"/>
        </w:rPr>
      </w:pPr>
    </w:p>
    <w:p w14:paraId="7D0BCF34" w14:textId="77777777" w:rsidR="00174238" w:rsidRPr="00174238" w:rsidRDefault="00174238" w:rsidP="00174238">
      <w:pPr>
        <w:rPr>
          <w:rFonts w:ascii="Arial" w:hAnsi="Arial" w:cs="Arial"/>
          <w:sz w:val="22"/>
          <w:szCs w:val="22"/>
        </w:rPr>
      </w:pPr>
    </w:p>
    <w:p w14:paraId="0CA335D5" w14:textId="77777777" w:rsidR="00174238" w:rsidRPr="00174238" w:rsidRDefault="00174238" w:rsidP="00174238">
      <w:pPr>
        <w:rPr>
          <w:rFonts w:ascii="Arial" w:hAnsi="Arial" w:cs="Arial"/>
          <w:sz w:val="22"/>
          <w:szCs w:val="22"/>
        </w:rPr>
      </w:pPr>
    </w:p>
    <w:p w14:paraId="5D4B238D" w14:textId="77777777" w:rsidR="00174238" w:rsidRDefault="00174238" w:rsidP="00174238">
      <w:pPr>
        <w:rPr>
          <w:rFonts w:ascii="Arial" w:hAnsi="Arial" w:cs="Arial"/>
          <w:sz w:val="22"/>
          <w:szCs w:val="22"/>
        </w:rPr>
      </w:pPr>
    </w:p>
    <w:p w14:paraId="17CF3D53" w14:textId="77777777" w:rsidR="00174238" w:rsidRPr="00174238" w:rsidRDefault="00174238" w:rsidP="00174238">
      <w:pPr>
        <w:rPr>
          <w:rFonts w:ascii="Arial" w:hAnsi="Arial" w:cs="Arial"/>
          <w:sz w:val="22"/>
          <w:szCs w:val="22"/>
        </w:rPr>
      </w:pPr>
    </w:p>
    <w:p w14:paraId="340FCD05" w14:textId="77777777" w:rsidR="00174238" w:rsidRPr="00174238" w:rsidRDefault="00174238" w:rsidP="00174238">
      <w:pPr>
        <w:rPr>
          <w:rFonts w:ascii="Arial" w:hAnsi="Arial" w:cs="Arial"/>
          <w:sz w:val="22"/>
          <w:szCs w:val="22"/>
        </w:rPr>
      </w:pPr>
    </w:p>
    <w:p w14:paraId="7A829033" w14:textId="77777777" w:rsidR="00174238" w:rsidRDefault="00174238" w:rsidP="00E875FC">
      <w:pPr>
        <w:rPr>
          <w:rFonts w:ascii="Arial" w:hAnsi="Arial" w:cs="Arial"/>
          <w:sz w:val="22"/>
          <w:szCs w:val="22"/>
        </w:rPr>
      </w:pPr>
    </w:p>
    <w:p w14:paraId="31638458" w14:textId="77777777" w:rsidR="00174238" w:rsidRPr="00E875FC" w:rsidRDefault="00174238" w:rsidP="00E875FC">
      <w:pPr>
        <w:rPr>
          <w:rFonts w:ascii="Arial" w:hAnsi="Arial" w:cs="Arial"/>
          <w:sz w:val="22"/>
          <w:szCs w:val="22"/>
        </w:rPr>
      </w:pPr>
    </w:p>
    <w:p w14:paraId="5C488065" w14:textId="29CE053F" w:rsidR="00F92649" w:rsidRPr="00F92649" w:rsidRDefault="00F92649" w:rsidP="009C6FA9">
      <w:pPr>
        <w:spacing w:line="360" w:lineRule="auto"/>
        <w:rPr>
          <w:rFonts w:ascii="Arial" w:hAnsi="Arial" w:cs="Arial"/>
          <w:b/>
          <w:bCs/>
          <w:sz w:val="22"/>
          <w:szCs w:val="22"/>
        </w:rPr>
      </w:pPr>
      <w:r w:rsidRPr="00F92649">
        <w:rPr>
          <w:rFonts w:ascii="Arial" w:hAnsi="Arial" w:cs="Arial"/>
          <w:b/>
          <w:bCs/>
          <w:sz w:val="22"/>
          <w:szCs w:val="22"/>
        </w:rPr>
        <w:lastRenderedPageBreak/>
        <w:t>Introduction</w:t>
      </w:r>
    </w:p>
    <w:p w14:paraId="647BCE7B" w14:textId="77777777" w:rsidR="00F92649" w:rsidRPr="00F92649" w:rsidRDefault="00F92649" w:rsidP="009C6FA9">
      <w:pPr>
        <w:spacing w:line="360" w:lineRule="auto"/>
        <w:rPr>
          <w:rFonts w:ascii="Arial" w:hAnsi="Arial" w:cs="Arial"/>
          <w:sz w:val="22"/>
          <w:szCs w:val="22"/>
        </w:rPr>
      </w:pPr>
      <w:r w:rsidRPr="00F92649">
        <w:rPr>
          <w:rFonts w:ascii="Arial" w:hAnsi="Arial" w:cs="Arial"/>
          <w:sz w:val="22"/>
          <w:szCs w:val="22"/>
        </w:rPr>
        <w:t>The purpose of this report is to examine how effective stakeholder engagement can support the successful development and launch of this product within the next six months. Stakeholder engagement, understood as the systematic identification, analysis and management of individuals or groups who influence or are affected by a project, is essential for regulatory approval, product adoption and strategic alignment.</w:t>
      </w:r>
    </w:p>
    <w:p w14:paraId="1193997E" w14:textId="1AB4D29E" w:rsidR="00F92649" w:rsidRDefault="00F92649" w:rsidP="009C6FA9">
      <w:pPr>
        <w:spacing w:line="360" w:lineRule="auto"/>
        <w:rPr>
          <w:rFonts w:ascii="Arial" w:hAnsi="Arial" w:cs="Arial"/>
          <w:sz w:val="22"/>
          <w:szCs w:val="22"/>
        </w:rPr>
      </w:pPr>
      <w:r w:rsidRPr="00F92649">
        <w:rPr>
          <w:rFonts w:ascii="Arial" w:hAnsi="Arial" w:cs="Arial"/>
          <w:sz w:val="22"/>
          <w:szCs w:val="22"/>
        </w:rPr>
        <w:t>This report will identify the project’s key stakeholders, analyse their roles using established theoretical frameworks, and outline engagement and communication strategies to support product readiness. Additionally, it will consider risks, ethical implications and post-launch engagement. By doing so, the report demonstrates how structured stakeholder management contributes to project success and long-term organisational value.</w:t>
      </w:r>
    </w:p>
    <w:p w14:paraId="062EBC71" w14:textId="77777777" w:rsidR="00F92649" w:rsidRDefault="00F92649" w:rsidP="009C6FA9">
      <w:pPr>
        <w:spacing w:line="360" w:lineRule="auto"/>
        <w:rPr>
          <w:rFonts w:ascii="Arial" w:hAnsi="Arial" w:cs="Arial"/>
          <w:sz w:val="22"/>
          <w:szCs w:val="22"/>
        </w:rPr>
      </w:pPr>
    </w:p>
    <w:p w14:paraId="7BE9F1A4" w14:textId="77777777" w:rsidR="00F92649" w:rsidRDefault="00F92649" w:rsidP="009C6FA9">
      <w:pPr>
        <w:spacing w:line="360" w:lineRule="auto"/>
        <w:rPr>
          <w:rFonts w:ascii="Arial" w:hAnsi="Arial" w:cs="Arial"/>
          <w:sz w:val="22"/>
          <w:szCs w:val="22"/>
        </w:rPr>
      </w:pPr>
    </w:p>
    <w:p w14:paraId="5B24B713" w14:textId="4A57BE43" w:rsidR="00F92649" w:rsidRPr="00F92649" w:rsidRDefault="00F92649" w:rsidP="009C6FA9">
      <w:pPr>
        <w:spacing w:line="360" w:lineRule="auto"/>
        <w:rPr>
          <w:rFonts w:ascii="Arial" w:hAnsi="Arial" w:cs="Arial"/>
          <w:b/>
          <w:bCs/>
          <w:sz w:val="22"/>
          <w:szCs w:val="22"/>
        </w:rPr>
      </w:pPr>
      <w:r w:rsidRPr="00F92649">
        <w:rPr>
          <w:rFonts w:ascii="Arial" w:hAnsi="Arial" w:cs="Arial"/>
          <w:b/>
          <w:bCs/>
          <w:sz w:val="22"/>
          <w:szCs w:val="22"/>
        </w:rPr>
        <w:t>Introduction of The Company</w:t>
      </w:r>
    </w:p>
    <w:p w14:paraId="42552224" w14:textId="069C1BF7" w:rsidR="00F92649" w:rsidRDefault="00F92649" w:rsidP="009C6FA9">
      <w:pPr>
        <w:spacing w:line="360" w:lineRule="auto"/>
        <w:rPr>
          <w:rFonts w:ascii="Arial" w:hAnsi="Arial" w:cs="Arial"/>
          <w:sz w:val="22"/>
          <w:szCs w:val="22"/>
        </w:rPr>
      </w:pPr>
      <w:r w:rsidRPr="00F92649">
        <w:rPr>
          <w:rFonts w:ascii="Arial" w:hAnsi="Arial" w:cs="Arial"/>
          <w:sz w:val="22"/>
          <w:szCs w:val="22"/>
        </w:rPr>
        <w:t>Medtronic UK is a recognised leader in medical technology and digital health solutions, providing devices and platforms that support monitoring, diagnosis and long-term patient management. With rising demand for consumer-focused preventative health, wearable health technology—defined as digital devices worn on the body to continuously collect and analyse physiological data—has become a key area of innovation in modern healthcare. The planned launch of Medtronic’s new wearable health device, capable of tracking heart rate, blood oxygen saturation and sleep patterns, aligns with this shift toward personalised and self-managed care.</w:t>
      </w:r>
    </w:p>
    <w:p w14:paraId="756C32CA" w14:textId="77777777" w:rsidR="00F92649" w:rsidRDefault="00F92649" w:rsidP="009C6FA9">
      <w:pPr>
        <w:spacing w:line="360" w:lineRule="auto"/>
        <w:rPr>
          <w:rFonts w:ascii="Arial" w:hAnsi="Arial" w:cs="Arial"/>
          <w:sz w:val="22"/>
          <w:szCs w:val="22"/>
        </w:rPr>
      </w:pPr>
    </w:p>
    <w:p w14:paraId="46BA4208" w14:textId="77777777" w:rsidR="00F92649" w:rsidRDefault="00F92649" w:rsidP="009C6FA9">
      <w:pPr>
        <w:spacing w:line="360" w:lineRule="auto"/>
        <w:rPr>
          <w:rFonts w:ascii="Arial" w:hAnsi="Arial" w:cs="Arial"/>
          <w:sz w:val="22"/>
          <w:szCs w:val="22"/>
        </w:rPr>
      </w:pPr>
    </w:p>
    <w:p w14:paraId="4BC1D90D" w14:textId="77777777" w:rsidR="00F92649" w:rsidRDefault="00F92649" w:rsidP="009C6FA9">
      <w:pPr>
        <w:spacing w:line="360" w:lineRule="auto"/>
        <w:rPr>
          <w:rFonts w:ascii="Arial" w:hAnsi="Arial" w:cs="Arial"/>
          <w:sz w:val="22"/>
          <w:szCs w:val="22"/>
        </w:rPr>
      </w:pPr>
    </w:p>
    <w:p w14:paraId="248B7C72" w14:textId="77777777" w:rsidR="00F92649" w:rsidRDefault="00F92649" w:rsidP="009C6FA9">
      <w:pPr>
        <w:spacing w:line="360" w:lineRule="auto"/>
        <w:rPr>
          <w:rFonts w:ascii="Arial" w:hAnsi="Arial" w:cs="Arial"/>
          <w:sz w:val="22"/>
          <w:szCs w:val="22"/>
        </w:rPr>
      </w:pPr>
    </w:p>
    <w:p w14:paraId="165E3FD7" w14:textId="77777777" w:rsidR="00F92649" w:rsidRDefault="00F92649" w:rsidP="009C6FA9">
      <w:pPr>
        <w:spacing w:line="360" w:lineRule="auto"/>
        <w:rPr>
          <w:rFonts w:ascii="Arial" w:hAnsi="Arial" w:cs="Arial"/>
          <w:sz w:val="22"/>
          <w:szCs w:val="22"/>
        </w:rPr>
      </w:pPr>
    </w:p>
    <w:p w14:paraId="1992A77D" w14:textId="77777777" w:rsidR="00D141ED" w:rsidRDefault="00D141ED" w:rsidP="009C6FA9">
      <w:pPr>
        <w:spacing w:line="360" w:lineRule="auto"/>
        <w:rPr>
          <w:rFonts w:ascii="Arial" w:hAnsi="Arial" w:cs="Arial"/>
          <w:sz w:val="22"/>
          <w:szCs w:val="22"/>
        </w:rPr>
      </w:pPr>
    </w:p>
    <w:p w14:paraId="37DF4E28" w14:textId="77777777" w:rsidR="00174238" w:rsidRDefault="00174238" w:rsidP="009C6FA9">
      <w:pPr>
        <w:spacing w:line="360" w:lineRule="auto"/>
        <w:rPr>
          <w:rFonts w:ascii="Arial" w:hAnsi="Arial" w:cs="Arial"/>
          <w:b/>
          <w:bCs/>
          <w:sz w:val="22"/>
          <w:szCs w:val="22"/>
        </w:rPr>
      </w:pPr>
    </w:p>
    <w:p w14:paraId="6109EBA6" w14:textId="77777777" w:rsidR="009C6FA9" w:rsidRDefault="009C6FA9" w:rsidP="009C6FA9">
      <w:pPr>
        <w:spacing w:line="360" w:lineRule="auto"/>
        <w:rPr>
          <w:rFonts w:ascii="Arial" w:hAnsi="Arial" w:cs="Arial"/>
          <w:b/>
          <w:bCs/>
          <w:sz w:val="22"/>
          <w:szCs w:val="22"/>
        </w:rPr>
      </w:pPr>
    </w:p>
    <w:p w14:paraId="29287DD9" w14:textId="5D1A9D1B" w:rsidR="00180AAD" w:rsidRDefault="00180AAD" w:rsidP="009C6FA9">
      <w:pPr>
        <w:spacing w:line="360" w:lineRule="auto"/>
        <w:rPr>
          <w:rFonts w:ascii="Arial" w:hAnsi="Arial" w:cs="Arial"/>
          <w:b/>
          <w:bCs/>
          <w:sz w:val="22"/>
          <w:szCs w:val="22"/>
        </w:rPr>
      </w:pPr>
      <w:r w:rsidRPr="00180AAD">
        <w:rPr>
          <w:rFonts w:ascii="Arial" w:hAnsi="Arial" w:cs="Arial"/>
          <w:b/>
          <w:bCs/>
          <w:sz w:val="22"/>
          <w:szCs w:val="22"/>
        </w:rPr>
        <w:lastRenderedPageBreak/>
        <w:t>APPRAISAL OF THE COMPANY</w:t>
      </w:r>
    </w:p>
    <w:p w14:paraId="31914EE2" w14:textId="77777777" w:rsidR="00180AAD" w:rsidRDefault="00180AAD" w:rsidP="009C6FA9">
      <w:pPr>
        <w:spacing w:line="360" w:lineRule="auto"/>
        <w:rPr>
          <w:rFonts w:ascii="Arial" w:hAnsi="Arial" w:cs="Arial"/>
          <w:b/>
          <w:bCs/>
          <w:sz w:val="22"/>
          <w:szCs w:val="22"/>
        </w:rPr>
      </w:pPr>
    </w:p>
    <w:p w14:paraId="4B33E86D" w14:textId="240ADD07" w:rsidR="00180AAD" w:rsidRPr="00180AAD" w:rsidRDefault="00180AAD" w:rsidP="009C6FA9">
      <w:pPr>
        <w:spacing w:line="360" w:lineRule="auto"/>
        <w:rPr>
          <w:rFonts w:ascii="Arial" w:hAnsi="Arial" w:cs="Arial"/>
          <w:b/>
          <w:bCs/>
          <w:sz w:val="22"/>
          <w:szCs w:val="22"/>
        </w:rPr>
      </w:pPr>
      <w:r>
        <w:rPr>
          <w:rFonts w:ascii="Arial" w:hAnsi="Arial" w:cs="Arial"/>
          <w:b/>
          <w:bCs/>
          <w:sz w:val="22"/>
          <w:szCs w:val="22"/>
        </w:rPr>
        <w:t>SWOT ANALYSIS</w:t>
      </w:r>
    </w:p>
    <w:p w14:paraId="2CB79988" w14:textId="77777777" w:rsidR="00180AAD" w:rsidRDefault="00180AAD" w:rsidP="009C6FA9">
      <w:pPr>
        <w:spacing w:line="360" w:lineRule="auto"/>
        <w:rPr>
          <w:rFonts w:ascii="Arial" w:hAnsi="Arial" w:cs="Arial"/>
          <w:sz w:val="22"/>
          <w:szCs w:val="22"/>
        </w:rPr>
      </w:pPr>
    </w:p>
    <w:p w14:paraId="77B86F96" w14:textId="1170BAB6" w:rsidR="00F92649" w:rsidRDefault="00180AAD" w:rsidP="009C6FA9">
      <w:pPr>
        <w:spacing w:line="360" w:lineRule="auto"/>
        <w:rPr>
          <w:rFonts w:ascii="Arial" w:hAnsi="Arial" w:cs="Arial"/>
          <w:sz w:val="22"/>
          <w:szCs w:val="22"/>
        </w:rPr>
      </w:pPr>
      <w:r w:rsidRPr="00180AAD">
        <w:rPr>
          <w:rFonts w:ascii="Arial" w:hAnsi="Arial" w:cs="Arial"/>
          <w:sz w:val="22"/>
          <w:szCs w:val="22"/>
        </w:rPr>
        <w:t>The SWOT model examines four dimensions: Strengths, Weaknesses, Opportunities and Threats. Strengths and weaknesses focus on internal organisational factors, such as resources, technical expertise, brand equity and operational capacity. Opportunities and threats analyse external conditions such as market trends, competitor actions, regulation and technological advancement. SWOT supports strategic alignment by identifying competitive advantages and potential risks that require management attention.</w:t>
      </w:r>
    </w:p>
    <w:p w14:paraId="30423F36" w14:textId="77777777" w:rsidR="00180AAD" w:rsidRDefault="00180AAD" w:rsidP="009C6FA9">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180AAD" w14:paraId="67949195" w14:textId="77777777" w:rsidTr="00180AAD">
        <w:tc>
          <w:tcPr>
            <w:tcW w:w="4508" w:type="dxa"/>
          </w:tcPr>
          <w:p w14:paraId="1F0802EC" w14:textId="15A3754E" w:rsidR="00180AAD" w:rsidRDefault="00180AAD" w:rsidP="009C6FA9">
            <w:pPr>
              <w:spacing w:line="360" w:lineRule="auto"/>
              <w:jc w:val="center"/>
              <w:rPr>
                <w:rFonts w:ascii="Arial" w:hAnsi="Arial" w:cs="Arial"/>
                <w:sz w:val="22"/>
                <w:szCs w:val="22"/>
              </w:rPr>
            </w:pPr>
            <w:r>
              <w:rPr>
                <w:rFonts w:ascii="Arial" w:hAnsi="Arial" w:cs="Arial"/>
                <w:sz w:val="22"/>
                <w:szCs w:val="22"/>
              </w:rPr>
              <w:t>STRENGTHS</w:t>
            </w:r>
          </w:p>
        </w:tc>
        <w:tc>
          <w:tcPr>
            <w:tcW w:w="4508" w:type="dxa"/>
          </w:tcPr>
          <w:p w14:paraId="1164EAE8" w14:textId="690E71CE" w:rsidR="00180AAD" w:rsidRDefault="00180AAD" w:rsidP="009C6FA9">
            <w:pPr>
              <w:spacing w:line="360" w:lineRule="auto"/>
              <w:jc w:val="center"/>
              <w:rPr>
                <w:rFonts w:ascii="Arial" w:hAnsi="Arial" w:cs="Arial"/>
                <w:sz w:val="22"/>
                <w:szCs w:val="22"/>
              </w:rPr>
            </w:pPr>
            <w:r>
              <w:rPr>
                <w:rFonts w:ascii="Arial" w:hAnsi="Arial" w:cs="Arial"/>
                <w:sz w:val="22"/>
                <w:szCs w:val="22"/>
              </w:rPr>
              <w:t>WEAKNESSES</w:t>
            </w:r>
          </w:p>
        </w:tc>
      </w:tr>
      <w:tr w:rsidR="00180AAD" w14:paraId="66E4CCDE" w14:textId="77777777" w:rsidTr="00180AAD">
        <w:trPr>
          <w:trHeight w:val="1485"/>
        </w:trPr>
        <w:tc>
          <w:tcPr>
            <w:tcW w:w="4508" w:type="dxa"/>
            <w:shd w:val="clear" w:color="auto" w:fill="92D050"/>
          </w:tcPr>
          <w:p w14:paraId="7E796F2F" w14:textId="77777777" w:rsidR="00180AAD" w:rsidRDefault="00180AAD" w:rsidP="009C6FA9">
            <w:pPr>
              <w:spacing w:line="360" w:lineRule="auto"/>
              <w:rPr>
                <w:rFonts w:ascii="Arial" w:hAnsi="Arial" w:cs="Arial"/>
                <w:sz w:val="22"/>
                <w:szCs w:val="22"/>
              </w:rPr>
            </w:pPr>
            <w:r>
              <w:rPr>
                <w:rFonts w:ascii="Arial" w:hAnsi="Arial" w:cs="Arial"/>
                <w:sz w:val="22"/>
                <w:szCs w:val="22"/>
              </w:rPr>
              <w:t>Strong brand reputation and trust within clinical and healthcare systems.</w:t>
            </w:r>
          </w:p>
          <w:p w14:paraId="299BA456" w14:textId="77777777" w:rsidR="00180AAD" w:rsidRDefault="00180AAD" w:rsidP="009C6FA9">
            <w:pPr>
              <w:spacing w:line="360" w:lineRule="auto"/>
              <w:rPr>
                <w:rFonts w:ascii="Arial" w:hAnsi="Arial" w:cs="Arial"/>
                <w:sz w:val="22"/>
                <w:szCs w:val="22"/>
              </w:rPr>
            </w:pPr>
          </w:p>
          <w:p w14:paraId="49A1F006" w14:textId="56C536D6" w:rsidR="00180AAD" w:rsidRDefault="00180AAD" w:rsidP="009C6FA9">
            <w:pPr>
              <w:spacing w:line="360" w:lineRule="auto"/>
              <w:rPr>
                <w:rFonts w:ascii="Arial" w:hAnsi="Arial" w:cs="Arial"/>
                <w:sz w:val="22"/>
                <w:szCs w:val="22"/>
              </w:rPr>
            </w:pPr>
            <w:r>
              <w:rPr>
                <w:rFonts w:ascii="Arial" w:hAnsi="Arial" w:cs="Arial"/>
                <w:sz w:val="22"/>
                <w:szCs w:val="22"/>
              </w:rPr>
              <w:t>Extensive research, regulatory experience and established partnerships with NHS and industry stakeholders.</w:t>
            </w:r>
          </w:p>
        </w:tc>
        <w:tc>
          <w:tcPr>
            <w:tcW w:w="4508" w:type="dxa"/>
            <w:shd w:val="clear" w:color="auto" w:fill="00B0F0"/>
          </w:tcPr>
          <w:p w14:paraId="079C1F95" w14:textId="77777777" w:rsidR="00180AAD" w:rsidRDefault="00180AAD" w:rsidP="009C6FA9">
            <w:pPr>
              <w:spacing w:line="360" w:lineRule="auto"/>
              <w:rPr>
                <w:rFonts w:ascii="Arial" w:hAnsi="Arial" w:cs="Arial"/>
                <w:sz w:val="22"/>
                <w:szCs w:val="22"/>
              </w:rPr>
            </w:pPr>
            <w:r>
              <w:rPr>
                <w:rFonts w:ascii="Arial" w:hAnsi="Arial" w:cs="Arial"/>
                <w:sz w:val="22"/>
                <w:szCs w:val="22"/>
              </w:rPr>
              <w:t>Slower innovation cycles compared to consumer technology competitors.</w:t>
            </w:r>
          </w:p>
          <w:p w14:paraId="77363993" w14:textId="77777777" w:rsidR="00180AAD" w:rsidRDefault="00180AAD" w:rsidP="009C6FA9">
            <w:pPr>
              <w:spacing w:line="360" w:lineRule="auto"/>
              <w:rPr>
                <w:rFonts w:ascii="Arial" w:hAnsi="Arial" w:cs="Arial"/>
                <w:sz w:val="22"/>
                <w:szCs w:val="22"/>
              </w:rPr>
            </w:pPr>
          </w:p>
          <w:p w14:paraId="6481E96C" w14:textId="2634510F" w:rsidR="00180AAD" w:rsidRDefault="00180AAD" w:rsidP="009C6FA9">
            <w:pPr>
              <w:spacing w:line="360" w:lineRule="auto"/>
              <w:rPr>
                <w:rFonts w:ascii="Arial" w:hAnsi="Arial" w:cs="Arial"/>
                <w:sz w:val="22"/>
                <w:szCs w:val="22"/>
              </w:rPr>
            </w:pPr>
            <w:r>
              <w:rPr>
                <w:rFonts w:ascii="Arial" w:hAnsi="Arial" w:cs="Arial"/>
                <w:sz w:val="22"/>
                <w:szCs w:val="22"/>
              </w:rPr>
              <w:t>Limited current presence in direct-to-consumer wearable markets.</w:t>
            </w:r>
          </w:p>
        </w:tc>
      </w:tr>
      <w:tr w:rsidR="00180AAD" w14:paraId="29D13D4F" w14:textId="77777777" w:rsidTr="00180AAD">
        <w:tc>
          <w:tcPr>
            <w:tcW w:w="4508" w:type="dxa"/>
          </w:tcPr>
          <w:p w14:paraId="72944B6B" w14:textId="71D0BF77" w:rsidR="00180AAD" w:rsidRDefault="00180AAD" w:rsidP="009C6FA9">
            <w:pPr>
              <w:spacing w:line="360" w:lineRule="auto"/>
              <w:jc w:val="center"/>
              <w:rPr>
                <w:rFonts w:ascii="Arial" w:hAnsi="Arial" w:cs="Arial"/>
                <w:sz w:val="22"/>
                <w:szCs w:val="22"/>
              </w:rPr>
            </w:pPr>
            <w:r>
              <w:rPr>
                <w:rFonts w:ascii="Arial" w:hAnsi="Arial" w:cs="Arial"/>
                <w:sz w:val="22"/>
                <w:szCs w:val="22"/>
              </w:rPr>
              <w:t>OPPORTUNITIES</w:t>
            </w:r>
          </w:p>
        </w:tc>
        <w:tc>
          <w:tcPr>
            <w:tcW w:w="4508" w:type="dxa"/>
          </w:tcPr>
          <w:p w14:paraId="3E1E41DB" w14:textId="7DAC5D46" w:rsidR="00180AAD" w:rsidRDefault="00180AAD" w:rsidP="009C6FA9">
            <w:pPr>
              <w:spacing w:line="360" w:lineRule="auto"/>
              <w:jc w:val="center"/>
              <w:rPr>
                <w:rFonts w:ascii="Arial" w:hAnsi="Arial" w:cs="Arial"/>
                <w:sz w:val="22"/>
                <w:szCs w:val="22"/>
              </w:rPr>
            </w:pPr>
            <w:r>
              <w:rPr>
                <w:rFonts w:ascii="Arial" w:hAnsi="Arial" w:cs="Arial"/>
                <w:sz w:val="22"/>
                <w:szCs w:val="22"/>
              </w:rPr>
              <w:t>THREATS</w:t>
            </w:r>
          </w:p>
        </w:tc>
      </w:tr>
      <w:tr w:rsidR="00180AAD" w14:paraId="33C6F795" w14:textId="77777777" w:rsidTr="00180AAD">
        <w:trPr>
          <w:trHeight w:val="1163"/>
        </w:trPr>
        <w:tc>
          <w:tcPr>
            <w:tcW w:w="4508" w:type="dxa"/>
            <w:shd w:val="clear" w:color="auto" w:fill="E59EDC" w:themeFill="accent5" w:themeFillTint="66"/>
          </w:tcPr>
          <w:p w14:paraId="322A374D" w14:textId="77777777" w:rsidR="00180AAD" w:rsidRDefault="00180AAD" w:rsidP="009C6FA9">
            <w:pPr>
              <w:spacing w:line="360" w:lineRule="auto"/>
              <w:rPr>
                <w:rFonts w:ascii="Arial" w:hAnsi="Arial" w:cs="Arial"/>
                <w:sz w:val="22"/>
                <w:szCs w:val="22"/>
              </w:rPr>
            </w:pPr>
            <w:r>
              <w:rPr>
                <w:rFonts w:ascii="Arial" w:hAnsi="Arial" w:cs="Arial"/>
                <w:sz w:val="22"/>
                <w:szCs w:val="22"/>
              </w:rPr>
              <w:t>Growing demand for preventative health tools and remote monitoring.</w:t>
            </w:r>
          </w:p>
          <w:p w14:paraId="15858ECA" w14:textId="77777777" w:rsidR="00180AAD" w:rsidRDefault="00180AAD" w:rsidP="009C6FA9">
            <w:pPr>
              <w:spacing w:line="360" w:lineRule="auto"/>
              <w:rPr>
                <w:rFonts w:ascii="Arial" w:hAnsi="Arial" w:cs="Arial"/>
                <w:sz w:val="22"/>
                <w:szCs w:val="22"/>
              </w:rPr>
            </w:pPr>
          </w:p>
          <w:p w14:paraId="5B29D5DE" w14:textId="429591F6" w:rsidR="00180AAD" w:rsidRDefault="00180AAD" w:rsidP="009C6FA9">
            <w:pPr>
              <w:spacing w:line="360" w:lineRule="auto"/>
              <w:rPr>
                <w:rFonts w:ascii="Arial" w:hAnsi="Arial" w:cs="Arial"/>
                <w:sz w:val="22"/>
                <w:szCs w:val="22"/>
              </w:rPr>
            </w:pPr>
            <w:r>
              <w:rPr>
                <w:rFonts w:ascii="Arial" w:hAnsi="Arial" w:cs="Arial"/>
                <w:sz w:val="22"/>
                <w:szCs w:val="22"/>
              </w:rPr>
              <w:t>Integration with digital health records and personalised health platforms.</w:t>
            </w:r>
          </w:p>
        </w:tc>
        <w:tc>
          <w:tcPr>
            <w:tcW w:w="4508" w:type="dxa"/>
            <w:shd w:val="clear" w:color="auto" w:fill="FFFF00"/>
          </w:tcPr>
          <w:p w14:paraId="22B1483B" w14:textId="77777777" w:rsidR="00180AAD" w:rsidRDefault="00180AAD" w:rsidP="009C6FA9">
            <w:pPr>
              <w:spacing w:line="360" w:lineRule="auto"/>
              <w:rPr>
                <w:rFonts w:ascii="Arial" w:hAnsi="Arial" w:cs="Arial"/>
                <w:sz w:val="22"/>
                <w:szCs w:val="22"/>
              </w:rPr>
            </w:pPr>
            <w:r>
              <w:rPr>
                <w:rFonts w:ascii="Arial" w:hAnsi="Arial" w:cs="Arial"/>
                <w:sz w:val="22"/>
                <w:szCs w:val="22"/>
              </w:rPr>
              <w:t>High competition from established consumer wearable brands.</w:t>
            </w:r>
          </w:p>
          <w:p w14:paraId="50EBAAF0" w14:textId="77777777" w:rsidR="00180AAD" w:rsidRDefault="00180AAD" w:rsidP="009C6FA9">
            <w:pPr>
              <w:spacing w:line="360" w:lineRule="auto"/>
              <w:rPr>
                <w:rFonts w:ascii="Arial" w:hAnsi="Arial" w:cs="Arial"/>
                <w:sz w:val="22"/>
                <w:szCs w:val="22"/>
              </w:rPr>
            </w:pPr>
          </w:p>
          <w:p w14:paraId="6EFE7B24" w14:textId="24288A3C" w:rsidR="00180AAD" w:rsidRDefault="00180AAD" w:rsidP="009C6FA9">
            <w:pPr>
              <w:spacing w:line="360" w:lineRule="auto"/>
              <w:rPr>
                <w:rFonts w:ascii="Arial" w:hAnsi="Arial" w:cs="Arial"/>
                <w:sz w:val="22"/>
                <w:szCs w:val="22"/>
              </w:rPr>
            </w:pPr>
            <w:r>
              <w:rPr>
                <w:rFonts w:ascii="Arial" w:hAnsi="Arial" w:cs="Arial"/>
                <w:sz w:val="22"/>
                <w:szCs w:val="22"/>
              </w:rPr>
              <w:t>Cybersecurity risks and data privacy concerns.</w:t>
            </w:r>
          </w:p>
        </w:tc>
      </w:tr>
    </w:tbl>
    <w:p w14:paraId="5906B532" w14:textId="77777777" w:rsidR="00180AAD" w:rsidRPr="00F92649" w:rsidRDefault="00180AAD" w:rsidP="009C6FA9">
      <w:pPr>
        <w:spacing w:line="360" w:lineRule="auto"/>
        <w:rPr>
          <w:rFonts w:ascii="Arial" w:hAnsi="Arial" w:cs="Arial"/>
          <w:sz w:val="22"/>
          <w:szCs w:val="22"/>
        </w:rPr>
      </w:pPr>
    </w:p>
    <w:p w14:paraId="2EC00325" w14:textId="77777777" w:rsidR="00F92649" w:rsidRDefault="00F92649" w:rsidP="009C6FA9">
      <w:pPr>
        <w:spacing w:line="360" w:lineRule="auto"/>
        <w:rPr>
          <w:rFonts w:ascii="Arial" w:hAnsi="Arial" w:cs="Arial"/>
          <w:sz w:val="22"/>
          <w:szCs w:val="22"/>
        </w:rPr>
      </w:pPr>
    </w:p>
    <w:p w14:paraId="5CA05A5F" w14:textId="77777777" w:rsidR="005B6E37" w:rsidRDefault="005B6E37" w:rsidP="009C6FA9">
      <w:pPr>
        <w:spacing w:line="360" w:lineRule="auto"/>
        <w:rPr>
          <w:rFonts w:ascii="Arial" w:hAnsi="Arial" w:cs="Arial"/>
          <w:sz w:val="22"/>
          <w:szCs w:val="22"/>
        </w:rPr>
      </w:pPr>
    </w:p>
    <w:p w14:paraId="50BE31EF" w14:textId="77777777" w:rsidR="00764889" w:rsidRDefault="00764889" w:rsidP="009C6FA9">
      <w:pPr>
        <w:spacing w:line="360" w:lineRule="auto"/>
        <w:rPr>
          <w:rFonts w:ascii="Arial" w:hAnsi="Arial" w:cs="Arial"/>
          <w:b/>
          <w:bCs/>
          <w:sz w:val="22"/>
          <w:szCs w:val="22"/>
        </w:rPr>
      </w:pPr>
    </w:p>
    <w:p w14:paraId="15B68DBB" w14:textId="77777777" w:rsidR="00764889" w:rsidRDefault="00764889" w:rsidP="009C6FA9">
      <w:pPr>
        <w:spacing w:line="360" w:lineRule="auto"/>
        <w:rPr>
          <w:rFonts w:ascii="Arial" w:hAnsi="Arial" w:cs="Arial"/>
          <w:b/>
          <w:bCs/>
          <w:sz w:val="22"/>
          <w:szCs w:val="22"/>
        </w:rPr>
      </w:pPr>
    </w:p>
    <w:p w14:paraId="0C8038A7" w14:textId="77777777" w:rsidR="00764889" w:rsidRDefault="00764889" w:rsidP="009C6FA9">
      <w:pPr>
        <w:spacing w:line="360" w:lineRule="auto"/>
        <w:rPr>
          <w:rFonts w:ascii="Arial" w:hAnsi="Arial" w:cs="Arial"/>
          <w:b/>
          <w:bCs/>
          <w:sz w:val="22"/>
          <w:szCs w:val="22"/>
        </w:rPr>
      </w:pPr>
    </w:p>
    <w:p w14:paraId="41B2ECA4" w14:textId="77777777" w:rsidR="009C6FA9" w:rsidRDefault="009C6FA9" w:rsidP="009C6FA9">
      <w:pPr>
        <w:spacing w:line="360" w:lineRule="auto"/>
        <w:rPr>
          <w:rFonts w:ascii="Arial" w:hAnsi="Arial" w:cs="Arial"/>
          <w:b/>
          <w:bCs/>
          <w:sz w:val="22"/>
          <w:szCs w:val="22"/>
        </w:rPr>
      </w:pPr>
    </w:p>
    <w:p w14:paraId="24BB020C" w14:textId="401D5E2E" w:rsidR="005B6E37" w:rsidRPr="005B6E37" w:rsidRDefault="005B6E37" w:rsidP="009C6FA9">
      <w:pPr>
        <w:spacing w:line="360" w:lineRule="auto"/>
        <w:rPr>
          <w:rFonts w:ascii="Arial" w:hAnsi="Arial" w:cs="Arial"/>
          <w:b/>
          <w:bCs/>
          <w:sz w:val="22"/>
          <w:szCs w:val="22"/>
        </w:rPr>
      </w:pPr>
      <w:r w:rsidRPr="005B6E37">
        <w:rPr>
          <w:rFonts w:ascii="Arial" w:hAnsi="Arial" w:cs="Arial"/>
          <w:b/>
          <w:bCs/>
          <w:sz w:val="22"/>
          <w:szCs w:val="22"/>
        </w:rPr>
        <w:lastRenderedPageBreak/>
        <w:t>PESTLE ANALYSIS</w:t>
      </w:r>
    </w:p>
    <w:p w14:paraId="7ED5732A" w14:textId="77777777" w:rsidR="005B6E37" w:rsidRDefault="005B6E37" w:rsidP="009C6FA9">
      <w:pPr>
        <w:spacing w:line="360" w:lineRule="auto"/>
        <w:rPr>
          <w:rFonts w:ascii="Arial" w:hAnsi="Arial" w:cs="Arial"/>
          <w:sz w:val="22"/>
          <w:szCs w:val="22"/>
        </w:rPr>
      </w:pPr>
    </w:p>
    <w:p w14:paraId="470BC740" w14:textId="5A83B5DE" w:rsidR="005B6E37" w:rsidRDefault="005B6E37" w:rsidP="009C6FA9">
      <w:pPr>
        <w:spacing w:line="360" w:lineRule="auto"/>
        <w:rPr>
          <w:rFonts w:ascii="Arial" w:hAnsi="Arial" w:cs="Arial"/>
          <w:sz w:val="22"/>
          <w:szCs w:val="22"/>
        </w:rPr>
      </w:pPr>
      <w:r w:rsidRPr="005B6E37">
        <w:rPr>
          <w:rFonts w:ascii="Arial" w:hAnsi="Arial" w:cs="Arial"/>
          <w:sz w:val="22"/>
          <w:szCs w:val="22"/>
        </w:rPr>
        <w:t>The PESTLE model expands environmental scanning by analysing six macro-environmental dimensions: Political, Economic, Social, Technological, Legal and Environmental factors. This framework enables organisations to assess external influences beyond their control, helping anticipate regulatory demands, market shifts, technological change and wider societal expectations. PESTLE is particularly valuable in healthcare and medical technology settings where regulation, ethics and public policy strongly influence product development and market entry.</w:t>
      </w:r>
    </w:p>
    <w:p w14:paraId="020E460E" w14:textId="77777777" w:rsidR="005B6E37" w:rsidRDefault="005B6E37" w:rsidP="009C6FA9">
      <w:pPr>
        <w:spacing w:line="360" w:lineRule="auto"/>
        <w:rPr>
          <w:rFonts w:ascii="Arial" w:hAnsi="Arial" w:cs="Arial"/>
          <w:sz w:val="22"/>
          <w:szCs w:val="22"/>
        </w:rPr>
      </w:pPr>
    </w:p>
    <w:p w14:paraId="7FADFA83" w14:textId="77777777" w:rsidR="005B6E37" w:rsidRDefault="005B6E37" w:rsidP="009C6FA9">
      <w:pPr>
        <w:spacing w:line="360" w:lineRule="auto"/>
        <w:rPr>
          <w:rFonts w:ascii="Arial" w:hAnsi="Arial" w:cs="Arial"/>
          <w:sz w:val="22"/>
          <w:szCs w:val="22"/>
        </w:rPr>
      </w:pPr>
    </w:p>
    <w:p w14:paraId="06A3B2A6" w14:textId="77777777" w:rsidR="005B6E37" w:rsidRDefault="005B6E37" w:rsidP="009C6FA9">
      <w:pPr>
        <w:spacing w:line="360" w:lineRule="auto"/>
        <w:rPr>
          <w:rFonts w:ascii="Arial" w:hAnsi="Arial" w:cs="Arial"/>
          <w:sz w:val="22"/>
          <w:szCs w:val="22"/>
        </w:rPr>
      </w:pPr>
    </w:p>
    <w:p w14:paraId="373B248C" w14:textId="77777777" w:rsidR="005B6E37" w:rsidRDefault="005B6E37" w:rsidP="009C6FA9">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5B6E37" w14:paraId="78027E2D" w14:textId="77777777" w:rsidTr="00AD3FBD">
        <w:tc>
          <w:tcPr>
            <w:tcW w:w="4508" w:type="dxa"/>
            <w:shd w:val="clear" w:color="auto" w:fill="F2F2F2" w:themeFill="background1" w:themeFillShade="F2"/>
          </w:tcPr>
          <w:p w14:paraId="103D1057" w14:textId="77777777" w:rsidR="005B6E37" w:rsidRDefault="005B6E37" w:rsidP="009C6FA9">
            <w:pPr>
              <w:spacing w:line="360" w:lineRule="auto"/>
              <w:jc w:val="center"/>
              <w:rPr>
                <w:rFonts w:ascii="Arial" w:hAnsi="Arial" w:cs="Arial"/>
                <w:sz w:val="22"/>
                <w:szCs w:val="22"/>
              </w:rPr>
            </w:pPr>
          </w:p>
          <w:p w14:paraId="0AC04A3A" w14:textId="77777777" w:rsidR="005B6E37" w:rsidRDefault="005B6E37" w:rsidP="009C6FA9">
            <w:pPr>
              <w:spacing w:line="360" w:lineRule="auto"/>
              <w:jc w:val="center"/>
              <w:rPr>
                <w:rFonts w:ascii="Arial" w:hAnsi="Arial" w:cs="Arial"/>
                <w:sz w:val="22"/>
                <w:szCs w:val="22"/>
              </w:rPr>
            </w:pPr>
          </w:p>
          <w:p w14:paraId="3C021E8A" w14:textId="77777777" w:rsidR="005B6E37" w:rsidRDefault="005B6E37" w:rsidP="009C6FA9">
            <w:pPr>
              <w:spacing w:line="360" w:lineRule="auto"/>
              <w:jc w:val="center"/>
              <w:rPr>
                <w:rFonts w:ascii="Arial" w:hAnsi="Arial" w:cs="Arial"/>
                <w:sz w:val="22"/>
                <w:szCs w:val="22"/>
              </w:rPr>
            </w:pPr>
          </w:p>
          <w:p w14:paraId="7197545A" w14:textId="0DEC443A" w:rsidR="005B6E37" w:rsidRDefault="005B6E37" w:rsidP="009C6FA9">
            <w:pPr>
              <w:spacing w:line="360" w:lineRule="auto"/>
              <w:jc w:val="center"/>
              <w:rPr>
                <w:rFonts w:ascii="Arial" w:hAnsi="Arial" w:cs="Arial"/>
                <w:sz w:val="22"/>
                <w:szCs w:val="22"/>
              </w:rPr>
            </w:pPr>
            <w:r>
              <w:rPr>
                <w:rFonts w:ascii="Arial" w:hAnsi="Arial" w:cs="Arial"/>
                <w:sz w:val="22"/>
                <w:szCs w:val="22"/>
              </w:rPr>
              <w:t>POLITICAL</w:t>
            </w:r>
          </w:p>
        </w:tc>
        <w:tc>
          <w:tcPr>
            <w:tcW w:w="4508" w:type="dxa"/>
            <w:shd w:val="clear" w:color="auto" w:fill="A6A6A6" w:themeFill="background1" w:themeFillShade="A6"/>
          </w:tcPr>
          <w:p w14:paraId="558C0757" w14:textId="56FDC3FA" w:rsidR="005B6E37" w:rsidRDefault="005B6E37" w:rsidP="009C6FA9">
            <w:pPr>
              <w:spacing w:line="360" w:lineRule="auto"/>
              <w:rPr>
                <w:rFonts w:ascii="Arial" w:hAnsi="Arial" w:cs="Arial"/>
                <w:sz w:val="22"/>
                <w:szCs w:val="22"/>
              </w:rPr>
            </w:pPr>
            <w:r>
              <w:rPr>
                <w:rFonts w:ascii="Arial" w:hAnsi="Arial" w:cs="Arial"/>
                <w:sz w:val="22"/>
                <w:szCs w:val="22"/>
              </w:rPr>
              <w:t>Medtronic operates within a highly regulated environment influenced by UK health policies, NHS digital health strategies and post-Brexit regulatory frameworks. Collaboration with public health bodies can support product adoption but may involve long approval timelines</w:t>
            </w:r>
          </w:p>
        </w:tc>
      </w:tr>
      <w:tr w:rsidR="005B6E37" w14:paraId="29123E69" w14:textId="77777777" w:rsidTr="00AD3FBD">
        <w:tc>
          <w:tcPr>
            <w:tcW w:w="4508" w:type="dxa"/>
            <w:shd w:val="clear" w:color="auto" w:fill="F2F2F2" w:themeFill="background1" w:themeFillShade="F2"/>
          </w:tcPr>
          <w:p w14:paraId="722E4A00" w14:textId="77777777" w:rsidR="005B6E37" w:rsidRDefault="005B6E37" w:rsidP="009C6FA9">
            <w:pPr>
              <w:spacing w:line="360" w:lineRule="auto"/>
              <w:jc w:val="center"/>
              <w:rPr>
                <w:rFonts w:ascii="Arial" w:hAnsi="Arial" w:cs="Arial"/>
                <w:sz w:val="22"/>
                <w:szCs w:val="22"/>
              </w:rPr>
            </w:pPr>
          </w:p>
          <w:p w14:paraId="63216C16" w14:textId="77777777" w:rsidR="005B6E37" w:rsidRDefault="005B6E37" w:rsidP="009C6FA9">
            <w:pPr>
              <w:spacing w:line="360" w:lineRule="auto"/>
              <w:jc w:val="center"/>
              <w:rPr>
                <w:rFonts w:ascii="Arial" w:hAnsi="Arial" w:cs="Arial"/>
                <w:sz w:val="22"/>
                <w:szCs w:val="22"/>
              </w:rPr>
            </w:pPr>
          </w:p>
          <w:p w14:paraId="6C1D3311" w14:textId="77777777" w:rsidR="005B6E37" w:rsidRDefault="005B6E37" w:rsidP="009C6FA9">
            <w:pPr>
              <w:spacing w:line="360" w:lineRule="auto"/>
              <w:jc w:val="center"/>
              <w:rPr>
                <w:rFonts w:ascii="Arial" w:hAnsi="Arial" w:cs="Arial"/>
                <w:sz w:val="22"/>
                <w:szCs w:val="22"/>
              </w:rPr>
            </w:pPr>
          </w:p>
          <w:p w14:paraId="12AF81EE" w14:textId="143C65E1" w:rsidR="005B6E37" w:rsidRDefault="005B6E37" w:rsidP="009C6FA9">
            <w:pPr>
              <w:spacing w:line="360" w:lineRule="auto"/>
              <w:jc w:val="center"/>
              <w:rPr>
                <w:rFonts w:ascii="Arial" w:hAnsi="Arial" w:cs="Arial"/>
                <w:sz w:val="22"/>
                <w:szCs w:val="22"/>
              </w:rPr>
            </w:pPr>
            <w:r>
              <w:rPr>
                <w:rFonts w:ascii="Arial" w:hAnsi="Arial" w:cs="Arial"/>
                <w:sz w:val="22"/>
                <w:szCs w:val="22"/>
              </w:rPr>
              <w:t>ECONOMIC</w:t>
            </w:r>
          </w:p>
        </w:tc>
        <w:tc>
          <w:tcPr>
            <w:tcW w:w="4508" w:type="dxa"/>
            <w:shd w:val="clear" w:color="auto" w:fill="F6C5AC" w:themeFill="accent2" w:themeFillTint="66"/>
          </w:tcPr>
          <w:p w14:paraId="72184B6B" w14:textId="28EDD51E" w:rsidR="005B6E37" w:rsidRDefault="005B6E37" w:rsidP="009C6FA9">
            <w:pPr>
              <w:spacing w:line="360" w:lineRule="auto"/>
              <w:rPr>
                <w:rFonts w:ascii="Arial" w:hAnsi="Arial" w:cs="Arial"/>
                <w:sz w:val="22"/>
                <w:szCs w:val="22"/>
              </w:rPr>
            </w:pPr>
            <w:r>
              <w:rPr>
                <w:rFonts w:ascii="Arial" w:hAnsi="Arial" w:cs="Arial"/>
                <w:sz w:val="22"/>
                <w:szCs w:val="22"/>
              </w:rPr>
              <w:t>The UK wearable health market is expanding due to increased health awareness, yet inflation and rising production costs may impact pricing and consumer purchasing behaviour. However, growing investment in digital health offers strong commercial potential</w:t>
            </w:r>
          </w:p>
        </w:tc>
      </w:tr>
      <w:tr w:rsidR="005B6E37" w14:paraId="6A98E598" w14:textId="77777777" w:rsidTr="00AD3FBD">
        <w:tc>
          <w:tcPr>
            <w:tcW w:w="4508" w:type="dxa"/>
            <w:shd w:val="clear" w:color="auto" w:fill="F2F2F2" w:themeFill="background1" w:themeFillShade="F2"/>
          </w:tcPr>
          <w:p w14:paraId="387177C9" w14:textId="77777777" w:rsidR="005B6E37" w:rsidRDefault="005B6E37" w:rsidP="009C6FA9">
            <w:pPr>
              <w:spacing w:line="360" w:lineRule="auto"/>
              <w:jc w:val="center"/>
              <w:rPr>
                <w:rFonts w:ascii="Arial" w:hAnsi="Arial" w:cs="Arial"/>
                <w:sz w:val="22"/>
                <w:szCs w:val="22"/>
              </w:rPr>
            </w:pPr>
          </w:p>
          <w:p w14:paraId="38B97A09" w14:textId="77777777" w:rsidR="005B6E37" w:rsidRDefault="005B6E37" w:rsidP="009C6FA9">
            <w:pPr>
              <w:spacing w:line="360" w:lineRule="auto"/>
              <w:jc w:val="center"/>
              <w:rPr>
                <w:rFonts w:ascii="Arial" w:hAnsi="Arial" w:cs="Arial"/>
                <w:sz w:val="22"/>
                <w:szCs w:val="22"/>
              </w:rPr>
            </w:pPr>
          </w:p>
          <w:p w14:paraId="3BF10368" w14:textId="740D2E63" w:rsidR="005B6E37" w:rsidRDefault="005B6E37" w:rsidP="009C6FA9">
            <w:pPr>
              <w:spacing w:line="360" w:lineRule="auto"/>
              <w:jc w:val="center"/>
              <w:rPr>
                <w:rFonts w:ascii="Arial" w:hAnsi="Arial" w:cs="Arial"/>
                <w:sz w:val="22"/>
                <w:szCs w:val="22"/>
              </w:rPr>
            </w:pPr>
            <w:r>
              <w:rPr>
                <w:rFonts w:ascii="Arial" w:hAnsi="Arial" w:cs="Arial"/>
                <w:sz w:val="22"/>
                <w:szCs w:val="22"/>
              </w:rPr>
              <w:t>SOCIAL</w:t>
            </w:r>
          </w:p>
        </w:tc>
        <w:tc>
          <w:tcPr>
            <w:tcW w:w="4508" w:type="dxa"/>
            <w:shd w:val="clear" w:color="auto" w:fill="C1F0C7" w:themeFill="accent3" w:themeFillTint="33"/>
          </w:tcPr>
          <w:p w14:paraId="281C8EA4" w14:textId="6305FC4E" w:rsidR="005B6E37" w:rsidRDefault="005B6E37" w:rsidP="009C6FA9">
            <w:pPr>
              <w:spacing w:line="360" w:lineRule="auto"/>
              <w:rPr>
                <w:rFonts w:ascii="Arial" w:hAnsi="Arial" w:cs="Arial"/>
                <w:sz w:val="22"/>
                <w:szCs w:val="22"/>
              </w:rPr>
            </w:pPr>
            <w:r>
              <w:rPr>
                <w:rFonts w:ascii="Arial" w:hAnsi="Arial" w:cs="Arial"/>
                <w:sz w:val="22"/>
                <w:szCs w:val="22"/>
              </w:rPr>
              <w:t>Population ageing, rising chronic illnesses and increased interest in self-monitoring support demand for wearable devices. Consumer expectations for usability, affordability and data transparency continue to shape product requirements.</w:t>
            </w:r>
          </w:p>
        </w:tc>
      </w:tr>
      <w:tr w:rsidR="005B6E37" w14:paraId="2A6233FE" w14:textId="77777777" w:rsidTr="00AD3FBD">
        <w:tc>
          <w:tcPr>
            <w:tcW w:w="4508" w:type="dxa"/>
            <w:shd w:val="clear" w:color="auto" w:fill="F2F2F2" w:themeFill="background1" w:themeFillShade="F2"/>
          </w:tcPr>
          <w:p w14:paraId="08871FF8" w14:textId="77777777" w:rsidR="005B6E37" w:rsidRDefault="005B6E37" w:rsidP="009C6FA9">
            <w:pPr>
              <w:spacing w:line="360" w:lineRule="auto"/>
              <w:jc w:val="center"/>
              <w:rPr>
                <w:rFonts w:ascii="Arial" w:hAnsi="Arial" w:cs="Arial"/>
                <w:sz w:val="22"/>
                <w:szCs w:val="22"/>
              </w:rPr>
            </w:pPr>
          </w:p>
          <w:p w14:paraId="7955C3B5" w14:textId="77777777" w:rsidR="005B6E37" w:rsidRDefault="005B6E37" w:rsidP="009C6FA9">
            <w:pPr>
              <w:spacing w:line="360" w:lineRule="auto"/>
              <w:jc w:val="center"/>
              <w:rPr>
                <w:rFonts w:ascii="Arial" w:hAnsi="Arial" w:cs="Arial"/>
                <w:sz w:val="22"/>
                <w:szCs w:val="22"/>
              </w:rPr>
            </w:pPr>
          </w:p>
          <w:p w14:paraId="06ACE505" w14:textId="42E22943" w:rsidR="005B6E37" w:rsidRDefault="005B6E37" w:rsidP="009C6FA9">
            <w:pPr>
              <w:spacing w:line="360" w:lineRule="auto"/>
              <w:jc w:val="center"/>
              <w:rPr>
                <w:rFonts w:ascii="Arial" w:hAnsi="Arial" w:cs="Arial"/>
                <w:sz w:val="22"/>
                <w:szCs w:val="22"/>
              </w:rPr>
            </w:pPr>
            <w:r>
              <w:rPr>
                <w:rFonts w:ascii="Arial" w:hAnsi="Arial" w:cs="Arial"/>
                <w:sz w:val="22"/>
                <w:szCs w:val="22"/>
              </w:rPr>
              <w:t>TECHNOLOGICAL</w:t>
            </w:r>
          </w:p>
        </w:tc>
        <w:tc>
          <w:tcPr>
            <w:tcW w:w="4508" w:type="dxa"/>
            <w:shd w:val="clear" w:color="auto" w:fill="CAEDFB" w:themeFill="accent4" w:themeFillTint="33"/>
          </w:tcPr>
          <w:p w14:paraId="31DA9A67" w14:textId="1E70D2A5" w:rsidR="005B6E37" w:rsidRDefault="005B6E37" w:rsidP="009C6FA9">
            <w:pPr>
              <w:spacing w:line="360" w:lineRule="auto"/>
              <w:rPr>
                <w:rFonts w:ascii="Arial" w:hAnsi="Arial" w:cs="Arial"/>
                <w:sz w:val="22"/>
                <w:szCs w:val="22"/>
              </w:rPr>
            </w:pPr>
            <w:r>
              <w:rPr>
                <w:rFonts w:ascii="Arial" w:hAnsi="Arial" w:cs="Arial"/>
                <w:sz w:val="22"/>
                <w:szCs w:val="22"/>
              </w:rPr>
              <w:t>Advances in artificial intelligence, biometric sensors and cloud computing strengthen Medtronic’s offering. However, rapid innovation cycles and strong competition require continuous investment in R&amp;D.</w:t>
            </w:r>
          </w:p>
        </w:tc>
      </w:tr>
      <w:tr w:rsidR="005B6E37" w14:paraId="17DF9039" w14:textId="77777777" w:rsidTr="00AD3FBD">
        <w:tc>
          <w:tcPr>
            <w:tcW w:w="4508" w:type="dxa"/>
            <w:shd w:val="clear" w:color="auto" w:fill="F2F2F2" w:themeFill="background1" w:themeFillShade="F2"/>
          </w:tcPr>
          <w:p w14:paraId="7CF4460B" w14:textId="77777777" w:rsidR="005B6E37" w:rsidRDefault="005B6E37" w:rsidP="009C6FA9">
            <w:pPr>
              <w:spacing w:line="360" w:lineRule="auto"/>
              <w:jc w:val="center"/>
              <w:rPr>
                <w:rFonts w:ascii="Arial" w:hAnsi="Arial" w:cs="Arial"/>
                <w:sz w:val="22"/>
                <w:szCs w:val="22"/>
              </w:rPr>
            </w:pPr>
          </w:p>
          <w:p w14:paraId="4A780F35" w14:textId="77777777" w:rsidR="005B6E37" w:rsidRDefault="005B6E37" w:rsidP="009C6FA9">
            <w:pPr>
              <w:spacing w:line="360" w:lineRule="auto"/>
              <w:jc w:val="center"/>
              <w:rPr>
                <w:rFonts w:ascii="Arial" w:hAnsi="Arial" w:cs="Arial"/>
                <w:sz w:val="22"/>
                <w:szCs w:val="22"/>
              </w:rPr>
            </w:pPr>
          </w:p>
          <w:p w14:paraId="14715132" w14:textId="42301A91" w:rsidR="005B6E37" w:rsidRDefault="005B6E37" w:rsidP="009C6FA9">
            <w:pPr>
              <w:spacing w:line="360" w:lineRule="auto"/>
              <w:jc w:val="center"/>
              <w:rPr>
                <w:rFonts w:ascii="Arial" w:hAnsi="Arial" w:cs="Arial"/>
                <w:sz w:val="22"/>
                <w:szCs w:val="22"/>
              </w:rPr>
            </w:pPr>
            <w:r>
              <w:rPr>
                <w:rFonts w:ascii="Arial" w:hAnsi="Arial" w:cs="Arial"/>
                <w:sz w:val="22"/>
                <w:szCs w:val="22"/>
              </w:rPr>
              <w:t>LEGAL</w:t>
            </w:r>
          </w:p>
        </w:tc>
        <w:tc>
          <w:tcPr>
            <w:tcW w:w="4508" w:type="dxa"/>
            <w:shd w:val="clear" w:color="auto" w:fill="F2CEED" w:themeFill="accent5" w:themeFillTint="33"/>
          </w:tcPr>
          <w:p w14:paraId="5A44AE4C" w14:textId="3248F86F" w:rsidR="005B6E37" w:rsidRDefault="005B6E37" w:rsidP="009C6FA9">
            <w:pPr>
              <w:spacing w:line="360" w:lineRule="auto"/>
              <w:rPr>
                <w:rFonts w:ascii="Arial" w:hAnsi="Arial" w:cs="Arial"/>
                <w:sz w:val="22"/>
                <w:szCs w:val="22"/>
              </w:rPr>
            </w:pPr>
            <w:r>
              <w:rPr>
                <w:rFonts w:ascii="Arial" w:hAnsi="Arial" w:cs="Arial"/>
                <w:sz w:val="22"/>
                <w:szCs w:val="22"/>
              </w:rPr>
              <w:t>Compliance with the UK Medical Device Regulations (UK MDR), GDPR, and data protection laws remains essential. Failure to meet privacy or safety standards may result in legal and reputational consequences.</w:t>
            </w:r>
          </w:p>
        </w:tc>
      </w:tr>
      <w:tr w:rsidR="005B6E37" w14:paraId="5DFDA2C8" w14:textId="77777777" w:rsidTr="00AD3FBD">
        <w:tc>
          <w:tcPr>
            <w:tcW w:w="4508" w:type="dxa"/>
            <w:shd w:val="clear" w:color="auto" w:fill="F2F2F2" w:themeFill="background1" w:themeFillShade="F2"/>
          </w:tcPr>
          <w:p w14:paraId="534519D5" w14:textId="77777777" w:rsidR="005B6E37" w:rsidRDefault="005B6E37" w:rsidP="009C6FA9">
            <w:pPr>
              <w:spacing w:line="360" w:lineRule="auto"/>
              <w:jc w:val="center"/>
              <w:rPr>
                <w:rFonts w:ascii="Arial" w:hAnsi="Arial" w:cs="Arial"/>
                <w:sz w:val="22"/>
                <w:szCs w:val="22"/>
              </w:rPr>
            </w:pPr>
          </w:p>
          <w:p w14:paraId="76ACA2C9" w14:textId="1CFCD3C7" w:rsidR="005B6E37" w:rsidRDefault="005B6E37" w:rsidP="009C6FA9">
            <w:pPr>
              <w:spacing w:line="360" w:lineRule="auto"/>
              <w:jc w:val="center"/>
              <w:rPr>
                <w:rFonts w:ascii="Arial" w:hAnsi="Arial" w:cs="Arial"/>
                <w:sz w:val="22"/>
                <w:szCs w:val="22"/>
              </w:rPr>
            </w:pPr>
            <w:r>
              <w:rPr>
                <w:rFonts w:ascii="Arial" w:hAnsi="Arial" w:cs="Arial"/>
                <w:sz w:val="22"/>
                <w:szCs w:val="22"/>
              </w:rPr>
              <w:t>ENVIRONMENTAL</w:t>
            </w:r>
          </w:p>
        </w:tc>
        <w:tc>
          <w:tcPr>
            <w:tcW w:w="4508" w:type="dxa"/>
            <w:shd w:val="clear" w:color="auto" w:fill="D1D1D1" w:themeFill="background2" w:themeFillShade="E6"/>
          </w:tcPr>
          <w:p w14:paraId="57EDEF2E" w14:textId="18515A40" w:rsidR="005B6E37" w:rsidRDefault="005B6E37" w:rsidP="009C6FA9">
            <w:pPr>
              <w:spacing w:line="360" w:lineRule="auto"/>
              <w:rPr>
                <w:rFonts w:ascii="Arial" w:hAnsi="Arial" w:cs="Arial"/>
                <w:sz w:val="22"/>
                <w:szCs w:val="22"/>
              </w:rPr>
            </w:pPr>
            <w:r>
              <w:rPr>
                <w:rFonts w:ascii="Arial" w:hAnsi="Arial" w:cs="Arial"/>
                <w:sz w:val="22"/>
                <w:szCs w:val="22"/>
              </w:rPr>
              <w:t>Sustainability expectations require Medtronic to address battery waste, manufacturing environmental impact and recycling practices.</w:t>
            </w:r>
          </w:p>
        </w:tc>
      </w:tr>
    </w:tbl>
    <w:p w14:paraId="3E929FC8" w14:textId="77777777" w:rsidR="00764889" w:rsidRDefault="00764889" w:rsidP="009C6FA9">
      <w:pPr>
        <w:spacing w:line="360" w:lineRule="auto"/>
        <w:rPr>
          <w:rFonts w:ascii="Arial" w:hAnsi="Arial" w:cs="Arial"/>
          <w:b/>
          <w:bCs/>
          <w:sz w:val="22"/>
          <w:szCs w:val="22"/>
        </w:rPr>
      </w:pPr>
    </w:p>
    <w:p w14:paraId="65B81355" w14:textId="32ECB96F" w:rsidR="00140994" w:rsidRPr="00140994" w:rsidRDefault="00140994" w:rsidP="009C6FA9">
      <w:pPr>
        <w:spacing w:line="360" w:lineRule="auto"/>
        <w:rPr>
          <w:rFonts w:ascii="Arial" w:hAnsi="Arial" w:cs="Arial"/>
          <w:b/>
          <w:bCs/>
          <w:sz w:val="22"/>
          <w:szCs w:val="22"/>
        </w:rPr>
      </w:pPr>
      <w:r w:rsidRPr="00140994">
        <w:rPr>
          <w:rFonts w:ascii="Arial" w:hAnsi="Arial" w:cs="Arial"/>
          <w:b/>
          <w:bCs/>
          <w:sz w:val="22"/>
          <w:szCs w:val="22"/>
        </w:rPr>
        <w:t>SMART Objectives and Their Importance</w:t>
      </w:r>
    </w:p>
    <w:p w14:paraId="61CA9CD0" w14:textId="77777777" w:rsidR="00140994" w:rsidRPr="00140994" w:rsidRDefault="00140994" w:rsidP="009C6FA9">
      <w:pPr>
        <w:spacing w:line="360" w:lineRule="auto"/>
        <w:rPr>
          <w:rFonts w:ascii="Arial" w:hAnsi="Arial" w:cs="Arial"/>
          <w:sz w:val="22"/>
          <w:szCs w:val="22"/>
        </w:rPr>
      </w:pPr>
    </w:p>
    <w:p w14:paraId="34EEB7D9" w14:textId="77777777" w:rsidR="00140994" w:rsidRPr="00140994" w:rsidRDefault="00140994" w:rsidP="009C6FA9">
      <w:pPr>
        <w:spacing w:line="360" w:lineRule="auto"/>
        <w:rPr>
          <w:rFonts w:ascii="Arial" w:hAnsi="Arial" w:cs="Arial"/>
          <w:sz w:val="22"/>
          <w:szCs w:val="22"/>
        </w:rPr>
      </w:pPr>
      <w:r w:rsidRPr="00140994">
        <w:rPr>
          <w:rFonts w:ascii="Arial" w:hAnsi="Arial" w:cs="Arial"/>
          <w:sz w:val="22"/>
          <w:szCs w:val="22"/>
        </w:rPr>
        <w:t>SMART is a goal-setting framework commonly used in project and organisational planning to ensure objectives are clearly defined and achievable. SMART is an acronym that stands for Specific, Measurable, Achievable, Realistic (or Relevant), and Time-bound. An objective is specific when it is clear and unambiguous, outlining exactly what needs to be accomplished. It becomes measurable when progress or success can be quantified using indicators. The achievable element ensures the goal is realistic based on available resources, capabilities and constraints. The realistic or relevant component ensures the objective aligns with wider organisational strategy and project purpose. Finally, the time-bound dimension requires a defined deadline to drive progress and accountability.</w:t>
      </w:r>
    </w:p>
    <w:p w14:paraId="72663385" w14:textId="08B77458" w:rsidR="005B6E37" w:rsidRDefault="00140994" w:rsidP="009C6FA9">
      <w:pPr>
        <w:spacing w:line="360" w:lineRule="auto"/>
        <w:rPr>
          <w:rFonts w:ascii="Arial" w:hAnsi="Arial" w:cs="Arial"/>
          <w:sz w:val="22"/>
          <w:szCs w:val="22"/>
        </w:rPr>
      </w:pPr>
      <w:r w:rsidRPr="00140994">
        <w:rPr>
          <w:rFonts w:ascii="Arial" w:hAnsi="Arial" w:cs="Arial"/>
          <w:sz w:val="22"/>
          <w:szCs w:val="22"/>
        </w:rPr>
        <w:t>SMART objectives are important because they improve clarity, planning and performance management within a project. In healthcare innovation and product development, SMART objectives support the alignment of cross-functional teams, resource allocation and risk management. They also provide a basis for monitoring progress, evaluating outcomes and adjusting activities when necessary. By transforming broad aims into structured targets, SMART objectives enhance project efficiency and contribute to successful product delivery.</w:t>
      </w:r>
    </w:p>
    <w:p w14:paraId="22FBEE86" w14:textId="77777777" w:rsidR="00140994" w:rsidRDefault="00140994" w:rsidP="009C6FA9">
      <w:pPr>
        <w:spacing w:line="360" w:lineRule="auto"/>
        <w:rPr>
          <w:rFonts w:ascii="Arial" w:hAnsi="Arial" w:cs="Arial"/>
          <w:sz w:val="22"/>
          <w:szCs w:val="22"/>
        </w:rPr>
      </w:pPr>
    </w:p>
    <w:p w14:paraId="6DE1A1AF" w14:textId="77777777" w:rsidR="00140994" w:rsidRPr="00140994" w:rsidRDefault="00140994" w:rsidP="009C6FA9">
      <w:pPr>
        <w:spacing w:line="360" w:lineRule="auto"/>
        <w:rPr>
          <w:rFonts w:ascii="Arial" w:hAnsi="Arial" w:cs="Arial"/>
          <w:b/>
          <w:bCs/>
          <w:sz w:val="22"/>
          <w:szCs w:val="22"/>
        </w:rPr>
      </w:pPr>
      <w:r w:rsidRPr="00140994">
        <w:rPr>
          <w:rFonts w:ascii="Arial" w:hAnsi="Arial" w:cs="Arial"/>
          <w:b/>
          <w:bCs/>
          <w:sz w:val="22"/>
          <w:szCs w:val="22"/>
        </w:rPr>
        <w:t>Examples of SMART Objectives for the Project</w:t>
      </w:r>
    </w:p>
    <w:p w14:paraId="0404B120" w14:textId="77777777" w:rsidR="00140994" w:rsidRPr="00140994" w:rsidRDefault="00140994" w:rsidP="009C6FA9">
      <w:pPr>
        <w:spacing w:line="360" w:lineRule="auto"/>
        <w:rPr>
          <w:rFonts w:ascii="Arial" w:hAnsi="Arial" w:cs="Arial"/>
          <w:sz w:val="22"/>
          <w:szCs w:val="22"/>
        </w:rPr>
      </w:pPr>
    </w:p>
    <w:p w14:paraId="430BBBC4" w14:textId="55F67C40" w:rsidR="00140994" w:rsidRPr="00140994" w:rsidRDefault="00140994" w:rsidP="009C6FA9">
      <w:pPr>
        <w:spacing w:line="360" w:lineRule="auto"/>
        <w:rPr>
          <w:rFonts w:ascii="Arial" w:hAnsi="Arial" w:cs="Arial"/>
          <w:sz w:val="22"/>
          <w:szCs w:val="22"/>
        </w:rPr>
      </w:pPr>
      <w:r>
        <w:rPr>
          <w:rFonts w:ascii="Arial" w:hAnsi="Arial" w:cs="Arial"/>
          <w:sz w:val="22"/>
          <w:szCs w:val="22"/>
        </w:rPr>
        <w:t xml:space="preserve">1. </w:t>
      </w:r>
      <w:r w:rsidRPr="00140994">
        <w:rPr>
          <w:rFonts w:ascii="Arial" w:hAnsi="Arial" w:cs="Arial"/>
          <w:sz w:val="22"/>
          <w:szCs w:val="22"/>
        </w:rPr>
        <w:t>To complete regulatory approval documentation for the wearable device by week 12 of the project to ensure compliance with UK MDR requirements.</w:t>
      </w:r>
    </w:p>
    <w:p w14:paraId="1136D320" w14:textId="5AA3B8D4" w:rsidR="00140994" w:rsidRPr="00140994" w:rsidRDefault="00140994" w:rsidP="009C6FA9">
      <w:pPr>
        <w:spacing w:line="360" w:lineRule="auto"/>
        <w:rPr>
          <w:rFonts w:ascii="Arial" w:hAnsi="Arial" w:cs="Arial"/>
          <w:sz w:val="22"/>
          <w:szCs w:val="22"/>
        </w:rPr>
      </w:pPr>
      <w:r>
        <w:rPr>
          <w:rFonts w:ascii="Arial" w:hAnsi="Arial" w:cs="Arial"/>
          <w:sz w:val="22"/>
          <w:szCs w:val="22"/>
        </w:rPr>
        <w:t xml:space="preserve">2. </w:t>
      </w:r>
      <w:r w:rsidRPr="00140994">
        <w:rPr>
          <w:rFonts w:ascii="Arial" w:hAnsi="Arial" w:cs="Arial"/>
          <w:sz w:val="22"/>
          <w:szCs w:val="22"/>
        </w:rPr>
        <w:t>To recruit 150 volunteer users for product testing within four months to gather user-experience and performance data.</w:t>
      </w:r>
    </w:p>
    <w:p w14:paraId="775CFF7B" w14:textId="79E82A17" w:rsidR="00140994" w:rsidRPr="00140994" w:rsidRDefault="00140994" w:rsidP="009C6FA9">
      <w:pPr>
        <w:spacing w:line="360" w:lineRule="auto"/>
        <w:rPr>
          <w:rFonts w:ascii="Arial" w:hAnsi="Arial" w:cs="Arial"/>
          <w:sz w:val="22"/>
          <w:szCs w:val="22"/>
        </w:rPr>
      </w:pPr>
      <w:r>
        <w:rPr>
          <w:rFonts w:ascii="Arial" w:hAnsi="Arial" w:cs="Arial"/>
          <w:sz w:val="22"/>
          <w:szCs w:val="22"/>
        </w:rPr>
        <w:t xml:space="preserve">3. </w:t>
      </w:r>
      <w:r w:rsidRPr="00140994">
        <w:rPr>
          <w:rFonts w:ascii="Arial" w:hAnsi="Arial" w:cs="Arial"/>
          <w:sz w:val="22"/>
          <w:szCs w:val="22"/>
        </w:rPr>
        <w:t>To develop and finalise all marketing materials, including packaging and digital campaigns, by month five to support pre-launch promotion.</w:t>
      </w:r>
    </w:p>
    <w:p w14:paraId="5EC1A416" w14:textId="057F262C" w:rsidR="00140994" w:rsidRDefault="00140994" w:rsidP="009C6FA9">
      <w:pPr>
        <w:spacing w:line="360" w:lineRule="auto"/>
        <w:rPr>
          <w:rFonts w:ascii="Arial" w:hAnsi="Arial" w:cs="Arial"/>
          <w:sz w:val="22"/>
          <w:szCs w:val="22"/>
        </w:rPr>
      </w:pPr>
      <w:r>
        <w:rPr>
          <w:rFonts w:ascii="Arial" w:hAnsi="Arial" w:cs="Arial"/>
          <w:sz w:val="22"/>
          <w:szCs w:val="22"/>
        </w:rPr>
        <w:t xml:space="preserve">4. </w:t>
      </w:r>
      <w:r w:rsidRPr="00140994">
        <w:rPr>
          <w:rFonts w:ascii="Arial" w:hAnsi="Arial" w:cs="Arial"/>
          <w:sz w:val="22"/>
          <w:szCs w:val="22"/>
        </w:rPr>
        <w:t>To train 95% of the internal sales and support teams within the final month before launch to ensure product readiness and consistent customer messaging.</w:t>
      </w:r>
    </w:p>
    <w:p w14:paraId="424A55F3" w14:textId="77777777" w:rsidR="00140994" w:rsidRDefault="00140994" w:rsidP="009C6FA9">
      <w:pPr>
        <w:spacing w:line="360" w:lineRule="auto"/>
        <w:rPr>
          <w:rFonts w:ascii="Arial" w:hAnsi="Arial" w:cs="Arial"/>
          <w:sz w:val="22"/>
          <w:szCs w:val="22"/>
        </w:rPr>
      </w:pPr>
    </w:p>
    <w:p w14:paraId="267CE6EE" w14:textId="77777777" w:rsidR="00140994" w:rsidRDefault="00140994" w:rsidP="009C6FA9">
      <w:pPr>
        <w:spacing w:line="360" w:lineRule="auto"/>
        <w:rPr>
          <w:rFonts w:ascii="Arial" w:hAnsi="Arial" w:cs="Arial"/>
          <w:sz w:val="22"/>
          <w:szCs w:val="22"/>
        </w:rPr>
      </w:pPr>
    </w:p>
    <w:p w14:paraId="69612727" w14:textId="77777777" w:rsidR="00140994" w:rsidRDefault="00140994" w:rsidP="009C6FA9">
      <w:pPr>
        <w:spacing w:line="360" w:lineRule="auto"/>
        <w:rPr>
          <w:rFonts w:ascii="Arial" w:hAnsi="Arial" w:cs="Arial"/>
          <w:sz w:val="22"/>
          <w:szCs w:val="22"/>
        </w:rPr>
      </w:pPr>
    </w:p>
    <w:p w14:paraId="4A8C8269" w14:textId="77777777" w:rsidR="00140994" w:rsidRDefault="00140994" w:rsidP="009C6FA9">
      <w:pPr>
        <w:spacing w:line="360" w:lineRule="auto"/>
        <w:rPr>
          <w:rFonts w:ascii="Arial" w:hAnsi="Arial" w:cs="Arial"/>
          <w:sz w:val="22"/>
          <w:szCs w:val="22"/>
        </w:rPr>
      </w:pPr>
    </w:p>
    <w:p w14:paraId="7685B6A1" w14:textId="77777777" w:rsidR="00140994" w:rsidRDefault="00140994" w:rsidP="009C6FA9">
      <w:pPr>
        <w:spacing w:line="360" w:lineRule="auto"/>
        <w:rPr>
          <w:rFonts w:ascii="Arial" w:hAnsi="Arial" w:cs="Arial"/>
          <w:sz w:val="22"/>
          <w:szCs w:val="22"/>
        </w:rPr>
      </w:pPr>
    </w:p>
    <w:p w14:paraId="599612BD" w14:textId="77777777" w:rsidR="009003B1" w:rsidRDefault="009003B1" w:rsidP="009C6FA9">
      <w:pPr>
        <w:spacing w:line="360" w:lineRule="auto"/>
        <w:rPr>
          <w:rFonts w:ascii="Arial" w:hAnsi="Arial" w:cs="Arial"/>
          <w:sz w:val="22"/>
          <w:szCs w:val="22"/>
        </w:rPr>
      </w:pPr>
    </w:p>
    <w:p w14:paraId="5453B237" w14:textId="77777777" w:rsidR="00764889" w:rsidRDefault="00764889" w:rsidP="009C6FA9">
      <w:pPr>
        <w:spacing w:line="360" w:lineRule="auto"/>
        <w:rPr>
          <w:rFonts w:ascii="Arial" w:hAnsi="Arial" w:cs="Arial"/>
          <w:b/>
          <w:bCs/>
          <w:sz w:val="22"/>
          <w:szCs w:val="22"/>
        </w:rPr>
      </w:pPr>
    </w:p>
    <w:p w14:paraId="63DBAA61" w14:textId="77777777" w:rsidR="00764889" w:rsidRDefault="00764889" w:rsidP="009C6FA9">
      <w:pPr>
        <w:spacing w:line="360" w:lineRule="auto"/>
        <w:rPr>
          <w:rFonts w:ascii="Arial" w:hAnsi="Arial" w:cs="Arial"/>
          <w:b/>
          <w:bCs/>
          <w:sz w:val="22"/>
          <w:szCs w:val="22"/>
        </w:rPr>
      </w:pPr>
    </w:p>
    <w:p w14:paraId="701C5183" w14:textId="77777777" w:rsidR="00764889" w:rsidRDefault="00764889" w:rsidP="009C6FA9">
      <w:pPr>
        <w:spacing w:line="360" w:lineRule="auto"/>
        <w:rPr>
          <w:rFonts w:ascii="Arial" w:hAnsi="Arial" w:cs="Arial"/>
          <w:b/>
          <w:bCs/>
          <w:sz w:val="22"/>
          <w:szCs w:val="22"/>
        </w:rPr>
      </w:pPr>
    </w:p>
    <w:p w14:paraId="357142CA" w14:textId="7D242E97" w:rsidR="00140994" w:rsidRPr="00140994" w:rsidRDefault="00140994" w:rsidP="009C6FA9">
      <w:pPr>
        <w:spacing w:line="360" w:lineRule="auto"/>
        <w:rPr>
          <w:rFonts w:ascii="Arial" w:hAnsi="Arial" w:cs="Arial"/>
          <w:b/>
          <w:bCs/>
          <w:sz w:val="22"/>
          <w:szCs w:val="22"/>
        </w:rPr>
      </w:pPr>
      <w:r w:rsidRPr="00140994">
        <w:rPr>
          <w:rFonts w:ascii="Arial" w:hAnsi="Arial" w:cs="Arial"/>
          <w:b/>
          <w:bCs/>
          <w:sz w:val="22"/>
          <w:szCs w:val="22"/>
        </w:rPr>
        <w:t>Stakeholder Identification</w:t>
      </w:r>
    </w:p>
    <w:p w14:paraId="551C16C0" w14:textId="77777777" w:rsidR="00140994" w:rsidRPr="00140994" w:rsidRDefault="00140994" w:rsidP="009C6FA9">
      <w:pPr>
        <w:spacing w:line="360" w:lineRule="auto"/>
        <w:rPr>
          <w:rFonts w:ascii="Arial" w:hAnsi="Arial" w:cs="Arial"/>
          <w:sz w:val="22"/>
          <w:szCs w:val="22"/>
        </w:rPr>
      </w:pPr>
    </w:p>
    <w:p w14:paraId="3391D7EB" w14:textId="31A195A6" w:rsidR="00140994" w:rsidRDefault="00140994" w:rsidP="009C6FA9">
      <w:pPr>
        <w:spacing w:line="360" w:lineRule="auto"/>
        <w:rPr>
          <w:rFonts w:ascii="Arial" w:hAnsi="Arial" w:cs="Arial"/>
          <w:sz w:val="22"/>
          <w:szCs w:val="22"/>
        </w:rPr>
      </w:pPr>
      <w:r w:rsidRPr="00140994">
        <w:rPr>
          <w:rFonts w:ascii="Arial" w:hAnsi="Arial" w:cs="Arial"/>
          <w:sz w:val="22"/>
          <w:szCs w:val="22"/>
        </w:rPr>
        <w:t>Stakeholders are individuals, groups or organisations that influence, or are influenced by, a project (Freeman, 1984). For the development and launch of a wearable health device, stakeholders include both internal and external parties.</w:t>
      </w:r>
    </w:p>
    <w:p w14:paraId="7C92EB05" w14:textId="77777777" w:rsidR="00140994" w:rsidRDefault="00140994" w:rsidP="009C6FA9">
      <w:pPr>
        <w:spacing w:line="360" w:lineRule="auto"/>
        <w:rPr>
          <w:rFonts w:ascii="Arial" w:hAnsi="Arial" w:cs="Arial"/>
          <w:sz w:val="22"/>
          <w:szCs w:val="22"/>
        </w:rPr>
      </w:pPr>
    </w:p>
    <w:p w14:paraId="13748B04" w14:textId="0974AD31" w:rsidR="00140994" w:rsidRPr="00764889" w:rsidRDefault="00140994" w:rsidP="009C6FA9">
      <w:pPr>
        <w:spacing w:line="360" w:lineRule="auto"/>
        <w:rPr>
          <w:rFonts w:ascii="Arial" w:hAnsi="Arial" w:cs="Arial"/>
          <w:b/>
          <w:bCs/>
          <w:sz w:val="22"/>
          <w:szCs w:val="22"/>
        </w:rPr>
      </w:pPr>
      <w:r w:rsidRPr="00764889">
        <w:rPr>
          <w:rFonts w:ascii="Arial" w:hAnsi="Arial" w:cs="Arial"/>
          <w:b/>
          <w:bCs/>
          <w:sz w:val="22"/>
          <w:szCs w:val="22"/>
        </w:rPr>
        <w:t>Internal stakeholders.</w:t>
      </w:r>
    </w:p>
    <w:p w14:paraId="0F44DEBC" w14:textId="77777777" w:rsidR="00140994" w:rsidRDefault="00140994" w:rsidP="009C6FA9">
      <w:pPr>
        <w:spacing w:line="360" w:lineRule="auto"/>
        <w:rPr>
          <w:rFonts w:ascii="Arial" w:hAnsi="Arial" w:cs="Arial"/>
          <w:sz w:val="22"/>
          <w:szCs w:val="22"/>
        </w:rPr>
      </w:pPr>
    </w:p>
    <w:tbl>
      <w:tblPr>
        <w:tblStyle w:val="GridTable2-Accent5"/>
        <w:tblW w:w="0" w:type="auto"/>
        <w:tblLook w:val="04A0" w:firstRow="1" w:lastRow="0" w:firstColumn="1" w:lastColumn="0" w:noHBand="0" w:noVBand="1"/>
      </w:tblPr>
      <w:tblGrid>
        <w:gridCol w:w="3005"/>
        <w:gridCol w:w="3005"/>
        <w:gridCol w:w="3006"/>
      </w:tblGrid>
      <w:tr w:rsidR="00140994" w14:paraId="3E6C6C71" w14:textId="77777777" w:rsidTr="007A3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EFF0AFA" w14:textId="00A1930F" w:rsidR="00140994" w:rsidRDefault="00140994" w:rsidP="009C6FA9">
            <w:pPr>
              <w:spacing w:line="360" w:lineRule="auto"/>
              <w:rPr>
                <w:rFonts w:ascii="Arial" w:hAnsi="Arial" w:cs="Arial"/>
                <w:sz w:val="22"/>
                <w:szCs w:val="22"/>
              </w:rPr>
            </w:pPr>
            <w:r>
              <w:rPr>
                <w:rFonts w:ascii="Arial" w:hAnsi="Arial" w:cs="Arial"/>
                <w:sz w:val="22"/>
                <w:szCs w:val="22"/>
              </w:rPr>
              <w:t>STAKEHOLDER</w:t>
            </w:r>
          </w:p>
        </w:tc>
        <w:tc>
          <w:tcPr>
            <w:tcW w:w="3005" w:type="dxa"/>
          </w:tcPr>
          <w:p w14:paraId="0954D5F7" w14:textId="44833069" w:rsidR="00140994" w:rsidRDefault="00140994"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ROLE AND RESPONSIBILITIES </w:t>
            </w:r>
          </w:p>
        </w:tc>
        <w:tc>
          <w:tcPr>
            <w:tcW w:w="3006" w:type="dxa"/>
          </w:tcPr>
          <w:p w14:paraId="16A1209A" w14:textId="194EB212" w:rsidR="00140994" w:rsidRDefault="00140994"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IMPORTANCE</w:t>
            </w:r>
          </w:p>
        </w:tc>
      </w:tr>
      <w:tr w:rsidR="00140994" w14:paraId="34098F99"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089033D" w14:textId="1E2D38E8" w:rsidR="00140994" w:rsidRDefault="00140994" w:rsidP="009C6FA9">
            <w:pPr>
              <w:spacing w:line="360" w:lineRule="auto"/>
              <w:rPr>
                <w:rFonts w:ascii="Arial" w:hAnsi="Arial" w:cs="Arial"/>
                <w:sz w:val="22"/>
                <w:szCs w:val="22"/>
              </w:rPr>
            </w:pPr>
            <w:r>
              <w:rPr>
                <w:rFonts w:ascii="Arial" w:hAnsi="Arial" w:cs="Arial"/>
                <w:sz w:val="22"/>
                <w:szCs w:val="22"/>
              </w:rPr>
              <w:lastRenderedPageBreak/>
              <w:t>Senior Leadership TEAM</w:t>
            </w:r>
          </w:p>
        </w:tc>
        <w:tc>
          <w:tcPr>
            <w:tcW w:w="3005" w:type="dxa"/>
          </w:tcPr>
          <w:p w14:paraId="034E3359" w14:textId="21220BAE" w:rsidR="00140994" w:rsidRDefault="00140994"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Strategic oversight, resource allocation and decision approval.</w:t>
            </w:r>
          </w:p>
        </w:tc>
        <w:tc>
          <w:tcPr>
            <w:tcW w:w="3006" w:type="dxa"/>
          </w:tcPr>
          <w:p w14:paraId="6A149E4B" w14:textId="71838573" w:rsidR="00140994" w:rsidRDefault="00140994"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High influence on project funding and direction.</w:t>
            </w:r>
          </w:p>
        </w:tc>
      </w:tr>
      <w:tr w:rsidR="00140994" w14:paraId="04DE21ED" w14:textId="77777777" w:rsidTr="007A3052">
        <w:tc>
          <w:tcPr>
            <w:cnfStyle w:val="001000000000" w:firstRow="0" w:lastRow="0" w:firstColumn="1" w:lastColumn="0" w:oddVBand="0" w:evenVBand="0" w:oddHBand="0" w:evenHBand="0" w:firstRowFirstColumn="0" w:firstRowLastColumn="0" w:lastRowFirstColumn="0" w:lastRowLastColumn="0"/>
            <w:tcW w:w="3005" w:type="dxa"/>
          </w:tcPr>
          <w:p w14:paraId="6DD69DB9" w14:textId="76999C41" w:rsidR="00140994" w:rsidRDefault="00140994" w:rsidP="009C6FA9">
            <w:pPr>
              <w:spacing w:line="360" w:lineRule="auto"/>
              <w:rPr>
                <w:rFonts w:ascii="Arial" w:hAnsi="Arial" w:cs="Arial"/>
                <w:sz w:val="22"/>
                <w:szCs w:val="22"/>
              </w:rPr>
            </w:pPr>
            <w:r>
              <w:rPr>
                <w:rFonts w:ascii="Arial" w:hAnsi="Arial" w:cs="Arial"/>
                <w:sz w:val="22"/>
                <w:szCs w:val="22"/>
              </w:rPr>
              <w:t>Project Manager</w:t>
            </w:r>
          </w:p>
        </w:tc>
        <w:tc>
          <w:tcPr>
            <w:tcW w:w="3005" w:type="dxa"/>
          </w:tcPr>
          <w:p w14:paraId="5D6DA470" w14:textId="7AD7B942" w:rsidR="00140994" w:rsidRDefault="00140994"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Oversees delivery, ensures timelines, risk control and stakeholder engagement</w:t>
            </w:r>
          </w:p>
        </w:tc>
        <w:tc>
          <w:tcPr>
            <w:tcW w:w="3006" w:type="dxa"/>
          </w:tcPr>
          <w:p w14:paraId="524A3B9F" w14:textId="34EDD159" w:rsidR="00140994" w:rsidRDefault="00140994"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Central coordinating role.</w:t>
            </w:r>
          </w:p>
        </w:tc>
      </w:tr>
      <w:tr w:rsidR="00140994" w14:paraId="1E0759A0"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C8286F" w14:textId="43729A59" w:rsidR="00140994" w:rsidRDefault="00140994" w:rsidP="009C6FA9">
            <w:pPr>
              <w:spacing w:line="360" w:lineRule="auto"/>
              <w:rPr>
                <w:rFonts w:ascii="Arial" w:hAnsi="Arial" w:cs="Arial"/>
                <w:sz w:val="22"/>
                <w:szCs w:val="22"/>
              </w:rPr>
            </w:pPr>
            <w:r>
              <w:rPr>
                <w:rFonts w:ascii="Arial" w:hAnsi="Arial" w:cs="Arial"/>
                <w:sz w:val="22"/>
                <w:szCs w:val="22"/>
              </w:rPr>
              <w:t>Research and Development (R&amp;D) TEAM</w:t>
            </w:r>
          </w:p>
        </w:tc>
        <w:tc>
          <w:tcPr>
            <w:tcW w:w="3005" w:type="dxa"/>
          </w:tcPr>
          <w:p w14:paraId="11C41207" w14:textId="5B4E9A7E" w:rsidR="00140994" w:rsidRDefault="00140994"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Designs and tests product features and performance</w:t>
            </w:r>
          </w:p>
        </w:tc>
        <w:tc>
          <w:tcPr>
            <w:tcW w:w="3006" w:type="dxa"/>
          </w:tcPr>
          <w:p w14:paraId="29F45902" w14:textId="25464CD4" w:rsidR="00140994" w:rsidRDefault="00140994"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Essential for technical viability and innovation.</w:t>
            </w:r>
          </w:p>
        </w:tc>
      </w:tr>
      <w:tr w:rsidR="00140994" w14:paraId="3F2A6CEC" w14:textId="77777777" w:rsidTr="007A3052">
        <w:tc>
          <w:tcPr>
            <w:cnfStyle w:val="001000000000" w:firstRow="0" w:lastRow="0" w:firstColumn="1" w:lastColumn="0" w:oddVBand="0" w:evenVBand="0" w:oddHBand="0" w:evenHBand="0" w:firstRowFirstColumn="0" w:firstRowLastColumn="0" w:lastRowFirstColumn="0" w:lastRowLastColumn="0"/>
            <w:tcW w:w="3005" w:type="dxa"/>
          </w:tcPr>
          <w:p w14:paraId="1B0615EF" w14:textId="22F87019" w:rsidR="00140994" w:rsidRDefault="00140994" w:rsidP="009C6FA9">
            <w:pPr>
              <w:spacing w:line="360" w:lineRule="auto"/>
              <w:rPr>
                <w:rFonts w:ascii="Arial" w:hAnsi="Arial" w:cs="Arial"/>
                <w:sz w:val="22"/>
                <w:szCs w:val="22"/>
              </w:rPr>
            </w:pPr>
            <w:r>
              <w:rPr>
                <w:rFonts w:ascii="Arial" w:hAnsi="Arial" w:cs="Arial"/>
                <w:sz w:val="22"/>
                <w:szCs w:val="22"/>
              </w:rPr>
              <w:t>Marketing TEAM</w:t>
            </w:r>
          </w:p>
        </w:tc>
        <w:tc>
          <w:tcPr>
            <w:tcW w:w="3005" w:type="dxa"/>
          </w:tcPr>
          <w:p w14:paraId="53843E40" w14:textId="5B1DF8D4" w:rsidR="00140994" w:rsidRDefault="00140994"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Develop branding, market positioning and launch strategy.</w:t>
            </w:r>
          </w:p>
        </w:tc>
        <w:tc>
          <w:tcPr>
            <w:tcW w:w="3006" w:type="dxa"/>
          </w:tcPr>
          <w:p w14:paraId="13550195" w14:textId="120EBB28" w:rsidR="00140994" w:rsidRDefault="00140994"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In</w:t>
            </w:r>
            <w:r w:rsidR="007A3052">
              <w:rPr>
                <w:rFonts w:ascii="Arial" w:hAnsi="Arial" w:cs="Arial"/>
                <w:sz w:val="22"/>
                <w:szCs w:val="22"/>
              </w:rPr>
              <w:t>fluences product adoption and commercial success.</w:t>
            </w:r>
          </w:p>
        </w:tc>
      </w:tr>
      <w:tr w:rsidR="00140994" w14:paraId="09083034"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9A171A0" w14:textId="59671E69" w:rsidR="00140994" w:rsidRDefault="007A3052" w:rsidP="009C6FA9">
            <w:pPr>
              <w:spacing w:line="360" w:lineRule="auto"/>
              <w:rPr>
                <w:rFonts w:ascii="Arial" w:hAnsi="Arial" w:cs="Arial"/>
                <w:sz w:val="22"/>
                <w:szCs w:val="22"/>
              </w:rPr>
            </w:pPr>
            <w:r>
              <w:rPr>
                <w:rFonts w:ascii="Arial" w:hAnsi="Arial" w:cs="Arial"/>
                <w:sz w:val="22"/>
                <w:szCs w:val="22"/>
              </w:rPr>
              <w:t>Regulatory and Compliance TEAM</w:t>
            </w:r>
          </w:p>
        </w:tc>
        <w:tc>
          <w:tcPr>
            <w:tcW w:w="3005" w:type="dxa"/>
          </w:tcPr>
          <w:p w14:paraId="2190E370" w14:textId="4B83BDD6" w:rsidR="00140994"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Ensures product meets legal and safety standards.</w:t>
            </w:r>
          </w:p>
        </w:tc>
        <w:tc>
          <w:tcPr>
            <w:tcW w:w="3006" w:type="dxa"/>
          </w:tcPr>
          <w:p w14:paraId="4E721122" w14:textId="3A6E1FDF" w:rsidR="00140994"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Critical for approval and legal compliance.</w:t>
            </w:r>
          </w:p>
        </w:tc>
      </w:tr>
    </w:tbl>
    <w:p w14:paraId="018029D2" w14:textId="77777777" w:rsidR="00140994" w:rsidRDefault="00140994" w:rsidP="009C6FA9">
      <w:pPr>
        <w:spacing w:line="360" w:lineRule="auto"/>
        <w:rPr>
          <w:rFonts w:ascii="Arial" w:hAnsi="Arial" w:cs="Arial"/>
          <w:sz w:val="22"/>
          <w:szCs w:val="22"/>
        </w:rPr>
      </w:pPr>
    </w:p>
    <w:p w14:paraId="30975F75" w14:textId="77777777" w:rsidR="005B6E37" w:rsidRDefault="005B6E37" w:rsidP="009C6FA9">
      <w:pPr>
        <w:spacing w:line="360" w:lineRule="auto"/>
        <w:rPr>
          <w:rFonts w:ascii="Arial" w:hAnsi="Arial" w:cs="Arial"/>
          <w:sz w:val="22"/>
          <w:szCs w:val="22"/>
        </w:rPr>
      </w:pPr>
    </w:p>
    <w:p w14:paraId="60BF3301" w14:textId="77777777" w:rsidR="007A3052" w:rsidRDefault="007A3052" w:rsidP="009C6FA9">
      <w:pPr>
        <w:spacing w:line="360" w:lineRule="auto"/>
        <w:rPr>
          <w:rFonts w:ascii="Arial" w:hAnsi="Arial" w:cs="Arial"/>
          <w:sz w:val="22"/>
          <w:szCs w:val="22"/>
        </w:rPr>
      </w:pPr>
    </w:p>
    <w:p w14:paraId="64779FCE" w14:textId="77777777" w:rsidR="00174238" w:rsidRDefault="00174238" w:rsidP="009C6FA9">
      <w:pPr>
        <w:spacing w:line="360" w:lineRule="auto"/>
        <w:rPr>
          <w:rFonts w:ascii="Arial" w:hAnsi="Arial" w:cs="Arial"/>
          <w:b/>
          <w:bCs/>
          <w:sz w:val="22"/>
          <w:szCs w:val="22"/>
        </w:rPr>
      </w:pPr>
    </w:p>
    <w:p w14:paraId="4B064940" w14:textId="77777777" w:rsidR="00174238" w:rsidRDefault="00174238" w:rsidP="009C6FA9">
      <w:pPr>
        <w:spacing w:line="360" w:lineRule="auto"/>
        <w:rPr>
          <w:rFonts w:ascii="Arial" w:hAnsi="Arial" w:cs="Arial"/>
          <w:b/>
          <w:bCs/>
          <w:sz w:val="22"/>
          <w:szCs w:val="22"/>
        </w:rPr>
      </w:pPr>
    </w:p>
    <w:p w14:paraId="390CCBD2" w14:textId="52B1A51D" w:rsidR="007A3052" w:rsidRPr="00764889" w:rsidRDefault="007A3052" w:rsidP="009C6FA9">
      <w:pPr>
        <w:spacing w:line="360" w:lineRule="auto"/>
        <w:rPr>
          <w:rFonts w:ascii="Arial" w:hAnsi="Arial" w:cs="Arial"/>
          <w:b/>
          <w:bCs/>
          <w:sz w:val="22"/>
          <w:szCs w:val="22"/>
        </w:rPr>
      </w:pPr>
      <w:r w:rsidRPr="00764889">
        <w:rPr>
          <w:rFonts w:ascii="Arial" w:hAnsi="Arial" w:cs="Arial"/>
          <w:b/>
          <w:bCs/>
          <w:sz w:val="22"/>
          <w:szCs w:val="22"/>
        </w:rPr>
        <w:t>External Stakeholders.</w:t>
      </w:r>
    </w:p>
    <w:p w14:paraId="58781C06" w14:textId="77777777" w:rsidR="007A3052" w:rsidRDefault="007A3052" w:rsidP="009C6FA9">
      <w:pPr>
        <w:spacing w:line="360" w:lineRule="auto"/>
        <w:rPr>
          <w:rFonts w:ascii="Arial" w:hAnsi="Arial" w:cs="Arial"/>
          <w:sz w:val="22"/>
          <w:szCs w:val="22"/>
        </w:rPr>
      </w:pPr>
    </w:p>
    <w:tbl>
      <w:tblPr>
        <w:tblStyle w:val="GridTable2-Accent6"/>
        <w:tblW w:w="0" w:type="auto"/>
        <w:tblLook w:val="04A0" w:firstRow="1" w:lastRow="0" w:firstColumn="1" w:lastColumn="0" w:noHBand="0" w:noVBand="1"/>
      </w:tblPr>
      <w:tblGrid>
        <w:gridCol w:w="3005"/>
        <w:gridCol w:w="3005"/>
        <w:gridCol w:w="3006"/>
      </w:tblGrid>
      <w:tr w:rsidR="007A3052" w14:paraId="5CEB71F0" w14:textId="77777777" w:rsidTr="007A3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C12FB24" w14:textId="6C9E3B22" w:rsidR="007A3052" w:rsidRDefault="007A3052" w:rsidP="009C6FA9">
            <w:pPr>
              <w:spacing w:line="360" w:lineRule="auto"/>
              <w:rPr>
                <w:rFonts w:ascii="Arial" w:hAnsi="Arial" w:cs="Arial"/>
                <w:sz w:val="22"/>
                <w:szCs w:val="22"/>
              </w:rPr>
            </w:pPr>
            <w:r>
              <w:rPr>
                <w:rFonts w:ascii="Arial" w:hAnsi="Arial" w:cs="Arial"/>
                <w:sz w:val="22"/>
                <w:szCs w:val="22"/>
              </w:rPr>
              <w:t>Stakeholder</w:t>
            </w:r>
          </w:p>
        </w:tc>
        <w:tc>
          <w:tcPr>
            <w:tcW w:w="3005" w:type="dxa"/>
          </w:tcPr>
          <w:p w14:paraId="6F396140" w14:textId="2FEA5DA7" w:rsidR="007A3052" w:rsidRDefault="007A305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 xml:space="preserve">Role and Responsibilities </w:t>
            </w:r>
          </w:p>
        </w:tc>
        <w:tc>
          <w:tcPr>
            <w:tcW w:w="3006" w:type="dxa"/>
          </w:tcPr>
          <w:p w14:paraId="0754D7E7" w14:textId="13DF10C3" w:rsidR="007A3052" w:rsidRDefault="007A305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Importance</w:t>
            </w:r>
          </w:p>
        </w:tc>
      </w:tr>
      <w:tr w:rsidR="007A3052" w14:paraId="56C2B176"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F7EE6CB" w14:textId="5B5482F8" w:rsidR="007A3052" w:rsidRDefault="007A3052" w:rsidP="009C6FA9">
            <w:pPr>
              <w:spacing w:line="360" w:lineRule="auto"/>
              <w:rPr>
                <w:rFonts w:ascii="Arial" w:hAnsi="Arial" w:cs="Arial"/>
                <w:sz w:val="22"/>
                <w:szCs w:val="22"/>
              </w:rPr>
            </w:pPr>
            <w:r>
              <w:rPr>
                <w:rFonts w:ascii="Arial" w:hAnsi="Arial" w:cs="Arial"/>
                <w:sz w:val="22"/>
                <w:szCs w:val="22"/>
              </w:rPr>
              <w:t>NHS and Healthcare Providers</w:t>
            </w:r>
          </w:p>
        </w:tc>
        <w:tc>
          <w:tcPr>
            <w:tcW w:w="3005" w:type="dxa"/>
          </w:tcPr>
          <w:p w14:paraId="5268D515" w14:textId="436993BC"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Potential adopters, testers and evaluators.</w:t>
            </w:r>
          </w:p>
        </w:tc>
        <w:tc>
          <w:tcPr>
            <w:tcW w:w="3006" w:type="dxa"/>
          </w:tcPr>
          <w:p w14:paraId="1AC37095" w14:textId="5AD8FA2D"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Provides clinical validation and credibility.</w:t>
            </w:r>
          </w:p>
        </w:tc>
      </w:tr>
      <w:tr w:rsidR="007A3052" w14:paraId="768694FB" w14:textId="77777777" w:rsidTr="007A3052">
        <w:tc>
          <w:tcPr>
            <w:cnfStyle w:val="001000000000" w:firstRow="0" w:lastRow="0" w:firstColumn="1" w:lastColumn="0" w:oddVBand="0" w:evenVBand="0" w:oddHBand="0" w:evenHBand="0" w:firstRowFirstColumn="0" w:firstRowLastColumn="0" w:lastRowFirstColumn="0" w:lastRowLastColumn="0"/>
            <w:tcW w:w="3005" w:type="dxa"/>
          </w:tcPr>
          <w:p w14:paraId="061ED197" w14:textId="089D246A" w:rsidR="007A3052" w:rsidRDefault="007A3052" w:rsidP="009C6FA9">
            <w:pPr>
              <w:spacing w:line="360" w:lineRule="auto"/>
              <w:rPr>
                <w:rFonts w:ascii="Arial" w:hAnsi="Arial" w:cs="Arial"/>
                <w:sz w:val="22"/>
                <w:szCs w:val="22"/>
              </w:rPr>
            </w:pPr>
            <w:r>
              <w:rPr>
                <w:rFonts w:ascii="Arial" w:hAnsi="Arial" w:cs="Arial"/>
                <w:sz w:val="22"/>
                <w:szCs w:val="22"/>
              </w:rPr>
              <w:t>Suppliers and Manufacturers</w:t>
            </w:r>
          </w:p>
        </w:tc>
        <w:tc>
          <w:tcPr>
            <w:tcW w:w="3005" w:type="dxa"/>
          </w:tcPr>
          <w:p w14:paraId="675B3989" w14:textId="3F753CDC"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Component production and assembly.</w:t>
            </w:r>
          </w:p>
        </w:tc>
        <w:tc>
          <w:tcPr>
            <w:tcW w:w="3006" w:type="dxa"/>
          </w:tcPr>
          <w:p w14:paraId="31BB3900" w14:textId="050D5EFF"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Impacts cost, quality and lead times.</w:t>
            </w:r>
          </w:p>
        </w:tc>
      </w:tr>
      <w:tr w:rsidR="007A3052" w14:paraId="158C697C"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40E552D" w14:textId="720C1A02" w:rsidR="007A3052" w:rsidRDefault="007A3052" w:rsidP="009C6FA9">
            <w:pPr>
              <w:spacing w:line="360" w:lineRule="auto"/>
              <w:rPr>
                <w:rFonts w:ascii="Arial" w:hAnsi="Arial" w:cs="Arial"/>
                <w:sz w:val="22"/>
                <w:szCs w:val="22"/>
              </w:rPr>
            </w:pPr>
            <w:r>
              <w:rPr>
                <w:rFonts w:ascii="Arial" w:hAnsi="Arial" w:cs="Arial"/>
                <w:sz w:val="22"/>
                <w:szCs w:val="22"/>
              </w:rPr>
              <w:t>Customers and End-Users</w:t>
            </w:r>
          </w:p>
        </w:tc>
        <w:tc>
          <w:tcPr>
            <w:tcW w:w="3005" w:type="dxa"/>
          </w:tcPr>
          <w:p w14:paraId="54E659B7" w14:textId="16CD6CDE"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Provide feedback, purchase product, influence reputation.</w:t>
            </w:r>
          </w:p>
        </w:tc>
        <w:tc>
          <w:tcPr>
            <w:tcW w:w="3006" w:type="dxa"/>
          </w:tcPr>
          <w:p w14:paraId="240CAE6E" w14:textId="4D3F255D"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Central to uptake and market performance.</w:t>
            </w:r>
          </w:p>
        </w:tc>
      </w:tr>
      <w:tr w:rsidR="007A3052" w14:paraId="00B09D11" w14:textId="77777777" w:rsidTr="007A3052">
        <w:tc>
          <w:tcPr>
            <w:cnfStyle w:val="001000000000" w:firstRow="0" w:lastRow="0" w:firstColumn="1" w:lastColumn="0" w:oddVBand="0" w:evenVBand="0" w:oddHBand="0" w:evenHBand="0" w:firstRowFirstColumn="0" w:firstRowLastColumn="0" w:lastRowFirstColumn="0" w:lastRowLastColumn="0"/>
            <w:tcW w:w="3005" w:type="dxa"/>
          </w:tcPr>
          <w:p w14:paraId="46B78460" w14:textId="7EC0D7C2" w:rsidR="007A3052" w:rsidRDefault="007A3052" w:rsidP="009C6FA9">
            <w:pPr>
              <w:spacing w:line="360" w:lineRule="auto"/>
              <w:rPr>
                <w:rFonts w:ascii="Arial" w:hAnsi="Arial" w:cs="Arial"/>
                <w:sz w:val="22"/>
                <w:szCs w:val="22"/>
              </w:rPr>
            </w:pPr>
            <w:r>
              <w:rPr>
                <w:rFonts w:ascii="Arial" w:hAnsi="Arial" w:cs="Arial"/>
                <w:sz w:val="22"/>
                <w:szCs w:val="22"/>
              </w:rPr>
              <w:t>MHRA(Regulator)</w:t>
            </w:r>
          </w:p>
        </w:tc>
        <w:tc>
          <w:tcPr>
            <w:tcW w:w="3005" w:type="dxa"/>
          </w:tcPr>
          <w:p w14:paraId="095E37E9" w14:textId="47223B64"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Approves device safety and compliance.</w:t>
            </w:r>
          </w:p>
        </w:tc>
        <w:tc>
          <w:tcPr>
            <w:tcW w:w="3006" w:type="dxa"/>
          </w:tcPr>
          <w:p w14:paraId="7E93A1BC" w14:textId="332D5B10"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Mandatory for legal sale in the Uk.</w:t>
            </w:r>
          </w:p>
        </w:tc>
      </w:tr>
      <w:tr w:rsidR="007A3052" w14:paraId="6D7B1555"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863AB8" w14:textId="6CD8C41A" w:rsidR="007A3052" w:rsidRDefault="007A3052" w:rsidP="009C6FA9">
            <w:pPr>
              <w:spacing w:line="360" w:lineRule="auto"/>
              <w:rPr>
                <w:rFonts w:ascii="Arial" w:hAnsi="Arial" w:cs="Arial"/>
                <w:sz w:val="22"/>
                <w:szCs w:val="22"/>
              </w:rPr>
            </w:pPr>
            <w:r>
              <w:rPr>
                <w:rFonts w:ascii="Arial" w:hAnsi="Arial" w:cs="Arial"/>
                <w:sz w:val="22"/>
                <w:szCs w:val="22"/>
              </w:rPr>
              <w:t>Technology Partners</w:t>
            </w:r>
          </w:p>
        </w:tc>
        <w:tc>
          <w:tcPr>
            <w:tcW w:w="3005" w:type="dxa"/>
          </w:tcPr>
          <w:p w14:paraId="42875865" w14:textId="7ADCDB3A"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Software integration, data security and system support.</w:t>
            </w:r>
          </w:p>
        </w:tc>
        <w:tc>
          <w:tcPr>
            <w:tcW w:w="3006" w:type="dxa"/>
          </w:tcPr>
          <w:p w14:paraId="5D56FED5" w14:textId="657187F9"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Enables device functionality and data protection.</w:t>
            </w:r>
          </w:p>
        </w:tc>
      </w:tr>
    </w:tbl>
    <w:p w14:paraId="3E5C0D48" w14:textId="012CB6BD" w:rsidR="005B6E37" w:rsidRDefault="005B6E37" w:rsidP="009C6FA9">
      <w:pPr>
        <w:spacing w:line="360" w:lineRule="auto"/>
        <w:rPr>
          <w:rFonts w:ascii="Arial" w:hAnsi="Arial" w:cs="Arial"/>
          <w:sz w:val="22"/>
          <w:szCs w:val="22"/>
        </w:rPr>
      </w:pPr>
    </w:p>
    <w:p w14:paraId="455F4688" w14:textId="77777777" w:rsidR="007A3052" w:rsidRDefault="007A3052" w:rsidP="009C6FA9">
      <w:pPr>
        <w:spacing w:line="360" w:lineRule="auto"/>
        <w:rPr>
          <w:rFonts w:ascii="Arial" w:hAnsi="Arial" w:cs="Arial"/>
          <w:sz w:val="22"/>
          <w:szCs w:val="22"/>
        </w:rPr>
      </w:pPr>
    </w:p>
    <w:p w14:paraId="4C381139" w14:textId="77777777" w:rsidR="009003B1" w:rsidRDefault="009003B1" w:rsidP="009C6FA9">
      <w:pPr>
        <w:spacing w:line="360" w:lineRule="auto"/>
        <w:rPr>
          <w:rFonts w:ascii="Arial" w:hAnsi="Arial" w:cs="Arial"/>
          <w:sz w:val="22"/>
          <w:szCs w:val="22"/>
        </w:rPr>
      </w:pPr>
    </w:p>
    <w:p w14:paraId="65B62E8C" w14:textId="41ED6B3E" w:rsidR="007A3052" w:rsidRDefault="007A3052" w:rsidP="009C6FA9">
      <w:pPr>
        <w:spacing w:line="360" w:lineRule="auto"/>
        <w:rPr>
          <w:rFonts w:ascii="Arial" w:hAnsi="Arial" w:cs="Arial"/>
          <w:b/>
          <w:bCs/>
          <w:sz w:val="22"/>
          <w:szCs w:val="22"/>
        </w:rPr>
      </w:pPr>
      <w:r w:rsidRPr="00CF7544">
        <w:rPr>
          <w:rFonts w:ascii="Arial" w:hAnsi="Arial" w:cs="Arial"/>
          <w:b/>
          <w:bCs/>
          <w:sz w:val="22"/>
          <w:szCs w:val="22"/>
        </w:rPr>
        <w:t>Benefits and Challenges of Stakeholder Engagement</w:t>
      </w:r>
    </w:p>
    <w:p w14:paraId="1B3642A9" w14:textId="77777777" w:rsidR="00FE0477" w:rsidRPr="00FE0477" w:rsidRDefault="00FE0477" w:rsidP="009C6FA9">
      <w:pPr>
        <w:spacing w:line="360" w:lineRule="auto"/>
        <w:rPr>
          <w:rFonts w:ascii="Arial" w:hAnsi="Arial" w:cs="Arial"/>
          <w:sz w:val="22"/>
          <w:szCs w:val="22"/>
        </w:rPr>
      </w:pPr>
      <w:r w:rsidRPr="00FE0477">
        <w:rPr>
          <w:rFonts w:ascii="Arial" w:hAnsi="Arial" w:cs="Arial"/>
          <w:sz w:val="22"/>
          <w:szCs w:val="22"/>
        </w:rPr>
        <w:t>Stakeholders play an essential role in shaping the successful development and launch of the wearable health device, and understanding their responsibilities, influence and expectations is crucial to effective project delivery. Internal stakeholders form the core operational structure of the project. The senior leadership team holds strategic decision-making authority, providing financial resources and approving major milestones. Their role is critical because they determine the project’s priority and alignment with organisational strategy. The project manager serves as the central coordinator, overseeing planning, monitoring progress and ensuring communication across all stakeholder groups. This role carries significant responsibility, as ineffective coordination may lead to delays, unclear responsibilities or stakeholder disengagement.</w:t>
      </w:r>
    </w:p>
    <w:p w14:paraId="0BA81DCC" w14:textId="77777777" w:rsidR="00FE0477" w:rsidRPr="00FE0477" w:rsidRDefault="00FE0477" w:rsidP="009C6FA9">
      <w:pPr>
        <w:spacing w:line="360" w:lineRule="auto"/>
        <w:rPr>
          <w:rFonts w:ascii="Arial" w:hAnsi="Arial" w:cs="Arial"/>
          <w:sz w:val="22"/>
          <w:szCs w:val="22"/>
        </w:rPr>
      </w:pPr>
    </w:p>
    <w:p w14:paraId="4B8BCAC3" w14:textId="77777777" w:rsidR="00FE0477" w:rsidRPr="00FE0477" w:rsidRDefault="00FE0477" w:rsidP="009C6FA9">
      <w:pPr>
        <w:spacing w:line="360" w:lineRule="auto"/>
        <w:rPr>
          <w:rFonts w:ascii="Arial" w:hAnsi="Arial" w:cs="Arial"/>
          <w:sz w:val="22"/>
          <w:szCs w:val="22"/>
        </w:rPr>
      </w:pPr>
      <w:r w:rsidRPr="00FE0477">
        <w:rPr>
          <w:rFonts w:ascii="Arial" w:hAnsi="Arial" w:cs="Arial"/>
          <w:sz w:val="22"/>
          <w:szCs w:val="22"/>
        </w:rPr>
        <w:t>The research and development (R&amp;D) team contributes technical expertise by designing, testing and refining the product. Their involvement is essential as the innovation and reliability of the device depend on their technical capability. Alongside them, the regulatory and compliance team ensures the product meets UK medical device standards and legal requirements, which is vital in a sector where compliance failures could result in severe legal and reputational consequences. The marketing team is responsible for market positioning, branding and launch planning, ensuring the device appeals to its intended target market and gains strong commercial traction.</w:t>
      </w:r>
    </w:p>
    <w:p w14:paraId="4CEE88C2" w14:textId="77777777" w:rsidR="00FE0477" w:rsidRPr="00FE0477" w:rsidRDefault="00FE0477" w:rsidP="009C6FA9">
      <w:pPr>
        <w:spacing w:line="360" w:lineRule="auto"/>
        <w:rPr>
          <w:rFonts w:ascii="Arial" w:hAnsi="Arial" w:cs="Arial"/>
          <w:sz w:val="22"/>
          <w:szCs w:val="22"/>
        </w:rPr>
      </w:pPr>
    </w:p>
    <w:p w14:paraId="76016638" w14:textId="77777777" w:rsidR="00FE0477" w:rsidRPr="00FE0477" w:rsidRDefault="00FE0477" w:rsidP="009C6FA9">
      <w:pPr>
        <w:spacing w:line="360" w:lineRule="auto"/>
        <w:rPr>
          <w:rFonts w:ascii="Arial" w:hAnsi="Arial" w:cs="Arial"/>
          <w:sz w:val="22"/>
          <w:szCs w:val="22"/>
        </w:rPr>
      </w:pPr>
      <w:r w:rsidRPr="00FE0477">
        <w:rPr>
          <w:rFonts w:ascii="Arial" w:hAnsi="Arial" w:cs="Arial"/>
          <w:sz w:val="22"/>
          <w:szCs w:val="22"/>
        </w:rPr>
        <w:t xml:space="preserve">External stakeholders also hold significant influence. Regulators, specifically the Medicines and Healthcare products Regulatory Agency (MHRA), possess high power as approval is required before the device can be sold. Healthcare providers such as the NHS represent another key stakeholder group, offering clinical feedback and potential large-scale procurement opportunities. Suppliers and manufacturing partners are responsible for delivering materials, components and production capability; their performance directly affects product cost, quality and timelines. Finally, end-users—including patients, consumers and clinical professionals—provide essential expectations and feedback influencing usability, </w:t>
      </w:r>
      <w:r w:rsidRPr="00FE0477">
        <w:rPr>
          <w:rFonts w:ascii="Arial" w:hAnsi="Arial" w:cs="Arial"/>
          <w:sz w:val="22"/>
          <w:szCs w:val="22"/>
        </w:rPr>
        <w:lastRenderedPageBreak/>
        <w:t>comfort and data functionality. Their acceptance ultimately determines whether the product succeeds in the market.</w:t>
      </w:r>
    </w:p>
    <w:p w14:paraId="2EBB7A31" w14:textId="77777777" w:rsidR="00FE0477" w:rsidRPr="00FE0477" w:rsidRDefault="00FE0477" w:rsidP="009C6FA9">
      <w:pPr>
        <w:spacing w:line="360" w:lineRule="auto"/>
        <w:rPr>
          <w:rFonts w:ascii="Arial" w:hAnsi="Arial" w:cs="Arial"/>
          <w:sz w:val="22"/>
          <w:szCs w:val="22"/>
        </w:rPr>
      </w:pPr>
    </w:p>
    <w:p w14:paraId="694B696A" w14:textId="77777777" w:rsidR="00FE0477" w:rsidRPr="00FE0477" w:rsidRDefault="00FE0477" w:rsidP="009C6FA9">
      <w:pPr>
        <w:spacing w:line="360" w:lineRule="auto"/>
        <w:rPr>
          <w:rFonts w:ascii="Arial" w:hAnsi="Arial" w:cs="Arial"/>
          <w:sz w:val="22"/>
          <w:szCs w:val="22"/>
        </w:rPr>
      </w:pPr>
      <w:r w:rsidRPr="00FE0477">
        <w:rPr>
          <w:rFonts w:ascii="Arial" w:hAnsi="Arial" w:cs="Arial"/>
          <w:sz w:val="22"/>
          <w:szCs w:val="22"/>
        </w:rPr>
        <w:t>Engaging these stakeholders provides substantial benefits to the organisation. Collaboration with regulators strengthens compliance readiness and reduces the risk of costly redesigns. Input from healthcare providers and users improves product relevance, usability and trust, increasing adoption. Internal engagement fosters innovation, operational alignment and efficient task execution. However, stakeholders may also experience challenges. Conflicting priorities may emerge, particularly between commercial and regulatory interests. Technical teams may face time pressures when balancing innovation with compliance constraints. Users may experience concerns over data privacy, usability complexity or reliability. External partners, such as suppliers, may face logistical or cost-related pressures that affect timelines.</w:t>
      </w:r>
    </w:p>
    <w:p w14:paraId="0D17E984" w14:textId="77777777" w:rsidR="00FE0477" w:rsidRPr="00FE0477" w:rsidRDefault="00FE0477" w:rsidP="009C6FA9">
      <w:pPr>
        <w:spacing w:line="360" w:lineRule="auto"/>
        <w:rPr>
          <w:rFonts w:ascii="Arial" w:hAnsi="Arial" w:cs="Arial"/>
          <w:sz w:val="22"/>
          <w:szCs w:val="22"/>
        </w:rPr>
      </w:pPr>
    </w:p>
    <w:p w14:paraId="696636E8" w14:textId="77777777" w:rsidR="00FE0477" w:rsidRPr="00FE0477" w:rsidRDefault="00FE0477" w:rsidP="009C6FA9">
      <w:pPr>
        <w:spacing w:line="360" w:lineRule="auto"/>
        <w:rPr>
          <w:rFonts w:ascii="Arial" w:hAnsi="Arial" w:cs="Arial"/>
          <w:sz w:val="22"/>
          <w:szCs w:val="22"/>
        </w:rPr>
      </w:pPr>
      <w:r w:rsidRPr="00FE0477">
        <w:rPr>
          <w:rFonts w:ascii="Arial" w:hAnsi="Arial" w:cs="Arial"/>
          <w:sz w:val="22"/>
          <w:szCs w:val="22"/>
        </w:rPr>
        <w:t>The application of stakeholder theory helps explain the need to manage these competing interests. Freeman’s (1984) Stakeholder Theory demonstrates that each group has a legitimate interest requiring consideration, rather than priority being given solely to shareholders or internal actors. Mendelow’s Power–Interest Matrix supports the classification of stakeholders according to their influence and involvement, enabling targeted engagement strategies. For instance, high-power, high-interest stakeholders such as regulators and senior leadership require close management, while low-interest stakeholders require only periodic updates.</w:t>
      </w:r>
    </w:p>
    <w:p w14:paraId="115546D7" w14:textId="77777777" w:rsidR="00FE0477" w:rsidRPr="00FE0477" w:rsidRDefault="00FE0477" w:rsidP="009C6FA9">
      <w:pPr>
        <w:spacing w:line="360" w:lineRule="auto"/>
        <w:rPr>
          <w:rFonts w:ascii="Arial" w:hAnsi="Arial" w:cs="Arial"/>
          <w:sz w:val="22"/>
          <w:szCs w:val="22"/>
        </w:rPr>
      </w:pPr>
    </w:p>
    <w:p w14:paraId="67B648CA" w14:textId="0F8B5071" w:rsidR="00FE0477" w:rsidRPr="00FE0477" w:rsidRDefault="00FE0477" w:rsidP="009C6FA9">
      <w:pPr>
        <w:spacing w:line="360" w:lineRule="auto"/>
        <w:rPr>
          <w:rFonts w:ascii="Arial" w:hAnsi="Arial" w:cs="Arial"/>
          <w:sz w:val="22"/>
          <w:szCs w:val="22"/>
        </w:rPr>
      </w:pPr>
      <w:r w:rsidRPr="00FE0477">
        <w:rPr>
          <w:rFonts w:ascii="Arial" w:hAnsi="Arial" w:cs="Arial"/>
          <w:sz w:val="22"/>
          <w:szCs w:val="22"/>
        </w:rPr>
        <w:t>Responsibilities and communication expectations are further clarified through a RACI-based governance approach, which distinguishes who is responsible, accountable, consulted or informed at different project stages. This prevents confusion, duplication of work or decision paralysis. Combined with a structured engagement and communication approach, these theoretical models ensure that stakeholder interactions are systematic, transparent and aligned with organisational objectives.</w:t>
      </w:r>
    </w:p>
    <w:p w14:paraId="78D06A40" w14:textId="3AE494FB" w:rsidR="007A3052" w:rsidRDefault="007A3052" w:rsidP="009C6FA9">
      <w:pPr>
        <w:spacing w:line="360" w:lineRule="auto"/>
        <w:rPr>
          <w:rFonts w:ascii="Arial" w:hAnsi="Arial" w:cs="Arial"/>
          <w:sz w:val="22"/>
          <w:szCs w:val="22"/>
        </w:rPr>
      </w:pPr>
      <w:r w:rsidRPr="007A3052">
        <w:rPr>
          <w:rFonts w:ascii="Arial" w:hAnsi="Arial" w:cs="Arial"/>
          <w:sz w:val="22"/>
          <w:szCs w:val="22"/>
        </w:rPr>
        <w:t>Challenges may include conflicting stakeholder interests, regulatory constraints and communication barriers. For example, regulators prioritise safety and compliance, while consumers may prioritise affordability and convenience. According to Mendelow’s Matrix, differing levels of power and interest require tailored engagement strategies to avoid resistance or disengagement.</w:t>
      </w:r>
    </w:p>
    <w:p w14:paraId="670A2929" w14:textId="4BF5711C" w:rsidR="005329DB" w:rsidRDefault="005329DB" w:rsidP="009C6FA9">
      <w:pPr>
        <w:spacing w:line="360" w:lineRule="auto"/>
        <w:rPr>
          <w:rFonts w:ascii="Arial" w:hAnsi="Arial" w:cs="Arial"/>
          <w:sz w:val="22"/>
          <w:szCs w:val="22"/>
        </w:rPr>
      </w:pPr>
      <w:r w:rsidRPr="005329DB">
        <w:rPr>
          <w:rFonts w:ascii="Arial" w:hAnsi="Arial" w:cs="Arial"/>
          <w:sz w:val="22"/>
          <w:szCs w:val="22"/>
        </w:rPr>
        <w:lastRenderedPageBreak/>
        <w:t>Effective stakeholder engagement brings multiple benefits, including increased transparency, improved decision quality and reduced implementation risks (Mitchell et al., 1997). Engaging clinical stakeholders such as the NHS can support trust and evidence-based validation, while user engagement contributes to usability, adoption and customer satisfaction.</w:t>
      </w:r>
    </w:p>
    <w:p w14:paraId="65F6F945" w14:textId="77777777" w:rsidR="007A3052" w:rsidRDefault="007A3052" w:rsidP="009C6FA9">
      <w:pPr>
        <w:spacing w:line="360" w:lineRule="auto"/>
        <w:rPr>
          <w:rFonts w:ascii="Arial" w:hAnsi="Arial" w:cs="Arial"/>
          <w:sz w:val="22"/>
          <w:szCs w:val="22"/>
        </w:rPr>
      </w:pPr>
    </w:p>
    <w:p w14:paraId="1390D7E2" w14:textId="77777777" w:rsidR="007A3052" w:rsidRDefault="007A3052" w:rsidP="009C6FA9">
      <w:pPr>
        <w:spacing w:line="360" w:lineRule="auto"/>
        <w:rPr>
          <w:rFonts w:ascii="Arial" w:hAnsi="Arial" w:cs="Arial"/>
          <w:sz w:val="22"/>
          <w:szCs w:val="22"/>
        </w:rPr>
      </w:pPr>
    </w:p>
    <w:p w14:paraId="1860C2F1" w14:textId="43DB4670" w:rsidR="007A3052" w:rsidRDefault="007A3052" w:rsidP="009C6FA9">
      <w:pPr>
        <w:spacing w:line="360" w:lineRule="auto"/>
        <w:rPr>
          <w:rFonts w:ascii="Arial" w:hAnsi="Arial" w:cs="Arial"/>
          <w:sz w:val="22"/>
          <w:szCs w:val="22"/>
        </w:rPr>
      </w:pPr>
      <w:r>
        <w:rPr>
          <w:rFonts w:ascii="Arial" w:hAnsi="Arial" w:cs="Arial"/>
          <w:sz w:val="22"/>
          <w:szCs w:val="22"/>
        </w:rPr>
        <w:t>Stakeholder Map (Mendelow’s Power-Interest Matrix)</w:t>
      </w:r>
    </w:p>
    <w:tbl>
      <w:tblPr>
        <w:tblStyle w:val="ListTable4-Accent1"/>
        <w:tblW w:w="0" w:type="auto"/>
        <w:tblLook w:val="04A0" w:firstRow="1" w:lastRow="0" w:firstColumn="1" w:lastColumn="0" w:noHBand="0" w:noVBand="1"/>
      </w:tblPr>
      <w:tblGrid>
        <w:gridCol w:w="3005"/>
        <w:gridCol w:w="3005"/>
        <w:gridCol w:w="3006"/>
      </w:tblGrid>
      <w:tr w:rsidR="007A3052" w14:paraId="163998CC" w14:textId="77777777" w:rsidTr="007A3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ED1CA7" w14:textId="44E5538C" w:rsidR="007A3052" w:rsidRDefault="007A3052" w:rsidP="009C6FA9">
            <w:pPr>
              <w:spacing w:line="360" w:lineRule="auto"/>
              <w:rPr>
                <w:rFonts w:ascii="Arial" w:hAnsi="Arial" w:cs="Arial"/>
                <w:sz w:val="22"/>
                <w:szCs w:val="22"/>
              </w:rPr>
            </w:pPr>
            <w:r>
              <w:rPr>
                <w:rFonts w:ascii="Arial" w:hAnsi="Arial" w:cs="Arial"/>
                <w:sz w:val="22"/>
                <w:szCs w:val="22"/>
              </w:rPr>
              <w:t>Category</w:t>
            </w:r>
          </w:p>
        </w:tc>
        <w:tc>
          <w:tcPr>
            <w:tcW w:w="3005" w:type="dxa"/>
          </w:tcPr>
          <w:p w14:paraId="467139D7" w14:textId="11E3CBD0" w:rsidR="007A3052" w:rsidRDefault="007A305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Stakeholders</w:t>
            </w:r>
          </w:p>
        </w:tc>
        <w:tc>
          <w:tcPr>
            <w:tcW w:w="3006" w:type="dxa"/>
          </w:tcPr>
          <w:p w14:paraId="00C4BAA9" w14:textId="36445DFD" w:rsidR="007A3052" w:rsidRDefault="007A305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Engagement Strategy</w:t>
            </w:r>
          </w:p>
        </w:tc>
      </w:tr>
      <w:tr w:rsidR="007A3052" w14:paraId="7DD20CAA"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AA794D1" w14:textId="31EC643A" w:rsidR="007A3052" w:rsidRDefault="007A3052" w:rsidP="009C6FA9">
            <w:pPr>
              <w:spacing w:line="360" w:lineRule="auto"/>
              <w:rPr>
                <w:rFonts w:ascii="Arial" w:hAnsi="Arial" w:cs="Arial"/>
                <w:sz w:val="22"/>
                <w:szCs w:val="22"/>
              </w:rPr>
            </w:pPr>
            <w:r>
              <w:rPr>
                <w:rFonts w:ascii="Arial" w:hAnsi="Arial" w:cs="Arial"/>
                <w:sz w:val="22"/>
                <w:szCs w:val="22"/>
              </w:rPr>
              <w:t>High Power / High interest (Manage Closely)</w:t>
            </w:r>
          </w:p>
        </w:tc>
        <w:tc>
          <w:tcPr>
            <w:tcW w:w="3005" w:type="dxa"/>
          </w:tcPr>
          <w:p w14:paraId="4A04D893" w14:textId="765D659F"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Senior leadership, regulators (MHRA), project manager, R&amp;D team</w:t>
            </w:r>
          </w:p>
        </w:tc>
        <w:tc>
          <w:tcPr>
            <w:tcW w:w="3006" w:type="dxa"/>
          </w:tcPr>
          <w:p w14:paraId="36F55BDD" w14:textId="79C34C5C"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Frequent communication, collaboration and decision involvement.</w:t>
            </w:r>
          </w:p>
        </w:tc>
      </w:tr>
      <w:tr w:rsidR="007A3052" w14:paraId="382B2100" w14:textId="77777777" w:rsidTr="007A3052">
        <w:tc>
          <w:tcPr>
            <w:cnfStyle w:val="001000000000" w:firstRow="0" w:lastRow="0" w:firstColumn="1" w:lastColumn="0" w:oddVBand="0" w:evenVBand="0" w:oddHBand="0" w:evenHBand="0" w:firstRowFirstColumn="0" w:firstRowLastColumn="0" w:lastRowFirstColumn="0" w:lastRowLastColumn="0"/>
            <w:tcW w:w="3005" w:type="dxa"/>
          </w:tcPr>
          <w:p w14:paraId="7E3CDEB9" w14:textId="317A0427" w:rsidR="007A3052" w:rsidRDefault="007A3052" w:rsidP="009C6FA9">
            <w:pPr>
              <w:spacing w:line="360" w:lineRule="auto"/>
              <w:rPr>
                <w:rFonts w:ascii="Arial" w:hAnsi="Arial" w:cs="Arial"/>
                <w:sz w:val="22"/>
                <w:szCs w:val="22"/>
              </w:rPr>
            </w:pPr>
            <w:r>
              <w:rPr>
                <w:rFonts w:ascii="Arial" w:hAnsi="Arial" w:cs="Arial"/>
                <w:sz w:val="22"/>
                <w:szCs w:val="22"/>
              </w:rPr>
              <w:t>High Power / Low Interest (Keep Satisfied)</w:t>
            </w:r>
          </w:p>
        </w:tc>
        <w:tc>
          <w:tcPr>
            <w:tcW w:w="3005" w:type="dxa"/>
          </w:tcPr>
          <w:p w14:paraId="003960EA" w14:textId="71C1C5E7"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Suppliers, NHS procurement leads.</w:t>
            </w:r>
          </w:p>
        </w:tc>
        <w:tc>
          <w:tcPr>
            <w:tcW w:w="3006" w:type="dxa"/>
          </w:tcPr>
          <w:p w14:paraId="34478E4E" w14:textId="12072E78"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Periodic updates, negotiation and assurance.</w:t>
            </w:r>
          </w:p>
        </w:tc>
      </w:tr>
      <w:tr w:rsidR="007A3052" w14:paraId="6BC1166D" w14:textId="77777777" w:rsidTr="007A30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99DDCFB" w14:textId="42D6D522" w:rsidR="007A3052" w:rsidRDefault="007A3052" w:rsidP="009C6FA9">
            <w:pPr>
              <w:spacing w:line="360" w:lineRule="auto"/>
              <w:rPr>
                <w:rFonts w:ascii="Arial" w:hAnsi="Arial" w:cs="Arial"/>
                <w:sz w:val="22"/>
                <w:szCs w:val="22"/>
              </w:rPr>
            </w:pPr>
            <w:r>
              <w:rPr>
                <w:rFonts w:ascii="Arial" w:hAnsi="Arial" w:cs="Arial"/>
                <w:sz w:val="22"/>
                <w:szCs w:val="22"/>
              </w:rPr>
              <w:t>Low Power / High Interest</w:t>
            </w:r>
          </w:p>
        </w:tc>
        <w:tc>
          <w:tcPr>
            <w:tcW w:w="3005" w:type="dxa"/>
          </w:tcPr>
          <w:p w14:paraId="68337D2C" w14:textId="073C1934"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Marketing team, technology partners, healthcare professionals</w:t>
            </w:r>
          </w:p>
        </w:tc>
        <w:tc>
          <w:tcPr>
            <w:tcW w:w="3006" w:type="dxa"/>
          </w:tcPr>
          <w:p w14:paraId="1A55E1B8" w14:textId="2DE38048" w:rsidR="007A3052" w:rsidRDefault="007A305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Regular updates and feedback loops.</w:t>
            </w:r>
          </w:p>
        </w:tc>
      </w:tr>
      <w:tr w:rsidR="007A3052" w14:paraId="0CFAF3A2" w14:textId="77777777" w:rsidTr="007A3052">
        <w:tc>
          <w:tcPr>
            <w:cnfStyle w:val="001000000000" w:firstRow="0" w:lastRow="0" w:firstColumn="1" w:lastColumn="0" w:oddVBand="0" w:evenVBand="0" w:oddHBand="0" w:evenHBand="0" w:firstRowFirstColumn="0" w:firstRowLastColumn="0" w:lastRowFirstColumn="0" w:lastRowLastColumn="0"/>
            <w:tcW w:w="3005" w:type="dxa"/>
          </w:tcPr>
          <w:p w14:paraId="6986317B" w14:textId="667AE254" w:rsidR="007A3052" w:rsidRDefault="007A3052" w:rsidP="009C6FA9">
            <w:pPr>
              <w:spacing w:line="360" w:lineRule="auto"/>
              <w:rPr>
                <w:rFonts w:ascii="Arial" w:hAnsi="Arial" w:cs="Arial"/>
                <w:sz w:val="22"/>
                <w:szCs w:val="22"/>
              </w:rPr>
            </w:pPr>
            <w:r>
              <w:rPr>
                <w:rFonts w:ascii="Arial" w:hAnsi="Arial" w:cs="Arial"/>
                <w:sz w:val="22"/>
                <w:szCs w:val="22"/>
              </w:rPr>
              <w:t>Low Power / Low Interest (Monitor)</w:t>
            </w:r>
          </w:p>
        </w:tc>
        <w:tc>
          <w:tcPr>
            <w:tcW w:w="3005" w:type="dxa"/>
          </w:tcPr>
          <w:p w14:paraId="5C252C73" w14:textId="07659CE0"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General public, peripheral administrative teams.</w:t>
            </w:r>
          </w:p>
        </w:tc>
        <w:tc>
          <w:tcPr>
            <w:tcW w:w="3006" w:type="dxa"/>
          </w:tcPr>
          <w:p w14:paraId="19271FC8" w14:textId="53079573" w:rsidR="007A3052" w:rsidRDefault="007A3052"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Minimal communication, monitor changes.</w:t>
            </w:r>
          </w:p>
        </w:tc>
      </w:tr>
    </w:tbl>
    <w:p w14:paraId="4132E0E9" w14:textId="77777777" w:rsidR="007A3052" w:rsidRPr="00F92649" w:rsidRDefault="007A3052" w:rsidP="009C6FA9">
      <w:pPr>
        <w:spacing w:line="360" w:lineRule="auto"/>
        <w:rPr>
          <w:rFonts w:ascii="Arial" w:hAnsi="Arial" w:cs="Arial"/>
          <w:sz w:val="22"/>
          <w:szCs w:val="22"/>
        </w:rPr>
      </w:pPr>
    </w:p>
    <w:p w14:paraId="257A39DF" w14:textId="61E3B1DA" w:rsidR="00F92649" w:rsidRDefault="00F92649" w:rsidP="009C6FA9">
      <w:pPr>
        <w:spacing w:line="360" w:lineRule="auto"/>
        <w:rPr>
          <w:rFonts w:ascii="Arial" w:hAnsi="Arial" w:cs="Arial"/>
          <w:sz w:val="22"/>
          <w:szCs w:val="22"/>
        </w:rPr>
      </w:pPr>
      <w:r w:rsidRPr="00F92649">
        <w:rPr>
          <w:rFonts w:ascii="Arial" w:hAnsi="Arial" w:cs="Arial"/>
          <w:sz w:val="22"/>
          <w:szCs w:val="22"/>
        </w:rPr>
        <w:t>.</w:t>
      </w:r>
    </w:p>
    <w:p w14:paraId="42A5A4F2" w14:textId="0F176264" w:rsidR="007A3052" w:rsidRPr="00BE1C1D" w:rsidRDefault="007A3052" w:rsidP="009C6FA9">
      <w:pPr>
        <w:spacing w:line="360" w:lineRule="auto"/>
        <w:rPr>
          <w:rFonts w:ascii="Arial" w:hAnsi="Arial" w:cs="Arial"/>
          <w:b/>
          <w:bCs/>
          <w:sz w:val="22"/>
          <w:szCs w:val="22"/>
        </w:rPr>
      </w:pPr>
      <w:r w:rsidRPr="00BE1C1D">
        <w:rPr>
          <w:rFonts w:ascii="Arial" w:hAnsi="Arial" w:cs="Arial"/>
          <w:b/>
          <w:bCs/>
          <w:sz w:val="22"/>
          <w:szCs w:val="22"/>
        </w:rPr>
        <w:t>RACI MATRIX</w:t>
      </w:r>
    </w:p>
    <w:p w14:paraId="76B27D31" w14:textId="77777777" w:rsidR="007A3052" w:rsidRDefault="007A3052" w:rsidP="009C6FA9">
      <w:pPr>
        <w:spacing w:line="360" w:lineRule="auto"/>
        <w:rPr>
          <w:rFonts w:ascii="Arial" w:hAnsi="Arial" w:cs="Arial"/>
          <w:sz w:val="22"/>
          <w:szCs w:val="22"/>
        </w:rPr>
      </w:pPr>
    </w:p>
    <w:tbl>
      <w:tblPr>
        <w:tblStyle w:val="GridTable1Light-Accent2"/>
        <w:tblW w:w="0" w:type="auto"/>
        <w:tblInd w:w="-572" w:type="dxa"/>
        <w:tblLook w:val="04A0" w:firstRow="1" w:lastRow="0" w:firstColumn="1" w:lastColumn="0" w:noHBand="0" w:noVBand="1"/>
      </w:tblPr>
      <w:tblGrid>
        <w:gridCol w:w="2726"/>
        <w:gridCol w:w="1121"/>
        <w:gridCol w:w="840"/>
        <w:gridCol w:w="1366"/>
        <w:gridCol w:w="1256"/>
        <w:gridCol w:w="1219"/>
        <w:gridCol w:w="1060"/>
      </w:tblGrid>
      <w:tr w:rsidR="00BE1C1D" w14:paraId="03A62F3E" w14:textId="77777777" w:rsidTr="00BE1C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7" w:type="dxa"/>
          </w:tcPr>
          <w:p w14:paraId="015F5A25" w14:textId="4056DB19" w:rsidR="007A3052" w:rsidRDefault="007A3052" w:rsidP="009C6FA9">
            <w:pPr>
              <w:spacing w:line="360" w:lineRule="auto"/>
              <w:rPr>
                <w:rFonts w:ascii="Arial" w:hAnsi="Arial" w:cs="Arial"/>
                <w:sz w:val="22"/>
                <w:szCs w:val="22"/>
              </w:rPr>
            </w:pPr>
            <w:r>
              <w:rPr>
                <w:rFonts w:ascii="Arial" w:hAnsi="Arial" w:cs="Arial"/>
                <w:sz w:val="22"/>
                <w:szCs w:val="22"/>
              </w:rPr>
              <w:t>Task/Responsibility</w:t>
            </w:r>
          </w:p>
        </w:tc>
        <w:tc>
          <w:tcPr>
            <w:tcW w:w="1108" w:type="dxa"/>
          </w:tcPr>
          <w:p w14:paraId="4211ED52" w14:textId="7D235198" w:rsidR="007A3052" w:rsidRDefault="00BE1C1D"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Project Manager</w:t>
            </w:r>
          </w:p>
        </w:tc>
        <w:tc>
          <w:tcPr>
            <w:tcW w:w="831" w:type="dxa"/>
          </w:tcPr>
          <w:p w14:paraId="44CA3F40" w14:textId="0C7B86E2" w:rsidR="007A3052" w:rsidRDefault="00BE1C1D"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R&amp;D TEAM</w:t>
            </w:r>
          </w:p>
        </w:tc>
        <w:tc>
          <w:tcPr>
            <w:tcW w:w="1349" w:type="dxa"/>
          </w:tcPr>
          <w:p w14:paraId="1DE9651A" w14:textId="67E8171A" w:rsidR="007A3052" w:rsidRDefault="00BE1C1D"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Regulatory TEAM</w:t>
            </w:r>
          </w:p>
        </w:tc>
        <w:tc>
          <w:tcPr>
            <w:tcW w:w="1241" w:type="dxa"/>
          </w:tcPr>
          <w:p w14:paraId="1DD84AAC" w14:textId="62460FC8" w:rsidR="007A3052" w:rsidRDefault="00BE1C1D"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Marketing</w:t>
            </w:r>
          </w:p>
        </w:tc>
        <w:tc>
          <w:tcPr>
            <w:tcW w:w="1204" w:type="dxa"/>
          </w:tcPr>
          <w:p w14:paraId="0DB5731E" w14:textId="7D9D645F" w:rsidR="007A3052" w:rsidRDefault="00BE1C1D"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Suppliers</w:t>
            </w:r>
          </w:p>
        </w:tc>
        <w:tc>
          <w:tcPr>
            <w:tcW w:w="1048" w:type="dxa"/>
          </w:tcPr>
          <w:p w14:paraId="050DF615" w14:textId="5E6E0404" w:rsidR="007A3052" w:rsidRDefault="00BE1C1D"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Senior Leaders</w:t>
            </w:r>
          </w:p>
        </w:tc>
      </w:tr>
      <w:tr w:rsidR="00BE1C1D" w14:paraId="675AF3A1" w14:textId="77777777" w:rsidTr="00BE1C1D">
        <w:tc>
          <w:tcPr>
            <w:cnfStyle w:val="001000000000" w:firstRow="0" w:lastRow="0" w:firstColumn="1" w:lastColumn="0" w:oddVBand="0" w:evenVBand="0" w:oddHBand="0" w:evenHBand="0" w:firstRowFirstColumn="0" w:firstRowLastColumn="0" w:lastRowFirstColumn="0" w:lastRowLastColumn="0"/>
            <w:tcW w:w="2807" w:type="dxa"/>
          </w:tcPr>
          <w:p w14:paraId="196F0610" w14:textId="594679E9" w:rsidR="007A3052" w:rsidRDefault="007A3052" w:rsidP="009C6FA9">
            <w:pPr>
              <w:spacing w:line="360" w:lineRule="auto"/>
              <w:rPr>
                <w:rFonts w:ascii="Arial" w:hAnsi="Arial" w:cs="Arial"/>
                <w:sz w:val="22"/>
                <w:szCs w:val="22"/>
              </w:rPr>
            </w:pPr>
            <w:r>
              <w:rPr>
                <w:rFonts w:ascii="Arial" w:hAnsi="Arial" w:cs="Arial"/>
                <w:sz w:val="22"/>
                <w:szCs w:val="22"/>
              </w:rPr>
              <w:t>Product Design</w:t>
            </w:r>
          </w:p>
        </w:tc>
        <w:tc>
          <w:tcPr>
            <w:tcW w:w="1108" w:type="dxa"/>
            <w:shd w:val="clear" w:color="auto" w:fill="D86DCB" w:themeFill="accent5" w:themeFillTint="99"/>
          </w:tcPr>
          <w:p w14:paraId="5348518D" w14:textId="0CB7CF52" w:rsidR="007A3052" w:rsidRDefault="00BE1C1D" w:rsidP="009C6FA9">
            <w:pPr>
              <w:tabs>
                <w:tab w:val="left" w:pos="255"/>
                <w:tab w:val="center" w:pos="446"/>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b/>
            </w:r>
            <w:r>
              <w:rPr>
                <w:rFonts w:ascii="Arial" w:hAnsi="Arial" w:cs="Arial"/>
                <w:sz w:val="22"/>
                <w:szCs w:val="22"/>
              </w:rPr>
              <w:tab/>
              <w:t>A</w:t>
            </w:r>
          </w:p>
        </w:tc>
        <w:tc>
          <w:tcPr>
            <w:tcW w:w="831" w:type="dxa"/>
            <w:shd w:val="clear" w:color="auto" w:fill="FFC000"/>
          </w:tcPr>
          <w:p w14:paraId="186D81D7" w14:textId="4AA95428"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w:t>
            </w:r>
          </w:p>
        </w:tc>
        <w:tc>
          <w:tcPr>
            <w:tcW w:w="1349" w:type="dxa"/>
            <w:shd w:val="clear" w:color="auto" w:fill="4C94D8" w:themeFill="text2" w:themeFillTint="80"/>
          </w:tcPr>
          <w:p w14:paraId="3C1AD2FF" w14:textId="5D0E4DD5"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1241" w:type="dxa"/>
            <w:shd w:val="clear" w:color="auto" w:fill="4C94D8" w:themeFill="text2" w:themeFillTint="80"/>
          </w:tcPr>
          <w:p w14:paraId="6C1D5BD2" w14:textId="08CCD347"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1204" w:type="dxa"/>
            <w:shd w:val="clear" w:color="auto" w:fill="4C94D8" w:themeFill="text2" w:themeFillTint="80"/>
          </w:tcPr>
          <w:p w14:paraId="3D5889AA" w14:textId="34D1F7AD"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1048" w:type="dxa"/>
            <w:shd w:val="clear" w:color="auto" w:fill="8DD873" w:themeFill="accent6" w:themeFillTint="99"/>
          </w:tcPr>
          <w:p w14:paraId="08A61AB3" w14:textId="76177A1E"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r>
      <w:tr w:rsidR="00BE1C1D" w14:paraId="0AC92D1A" w14:textId="77777777" w:rsidTr="00BE1C1D">
        <w:tc>
          <w:tcPr>
            <w:cnfStyle w:val="001000000000" w:firstRow="0" w:lastRow="0" w:firstColumn="1" w:lastColumn="0" w:oddVBand="0" w:evenVBand="0" w:oddHBand="0" w:evenHBand="0" w:firstRowFirstColumn="0" w:firstRowLastColumn="0" w:lastRowFirstColumn="0" w:lastRowLastColumn="0"/>
            <w:tcW w:w="2807" w:type="dxa"/>
          </w:tcPr>
          <w:p w14:paraId="274166F1" w14:textId="42AD1CB4" w:rsidR="007A3052" w:rsidRDefault="007A3052" w:rsidP="009C6FA9">
            <w:pPr>
              <w:spacing w:line="360" w:lineRule="auto"/>
              <w:rPr>
                <w:rFonts w:ascii="Arial" w:hAnsi="Arial" w:cs="Arial"/>
                <w:sz w:val="22"/>
                <w:szCs w:val="22"/>
              </w:rPr>
            </w:pPr>
            <w:r>
              <w:rPr>
                <w:rFonts w:ascii="Arial" w:hAnsi="Arial" w:cs="Arial"/>
                <w:sz w:val="22"/>
                <w:szCs w:val="22"/>
              </w:rPr>
              <w:t>Regulatory Submission</w:t>
            </w:r>
          </w:p>
        </w:tc>
        <w:tc>
          <w:tcPr>
            <w:tcW w:w="1108" w:type="dxa"/>
            <w:shd w:val="clear" w:color="auto" w:fill="4C94D8" w:themeFill="text2" w:themeFillTint="80"/>
          </w:tcPr>
          <w:p w14:paraId="13170445" w14:textId="602BE6E9"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831" w:type="dxa"/>
            <w:shd w:val="clear" w:color="auto" w:fill="4C94D8" w:themeFill="text2" w:themeFillTint="80"/>
          </w:tcPr>
          <w:p w14:paraId="750B80F0" w14:textId="59B7184B"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1349" w:type="dxa"/>
            <w:shd w:val="clear" w:color="auto" w:fill="FFC000"/>
          </w:tcPr>
          <w:p w14:paraId="555E6807" w14:textId="17C0C7A1"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w:t>
            </w:r>
          </w:p>
        </w:tc>
        <w:tc>
          <w:tcPr>
            <w:tcW w:w="1241" w:type="dxa"/>
            <w:shd w:val="clear" w:color="auto" w:fill="8DD873" w:themeFill="accent6" w:themeFillTint="99"/>
          </w:tcPr>
          <w:p w14:paraId="21C9C3AA" w14:textId="1468E909"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204" w:type="dxa"/>
            <w:shd w:val="clear" w:color="auto" w:fill="8DD873" w:themeFill="accent6" w:themeFillTint="99"/>
          </w:tcPr>
          <w:p w14:paraId="5464128B" w14:textId="6FFB3D3B"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048" w:type="dxa"/>
            <w:shd w:val="clear" w:color="auto" w:fill="D86DCB" w:themeFill="accent5" w:themeFillTint="99"/>
          </w:tcPr>
          <w:p w14:paraId="1E284AC5" w14:textId="7DB4BBAB"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w:t>
            </w:r>
          </w:p>
        </w:tc>
      </w:tr>
      <w:tr w:rsidR="00BE1C1D" w14:paraId="173E3AFE" w14:textId="77777777" w:rsidTr="00BE1C1D">
        <w:tc>
          <w:tcPr>
            <w:cnfStyle w:val="001000000000" w:firstRow="0" w:lastRow="0" w:firstColumn="1" w:lastColumn="0" w:oddVBand="0" w:evenVBand="0" w:oddHBand="0" w:evenHBand="0" w:firstRowFirstColumn="0" w:firstRowLastColumn="0" w:lastRowFirstColumn="0" w:lastRowLastColumn="0"/>
            <w:tcW w:w="2807" w:type="dxa"/>
          </w:tcPr>
          <w:p w14:paraId="62D40780" w14:textId="18A48893" w:rsidR="007A3052" w:rsidRDefault="007A3052" w:rsidP="009C6FA9">
            <w:pPr>
              <w:spacing w:line="360" w:lineRule="auto"/>
              <w:rPr>
                <w:rFonts w:ascii="Arial" w:hAnsi="Arial" w:cs="Arial"/>
                <w:sz w:val="22"/>
                <w:szCs w:val="22"/>
              </w:rPr>
            </w:pPr>
            <w:r>
              <w:rPr>
                <w:rFonts w:ascii="Arial" w:hAnsi="Arial" w:cs="Arial"/>
                <w:sz w:val="22"/>
                <w:szCs w:val="22"/>
              </w:rPr>
              <w:t>Prototype Manufacturing</w:t>
            </w:r>
          </w:p>
        </w:tc>
        <w:tc>
          <w:tcPr>
            <w:tcW w:w="1108" w:type="dxa"/>
            <w:shd w:val="clear" w:color="auto" w:fill="4C94D8" w:themeFill="text2" w:themeFillTint="80"/>
          </w:tcPr>
          <w:p w14:paraId="7B309728" w14:textId="0F46678B"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831" w:type="dxa"/>
            <w:shd w:val="clear" w:color="auto" w:fill="D86DCB" w:themeFill="accent5" w:themeFillTint="99"/>
          </w:tcPr>
          <w:p w14:paraId="1223DBAF" w14:textId="1AFEEC61"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w:t>
            </w:r>
          </w:p>
        </w:tc>
        <w:tc>
          <w:tcPr>
            <w:tcW w:w="1349" w:type="dxa"/>
            <w:shd w:val="clear" w:color="auto" w:fill="8DD873" w:themeFill="accent6" w:themeFillTint="99"/>
          </w:tcPr>
          <w:p w14:paraId="04AF8FAF" w14:textId="40BF1783"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241" w:type="dxa"/>
            <w:shd w:val="clear" w:color="auto" w:fill="8DD873" w:themeFill="accent6" w:themeFillTint="99"/>
          </w:tcPr>
          <w:p w14:paraId="5E27EE82" w14:textId="7DF5C0FF"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204" w:type="dxa"/>
            <w:shd w:val="clear" w:color="auto" w:fill="FFC000"/>
          </w:tcPr>
          <w:p w14:paraId="3CF5EB6F" w14:textId="57F9F09E"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w:t>
            </w:r>
          </w:p>
        </w:tc>
        <w:tc>
          <w:tcPr>
            <w:tcW w:w="1048" w:type="dxa"/>
            <w:shd w:val="clear" w:color="auto" w:fill="8DD873" w:themeFill="accent6" w:themeFillTint="99"/>
          </w:tcPr>
          <w:p w14:paraId="4155E4FB" w14:textId="2A90D283"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r>
      <w:tr w:rsidR="00BE1C1D" w14:paraId="1A349934" w14:textId="77777777" w:rsidTr="00BE1C1D">
        <w:tc>
          <w:tcPr>
            <w:cnfStyle w:val="001000000000" w:firstRow="0" w:lastRow="0" w:firstColumn="1" w:lastColumn="0" w:oddVBand="0" w:evenVBand="0" w:oddHBand="0" w:evenHBand="0" w:firstRowFirstColumn="0" w:firstRowLastColumn="0" w:lastRowFirstColumn="0" w:lastRowLastColumn="0"/>
            <w:tcW w:w="2807" w:type="dxa"/>
          </w:tcPr>
          <w:p w14:paraId="4969D287" w14:textId="55E7E6CB" w:rsidR="007A3052" w:rsidRDefault="007A3052" w:rsidP="009C6FA9">
            <w:pPr>
              <w:spacing w:line="360" w:lineRule="auto"/>
              <w:rPr>
                <w:rFonts w:ascii="Arial" w:hAnsi="Arial" w:cs="Arial"/>
                <w:sz w:val="22"/>
                <w:szCs w:val="22"/>
              </w:rPr>
            </w:pPr>
            <w:r>
              <w:rPr>
                <w:rFonts w:ascii="Arial" w:hAnsi="Arial" w:cs="Arial"/>
                <w:sz w:val="22"/>
                <w:szCs w:val="22"/>
              </w:rPr>
              <w:t>Testing and Quality Assurance</w:t>
            </w:r>
          </w:p>
        </w:tc>
        <w:tc>
          <w:tcPr>
            <w:tcW w:w="1108" w:type="dxa"/>
            <w:shd w:val="clear" w:color="auto" w:fill="D86DCB" w:themeFill="accent5" w:themeFillTint="99"/>
          </w:tcPr>
          <w:p w14:paraId="7BBE5DFB" w14:textId="019D2FFA"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w:t>
            </w:r>
          </w:p>
        </w:tc>
        <w:tc>
          <w:tcPr>
            <w:tcW w:w="831" w:type="dxa"/>
            <w:shd w:val="clear" w:color="auto" w:fill="FFC000"/>
          </w:tcPr>
          <w:p w14:paraId="51285753" w14:textId="4D689847"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w:t>
            </w:r>
          </w:p>
        </w:tc>
        <w:tc>
          <w:tcPr>
            <w:tcW w:w="1349" w:type="dxa"/>
            <w:shd w:val="clear" w:color="auto" w:fill="4C94D8" w:themeFill="text2" w:themeFillTint="80"/>
          </w:tcPr>
          <w:p w14:paraId="13AAEFC9" w14:textId="55E1E382"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1241" w:type="dxa"/>
            <w:shd w:val="clear" w:color="auto" w:fill="8DD873" w:themeFill="accent6" w:themeFillTint="99"/>
          </w:tcPr>
          <w:p w14:paraId="1FBDA353" w14:textId="53474F5F"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204" w:type="dxa"/>
            <w:shd w:val="clear" w:color="auto" w:fill="4C94D8" w:themeFill="text2" w:themeFillTint="80"/>
          </w:tcPr>
          <w:p w14:paraId="492F6E8F" w14:textId="742BE05A"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1048" w:type="dxa"/>
            <w:shd w:val="clear" w:color="auto" w:fill="8DD873" w:themeFill="accent6" w:themeFillTint="99"/>
          </w:tcPr>
          <w:p w14:paraId="3BB141C3" w14:textId="1E2E681D"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r>
      <w:tr w:rsidR="00BE1C1D" w14:paraId="3E74C827" w14:textId="77777777" w:rsidTr="00BE1C1D">
        <w:tc>
          <w:tcPr>
            <w:cnfStyle w:val="001000000000" w:firstRow="0" w:lastRow="0" w:firstColumn="1" w:lastColumn="0" w:oddVBand="0" w:evenVBand="0" w:oddHBand="0" w:evenHBand="0" w:firstRowFirstColumn="0" w:firstRowLastColumn="0" w:lastRowFirstColumn="0" w:lastRowLastColumn="0"/>
            <w:tcW w:w="2807" w:type="dxa"/>
          </w:tcPr>
          <w:p w14:paraId="6EE61EAE" w14:textId="226E0CA9" w:rsidR="007A3052" w:rsidRDefault="007A3052" w:rsidP="009C6FA9">
            <w:pPr>
              <w:spacing w:line="360" w:lineRule="auto"/>
              <w:rPr>
                <w:rFonts w:ascii="Arial" w:hAnsi="Arial" w:cs="Arial"/>
                <w:sz w:val="22"/>
                <w:szCs w:val="22"/>
              </w:rPr>
            </w:pPr>
            <w:r>
              <w:rPr>
                <w:rFonts w:ascii="Arial" w:hAnsi="Arial" w:cs="Arial"/>
                <w:sz w:val="22"/>
                <w:szCs w:val="22"/>
              </w:rPr>
              <w:t>Marketing and Launch Campaign</w:t>
            </w:r>
          </w:p>
        </w:tc>
        <w:tc>
          <w:tcPr>
            <w:tcW w:w="1108" w:type="dxa"/>
            <w:shd w:val="clear" w:color="auto" w:fill="4C94D8" w:themeFill="text2" w:themeFillTint="80"/>
          </w:tcPr>
          <w:p w14:paraId="0D33DB4C" w14:textId="35755063"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w:t>
            </w:r>
          </w:p>
        </w:tc>
        <w:tc>
          <w:tcPr>
            <w:tcW w:w="831" w:type="dxa"/>
            <w:shd w:val="clear" w:color="auto" w:fill="8DD873" w:themeFill="accent6" w:themeFillTint="99"/>
          </w:tcPr>
          <w:p w14:paraId="19709D3F" w14:textId="7099BDA1"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349" w:type="dxa"/>
            <w:shd w:val="clear" w:color="auto" w:fill="8DD873" w:themeFill="accent6" w:themeFillTint="99"/>
          </w:tcPr>
          <w:p w14:paraId="104D3AED" w14:textId="550CB742"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241" w:type="dxa"/>
            <w:shd w:val="clear" w:color="auto" w:fill="FFC000"/>
          </w:tcPr>
          <w:p w14:paraId="7DDA630C" w14:textId="63DF3CDC"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R</w:t>
            </w:r>
          </w:p>
        </w:tc>
        <w:tc>
          <w:tcPr>
            <w:tcW w:w="1204" w:type="dxa"/>
            <w:shd w:val="clear" w:color="auto" w:fill="8DD873" w:themeFill="accent6" w:themeFillTint="99"/>
          </w:tcPr>
          <w:p w14:paraId="3E16B21B" w14:textId="062EB49E"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I</w:t>
            </w:r>
          </w:p>
        </w:tc>
        <w:tc>
          <w:tcPr>
            <w:tcW w:w="1048" w:type="dxa"/>
            <w:shd w:val="clear" w:color="auto" w:fill="D86DCB" w:themeFill="accent5" w:themeFillTint="99"/>
          </w:tcPr>
          <w:p w14:paraId="07BB7B45" w14:textId="48D3CC11" w:rsidR="007A3052" w:rsidRDefault="00BE1C1D" w:rsidP="009C6FA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w:t>
            </w:r>
          </w:p>
        </w:tc>
      </w:tr>
    </w:tbl>
    <w:p w14:paraId="1FC65023" w14:textId="77777777" w:rsidR="00BE1C1D" w:rsidRDefault="00BE1C1D" w:rsidP="009C6FA9">
      <w:pPr>
        <w:spacing w:line="360" w:lineRule="auto"/>
        <w:rPr>
          <w:rFonts w:ascii="Arial" w:hAnsi="Arial" w:cs="Arial"/>
          <w:i/>
          <w:iCs/>
          <w:sz w:val="22"/>
          <w:szCs w:val="22"/>
        </w:rPr>
      </w:pPr>
    </w:p>
    <w:p w14:paraId="7B83CAE7" w14:textId="60D9D4D1" w:rsidR="00BE1C1D" w:rsidRDefault="00BE1C1D" w:rsidP="009C6FA9">
      <w:pPr>
        <w:spacing w:line="360" w:lineRule="auto"/>
        <w:rPr>
          <w:rFonts w:ascii="Arial" w:hAnsi="Arial" w:cs="Arial"/>
          <w:i/>
          <w:iCs/>
          <w:sz w:val="22"/>
          <w:szCs w:val="22"/>
        </w:rPr>
      </w:pPr>
      <w:r w:rsidRPr="00BE1C1D">
        <w:rPr>
          <w:rFonts w:ascii="Arial" w:hAnsi="Arial" w:cs="Arial"/>
          <w:i/>
          <w:iCs/>
          <w:sz w:val="22"/>
          <w:szCs w:val="22"/>
        </w:rPr>
        <w:lastRenderedPageBreak/>
        <w:t>(R= Responsible, A= Accountable, C= Consulted, I= Informed)</w:t>
      </w:r>
    </w:p>
    <w:p w14:paraId="7C4EF044" w14:textId="77777777" w:rsidR="006817D8" w:rsidRDefault="006817D8" w:rsidP="009C6FA9">
      <w:pPr>
        <w:spacing w:line="360" w:lineRule="auto"/>
        <w:rPr>
          <w:rFonts w:ascii="Arial" w:hAnsi="Arial" w:cs="Arial"/>
          <w:i/>
          <w:iCs/>
          <w:sz w:val="22"/>
          <w:szCs w:val="22"/>
        </w:rPr>
      </w:pPr>
    </w:p>
    <w:p w14:paraId="520C56E0" w14:textId="5FCC36AD" w:rsidR="006817D8" w:rsidRDefault="001B5D92" w:rsidP="009C6FA9">
      <w:pPr>
        <w:spacing w:line="360" w:lineRule="auto"/>
        <w:rPr>
          <w:rFonts w:ascii="Arial" w:hAnsi="Arial" w:cs="Arial"/>
          <w:b/>
          <w:bCs/>
          <w:sz w:val="22"/>
          <w:szCs w:val="22"/>
        </w:rPr>
      </w:pPr>
      <w:r>
        <w:rPr>
          <w:rFonts w:ascii="Arial" w:hAnsi="Arial" w:cs="Arial"/>
          <w:b/>
          <w:bCs/>
          <w:sz w:val="22"/>
          <w:szCs w:val="22"/>
        </w:rPr>
        <w:t>STAKEHOLDER ENGAGEMENT PLAN</w:t>
      </w:r>
    </w:p>
    <w:p w14:paraId="0167C7FF" w14:textId="77777777" w:rsidR="001B5D92" w:rsidRDefault="001B5D92" w:rsidP="009C6FA9">
      <w:pPr>
        <w:spacing w:line="360" w:lineRule="auto"/>
        <w:rPr>
          <w:rFonts w:ascii="Arial" w:hAnsi="Arial" w:cs="Arial"/>
          <w:b/>
          <w:bCs/>
          <w:sz w:val="22"/>
          <w:szCs w:val="22"/>
        </w:rPr>
      </w:pPr>
    </w:p>
    <w:tbl>
      <w:tblPr>
        <w:tblStyle w:val="GridTable6Colorful-Accent3"/>
        <w:tblW w:w="0" w:type="auto"/>
        <w:tblLook w:val="04A0" w:firstRow="1" w:lastRow="0" w:firstColumn="1" w:lastColumn="0" w:noHBand="0" w:noVBand="1"/>
      </w:tblPr>
      <w:tblGrid>
        <w:gridCol w:w="2254"/>
        <w:gridCol w:w="2254"/>
        <w:gridCol w:w="2254"/>
        <w:gridCol w:w="2254"/>
      </w:tblGrid>
      <w:tr w:rsidR="001B5D92" w14:paraId="55E380CB" w14:textId="77777777" w:rsidTr="00694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1FF52CA" w14:textId="056B11F6" w:rsidR="001B5D92" w:rsidRPr="00694C6E" w:rsidRDefault="001B5D92" w:rsidP="009C6FA9">
            <w:pPr>
              <w:spacing w:line="360" w:lineRule="auto"/>
              <w:rPr>
                <w:rFonts w:ascii="Arial" w:hAnsi="Arial" w:cs="Arial"/>
                <w:sz w:val="22"/>
                <w:szCs w:val="22"/>
              </w:rPr>
            </w:pPr>
            <w:r w:rsidRPr="00694C6E">
              <w:rPr>
                <w:rFonts w:ascii="Arial" w:hAnsi="Arial" w:cs="Arial"/>
                <w:sz w:val="22"/>
                <w:szCs w:val="22"/>
              </w:rPr>
              <w:t>Stakeholder Group</w:t>
            </w:r>
          </w:p>
        </w:tc>
        <w:tc>
          <w:tcPr>
            <w:tcW w:w="2254" w:type="dxa"/>
          </w:tcPr>
          <w:p w14:paraId="4B17EEC4" w14:textId="440E8CBF" w:rsidR="001B5D92" w:rsidRPr="00694C6E" w:rsidRDefault="001B5D9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Engagement Method</w:t>
            </w:r>
          </w:p>
        </w:tc>
        <w:tc>
          <w:tcPr>
            <w:tcW w:w="2254" w:type="dxa"/>
          </w:tcPr>
          <w:p w14:paraId="702FB7CE" w14:textId="0677B5D9" w:rsidR="001B5D92" w:rsidRPr="00694C6E" w:rsidRDefault="001B5D9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Frequency</w:t>
            </w:r>
          </w:p>
        </w:tc>
        <w:tc>
          <w:tcPr>
            <w:tcW w:w="2254" w:type="dxa"/>
          </w:tcPr>
          <w:p w14:paraId="71AB5B89" w14:textId="4E1C68AB" w:rsidR="001B5D92" w:rsidRPr="00694C6E" w:rsidRDefault="001B5D92"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Purpose</w:t>
            </w:r>
          </w:p>
        </w:tc>
      </w:tr>
      <w:tr w:rsidR="001B5D92" w14:paraId="2A8F1097" w14:textId="77777777" w:rsidTr="00694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3D0C67D" w14:textId="7548B1A8" w:rsidR="001B5D92" w:rsidRPr="00694C6E" w:rsidRDefault="001B5D92" w:rsidP="009C6FA9">
            <w:pPr>
              <w:spacing w:line="360" w:lineRule="auto"/>
              <w:rPr>
                <w:rFonts w:ascii="Arial" w:hAnsi="Arial" w:cs="Arial"/>
                <w:sz w:val="22"/>
                <w:szCs w:val="22"/>
              </w:rPr>
            </w:pPr>
            <w:r w:rsidRPr="00694C6E">
              <w:rPr>
                <w:rFonts w:ascii="Arial" w:hAnsi="Arial" w:cs="Arial"/>
                <w:sz w:val="22"/>
                <w:szCs w:val="22"/>
              </w:rPr>
              <w:t>Senior Leadership</w:t>
            </w:r>
          </w:p>
        </w:tc>
        <w:tc>
          <w:tcPr>
            <w:tcW w:w="2254" w:type="dxa"/>
          </w:tcPr>
          <w:p w14:paraId="4B5B5B9D" w14:textId="3EF59825" w:rsidR="001B5D92" w:rsidRPr="00694C6E" w:rsidRDefault="001B5D9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Strategic review meetings</w:t>
            </w:r>
          </w:p>
        </w:tc>
        <w:tc>
          <w:tcPr>
            <w:tcW w:w="2254" w:type="dxa"/>
          </w:tcPr>
          <w:p w14:paraId="0AD66457" w14:textId="5F7015F6" w:rsidR="001B5D92" w:rsidRPr="00694C6E" w:rsidRDefault="001B5D92"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Mont</w:t>
            </w:r>
            <w:r w:rsidR="00694C6E" w:rsidRPr="00694C6E">
              <w:rPr>
                <w:rFonts w:ascii="Arial" w:hAnsi="Arial" w:cs="Arial"/>
                <w:sz w:val="22"/>
                <w:szCs w:val="22"/>
              </w:rPr>
              <w:t>hly</w:t>
            </w:r>
          </w:p>
        </w:tc>
        <w:tc>
          <w:tcPr>
            <w:tcW w:w="2254" w:type="dxa"/>
          </w:tcPr>
          <w:p w14:paraId="5DD409F6" w14:textId="236B683B"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Approval and alignment</w:t>
            </w:r>
          </w:p>
        </w:tc>
      </w:tr>
      <w:tr w:rsidR="001B5D92" w14:paraId="129F74A0" w14:textId="77777777" w:rsidTr="00694C6E">
        <w:tc>
          <w:tcPr>
            <w:cnfStyle w:val="001000000000" w:firstRow="0" w:lastRow="0" w:firstColumn="1" w:lastColumn="0" w:oddVBand="0" w:evenVBand="0" w:oddHBand="0" w:evenHBand="0" w:firstRowFirstColumn="0" w:firstRowLastColumn="0" w:lastRowFirstColumn="0" w:lastRowLastColumn="0"/>
            <w:tcW w:w="2254" w:type="dxa"/>
          </w:tcPr>
          <w:p w14:paraId="4D7C2BC0" w14:textId="75DE8ED5" w:rsidR="001B5D92" w:rsidRPr="00694C6E" w:rsidRDefault="00694C6E" w:rsidP="009C6FA9">
            <w:pPr>
              <w:spacing w:line="360" w:lineRule="auto"/>
              <w:rPr>
                <w:rFonts w:ascii="Arial" w:hAnsi="Arial" w:cs="Arial"/>
                <w:sz w:val="22"/>
                <w:szCs w:val="22"/>
              </w:rPr>
            </w:pPr>
            <w:r w:rsidRPr="00694C6E">
              <w:rPr>
                <w:rFonts w:ascii="Arial" w:hAnsi="Arial" w:cs="Arial"/>
                <w:sz w:val="22"/>
                <w:szCs w:val="22"/>
              </w:rPr>
              <w:t>Regulators (MHRA)</w:t>
            </w:r>
          </w:p>
        </w:tc>
        <w:tc>
          <w:tcPr>
            <w:tcW w:w="2254" w:type="dxa"/>
          </w:tcPr>
          <w:p w14:paraId="2FA735C0" w14:textId="5D92689D" w:rsidR="001B5D92"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Compliance</w:t>
            </w:r>
            <w:r>
              <w:rPr>
                <w:rFonts w:ascii="Arial" w:hAnsi="Arial" w:cs="Arial"/>
                <w:sz w:val="22"/>
                <w:szCs w:val="22"/>
              </w:rPr>
              <w:t xml:space="preserve"> reporting</w:t>
            </w:r>
          </w:p>
        </w:tc>
        <w:tc>
          <w:tcPr>
            <w:tcW w:w="2254" w:type="dxa"/>
          </w:tcPr>
          <w:p w14:paraId="3CC5C7CA" w14:textId="3707DC82" w:rsidR="001B5D92"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As required</w:t>
            </w:r>
          </w:p>
        </w:tc>
        <w:tc>
          <w:tcPr>
            <w:tcW w:w="2254" w:type="dxa"/>
          </w:tcPr>
          <w:p w14:paraId="0A8E5D56" w14:textId="37E5BDC7" w:rsidR="001B5D92"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Legal approval</w:t>
            </w:r>
          </w:p>
        </w:tc>
      </w:tr>
      <w:tr w:rsidR="001B5D92" w14:paraId="53B59D3F" w14:textId="77777777" w:rsidTr="00694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A49E370" w14:textId="4760139F" w:rsidR="001B5D92" w:rsidRPr="00694C6E" w:rsidRDefault="00694C6E" w:rsidP="009C6FA9">
            <w:pPr>
              <w:spacing w:line="360" w:lineRule="auto"/>
              <w:rPr>
                <w:rFonts w:ascii="Arial" w:hAnsi="Arial" w:cs="Arial"/>
                <w:sz w:val="22"/>
                <w:szCs w:val="22"/>
              </w:rPr>
            </w:pPr>
            <w:r>
              <w:rPr>
                <w:rFonts w:ascii="Arial" w:hAnsi="Arial" w:cs="Arial"/>
                <w:sz w:val="22"/>
                <w:szCs w:val="22"/>
              </w:rPr>
              <w:t>R&amp;D and Technical Teams</w:t>
            </w:r>
          </w:p>
        </w:tc>
        <w:tc>
          <w:tcPr>
            <w:tcW w:w="2254" w:type="dxa"/>
          </w:tcPr>
          <w:p w14:paraId="4FA6F3D6" w14:textId="6089F1B9"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Progress workshops</w:t>
            </w:r>
          </w:p>
        </w:tc>
        <w:tc>
          <w:tcPr>
            <w:tcW w:w="2254" w:type="dxa"/>
          </w:tcPr>
          <w:p w14:paraId="52E542C4" w14:textId="25A863B1"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Weekly</w:t>
            </w:r>
          </w:p>
        </w:tc>
        <w:tc>
          <w:tcPr>
            <w:tcW w:w="2254" w:type="dxa"/>
          </w:tcPr>
          <w:p w14:paraId="403F33DE" w14:textId="4D7DB205"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Problem solving and coordination</w:t>
            </w:r>
          </w:p>
        </w:tc>
      </w:tr>
      <w:tr w:rsidR="001B5D92" w14:paraId="4C599FE9" w14:textId="77777777" w:rsidTr="00694C6E">
        <w:tc>
          <w:tcPr>
            <w:cnfStyle w:val="001000000000" w:firstRow="0" w:lastRow="0" w:firstColumn="1" w:lastColumn="0" w:oddVBand="0" w:evenVBand="0" w:oddHBand="0" w:evenHBand="0" w:firstRowFirstColumn="0" w:firstRowLastColumn="0" w:lastRowFirstColumn="0" w:lastRowLastColumn="0"/>
            <w:tcW w:w="2254" w:type="dxa"/>
          </w:tcPr>
          <w:p w14:paraId="795E4C4E" w14:textId="14CB2A22" w:rsidR="001B5D92" w:rsidRPr="00694C6E" w:rsidRDefault="00694C6E" w:rsidP="009C6FA9">
            <w:pPr>
              <w:spacing w:line="360" w:lineRule="auto"/>
              <w:rPr>
                <w:rFonts w:ascii="Arial" w:hAnsi="Arial" w:cs="Arial"/>
                <w:sz w:val="22"/>
                <w:szCs w:val="22"/>
              </w:rPr>
            </w:pPr>
            <w:r w:rsidRPr="00694C6E">
              <w:rPr>
                <w:rFonts w:ascii="Arial" w:hAnsi="Arial" w:cs="Arial"/>
                <w:sz w:val="22"/>
                <w:szCs w:val="22"/>
              </w:rPr>
              <w:t>NHS/Healthcare Professionals</w:t>
            </w:r>
          </w:p>
        </w:tc>
        <w:tc>
          <w:tcPr>
            <w:tcW w:w="2254" w:type="dxa"/>
          </w:tcPr>
          <w:p w14:paraId="31A2450C" w14:textId="37310927" w:rsidR="001B5D92"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Pilot testing and feedback</w:t>
            </w:r>
          </w:p>
        </w:tc>
        <w:tc>
          <w:tcPr>
            <w:tcW w:w="2254" w:type="dxa"/>
          </w:tcPr>
          <w:p w14:paraId="393FA8D0" w14:textId="4BBA2DAB" w:rsidR="001B5D92"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Bi-monthly</w:t>
            </w:r>
          </w:p>
        </w:tc>
        <w:tc>
          <w:tcPr>
            <w:tcW w:w="2254" w:type="dxa"/>
          </w:tcPr>
          <w:p w14:paraId="5A3C0A07" w14:textId="6C260B35" w:rsidR="001B5D92"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Clinical validation</w:t>
            </w:r>
          </w:p>
        </w:tc>
      </w:tr>
      <w:tr w:rsidR="001B5D92" w14:paraId="2E71405B" w14:textId="77777777" w:rsidTr="00694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55880AB" w14:textId="4C77D230" w:rsidR="001B5D92" w:rsidRPr="00694C6E" w:rsidRDefault="00694C6E" w:rsidP="009C6FA9">
            <w:pPr>
              <w:spacing w:line="360" w:lineRule="auto"/>
              <w:rPr>
                <w:rFonts w:ascii="Arial" w:hAnsi="Arial" w:cs="Arial"/>
                <w:sz w:val="22"/>
                <w:szCs w:val="22"/>
              </w:rPr>
            </w:pPr>
            <w:r w:rsidRPr="00694C6E">
              <w:rPr>
                <w:rFonts w:ascii="Arial" w:hAnsi="Arial" w:cs="Arial"/>
                <w:sz w:val="22"/>
                <w:szCs w:val="22"/>
              </w:rPr>
              <w:t>Consumers</w:t>
            </w:r>
          </w:p>
        </w:tc>
        <w:tc>
          <w:tcPr>
            <w:tcW w:w="2254" w:type="dxa"/>
          </w:tcPr>
          <w:p w14:paraId="4F4CDD7D" w14:textId="307EF4A5"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Surveys and usability testing</w:t>
            </w:r>
          </w:p>
        </w:tc>
        <w:tc>
          <w:tcPr>
            <w:tcW w:w="2254" w:type="dxa"/>
          </w:tcPr>
          <w:p w14:paraId="52D9D52F" w14:textId="60DDCF8D"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Project mid-phase and pre-launch</w:t>
            </w:r>
          </w:p>
        </w:tc>
        <w:tc>
          <w:tcPr>
            <w:tcW w:w="2254" w:type="dxa"/>
          </w:tcPr>
          <w:p w14:paraId="09D43E93" w14:textId="649951D2" w:rsidR="001B5D92"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User experience insight</w:t>
            </w:r>
          </w:p>
        </w:tc>
      </w:tr>
    </w:tbl>
    <w:p w14:paraId="3EEE7179" w14:textId="77777777" w:rsidR="001B5D92" w:rsidRPr="001B5D92" w:rsidRDefault="001B5D92" w:rsidP="009C6FA9">
      <w:pPr>
        <w:spacing w:line="360" w:lineRule="auto"/>
        <w:rPr>
          <w:rFonts w:ascii="Arial" w:hAnsi="Arial" w:cs="Arial"/>
          <w:b/>
          <w:bCs/>
          <w:sz w:val="22"/>
          <w:szCs w:val="22"/>
        </w:rPr>
      </w:pPr>
    </w:p>
    <w:p w14:paraId="1672E339" w14:textId="77777777" w:rsidR="00174238" w:rsidRDefault="00174238" w:rsidP="009C6FA9">
      <w:pPr>
        <w:spacing w:line="360" w:lineRule="auto"/>
        <w:rPr>
          <w:rFonts w:ascii="Arial" w:hAnsi="Arial" w:cs="Arial"/>
          <w:sz w:val="22"/>
          <w:szCs w:val="22"/>
        </w:rPr>
      </w:pPr>
    </w:p>
    <w:p w14:paraId="14389193" w14:textId="65841051" w:rsidR="00694C6E" w:rsidRDefault="00694C6E" w:rsidP="009C6FA9">
      <w:pPr>
        <w:spacing w:line="360" w:lineRule="auto"/>
        <w:rPr>
          <w:rFonts w:ascii="Arial" w:hAnsi="Arial" w:cs="Arial"/>
          <w:b/>
          <w:bCs/>
          <w:sz w:val="32"/>
          <w:szCs w:val="32"/>
        </w:rPr>
      </w:pPr>
      <w:r w:rsidRPr="00694C6E">
        <w:rPr>
          <w:rFonts w:ascii="Arial" w:hAnsi="Arial" w:cs="Arial"/>
          <w:b/>
          <w:bCs/>
          <w:sz w:val="32"/>
          <w:szCs w:val="32"/>
        </w:rPr>
        <w:t>Communication Plan</w:t>
      </w:r>
    </w:p>
    <w:p w14:paraId="773DB893" w14:textId="77777777" w:rsidR="00694C6E" w:rsidRPr="00694C6E" w:rsidRDefault="00694C6E" w:rsidP="009C6FA9">
      <w:pPr>
        <w:spacing w:line="360" w:lineRule="auto"/>
        <w:rPr>
          <w:rFonts w:ascii="Arial" w:hAnsi="Arial" w:cs="Arial"/>
          <w:sz w:val="32"/>
          <w:szCs w:val="32"/>
        </w:rPr>
      </w:pPr>
    </w:p>
    <w:tbl>
      <w:tblPr>
        <w:tblStyle w:val="GridTable6Colorful"/>
        <w:tblW w:w="0" w:type="auto"/>
        <w:tblLook w:val="04A0" w:firstRow="1" w:lastRow="0" w:firstColumn="1" w:lastColumn="0" w:noHBand="0" w:noVBand="1"/>
      </w:tblPr>
      <w:tblGrid>
        <w:gridCol w:w="2254"/>
        <w:gridCol w:w="2254"/>
        <w:gridCol w:w="2254"/>
        <w:gridCol w:w="2254"/>
      </w:tblGrid>
      <w:tr w:rsidR="00694C6E" w14:paraId="522D5727" w14:textId="77777777" w:rsidTr="00684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37D5078" w14:textId="5C141DEC" w:rsidR="00694C6E" w:rsidRPr="00694C6E" w:rsidRDefault="00694C6E" w:rsidP="009C6FA9">
            <w:pPr>
              <w:spacing w:line="360" w:lineRule="auto"/>
              <w:rPr>
                <w:rFonts w:ascii="Arial" w:hAnsi="Arial" w:cs="Arial"/>
                <w:sz w:val="22"/>
                <w:szCs w:val="22"/>
              </w:rPr>
            </w:pPr>
            <w:r w:rsidRPr="00694C6E">
              <w:rPr>
                <w:rFonts w:ascii="Arial" w:hAnsi="Arial" w:cs="Arial"/>
                <w:sz w:val="22"/>
                <w:szCs w:val="22"/>
              </w:rPr>
              <w:t>Audience</w:t>
            </w:r>
          </w:p>
        </w:tc>
        <w:tc>
          <w:tcPr>
            <w:tcW w:w="2254" w:type="dxa"/>
          </w:tcPr>
          <w:p w14:paraId="4984BF25" w14:textId="1B099995" w:rsidR="00694C6E" w:rsidRPr="00694C6E" w:rsidRDefault="00694C6E"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Format</w:t>
            </w:r>
          </w:p>
        </w:tc>
        <w:tc>
          <w:tcPr>
            <w:tcW w:w="2254" w:type="dxa"/>
          </w:tcPr>
          <w:p w14:paraId="04A5C716" w14:textId="2DFEFE5E" w:rsidR="00694C6E" w:rsidRPr="00694C6E" w:rsidRDefault="00694C6E"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Channel</w:t>
            </w:r>
          </w:p>
        </w:tc>
        <w:tc>
          <w:tcPr>
            <w:tcW w:w="2254" w:type="dxa"/>
          </w:tcPr>
          <w:p w14:paraId="66D345E5" w14:textId="79BE09A1" w:rsidR="00694C6E" w:rsidRPr="00694C6E" w:rsidRDefault="00694C6E" w:rsidP="009C6FA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Responsibility</w:t>
            </w:r>
          </w:p>
        </w:tc>
      </w:tr>
      <w:tr w:rsidR="00694C6E" w14:paraId="5F5D048A" w14:textId="77777777" w:rsidTr="00684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7561C3" w14:textId="7270BDC9" w:rsidR="00694C6E" w:rsidRPr="00694C6E" w:rsidRDefault="00694C6E" w:rsidP="009C6FA9">
            <w:pPr>
              <w:spacing w:line="360" w:lineRule="auto"/>
              <w:rPr>
                <w:rFonts w:ascii="Arial" w:hAnsi="Arial" w:cs="Arial"/>
                <w:sz w:val="22"/>
                <w:szCs w:val="22"/>
              </w:rPr>
            </w:pPr>
            <w:r w:rsidRPr="00694C6E">
              <w:rPr>
                <w:rFonts w:ascii="Arial" w:hAnsi="Arial" w:cs="Arial"/>
                <w:sz w:val="22"/>
                <w:szCs w:val="22"/>
              </w:rPr>
              <w:t>Internal Teams</w:t>
            </w:r>
          </w:p>
        </w:tc>
        <w:tc>
          <w:tcPr>
            <w:tcW w:w="2254" w:type="dxa"/>
          </w:tcPr>
          <w:p w14:paraId="22345394" w14:textId="5C3B03AA" w:rsidR="00694C6E"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Updates and dashboards</w:t>
            </w:r>
          </w:p>
        </w:tc>
        <w:tc>
          <w:tcPr>
            <w:tcW w:w="2254" w:type="dxa"/>
          </w:tcPr>
          <w:p w14:paraId="4C771128" w14:textId="31633B8B" w:rsidR="00694C6E"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Email, intranet</w:t>
            </w:r>
          </w:p>
        </w:tc>
        <w:tc>
          <w:tcPr>
            <w:tcW w:w="2254" w:type="dxa"/>
          </w:tcPr>
          <w:p w14:paraId="0EDA14CF" w14:textId="18AE5872" w:rsidR="00694C6E"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Project Manager</w:t>
            </w:r>
          </w:p>
        </w:tc>
      </w:tr>
      <w:tr w:rsidR="00694C6E" w14:paraId="4C8B3E36" w14:textId="77777777" w:rsidTr="00684512">
        <w:tc>
          <w:tcPr>
            <w:cnfStyle w:val="001000000000" w:firstRow="0" w:lastRow="0" w:firstColumn="1" w:lastColumn="0" w:oddVBand="0" w:evenVBand="0" w:oddHBand="0" w:evenHBand="0" w:firstRowFirstColumn="0" w:firstRowLastColumn="0" w:lastRowFirstColumn="0" w:lastRowLastColumn="0"/>
            <w:tcW w:w="2254" w:type="dxa"/>
          </w:tcPr>
          <w:p w14:paraId="0E841CF2" w14:textId="1BE671CF" w:rsidR="00694C6E" w:rsidRPr="00694C6E" w:rsidRDefault="00694C6E" w:rsidP="009C6FA9">
            <w:pPr>
              <w:spacing w:line="360" w:lineRule="auto"/>
              <w:rPr>
                <w:rFonts w:ascii="Arial" w:hAnsi="Arial" w:cs="Arial"/>
                <w:sz w:val="22"/>
                <w:szCs w:val="22"/>
              </w:rPr>
            </w:pPr>
            <w:r w:rsidRPr="00694C6E">
              <w:rPr>
                <w:rFonts w:ascii="Arial" w:hAnsi="Arial" w:cs="Arial"/>
                <w:sz w:val="22"/>
                <w:szCs w:val="22"/>
              </w:rPr>
              <w:t>Senior Leadership</w:t>
            </w:r>
          </w:p>
        </w:tc>
        <w:tc>
          <w:tcPr>
            <w:tcW w:w="2254" w:type="dxa"/>
          </w:tcPr>
          <w:p w14:paraId="7D571839" w14:textId="6B90E552" w:rsidR="00694C6E"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Presentations and reports</w:t>
            </w:r>
          </w:p>
        </w:tc>
        <w:tc>
          <w:tcPr>
            <w:tcW w:w="2254" w:type="dxa"/>
          </w:tcPr>
          <w:p w14:paraId="11493846" w14:textId="0ADA345D" w:rsidR="00694C6E"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Meetings</w:t>
            </w:r>
          </w:p>
        </w:tc>
        <w:tc>
          <w:tcPr>
            <w:tcW w:w="2254" w:type="dxa"/>
          </w:tcPr>
          <w:p w14:paraId="410088C1" w14:textId="769897E7" w:rsidR="00694C6E"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PM + Marketing</w:t>
            </w:r>
          </w:p>
        </w:tc>
      </w:tr>
      <w:tr w:rsidR="00694C6E" w14:paraId="7E7B6697" w14:textId="77777777" w:rsidTr="00684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DE7F40" w14:textId="43DA9948" w:rsidR="00694C6E" w:rsidRPr="00694C6E" w:rsidRDefault="00694C6E" w:rsidP="009C6FA9">
            <w:pPr>
              <w:spacing w:line="360" w:lineRule="auto"/>
              <w:rPr>
                <w:rFonts w:ascii="Arial" w:hAnsi="Arial" w:cs="Arial"/>
                <w:sz w:val="22"/>
                <w:szCs w:val="22"/>
              </w:rPr>
            </w:pPr>
            <w:r w:rsidRPr="00694C6E">
              <w:rPr>
                <w:rFonts w:ascii="Arial" w:hAnsi="Arial" w:cs="Arial"/>
                <w:sz w:val="22"/>
                <w:szCs w:val="22"/>
              </w:rPr>
              <w:t>Regulators</w:t>
            </w:r>
          </w:p>
        </w:tc>
        <w:tc>
          <w:tcPr>
            <w:tcW w:w="2254" w:type="dxa"/>
          </w:tcPr>
          <w:p w14:paraId="36C487BA" w14:textId="2773CD3A" w:rsidR="00694C6E"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Documentation</w:t>
            </w:r>
          </w:p>
        </w:tc>
        <w:tc>
          <w:tcPr>
            <w:tcW w:w="2254" w:type="dxa"/>
          </w:tcPr>
          <w:p w14:paraId="2C97BD5E" w14:textId="7C23F45E" w:rsidR="00694C6E"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Secure submission portals</w:t>
            </w:r>
          </w:p>
        </w:tc>
        <w:tc>
          <w:tcPr>
            <w:tcW w:w="2254" w:type="dxa"/>
          </w:tcPr>
          <w:p w14:paraId="54488DF9" w14:textId="74D7D9EB" w:rsidR="00694C6E" w:rsidRPr="00694C6E" w:rsidRDefault="00694C6E" w:rsidP="009C6F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94C6E">
              <w:rPr>
                <w:rFonts w:ascii="Arial" w:hAnsi="Arial" w:cs="Arial"/>
                <w:sz w:val="22"/>
                <w:szCs w:val="22"/>
              </w:rPr>
              <w:t>Compliance team</w:t>
            </w:r>
          </w:p>
        </w:tc>
      </w:tr>
      <w:tr w:rsidR="00694C6E" w14:paraId="5456D2A7" w14:textId="77777777" w:rsidTr="00684512">
        <w:trPr>
          <w:trHeight w:val="70"/>
        </w:trPr>
        <w:tc>
          <w:tcPr>
            <w:cnfStyle w:val="001000000000" w:firstRow="0" w:lastRow="0" w:firstColumn="1" w:lastColumn="0" w:oddVBand="0" w:evenVBand="0" w:oddHBand="0" w:evenHBand="0" w:firstRowFirstColumn="0" w:firstRowLastColumn="0" w:lastRowFirstColumn="0" w:lastRowLastColumn="0"/>
            <w:tcW w:w="2254" w:type="dxa"/>
          </w:tcPr>
          <w:p w14:paraId="5F1BA697" w14:textId="355E3C35" w:rsidR="00694C6E" w:rsidRPr="00694C6E" w:rsidRDefault="00694C6E" w:rsidP="009C6FA9">
            <w:pPr>
              <w:spacing w:line="360" w:lineRule="auto"/>
              <w:rPr>
                <w:rFonts w:ascii="Arial" w:hAnsi="Arial" w:cs="Arial"/>
                <w:sz w:val="22"/>
                <w:szCs w:val="22"/>
              </w:rPr>
            </w:pPr>
            <w:r w:rsidRPr="00694C6E">
              <w:rPr>
                <w:rFonts w:ascii="Arial" w:hAnsi="Arial" w:cs="Arial"/>
                <w:sz w:val="22"/>
                <w:szCs w:val="22"/>
              </w:rPr>
              <w:t>Customers</w:t>
            </w:r>
          </w:p>
        </w:tc>
        <w:tc>
          <w:tcPr>
            <w:tcW w:w="2254" w:type="dxa"/>
          </w:tcPr>
          <w:p w14:paraId="42D2D2E3" w14:textId="29B82DC4" w:rsidR="00694C6E"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Marketing campaigns</w:t>
            </w:r>
          </w:p>
        </w:tc>
        <w:tc>
          <w:tcPr>
            <w:tcW w:w="2254" w:type="dxa"/>
          </w:tcPr>
          <w:p w14:paraId="2CF114C0" w14:textId="327A3910" w:rsidR="00694C6E"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Social media, website, product demos</w:t>
            </w:r>
          </w:p>
        </w:tc>
        <w:tc>
          <w:tcPr>
            <w:tcW w:w="2254" w:type="dxa"/>
          </w:tcPr>
          <w:p w14:paraId="37B5CBC3" w14:textId="25160DEE" w:rsidR="00694C6E" w:rsidRPr="00694C6E" w:rsidRDefault="00694C6E" w:rsidP="009C6FA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94C6E">
              <w:rPr>
                <w:rFonts w:ascii="Arial" w:hAnsi="Arial" w:cs="Arial"/>
                <w:sz w:val="22"/>
                <w:szCs w:val="22"/>
              </w:rPr>
              <w:t>Marketing</w:t>
            </w:r>
          </w:p>
        </w:tc>
      </w:tr>
    </w:tbl>
    <w:p w14:paraId="60EF5869" w14:textId="77777777" w:rsidR="00174238" w:rsidRDefault="00174238" w:rsidP="009C6FA9">
      <w:pPr>
        <w:spacing w:line="360" w:lineRule="auto"/>
        <w:rPr>
          <w:rFonts w:ascii="Arial" w:hAnsi="Arial" w:cs="Arial"/>
          <w:b/>
          <w:bCs/>
          <w:sz w:val="28"/>
          <w:szCs w:val="28"/>
        </w:rPr>
      </w:pPr>
    </w:p>
    <w:p w14:paraId="0D0374C1" w14:textId="49190C08" w:rsidR="0093030C" w:rsidRDefault="004D5503" w:rsidP="009C6FA9">
      <w:pPr>
        <w:spacing w:line="360" w:lineRule="auto"/>
        <w:rPr>
          <w:rFonts w:ascii="Arial" w:hAnsi="Arial" w:cs="Arial"/>
          <w:b/>
          <w:bCs/>
          <w:sz w:val="28"/>
          <w:szCs w:val="28"/>
        </w:rPr>
      </w:pPr>
      <w:r w:rsidRPr="004D5503">
        <w:rPr>
          <w:rFonts w:ascii="Arial" w:hAnsi="Arial" w:cs="Arial"/>
          <w:b/>
          <w:bCs/>
          <w:sz w:val="28"/>
          <w:szCs w:val="28"/>
        </w:rPr>
        <w:lastRenderedPageBreak/>
        <w:t>CRITICAL EXPLANATION OF STAKEHOLDER ENGAGEMENT AND CONFLICT MANAGEMENT</w:t>
      </w:r>
    </w:p>
    <w:p w14:paraId="3A3ADBF7" w14:textId="77777777" w:rsidR="004D5503" w:rsidRDefault="004D5503" w:rsidP="009C6FA9">
      <w:pPr>
        <w:spacing w:line="360" w:lineRule="auto"/>
        <w:rPr>
          <w:rFonts w:ascii="Arial" w:hAnsi="Arial" w:cs="Arial"/>
          <w:b/>
          <w:bCs/>
          <w:sz w:val="28"/>
          <w:szCs w:val="28"/>
        </w:rPr>
      </w:pPr>
    </w:p>
    <w:p w14:paraId="003C6775"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As project manager, effective stakeholder engagement is central to ensuring the successful development and launch of the wearable health device. Stakeholder engagement is not a singular activity but a dynamic and iterative process that evolves alongside the project lifecycle. Engaging stakeholders requires establishing constructive relationships, managing differing expectations and ensuring alignment between organisational objectives and stakeholder interests. To undertake this process effectively, the 4C’s model—communication, coordination, cooperation and collaboration—provides a structured framework to guide engagement and minimise conflict. This model enables strategic interaction, enhances transparency and supports shared ownership throughout the project.</w:t>
      </w:r>
    </w:p>
    <w:p w14:paraId="28599F0A" w14:textId="77777777" w:rsidR="00AC2B3D" w:rsidRPr="00AC2B3D" w:rsidRDefault="00AC2B3D" w:rsidP="009C6FA9">
      <w:pPr>
        <w:spacing w:line="360" w:lineRule="auto"/>
        <w:rPr>
          <w:rFonts w:ascii="Arial" w:hAnsi="Arial" w:cs="Arial"/>
          <w:sz w:val="22"/>
          <w:szCs w:val="22"/>
        </w:rPr>
      </w:pPr>
    </w:p>
    <w:p w14:paraId="11370A92" w14:textId="77777777" w:rsidR="00AC2B3D" w:rsidRPr="00AC2B3D" w:rsidRDefault="00AC2B3D" w:rsidP="009C6FA9">
      <w:pPr>
        <w:spacing w:line="360" w:lineRule="auto"/>
        <w:rPr>
          <w:rFonts w:ascii="Arial" w:hAnsi="Arial" w:cs="Arial"/>
          <w:b/>
          <w:bCs/>
          <w:sz w:val="22"/>
          <w:szCs w:val="22"/>
        </w:rPr>
      </w:pPr>
      <w:r w:rsidRPr="00AC2B3D">
        <w:rPr>
          <w:rFonts w:ascii="Arial" w:hAnsi="Arial" w:cs="Arial"/>
          <w:b/>
          <w:bCs/>
          <w:sz w:val="22"/>
          <w:szCs w:val="22"/>
        </w:rPr>
        <w:t>Communication</w:t>
      </w:r>
    </w:p>
    <w:p w14:paraId="079D2CEE" w14:textId="77777777" w:rsidR="00AC2B3D" w:rsidRPr="00AC2B3D" w:rsidRDefault="00AC2B3D" w:rsidP="009C6FA9">
      <w:pPr>
        <w:spacing w:line="360" w:lineRule="auto"/>
        <w:rPr>
          <w:rFonts w:ascii="Arial" w:hAnsi="Arial" w:cs="Arial"/>
          <w:sz w:val="22"/>
          <w:szCs w:val="22"/>
        </w:rPr>
      </w:pPr>
    </w:p>
    <w:p w14:paraId="33D1482E"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Clear, consistent and purposeful communication is fundamental in stakeholder engagement. Communication ensures stakeholders understand project goals, timelines, expectations and their role within the process. As project manager, I would adopt a tailored communication strategy informed by the stakeholder mapping process. High-power, high-interest stakeholders, such as senior leaders and regulators, require detailed and formal reporting through scheduled meetings and documented updates. Conversely, lower-power stakeholders may require less frequent communication, relying instead on periodic updates or information-sharing platforms.</w:t>
      </w:r>
    </w:p>
    <w:p w14:paraId="7ECADC82" w14:textId="77777777" w:rsidR="00AC2B3D" w:rsidRPr="00AC2B3D" w:rsidRDefault="00AC2B3D" w:rsidP="009C6FA9">
      <w:pPr>
        <w:spacing w:line="360" w:lineRule="auto"/>
        <w:rPr>
          <w:rFonts w:ascii="Arial" w:hAnsi="Arial" w:cs="Arial"/>
          <w:sz w:val="22"/>
          <w:szCs w:val="22"/>
        </w:rPr>
      </w:pPr>
    </w:p>
    <w:p w14:paraId="477A5239"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Digital communication tools such as intranet systems, shared project dashboards and collaboration software (e.g., Teams, Slack, Trello) would be used to facilitate timely updates and ensure transparency. Structured communication also serves as a method of early issue identification. If misunderstandings arise—such as conflicting priorities between regulatory teams prioritising compliance and marketing teams focusing on user appeal—early communication allows clarification before issues escalate into conflict. Active listening, feedback mechanisms and open information exchange further reduce ambiguity and build trust among diverse stakeholder groups.</w:t>
      </w:r>
    </w:p>
    <w:p w14:paraId="3AB13D3C" w14:textId="77777777" w:rsidR="00AC2B3D" w:rsidRPr="00AC2B3D" w:rsidRDefault="00AC2B3D" w:rsidP="009C6FA9">
      <w:pPr>
        <w:spacing w:line="360" w:lineRule="auto"/>
        <w:rPr>
          <w:rFonts w:ascii="Arial" w:hAnsi="Arial" w:cs="Arial"/>
          <w:sz w:val="22"/>
          <w:szCs w:val="22"/>
        </w:rPr>
      </w:pPr>
    </w:p>
    <w:p w14:paraId="3C86E92F" w14:textId="77777777" w:rsidR="00AC2B3D" w:rsidRPr="00AC2B3D" w:rsidRDefault="00AC2B3D" w:rsidP="009C6FA9">
      <w:pPr>
        <w:spacing w:line="360" w:lineRule="auto"/>
        <w:rPr>
          <w:rFonts w:ascii="Arial" w:hAnsi="Arial" w:cs="Arial"/>
          <w:b/>
          <w:bCs/>
          <w:sz w:val="22"/>
          <w:szCs w:val="22"/>
        </w:rPr>
      </w:pPr>
      <w:r w:rsidRPr="00AC2B3D">
        <w:rPr>
          <w:rFonts w:ascii="Arial" w:hAnsi="Arial" w:cs="Arial"/>
          <w:b/>
          <w:bCs/>
          <w:sz w:val="22"/>
          <w:szCs w:val="22"/>
        </w:rPr>
        <w:t>Coordination</w:t>
      </w:r>
    </w:p>
    <w:p w14:paraId="1EAC875E" w14:textId="77777777" w:rsidR="00AC2B3D" w:rsidRPr="00AC2B3D" w:rsidRDefault="00AC2B3D" w:rsidP="009C6FA9">
      <w:pPr>
        <w:spacing w:line="360" w:lineRule="auto"/>
        <w:rPr>
          <w:rFonts w:ascii="Arial" w:hAnsi="Arial" w:cs="Arial"/>
          <w:sz w:val="22"/>
          <w:szCs w:val="22"/>
        </w:rPr>
      </w:pPr>
    </w:p>
    <w:p w14:paraId="5BD1EC13"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Coordination involves aligning resources, responsibilities and timelines to ensure project activities progress smoothly. As project manager, coordinating stakeholders requires ensuring tasks are sequenced logically, deadlines are realistic and roles are clear. The RACI matrix plays a key role in this process by preventing duplication, confusion or inactivity. For example, clearly identifying which team is accountable for user testing, who must be consulted and who must simply be informed supports clarity.</w:t>
      </w:r>
    </w:p>
    <w:p w14:paraId="1F5A8752" w14:textId="77777777" w:rsidR="00AC2B3D" w:rsidRPr="00AC2B3D" w:rsidRDefault="00AC2B3D" w:rsidP="009C6FA9">
      <w:pPr>
        <w:spacing w:line="360" w:lineRule="auto"/>
        <w:rPr>
          <w:rFonts w:ascii="Arial" w:hAnsi="Arial" w:cs="Arial"/>
          <w:sz w:val="22"/>
          <w:szCs w:val="22"/>
        </w:rPr>
      </w:pPr>
    </w:p>
    <w:p w14:paraId="6F061646"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Coordination also involves managing regulatory timelines, supply chain availability and product testing requirements. Healthcare technology development is highly regulated, and coordinating with the Medicines and Healthcare products Regulatory Agency (MHRA) requires careful attention to compliance milestones. Failure to coordinate these processes may delay approval and compromise launch readiness.</w:t>
      </w:r>
    </w:p>
    <w:p w14:paraId="57917231" w14:textId="77777777" w:rsidR="00AC2B3D" w:rsidRPr="00AC2B3D" w:rsidRDefault="00AC2B3D" w:rsidP="009C6FA9">
      <w:pPr>
        <w:spacing w:line="360" w:lineRule="auto"/>
        <w:rPr>
          <w:rFonts w:ascii="Arial" w:hAnsi="Arial" w:cs="Arial"/>
          <w:sz w:val="22"/>
          <w:szCs w:val="22"/>
        </w:rPr>
      </w:pPr>
    </w:p>
    <w:p w14:paraId="01D697E6"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Conflict may arise when stakeholder priorities clash—such as when suppliers request extended manufacturing time while leadership expects faster turnaround. To manage such conflict, negotiation and compromise strategies would be implemented. These strategies may include adjusting project sequencing to accommodate stakeholder constraints or revising expectations based on feasibility evidence. Coordination therefore acts as both a planning and conflict-prevention mechanism.</w:t>
      </w:r>
    </w:p>
    <w:p w14:paraId="208DFAB8" w14:textId="77777777" w:rsidR="00AC2B3D" w:rsidRPr="00AC2B3D" w:rsidRDefault="00AC2B3D" w:rsidP="009C6FA9">
      <w:pPr>
        <w:spacing w:line="360" w:lineRule="auto"/>
        <w:rPr>
          <w:rFonts w:ascii="Arial" w:hAnsi="Arial" w:cs="Arial"/>
          <w:sz w:val="22"/>
          <w:szCs w:val="22"/>
        </w:rPr>
      </w:pPr>
    </w:p>
    <w:p w14:paraId="01D8261D" w14:textId="77777777" w:rsidR="00AC2B3D" w:rsidRPr="00AC2B3D" w:rsidRDefault="00AC2B3D" w:rsidP="009C6FA9">
      <w:pPr>
        <w:spacing w:line="360" w:lineRule="auto"/>
        <w:rPr>
          <w:rFonts w:ascii="Arial" w:hAnsi="Arial" w:cs="Arial"/>
          <w:b/>
          <w:bCs/>
          <w:sz w:val="22"/>
          <w:szCs w:val="22"/>
        </w:rPr>
      </w:pPr>
      <w:r w:rsidRPr="00AC2B3D">
        <w:rPr>
          <w:rFonts w:ascii="Arial" w:hAnsi="Arial" w:cs="Arial"/>
          <w:b/>
          <w:bCs/>
          <w:sz w:val="22"/>
          <w:szCs w:val="22"/>
        </w:rPr>
        <w:t>Cooperation</w:t>
      </w:r>
    </w:p>
    <w:p w14:paraId="5C3AD2AB" w14:textId="77777777" w:rsidR="00AC2B3D" w:rsidRPr="00AC2B3D" w:rsidRDefault="00AC2B3D" w:rsidP="009C6FA9">
      <w:pPr>
        <w:spacing w:line="360" w:lineRule="auto"/>
        <w:rPr>
          <w:rFonts w:ascii="Arial" w:hAnsi="Arial" w:cs="Arial"/>
          <w:sz w:val="22"/>
          <w:szCs w:val="22"/>
        </w:rPr>
      </w:pPr>
    </w:p>
    <w:p w14:paraId="57B0C370"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Cooperation refers to the willingness of stakeholders to support project success by working constructively rather than adversarial. As project manager, encouraging cooperation requires fostering motivation, mutual respect and shared accountability. Techniques such as joint problem-solving workshops, pilot-group testing sessions and user feedback forums help stakeholders feel included and valued.</w:t>
      </w:r>
    </w:p>
    <w:p w14:paraId="33467DF3" w14:textId="77777777" w:rsidR="00AC2B3D" w:rsidRPr="00AC2B3D" w:rsidRDefault="00AC2B3D" w:rsidP="009C6FA9">
      <w:pPr>
        <w:spacing w:line="360" w:lineRule="auto"/>
        <w:rPr>
          <w:rFonts w:ascii="Arial" w:hAnsi="Arial" w:cs="Arial"/>
          <w:sz w:val="22"/>
          <w:szCs w:val="22"/>
        </w:rPr>
      </w:pPr>
    </w:p>
    <w:p w14:paraId="325A9A16"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lastRenderedPageBreak/>
        <w:t>To further encourage cooperation, recognition and reinforcement strategies would be applied—for instance, acknowledging contributions in meetings or reporting achievements to senior leadership. When stakeholders perceive their contributions as meaningful, engagement strengthens and resistance declines.</w:t>
      </w:r>
    </w:p>
    <w:p w14:paraId="58D60A6B" w14:textId="77777777" w:rsidR="00AC2B3D" w:rsidRPr="00AC2B3D" w:rsidRDefault="00AC2B3D" w:rsidP="009C6FA9">
      <w:pPr>
        <w:spacing w:line="360" w:lineRule="auto"/>
        <w:rPr>
          <w:rFonts w:ascii="Arial" w:hAnsi="Arial" w:cs="Arial"/>
          <w:sz w:val="22"/>
          <w:szCs w:val="22"/>
        </w:rPr>
      </w:pPr>
    </w:p>
    <w:p w14:paraId="265A8F34"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Conflict management is closely tied to cooperation. In instances where cooperation breaks down—for example, when end-users express concerns over usability or clinicians raise ethical data-security issues—mediation may be required. Mediation involves facilitating constructive discussion between parties to find acceptable solutions that align with user needs, regulatory requirements and organisational goals. Ethical leadership and emotional intelligence are essential in such situations to ensure fair treatment and prevent disengagement.</w:t>
      </w:r>
    </w:p>
    <w:p w14:paraId="7B3479AE" w14:textId="77777777" w:rsidR="00AC2B3D" w:rsidRPr="00AC2B3D" w:rsidRDefault="00AC2B3D" w:rsidP="009C6FA9">
      <w:pPr>
        <w:spacing w:line="360" w:lineRule="auto"/>
        <w:rPr>
          <w:rFonts w:ascii="Arial" w:hAnsi="Arial" w:cs="Arial"/>
          <w:b/>
          <w:bCs/>
          <w:sz w:val="22"/>
          <w:szCs w:val="22"/>
        </w:rPr>
      </w:pPr>
    </w:p>
    <w:p w14:paraId="3266FD71" w14:textId="77777777" w:rsidR="00AC2B3D" w:rsidRDefault="00AC2B3D" w:rsidP="009C6FA9">
      <w:pPr>
        <w:spacing w:line="360" w:lineRule="auto"/>
        <w:rPr>
          <w:rFonts w:ascii="Arial" w:hAnsi="Arial" w:cs="Arial"/>
          <w:b/>
          <w:bCs/>
          <w:sz w:val="22"/>
          <w:szCs w:val="22"/>
        </w:rPr>
      </w:pPr>
    </w:p>
    <w:p w14:paraId="3DE939ED" w14:textId="77777777" w:rsidR="00AC2B3D" w:rsidRDefault="00AC2B3D" w:rsidP="009C6FA9">
      <w:pPr>
        <w:spacing w:line="360" w:lineRule="auto"/>
        <w:rPr>
          <w:rFonts w:ascii="Arial" w:hAnsi="Arial" w:cs="Arial"/>
          <w:b/>
          <w:bCs/>
          <w:sz w:val="22"/>
          <w:szCs w:val="22"/>
        </w:rPr>
      </w:pPr>
    </w:p>
    <w:p w14:paraId="272D0678" w14:textId="3415A860" w:rsidR="00AC2B3D" w:rsidRPr="00AC2B3D" w:rsidRDefault="00AC2B3D" w:rsidP="009C6FA9">
      <w:pPr>
        <w:spacing w:line="360" w:lineRule="auto"/>
        <w:rPr>
          <w:rFonts w:ascii="Arial" w:hAnsi="Arial" w:cs="Arial"/>
          <w:b/>
          <w:bCs/>
          <w:sz w:val="22"/>
          <w:szCs w:val="22"/>
        </w:rPr>
      </w:pPr>
      <w:r w:rsidRPr="00AC2B3D">
        <w:rPr>
          <w:rFonts w:ascii="Arial" w:hAnsi="Arial" w:cs="Arial"/>
          <w:b/>
          <w:bCs/>
          <w:sz w:val="22"/>
          <w:szCs w:val="22"/>
        </w:rPr>
        <w:t>Collaboration</w:t>
      </w:r>
    </w:p>
    <w:p w14:paraId="055DDF9F" w14:textId="77777777" w:rsidR="00AC2B3D" w:rsidRPr="00AC2B3D" w:rsidRDefault="00AC2B3D" w:rsidP="009C6FA9">
      <w:pPr>
        <w:spacing w:line="360" w:lineRule="auto"/>
        <w:rPr>
          <w:rFonts w:ascii="Arial" w:hAnsi="Arial" w:cs="Arial"/>
          <w:sz w:val="22"/>
          <w:szCs w:val="22"/>
        </w:rPr>
      </w:pPr>
    </w:p>
    <w:p w14:paraId="7D5888CF"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Collaboration represents the highest level of stakeholder engagement, involving joint decision-making, shared responsibility and collective problem solving. Collaboration is especially important when working with clinical stakeholders, technology partners and regulatory bodies, as the wearable health device requires safety, functionality and user suitability.</w:t>
      </w:r>
    </w:p>
    <w:p w14:paraId="48857A4A" w14:textId="77777777" w:rsidR="00AC2B3D" w:rsidRPr="00AC2B3D" w:rsidRDefault="00AC2B3D" w:rsidP="009C6FA9">
      <w:pPr>
        <w:spacing w:line="360" w:lineRule="auto"/>
        <w:rPr>
          <w:rFonts w:ascii="Arial" w:hAnsi="Arial" w:cs="Arial"/>
          <w:sz w:val="22"/>
          <w:szCs w:val="22"/>
        </w:rPr>
      </w:pPr>
    </w:p>
    <w:p w14:paraId="43B143EC"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Collaborative engagement may involve co-design workshops, where user groups contribute to design decisions, or cross-functional working groups involving R&amp;D, compliance and marketing. This approach is consistent with contemporary participatory design principles, which emphasise user-centred development and iterative refinement.</w:t>
      </w:r>
    </w:p>
    <w:p w14:paraId="028782D0" w14:textId="77777777" w:rsidR="00AC2B3D" w:rsidRPr="00AC2B3D" w:rsidRDefault="00AC2B3D" w:rsidP="009C6FA9">
      <w:pPr>
        <w:spacing w:line="360" w:lineRule="auto"/>
        <w:rPr>
          <w:rFonts w:ascii="Arial" w:hAnsi="Arial" w:cs="Arial"/>
          <w:sz w:val="22"/>
          <w:szCs w:val="22"/>
        </w:rPr>
      </w:pPr>
    </w:p>
    <w:p w14:paraId="23B22361" w14:textId="77777777" w:rsidR="00AC2B3D" w:rsidRPr="00AC2B3D" w:rsidRDefault="00AC2B3D" w:rsidP="009C6FA9">
      <w:pPr>
        <w:spacing w:line="360" w:lineRule="auto"/>
        <w:rPr>
          <w:rFonts w:ascii="Arial" w:hAnsi="Arial" w:cs="Arial"/>
          <w:sz w:val="22"/>
          <w:szCs w:val="22"/>
        </w:rPr>
      </w:pPr>
      <w:r w:rsidRPr="00AC2B3D">
        <w:rPr>
          <w:rFonts w:ascii="Arial" w:hAnsi="Arial" w:cs="Arial"/>
          <w:sz w:val="22"/>
          <w:szCs w:val="22"/>
        </w:rPr>
        <w:t xml:space="preserve">However, collaboration also increases the likelihood of conflict, as shared decision-making means differing values, priorities and interpretations may arise. For example, technology partners may advocate for advanced data features while regulatory teams may resist them due to compliance risks. To manage such conflict, structured decision frameworks such as </w:t>
      </w:r>
      <w:r w:rsidRPr="00AC2B3D">
        <w:rPr>
          <w:rFonts w:ascii="Arial" w:hAnsi="Arial" w:cs="Arial"/>
          <w:sz w:val="22"/>
          <w:szCs w:val="22"/>
        </w:rPr>
        <w:lastRenderedPageBreak/>
        <w:t>evidence-based justification, majority voting or escalation to senior leadership may be used. Transparent reasoning and documented decisions are essential to maintain trust.</w:t>
      </w:r>
    </w:p>
    <w:p w14:paraId="04041477" w14:textId="77777777" w:rsidR="00AC2B3D" w:rsidRPr="00AC2B3D" w:rsidRDefault="00AC2B3D" w:rsidP="009C6FA9">
      <w:pPr>
        <w:spacing w:line="360" w:lineRule="auto"/>
        <w:rPr>
          <w:rFonts w:ascii="Arial" w:hAnsi="Arial" w:cs="Arial"/>
          <w:sz w:val="22"/>
          <w:szCs w:val="22"/>
        </w:rPr>
      </w:pPr>
    </w:p>
    <w:p w14:paraId="2B91C3A4" w14:textId="77777777" w:rsidR="00AC2B3D" w:rsidRPr="00AC2B3D" w:rsidRDefault="00AC2B3D" w:rsidP="009C6FA9">
      <w:pPr>
        <w:spacing w:line="360" w:lineRule="auto"/>
        <w:rPr>
          <w:rFonts w:ascii="Arial" w:hAnsi="Arial" w:cs="Arial"/>
          <w:b/>
          <w:bCs/>
          <w:sz w:val="22"/>
          <w:szCs w:val="22"/>
        </w:rPr>
      </w:pPr>
      <w:r w:rsidRPr="00AC2B3D">
        <w:rPr>
          <w:rFonts w:ascii="Arial" w:hAnsi="Arial" w:cs="Arial"/>
          <w:b/>
          <w:bCs/>
          <w:sz w:val="22"/>
          <w:szCs w:val="22"/>
        </w:rPr>
        <w:t>Conclusion</w:t>
      </w:r>
    </w:p>
    <w:p w14:paraId="120B3D14" w14:textId="77777777" w:rsidR="00AC2B3D" w:rsidRPr="00AC2B3D" w:rsidRDefault="00AC2B3D" w:rsidP="009C6FA9">
      <w:pPr>
        <w:spacing w:line="360" w:lineRule="auto"/>
        <w:rPr>
          <w:rFonts w:ascii="Arial" w:hAnsi="Arial" w:cs="Arial"/>
          <w:sz w:val="22"/>
          <w:szCs w:val="22"/>
        </w:rPr>
      </w:pPr>
    </w:p>
    <w:p w14:paraId="73747466" w14:textId="5432DB37" w:rsidR="004D5503" w:rsidRDefault="00AC2B3D" w:rsidP="009C6FA9">
      <w:pPr>
        <w:spacing w:line="360" w:lineRule="auto"/>
        <w:rPr>
          <w:rFonts w:ascii="Arial" w:hAnsi="Arial" w:cs="Arial"/>
          <w:sz w:val="22"/>
          <w:szCs w:val="22"/>
        </w:rPr>
      </w:pPr>
      <w:r w:rsidRPr="00AC2B3D">
        <w:rPr>
          <w:rFonts w:ascii="Arial" w:hAnsi="Arial" w:cs="Arial"/>
          <w:sz w:val="22"/>
          <w:szCs w:val="22"/>
        </w:rPr>
        <w:t>Applying the 4C’s model provides a structured and proactive approach to engaging stakeholders throughout the wearable device development project. Communication ensures clarity and transparency; coordination aligns actions and prevents misalignment; cooperation fosters engagement and reduces resistance; and collaboration enables innovation through shared ownership. Together, these elements support conflict prevention and resolution by ensuring expectations are managed, concerns are acknowledged and decisions are justified. Through systematic, theory-informed stakeholder engagement, the project is more likely to achieve its objectives, maintain regulatory compliance and ensure successful product launch and adoption.</w:t>
      </w:r>
    </w:p>
    <w:p w14:paraId="79A40B4C" w14:textId="77777777" w:rsidR="00AC2B3D" w:rsidRDefault="00AC2B3D" w:rsidP="009C6FA9">
      <w:pPr>
        <w:spacing w:line="360" w:lineRule="auto"/>
        <w:rPr>
          <w:rFonts w:ascii="Arial" w:hAnsi="Arial" w:cs="Arial"/>
          <w:sz w:val="22"/>
          <w:szCs w:val="22"/>
        </w:rPr>
      </w:pPr>
    </w:p>
    <w:p w14:paraId="6651E3F6" w14:textId="77777777" w:rsidR="00AC2B3D" w:rsidRDefault="00AC2B3D" w:rsidP="009C6FA9">
      <w:pPr>
        <w:spacing w:line="360" w:lineRule="auto"/>
        <w:rPr>
          <w:rFonts w:ascii="Arial" w:hAnsi="Arial" w:cs="Arial"/>
          <w:sz w:val="22"/>
          <w:szCs w:val="22"/>
        </w:rPr>
      </w:pPr>
    </w:p>
    <w:p w14:paraId="0AD657E1" w14:textId="77777777" w:rsidR="00AC2B3D" w:rsidRDefault="00AC2B3D" w:rsidP="009C6FA9">
      <w:pPr>
        <w:spacing w:line="360" w:lineRule="auto"/>
        <w:rPr>
          <w:rFonts w:ascii="Arial" w:hAnsi="Arial" w:cs="Arial"/>
          <w:sz w:val="22"/>
          <w:szCs w:val="22"/>
        </w:rPr>
      </w:pPr>
    </w:p>
    <w:p w14:paraId="081A0080" w14:textId="77777777" w:rsidR="00AC2B3D" w:rsidRDefault="00AC2B3D" w:rsidP="009C6FA9">
      <w:pPr>
        <w:spacing w:line="360" w:lineRule="auto"/>
        <w:rPr>
          <w:rFonts w:ascii="Arial" w:hAnsi="Arial" w:cs="Arial"/>
          <w:sz w:val="22"/>
          <w:szCs w:val="22"/>
        </w:rPr>
      </w:pPr>
    </w:p>
    <w:p w14:paraId="19C3D294" w14:textId="77777777" w:rsidR="002640A8" w:rsidRDefault="002640A8" w:rsidP="009C6FA9">
      <w:pPr>
        <w:spacing w:line="360" w:lineRule="auto"/>
        <w:rPr>
          <w:rFonts w:ascii="Arial" w:hAnsi="Arial" w:cs="Arial"/>
          <w:sz w:val="22"/>
          <w:szCs w:val="22"/>
        </w:rPr>
      </w:pPr>
    </w:p>
    <w:p w14:paraId="219AFC8C" w14:textId="77777777" w:rsidR="002640A8" w:rsidRDefault="002640A8" w:rsidP="009C6FA9">
      <w:pPr>
        <w:spacing w:line="360" w:lineRule="auto"/>
        <w:rPr>
          <w:rFonts w:ascii="Arial" w:hAnsi="Arial" w:cs="Arial"/>
          <w:sz w:val="22"/>
          <w:szCs w:val="22"/>
        </w:rPr>
      </w:pPr>
    </w:p>
    <w:p w14:paraId="4BF0C3DE" w14:textId="77777777" w:rsidR="002640A8" w:rsidRDefault="002640A8" w:rsidP="009C6FA9">
      <w:pPr>
        <w:spacing w:line="360" w:lineRule="auto"/>
        <w:rPr>
          <w:rFonts w:ascii="Arial" w:hAnsi="Arial" w:cs="Arial"/>
          <w:sz w:val="22"/>
          <w:szCs w:val="22"/>
        </w:rPr>
      </w:pPr>
    </w:p>
    <w:p w14:paraId="1507A333" w14:textId="77777777" w:rsidR="00174238" w:rsidRDefault="00174238" w:rsidP="009C6FA9">
      <w:pPr>
        <w:spacing w:line="360" w:lineRule="auto"/>
        <w:rPr>
          <w:rFonts w:ascii="Arial" w:hAnsi="Arial" w:cs="Arial"/>
          <w:b/>
          <w:bCs/>
        </w:rPr>
      </w:pPr>
    </w:p>
    <w:p w14:paraId="3CF32736" w14:textId="77777777" w:rsidR="00174238" w:rsidRDefault="00174238" w:rsidP="009C6FA9">
      <w:pPr>
        <w:spacing w:line="360" w:lineRule="auto"/>
        <w:rPr>
          <w:rFonts w:ascii="Arial" w:hAnsi="Arial" w:cs="Arial"/>
          <w:b/>
          <w:bCs/>
        </w:rPr>
      </w:pPr>
    </w:p>
    <w:p w14:paraId="068A96CA" w14:textId="77777777" w:rsidR="00174238" w:rsidRDefault="00174238" w:rsidP="009C6FA9">
      <w:pPr>
        <w:spacing w:line="360" w:lineRule="auto"/>
        <w:rPr>
          <w:rFonts w:ascii="Arial" w:hAnsi="Arial" w:cs="Arial"/>
          <w:b/>
          <w:bCs/>
        </w:rPr>
      </w:pPr>
    </w:p>
    <w:p w14:paraId="39557A04" w14:textId="77777777" w:rsidR="00174238" w:rsidRDefault="00174238" w:rsidP="009C6FA9">
      <w:pPr>
        <w:spacing w:line="360" w:lineRule="auto"/>
        <w:rPr>
          <w:rFonts w:ascii="Arial" w:hAnsi="Arial" w:cs="Arial"/>
          <w:b/>
          <w:bCs/>
        </w:rPr>
      </w:pPr>
    </w:p>
    <w:p w14:paraId="118F5331" w14:textId="77777777" w:rsidR="00174238" w:rsidRDefault="00174238" w:rsidP="009C6FA9">
      <w:pPr>
        <w:spacing w:line="360" w:lineRule="auto"/>
        <w:rPr>
          <w:rFonts w:ascii="Arial" w:hAnsi="Arial" w:cs="Arial"/>
          <w:b/>
          <w:bCs/>
        </w:rPr>
      </w:pPr>
    </w:p>
    <w:p w14:paraId="2F9F763B" w14:textId="1F36BA21" w:rsidR="002640A8" w:rsidRDefault="002640A8" w:rsidP="009C6FA9">
      <w:pPr>
        <w:spacing w:line="360" w:lineRule="auto"/>
        <w:rPr>
          <w:rFonts w:ascii="Arial" w:hAnsi="Arial" w:cs="Arial"/>
          <w:b/>
          <w:bCs/>
        </w:rPr>
      </w:pPr>
      <w:r w:rsidRPr="002640A8">
        <w:rPr>
          <w:rFonts w:ascii="Arial" w:hAnsi="Arial" w:cs="Arial"/>
          <w:b/>
          <w:bCs/>
        </w:rPr>
        <w:t>EVALUATION OF THE IMPACT OF STAKEHOLDER ENGAGEMENT ON BUSINESS PERFORMANCE AND RECOMMENDATIONS FOR THE FUTURE</w:t>
      </w:r>
    </w:p>
    <w:p w14:paraId="5B2C200F" w14:textId="77777777" w:rsidR="002640A8" w:rsidRDefault="002640A8" w:rsidP="009C6FA9">
      <w:pPr>
        <w:spacing w:line="360" w:lineRule="auto"/>
        <w:rPr>
          <w:rFonts w:ascii="Arial" w:hAnsi="Arial" w:cs="Arial"/>
          <w:b/>
          <w:bCs/>
        </w:rPr>
      </w:pPr>
    </w:p>
    <w:p w14:paraId="0C5E839C"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Stakeholder engagement plays a crucial role in influencing business performance, particularly in healthcare technology projects where regulatory standards, patient safety and user acceptance are central considerations. Evaluating the impact of stakeholder engagement in relation to the development and launch of a wearable health device demonstrates how structured engagement contributes to operational efficiency, innovation capability, reputation, and market success. When stakeholders are engaged effectively, organisations benefit from increased clarity, reduced uncertainty and shared ownership of outcomes. Conversely, insufficient engagement can result in compliance failures, inefficient processes, reputational damage and reduced market adoption.</w:t>
      </w:r>
    </w:p>
    <w:p w14:paraId="20EBBA83" w14:textId="77777777" w:rsidR="00564B62" w:rsidRPr="00564B62" w:rsidRDefault="00564B62" w:rsidP="009C6FA9">
      <w:pPr>
        <w:spacing w:line="360" w:lineRule="auto"/>
        <w:rPr>
          <w:rFonts w:ascii="Arial" w:hAnsi="Arial" w:cs="Arial"/>
          <w:sz w:val="22"/>
          <w:szCs w:val="22"/>
        </w:rPr>
      </w:pPr>
    </w:p>
    <w:p w14:paraId="0E5EE7F8"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 xml:space="preserve">One of the most significant impacts of stakeholder engagement is the improvement of organisational decision-making. By involving internal and external stakeholders such as leadership, regulatory teams, engineers and clinical bodies, decision-making becomes informed by diverse expertise rather than assumptions. This approach supports compliance with medical device regulations, reduces the likelihood of costly redesigns and aligns product features with user expectations. </w:t>
      </w:r>
      <w:proofErr w:type="gramStart"/>
      <w:r w:rsidRPr="00564B62">
        <w:rPr>
          <w:rFonts w:ascii="Arial" w:hAnsi="Arial" w:cs="Arial"/>
          <w:sz w:val="22"/>
          <w:szCs w:val="22"/>
        </w:rPr>
        <w:t>In particular, early</w:t>
      </w:r>
      <w:proofErr w:type="gramEnd"/>
      <w:r w:rsidRPr="00564B62">
        <w:rPr>
          <w:rFonts w:ascii="Arial" w:hAnsi="Arial" w:cs="Arial"/>
          <w:sz w:val="22"/>
          <w:szCs w:val="22"/>
        </w:rPr>
        <w:t xml:space="preserve"> collaboration with regulatory authorities can shorten approval timelines, whereas delayed engagement can result in compliance gaps and product launch delays. Therefore, stakeholder engagement acts as a proactive mechanism to align regulatory requirements, organisational capacity and project goals.</w:t>
      </w:r>
    </w:p>
    <w:p w14:paraId="69F5C74B" w14:textId="77777777" w:rsidR="00564B62" w:rsidRPr="00564B62" w:rsidRDefault="00564B62" w:rsidP="009C6FA9">
      <w:pPr>
        <w:spacing w:line="360" w:lineRule="auto"/>
        <w:rPr>
          <w:rFonts w:ascii="Arial" w:hAnsi="Arial" w:cs="Arial"/>
          <w:sz w:val="22"/>
          <w:szCs w:val="22"/>
        </w:rPr>
      </w:pPr>
    </w:p>
    <w:p w14:paraId="14EB7CEA"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Stakeholder engagement strengthens innovation performance. Involving end users such as patients, clinicians and consumer testers provides insight into usability, comfort, accessibility and performance expectations. This supports the development of user-centred features, improving product acceptance and commercial viability. Without such engagement, organisations risk producing solutions that are technologically impressive but lack relevance to real-world needs. Engagement therefore supports competitive positioning by ensuring innovation is evidence-based, market-responsive and adaptable to emerging expectations.</w:t>
      </w:r>
    </w:p>
    <w:p w14:paraId="2923C95E" w14:textId="77777777" w:rsidR="00564B62" w:rsidRPr="00564B62" w:rsidRDefault="00564B62" w:rsidP="009C6FA9">
      <w:pPr>
        <w:spacing w:line="360" w:lineRule="auto"/>
        <w:rPr>
          <w:rFonts w:ascii="Arial" w:hAnsi="Arial" w:cs="Arial"/>
          <w:sz w:val="22"/>
          <w:szCs w:val="22"/>
        </w:rPr>
      </w:pPr>
    </w:p>
    <w:p w14:paraId="5CF0E301"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 xml:space="preserve">Financial performance influenced by stakeholder engagement. Early dialogue with suppliers and technology partners allows cost planning, negotiation and manufacturing optimisation, reducing waste and production inefficiencies. Effective engagement with commercial teams supports accurate forecasting, market segmentation and pricing strategies, which can </w:t>
      </w:r>
      <w:r w:rsidRPr="00564B62">
        <w:rPr>
          <w:rFonts w:ascii="Arial" w:hAnsi="Arial" w:cs="Arial"/>
          <w:sz w:val="22"/>
          <w:szCs w:val="22"/>
        </w:rPr>
        <w:lastRenderedPageBreak/>
        <w:t>significantly influence adoption levels and return on investment. Conversely, weak stakeholder engagement increases operational risk, contributes to inefficient workflows and may lead to unexpected expenses resulting from poor alignment.</w:t>
      </w:r>
    </w:p>
    <w:p w14:paraId="20417E9F" w14:textId="77777777" w:rsidR="00564B62" w:rsidRPr="00564B62" w:rsidRDefault="00564B62" w:rsidP="009C6FA9">
      <w:pPr>
        <w:spacing w:line="360" w:lineRule="auto"/>
        <w:rPr>
          <w:rFonts w:ascii="Arial" w:hAnsi="Arial" w:cs="Arial"/>
          <w:sz w:val="22"/>
          <w:szCs w:val="22"/>
        </w:rPr>
      </w:pPr>
    </w:p>
    <w:p w14:paraId="0BA36AC3"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Beyond operational and financial impacts, stakeholder engagement significantly affects organisational reputation and trust. In the healthcare technology sector, where ethical considerations and data protection are critical, transparency and accountability are essential. Engaging stakeholders such as patient advocacy groups, healthcare bodies and regulatory institutions fosters trust and demonstrates responsible governance. Strong relationships also enhance perceived product legitimacy, supporting adoption across healthcare systems. Poor engagement, by contrast, may result in concerns related to data privacy, bias or safety, which can negatively affect public confidence and long-term brand equity.</w:t>
      </w:r>
    </w:p>
    <w:p w14:paraId="17437BE1" w14:textId="77777777" w:rsidR="00564B62" w:rsidRPr="00564B62" w:rsidRDefault="00564B62" w:rsidP="009C6FA9">
      <w:pPr>
        <w:spacing w:line="360" w:lineRule="auto"/>
        <w:rPr>
          <w:rFonts w:ascii="Arial" w:hAnsi="Arial" w:cs="Arial"/>
          <w:sz w:val="22"/>
          <w:szCs w:val="22"/>
        </w:rPr>
      </w:pPr>
    </w:p>
    <w:p w14:paraId="12F433B1"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Although the benefits of stakeholder engagement are substantial, challenges can arise when differing priorities, motivations or constraints create conflict. For example, commercial teams may prioritise market speed, while regulatory stakeholders prioritise safety and compliance. If not carefully managed, such tensions may slow progress or create resistance. Therefore, stakeholder engagement must be supported by conflict resolution processes, clear communication structures and adaptive leadership approaches to maintain cooperation and progress.</w:t>
      </w:r>
    </w:p>
    <w:p w14:paraId="3D6FD5AF" w14:textId="77777777" w:rsidR="00564B62" w:rsidRPr="00564B62" w:rsidRDefault="00564B62" w:rsidP="009C6FA9">
      <w:pPr>
        <w:spacing w:line="360" w:lineRule="auto"/>
        <w:rPr>
          <w:rFonts w:ascii="Arial" w:hAnsi="Arial" w:cs="Arial"/>
          <w:sz w:val="22"/>
          <w:szCs w:val="22"/>
        </w:rPr>
      </w:pPr>
    </w:p>
    <w:p w14:paraId="06655FE3"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To strengthen stakeholder engagement further, several recommendations can be made. Firstly, the organisation should implement a formal stakeholder engagement framework that includes stakeholder identification, influence analysis, communication protocols and escalation procedures. This ensures consistency and prevents ad-hoc or reactionary approaches. Secondly, future product development should expand user involvement through participatory design workshops and iterative testing, ensuring that consumer needs remain central. Thirdly, digital tools such as collaborative platforms, shared dashboards and automated reporting systems should be enhanced to support real-time information-sharing and reduce miscommunication.</w:t>
      </w:r>
    </w:p>
    <w:p w14:paraId="7A1C3B9D" w14:textId="77777777" w:rsidR="00564B62" w:rsidRPr="00564B62" w:rsidRDefault="00564B62" w:rsidP="009C6FA9">
      <w:pPr>
        <w:spacing w:line="360" w:lineRule="auto"/>
        <w:rPr>
          <w:rFonts w:ascii="Arial" w:hAnsi="Arial" w:cs="Arial"/>
          <w:sz w:val="22"/>
          <w:szCs w:val="22"/>
        </w:rPr>
      </w:pPr>
    </w:p>
    <w:p w14:paraId="2827E00F" w14:textId="77777777" w:rsidR="00564B62" w:rsidRPr="00564B62" w:rsidRDefault="00564B62" w:rsidP="009C6FA9">
      <w:pPr>
        <w:spacing w:line="360" w:lineRule="auto"/>
        <w:rPr>
          <w:rFonts w:ascii="Arial" w:hAnsi="Arial" w:cs="Arial"/>
          <w:sz w:val="22"/>
          <w:szCs w:val="22"/>
        </w:rPr>
      </w:pPr>
      <w:r w:rsidRPr="00564B62">
        <w:rPr>
          <w:rFonts w:ascii="Arial" w:hAnsi="Arial" w:cs="Arial"/>
          <w:sz w:val="22"/>
          <w:szCs w:val="22"/>
        </w:rPr>
        <w:t xml:space="preserve">In addition, establishing long-term strategic partnerships with healthcare systems, regulatory bodies and research institutions will support future product innovation, credibility and </w:t>
      </w:r>
      <w:r w:rsidRPr="00564B62">
        <w:rPr>
          <w:rFonts w:ascii="Arial" w:hAnsi="Arial" w:cs="Arial"/>
          <w:sz w:val="22"/>
          <w:szCs w:val="22"/>
        </w:rPr>
        <w:lastRenderedPageBreak/>
        <w:t>adoption. Regular monitoring of stakeholder satisfaction through surveys, engagement reviews and performance indicators will also help identify emerging challenges and areas for improvement. Finally, ethical governance must remain a core principle, with transparent communication surrounding data protection and clinical safety to maintain trust and compliance.</w:t>
      </w:r>
    </w:p>
    <w:p w14:paraId="1CCB7A31" w14:textId="77777777" w:rsidR="00564B62" w:rsidRPr="00564B62" w:rsidRDefault="00564B62" w:rsidP="009C6FA9">
      <w:pPr>
        <w:spacing w:line="360" w:lineRule="auto"/>
        <w:rPr>
          <w:rFonts w:ascii="Arial" w:hAnsi="Arial" w:cs="Arial"/>
          <w:sz w:val="22"/>
          <w:szCs w:val="22"/>
        </w:rPr>
      </w:pPr>
    </w:p>
    <w:p w14:paraId="37C58F97" w14:textId="677FD8D6" w:rsidR="002640A8" w:rsidRDefault="00564B62" w:rsidP="009C6FA9">
      <w:pPr>
        <w:spacing w:line="360" w:lineRule="auto"/>
        <w:rPr>
          <w:rFonts w:ascii="Arial" w:hAnsi="Arial" w:cs="Arial"/>
          <w:sz w:val="22"/>
          <w:szCs w:val="22"/>
        </w:rPr>
      </w:pPr>
      <w:r w:rsidRPr="00564B62">
        <w:rPr>
          <w:rFonts w:ascii="Arial" w:hAnsi="Arial" w:cs="Arial"/>
          <w:sz w:val="22"/>
          <w:szCs w:val="22"/>
        </w:rPr>
        <w:t xml:space="preserve">In </w:t>
      </w:r>
      <w:r w:rsidR="00482AF3">
        <w:rPr>
          <w:rFonts w:ascii="Arial" w:hAnsi="Arial" w:cs="Arial"/>
          <w:sz w:val="22"/>
          <w:szCs w:val="22"/>
        </w:rPr>
        <w:t>summary</w:t>
      </w:r>
      <w:r w:rsidRPr="00564B62">
        <w:rPr>
          <w:rFonts w:ascii="Arial" w:hAnsi="Arial" w:cs="Arial"/>
          <w:sz w:val="22"/>
          <w:szCs w:val="22"/>
        </w:rPr>
        <w:t>, stakeholder engagement has a substantial impact on business performance, influencing decision-making, innovation, compliance, financial outcomes and organisational reputation. While challenges may arise from conflicting interests or communication barriers, structured and proactive engagement strategies can mitigate risks and strengthen relationships. By implementing the recommended improvements, the organisation can enhance future stakeholder relationships, improve launch success and strengthen its position within the rapidly evolving digital health landscape.</w:t>
      </w:r>
    </w:p>
    <w:p w14:paraId="5B5DE716" w14:textId="77777777" w:rsidR="00A708BA" w:rsidRDefault="00A708BA" w:rsidP="009C6FA9">
      <w:pPr>
        <w:spacing w:line="360" w:lineRule="auto"/>
        <w:rPr>
          <w:rFonts w:ascii="Arial" w:hAnsi="Arial" w:cs="Arial"/>
          <w:sz w:val="22"/>
          <w:szCs w:val="22"/>
        </w:rPr>
      </w:pPr>
    </w:p>
    <w:p w14:paraId="422BE641" w14:textId="77777777" w:rsidR="00A708BA" w:rsidRDefault="00A708BA" w:rsidP="009C6FA9">
      <w:pPr>
        <w:spacing w:line="360" w:lineRule="auto"/>
        <w:rPr>
          <w:rFonts w:ascii="Arial" w:hAnsi="Arial" w:cs="Arial"/>
          <w:sz w:val="22"/>
          <w:szCs w:val="22"/>
        </w:rPr>
      </w:pPr>
    </w:p>
    <w:p w14:paraId="49B10C65" w14:textId="77777777" w:rsidR="00A708BA" w:rsidRPr="00A708BA" w:rsidRDefault="00A708BA" w:rsidP="009C6FA9">
      <w:pPr>
        <w:spacing w:line="360" w:lineRule="auto"/>
        <w:rPr>
          <w:rFonts w:ascii="Arial" w:hAnsi="Arial" w:cs="Arial"/>
          <w:b/>
          <w:bCs/>
          <w:sz w:val="28"/>
          <w:szCs w:val="28"/>
        </w:rPr>
      </w:pPr>
      <w:r w:rsidRPr="00A708BA">
        <w:rPr>
          <w:rFonts w:ascii="Arial" w:hAnsi="Arial" w:cs="Arial"/>
          <w:b/>
          <w:bCs/>
          <w:sz w:val="28"/>
          <w:szCs w:val="28"/>
        </w:rPr>
        <w:t>Conclusion</w:t>
      </w:r>
    </w:p>
    <w:p w14:paraId="2835505D" w14:textId="77777777" w:rsidR="00A708BA" w:rsidRPr="00A708BA" w:rsidRDefault="00A708BA" w:rsidP="009C6FA9">
      <w:pPr>
        <w:spacing w:line="360" w:lineRule="auto"/>
        <w:rPr>
          <w:rFonts w:ascii="Arial" w:hAnsi="Arial" w:cs="Arial"/>
          <w:sz w:val="22"/>
          <w:szCs w:val="22"/>
        </w:rPr>
      </w:pPr>
    </w:p>
    <w:p w14:paraId="2058D92D" w14:textId="77777777" w:rsidR="00A708BA" w:rsidRPr="00A708BA" w:rsidRDefault="00A708BA" w:rsidP="009C6FA9">
      <w:pPr>
        <w:spacing w:line="360" w:lineRule="auto"/>
        <w:rPr>
          <w:rFonts w:ascii="Arial" w:hAnsi="Arial" w:cs="Arial"/>
          <w:sz w:val="22"/>
          <w:szCs w:val="22"/>
        </w:rPr>
      </w:pPr>
      <w:r w:rsidRPr="00A708BA">
        <w:rPr>
          <w:rFonts w:ascii="Arial" w:hAnsi="Arial" w:cs="Arial"/>
          <w:sz w:val="22"/>
          <w:szCs w:val="22"/>
        </w:rPr>
        <w:t>This report has explored the importance of strategic stakeholder engagement in the development and launch of a new wearable health device within a healthcare technology context. The analysis demonstrated that stakeholders play a critical role in shaping organisational outcomes, influencing areas such as regulatory compliance, product innovation, financial performance and long-term market adoption. Using theoretical frameworks such as Mendelow’s Matrix, Stakeholder Theory and the 4C’s Model, the report highlighted how effective engagement requires a structured, proactive and adaptive approach rather than passive communication.</w:t>
      </w:r>
    </w:p>
    <w:p w14:paraId="0B906194" w14:textId="77777777" w:rsidR="00A708BA" w:rsidRPr="00A708BA" w:rsidRDefault="00A708BA" w:rsidP="009C6FA9">
      <w:pPr>
        <w:spacing w:line="360" w:lineRule="auto"/>
        <w:rPr>
          <w:rFonts w:ascii="Arial" w:hAnsi="Arial" w:cs="Arial"/>
          <w:sz w:val="22"/>
          <w:szCs w:val="22"/>
        </w:rPr>
      </w:pPr>
    </w:p>
    <w:p w14:paraId="3CFC1028" w14:textId="77777777" w:rsidR="00A708BA" w:rsidRPr="00A708BA" w:rsidRDefault="00A708BA" w:rsidP="009C6FA9">
      <w:pPr>
        <w:spacing w:line="360" w:lineRule="auto"/>
        <w:rPr>
          <w:rFonts w:ascii="Arial" w:hAnsi="Arial" w:cs="Arial"/>
          <w:sz w:val="22"/>
          <w:szCs w:val="22"/>
        </w:rPr>
      </w:pPr>
      <w:r w:rsidRPr="00A708BA">
        <w:rPr>
          <w:rFonts w:ascii="Arial" w:hAnsi="Arial" w:cs="Arial"/>
          <w:sz w:val="22"/>
          <w:szCs w:val="22"/>
        </w:rPr>
        <w:t xml:space="preserve">The evaluation of internal and external stakeholders demonstrated that each group contributes distinct value and faces different challenges. Internal teams such as R&amp;D, compliance, marketing and leadership are essential for technical development, regulatory approval and commercial strategy, whereas external stakeholders—including regulators, health providers, suppliers and end-users—support validation, safety, practicality and trust. Tools such as the RACI Matrix, communication plans and engagement frameworks were </w:t>
      </w:r>
      <w:r w:rsidRPr="00A708BA">
        <w:rPr>
          <w:rFonts w:ascii="Arial" w:hAnsi="Arial" w:cs="Arial"/>
          <w:sz w:val="22"/>
          <w:szCs w:val="22"/>
        </w:rPr>
        <w:lastRenderedPageBreak/>
        <w:t>shown to be useful in defining clear responsibilities and reducing ambiguity throughout the project lifecycle.</w:t>
      </w:r>
    </w:p>
    <w:p w14:paraId="2D049A83" w14:textId="77777777" w:rsidR="00A708BA" w:rsidRPr="00A708BA" w:rsidRDefault="00A708BA" w:rsidP="009C6FA9">
      <w:pPr>
        <w:spacing w:line="360" w:lineRule="auto"/>
        <w:rPr>
          <w:rFonts w:ascii="Arial" w:hAnsi="Arial" w:cs="Arial"/>
          <w:sz w:val="22"/>
          <w:szCs w:val="22"/>
        </w:rPr>
      </w:pPr>
    </w:p>
    <w:p w14:paraId="24A84E1C" w14:textId="77777777" w:rsidR="00A708BA" w:rsidRPr="00A708BA" w:rsidRDefault="00A708BA" w:rsidP="009C6FA9">
      <w:pPr>
        <w:spacing w:line="360" w:lineRule="auto"/>
        <w:rPr>
          <w:rFonts w:ascii="Arial" w:hAnsi="Arial" w:cs="Arial"/>
          <w:sz w:val="22"/>
          <w:szCs w:val="22"/>
        </w:rPr>
      </w:pPr>
      <w:r w:rsidRPr="00A708BA">
        <w:rPr>
          <w:rFonts w:ascii="Arial" w:hAnsi="Arial" w:cs="Arial"/>
          <w:sz w:val="22"/>
          <w:szCs w:val="22"/>
        </w:rPr>
        <w:t>The findings also revealed that stakeholder engagement is directly linked to improved business performance. Strong engagement supports informed decision-making, enhances innovation and minimises risk, while poor engagement can result in delays, misalignment and reputational damage. Therefore, stakeholder engagement should not be considered a one-time task, but a continuous process embedded in organisational culture and project governance.</w:t>
      </w:r>
    </w:p>
    <w:p w14:paraId="67C95CB0" w14:textId="77777777" w:rsidR="00A708BA" w:rsidRPr="00A708BA" w:rsidRDefault="00A708BA" w:rsidP="009C6FA9">
      <w:pPr>
        <w:spacing w:line="360" w:lineRule="auto"/>
        <w:rPr>
          <w:rFonts w:ascii="Arial" w:hAnsi="Arial" w:cs="Arial"/>
          <w:sz w:val="22"/>
          <w:szCs w:val="22"/>
        </w:rPr>
      </w:pPr>
    </w:p>
    <w:p w14:paraId="32F5C7F2" w14:textId="77777777" w:rsidR="00A708BA" w:rsidRPr="00A708BA" w:rsidRDefault="00A708BA" w:rsidP="009C6FA9">
      <w:pPr>
        <w:spacing w:line="360" w:lineRule="auto"/>
        <w:rPr>
          <w:rFonts w:ascii="Arial" w:hAnsi="Arial" w:cs="Arial"/>
          <w:sz w:val="22"/>
          <w:szCs w:val="22"/>
        </w:rPr>
      </w:pPr>
      <w:r w:rsidRPr="00A708BA">
        <w:rPr>
          <w:rFonts w:ascii="Arial" w:hAnsi="Arial" w:cs="Arial"/>
          <w:sz w:val="22"/>
          <w:szCs w:val="22"/>
        </w:rPr>
        <w:t>Looking ahead, recommendations emphasised the need for a formalised stakeholder framework, enhanced collaboration practices, and ongoing stakeholder monitoring to ensure alignment with changing expectations. By applying these improvements, the organisation can strengthen its approach to engagement, improve project outcomes and secure long-term competitive advantage in the expanding digital health market.</w:t>
      </w:r>
    </w:p>
    <w:p w14:paraId="1A0459FF" w14:textId="77777777" w:rsidR="00A708BA" w:rsidRPr="00A708BA" w:rsidRDefault="00A708BA" w:rsidP="009C6FA9">
      <w:pPr>
        <w:spacing w:line="360" w:lineRule="auto"/>
        <w:rPr>
          <w:rFonts w:ascii="Arial" w:hAnsi="Arial" w:cs="Arial"/>
          <w:sz w:val="22"/>
          <w:szCs w:val="22"/>
        </w:rPr>
      </w:pPr>
    </w:p>
    <w:p w14:paraId="258F5E21" w14:textId="33FD3F43" w:rsidR="00A708BA" w:rsidRDefault="00A708BA" w:rsidP="009C6FA9">
      <w:pPr>
        <w:spacing w:line="360" w:lineRule="auto"/>
        <w:rPr>
          <w:rFonts w:ascii="Arial" w:hAnsi="Arial" w:cs="Arial"/>
          <w:sz w:val="22"/>
          <w:szCs w:val="22"/>
        </w:rPr>
      </w:pPr>
      <w:r w:rsidRPr="00A708BA">
        <w:rPr>
          <w:rFonts w:ascii="Arial" w:hAnsi="Arial" w:cs="Arial"/>
          <w:sz w:val="22"/>
          <w:szCs w:val="22"/>
        </w:rPr>
        <w:t>Overall, this report concludes that effective stakeholder engagement is a decisive factor in ensuring the successful launch and sustainability of innovative healthcare technology solutions.</w:t>
      </w:r>
    </w:p>
    <w:p w14:paraId="2A4FC6A8" w14:textId="77777777" w:rsidR="00036D21" w:rsidRDefault="00036D21" w:rsidP="00A708BA">
      <w:pPr>
        <w:rPr>
          <w:rFonts w:ascii="Arial" w:hAnsi="Arial" w:cs="Arial"/>
          <w:sz w:val="22"/>
          <w:szCs w:val="22"/>
        </w:rPr>
      </w:pPr>
    </w:p>
    <w:p w14:paraId="71F2A05E" w14:textId="77777777" w:rsidR="00036D21" w:rsidRDefault="00036D21" w:rsidP="00A708BA">
      <w:pPr>
        <w:rPr>
          <w:rFonts w:ascii="Arial" w:hAnsi="Arial" w:cs="Arial"/>
          <w:sz w:val="22"/>
          <w:szCs w:val="22"/>
        </w:rPr>
      </w:pPr>
    </w:p>
    <w:p w14:paraId="6CD87A47" w14:textId="77777777" w:rsidR="00036D21" w:rsidRDefault="00036D21" w:rsidP="00A708BA">
      <w:pPr>
        <w:rPr>
          <w:rFonts w:ascii="Arial" w:hAnsi="Arial" w:cs="Arial"/>
          <w:sz w:val="22"/>
          <w:szCs w:val="22"/>
        </w:rPr>
      </w:pPr>
    </w:p>
    <w:p w14:paraId="3DFA6387" w14:textId="77777777" w:rsidR="00036D21" w:rsidRDefault="00036D21" w:rsidP="00A708BA">
      <w:pPr>
        <w:rPr>
          <w:rFonts w:ascii="Arial" w:hAnsi="Arial" w:cs="Arial"/>
          <w:sz w:val="22"/>
          <w:szCs w:val="22"/>
        </w:rPr>
      </w:pPr>
    </w:p>
    <w:p w14:paraId="3E756A52" w14:textId="77777777" w:rsidR="00036D21" w:rsidRDefault="00036D21" w:rsidP="00A708BA">
      <w:pPr>
        <w:rPr>
          <w:rFonts w:ascii="Arial" w:hAnsi="Arial" w:cs="Arial"/>
          <w:sz w:val="22"/>
          <w:szCs w:val="22"/>
        </w:rPr>
      </w:pPr>
    </w:p>
    <w:p w14:paraId="7D2A4BD2" w14:textId="77777777" w:rsidR="00036D21" w:rsidRDefault="00036D21" w:rsidP="00A708BA">
      <w:pPr>
        <w:rPr>
          <w:rFonts w:ascii="Arial" w:hAnsi="Arial" w:cs="Arial"/>
          <w:sz w:val="22"/>
          <w:szCs w:val="22"/>
        </w:rPr>
      </w:pPr>
    </w:p>
    <w:p w14:paraId="09BC4250" w14:textId="77777777" w:rsidR="00036D21" w:rsidRDefault="00036D21" w:rsidP="00A708BA">
      <w:pPr>
        <w:rPr>
          <w:rFonts w:ascii="Arial" w:hAnsi="Arial" w:cs="Arial"/>
          <w:sz w:val="22"/>
          <w:szCs w:val="22"/>
        </w:rPr>
      </w:pPr>
    </w:p>
    <w:p w14:paraId="7D9AD81A" w14:textId="77777777" w:rsidR="00036D21" w:rsidRDefault="00036D21" w:rsidP="00A708BA">
      <w:pPr>
        <w:rPr>
          <w:rFonts w:ascii="Arial" w:hAnsi="Arial" w:cs="Arial"/>
          <w:sz w:val="22"/>
          <w:szCs w:val="22"/>
        </w:rPr>
      </w:pPr>
    </w:p>
    <w:p w14:paraId="09EDDF82" w14:textId="77777777" w:rsidR="00036D21" w:rsidRDefault="00036D21" w:rsidP="00A708BA">
      <w:pPr>
        <w:rPr>
          <w:rFonts w:ascii="Arial" w:hAnsi="Arial" w:cs="Arial"/>
          <w:sz w:val="22"/>
          <w:szCs w:val="22"/>
        </w:rPr>
      </w:pPr>
    </w:p>
    <w:p w14:paraId="05A0C8C0" w14:textId="77777777" w:rsidR="00036D21" w:rsidRDefault="00036D21" w:rsidP="00A708BA">
      <w:pPr>
        <w:rPr>
          <w:rFonts w:ascii="Arial" w:hAnsi="Arial" w:cs="Arial"/>
          <w:sz w:val="22"/>
          <w:szCs w:val="22"/>
        </w:rPr>
      </w:pPr>
    </w:p>
    <w:p w14:paraId="771E69F5" w14:textId="77777777" w:rsidR="00036D21" w:rsidRDefault="00036D21" w:rsidP="00A708BA">
      <w:pPr>
        <w:rPr>
          <w:rFonts w:ascii="Arial" w:hAnsi="Arial" w:cs="Arial"/>
          <w:sz w:val="22"/>
          <w:szCs w:val="22"/>
        </w:rPr>
      </w:pPr>
    </w:p>
    <w:p w14:paraId="2BAE71DE" w14:textId="77777777" w:rsidR="00036D21" w:rsidRDefault="00036D21" w:rsidP="00A708BA">
      <w:pPr>
        <w:rPr>
          <w:rFonts w:ascii="Arial" w:hAnsi="Arial" w:cs="Arial"/>
          <w:sz w:val="22"/>
          <w:szCs w:val="22"/>
        </w:rPr>
      </w:pPr>
    </w:p>
    <w:p w14:paraId="33657DE0" w14:textId="77777777" w:rsidR="00036D21" w:rsidRDefault="00036D21" w:rsidP="00A708BA">
      <w:pPr>
        <w:rPr>
          <w:rFonts w:ascii="Arial" w:hAnsi="Arial" w:cs="Arial"/>
          <w:sz w:val="22"/>
          <w:szCs w:val="22"/>
        </w:rPr>
      </w:pPr>
    </w:p>
    <w:p w14:paraId="66091EF9" w14:textId="77777777" w:rsidR="00036D21" w:rsidRDefault="00036D21" w:rsidP="00A708BA">
      <w:pPr>
        <w:rPr>
          <w:rFonts w:ascii="Arial" w:hAnsi="Arial" w:cs="Arial"/>
          <w:sz w:val="22"/>
          <w:szCs w:val="22"/>
        </w:rPr>
      </w:pPr>
    </w:p>
    <w:p w14:paraId="2E7664C0" w14:textId="77777777" w:rsidR="00036D21" w:rsidRDefault="00036D21" w:rsidP="00A708BA">
      <w:pPr>
        <w:rPr>
          <w:rFonts w:ascii="Arial" w:hAnsi="Arial" w:cs="Arial"/>
          <w:sz w:val="22"/>
          <w:szCs w:val="22"/>
        </w:rPr>
      </w:pPr>
    </w:p>
    <w:p w14:paraId="221B4244" w14:textId="77777777" w:rsidR="00036D21" w:rsidRDefault="00036D21" w:rsidP="00A708BA">
      <w:pPr>
        <w:rPr>
          <w:rFonts w:ascii="Arial" w:hAnsi="Arial" w:cs="Arial"/>
          <w:sz w:val="22"/>
          <w:szCs w:val="22"/>
        </w:rPr>
      </w:pPr>
    </w:p>
    <w:p w14:paraId="021D45AF" w14:textId="77777777" w:rsidR="00036D21" w:rsidRDefault="00036D21" w:rsidP="00A708BA">
      <w:pPr>
        <w:rPr>
          <w:rFonts w:ascii="Arial" w:hAnsi="Arial" w:cs="Arial"/>
          <w:sz w:val="22"/>
          <w:szCs w:val="22"/>
        </w:rPr>
      </w:pPr>
    </w:p>
    <w:p w14:paraId="7CB50845" w14:textId="77777777" w:rsidR="00036D21" w:rsidRDefault="00036D21" w:rsidP="00A708BA">
      <w:pPr>
        <w:rPr>
          <w:rFonts w:ascii="Arial" w:hAnsi="Arial" w:cs="Arial"/>
          <w:sz w:val="22"/>
          <w:szCs w:val="22"/>
        </w:rPr>
      </w:pPr>
    </w:p>
    <w:p w14:paraId="6F177362" w14:textId="77777777" w:rsidR="00036D21" w:rsidRDefault="00036D21" w:rsidP="00A708BA">
      <w:pPr>
        <w:rPr>
          <w:rFonts w:ascii="Arial" w:hAnsi="Arial" w:cs="Arial"/>
          <w:sz w:val="22"/>
          <w:szCs w:val="22"/>
        </w:rPr>
      </w:pPr>
    </w:p>
    <w:p w14:paraId="5347A150" w14:textId="77777777" w:rsidR="00036D21" w:rsidRDefault="00036D21" w:rsidP="00A708BA">
      <w:pPr>
        <w:rPr>
          <w:rFonts w:ascii="Arial" w:hAnsi="Arial" w:cs="Arial"/>
          <w:sz w:val="22"/>
          <w:szCs w:val="22"/>
        </w:rPr>
      </w:pPr>
    </w:p>
    <w:p w14:paraId="60D81AD7" w14:textId="77777777" w:rsidR="00764889" w:rsidRDefault="00764889" w:rsidP="00A708BA">
      <w:pPr>
        <w:rPr>
          <w:rFonts w:ascii="Arial" w:hAnsi="Arial" w:cs="Arial"/>
          <w:b/>
          <w:bCs/>
          <w:sz w:val="32"/>
          <w:szCs w:val="32"/>
        </w:rPr>
      </w:pPr>
    </w:p>
    <w:p w14:paraId="2AF6B2E8" w14:textId="77777777" w:rsidR="00764889" w:rsidRDefault="00764889" w:rsidP="00A708BA">
      <w:pPr>
        <w:rPr>
          <w:rFonts w:ascii="Arial" w:hAnsi="Arial" w:cs="Arial"/>
          <w:b/>
          <w:bCs/>
          <w:sz w:val="32"/>
          <w:szCs w:val="32"/>
        </w:rPr>
      </w:pPr>
    </w:p>
    <w:p w14:paraId="386099C3" w14:textId="77777777" w:rsidR="00764889" w:rsidRDefault="00764889" w:rsidP="00A708BA">
      <w:pPr>
        <w:rPr>
          <w:rFonts w:ascii="Arial" w:hAnsi="Arial" w:cs="Arial"/>
          <w:b/>
          <w:bCs/>
          <w:sz w:val="32"/>
          <w:szCs w:val="32"/>
        </w:rPr>
      </w:pPr>
    </w:p>
    <w:p w14:paraId="72226450" w14:textId="77777777" w:rsidR="00764889" w:rsidRDefault="00764889" w:rsidP="00A708BA">
      <w:pPr>
        <w:rPr>
          <w:rFonts w:ascii="Arial" w:hAnsi="Arial" w:cs="Arial"/>
          <w:b/>
          <w:bCs/>
          <w:sz w:val="32"/>
          <w:szCs w:val="32"/>
        </w:rPr>
      </w:pPr>
    </w:p>
    <w:p w14:paraId="4553F209" w14:textId="77777777" w:rsidR="00764889" w:rsidRDefault="00764889" w:rsidP="00A708BA">
      <w:pPr>
        <w:rPr>
          <w:rFonts w:ascii="Arial" w:hAnsi="Arial" w:cs="Arial"/>
          <w:b/>
          <w:bCs/>
          <w:sz w:val="32"/>
          <w:szCs w:val="32"/>
        </w:rPr>
      </w:pPr>
    </w:p>
    <w:p w14:paraId="033317C5" w14:textId="77777777" w:rsidR="00764889" w:rsidRDefault="00764889" w:rsidP="00A708BA">
      <w:pPr>
        <w:rPr>
          <w:rFonts w:ascii="Arial" w:hAnsi="Arial" w:cs="Arial"/>
          <w:b/>
          <w:bCs/>
          <w:sz w:val="32"/>
          <w:szCs w:val="32"/>
        </w:rPr>
      </w:pPr>
    </w:p>
    <w:p w14:paraId="1EF3BE34" w14:textId="77777777" w:rsidR="00764889" w:rsidRDefault="00764889" w:rsidP="00A708BA">
      <w:pPr>
        <w:rPr>
          <w:rFonts w:ascii="Arial" w:hAnsi="Arial" w:cs="Arial"/>
          <w:b/>
          <w:bCs/>
          <w:sz w:val="32"/>
          <w:szCs w:val="32"/>
        </w:rPr>
      </w:pPr>
    </w:p>
    <w:p w14:paraId="007389FA" w14:textId="77777777" w:rsidR="00764889" w:rsidRDefault="00764889" w:rsidP="00A708BA">
      <w:pPr>
        <w:rPr>
          <w:rFonts w:ascii="Arial" w:hAnsi="Arial" w:cs="Arial"/>
          <w:b/>
          <w:bCs/>
          <w:sz w:val="32"/>
          <w:szCs w:val="32"/>
        </w:rPr>
      </w:pPr>
    </w:p>
    <w:p w14:paraId="4D5A7D6B" w14:textId="77777777" w:rsidR="00764889" w:rsidRDefault="00764889" w:rsidP="00A708BA">
      <w:pPr>
        <w:rPr>
          <w:rFonts w:ascii="Arial" w:hAnsi="Arial" w:cs="Arial"/>
          <w:b/>
          <w:bCs/>
          <w:sz w:val="32"/>
          <w:szCs w:val="32"/>
        </w:rPr>
      </w:pPr>
    </w:p>
    <w:p w14:paraId="0D0E4534" w14:textId="77777777" w:rsidR="00764889" w:rsidRDefault="00764889" w:rsidP="00A708BA">
      <w:pPr>
        <w:rPr>
          <w:rFonts w:ascii="Arial" w:hAnsi="Arial" w:cs="Arial"/>
          <w:b/>
          <w:bCs/>
          <w:sz w:val="32"/>
          <w:szCs w:val="32"/>
        </w:rPr>
      </w:pPr>
    </w:p>
    <w:p w14:paraId="429381BB" w14:textId="77777777" w:rsidR="00764889" w:rsidRDefault="00764889" w:rsidP="00A708BA">
      <w:pPr>
        <w:rPr>
          <w:rFonts w:ascii="Arial" w:hAnsi="Arial" w:cs="Arial"/>
          <w:b/>
          <w:bCs/>
          <w:sz w:val="32"/>
          <w:szCs w:val="32"/>
        </w:rPr>
      </w:pPr>
    </w:p>
    <w:p w14:paraId="2D58AD39" w14:textId="77819DE6" w:rsidR="00036D21" w:rsidRDefault="00036D21" w:rsidP="00A708BA">
      <w:pPr>
        <w:rPr>
          <w:rFonts w:ascii="Arial" w:hAnsi="Arial" w:cs="Arial"/>
          <w:b/>
          <w:bCs/>
          <w:sz w:val="32"/>
          <w:szCs w:val="32"/>
        </w:rPr>
      </w:pPr>
      <w:r w:rsidRPr="00036D21">
        <w:rPr>
          <w:rFonts w:ascii="Arial" w:hAnsi="Arial" w:cs="Arial"/>
          <w:b/>
          <w:bCs/>
          <w:sz w:val="32"/>
          <w:szCs w:val="32"/>
        </w:rPr>
        <w:t>REFERENCES</w:t>
      </w:r>
    </w:p>
    <w:p w14:paraId="1CF672B0" w14:textId="33816160" w:rsidR="00694416" w:rsidRPr="00694416" w:rsidRDefault="00694416" w:rsidP="00694416">
      <w:pPr>
        <w:rPr>
          <w:rFonts w:ascii="Arial" w:hAnsi="Arial" w:cs="Arial"/>
        </w:rPr>
      </w:pPr>
      <w:r w:rsidRPr="00694416">
        <w:rPr>
          <w:rFonts w:ascii="Arial" w:hAnsi="Arial" w:cs="Arial"/>
        </w:rPr>
        <w:t xml:space="preserve">Freeman, R.E. (1984) </w:t>
      </w:r>
      <w:r w:rsidRPr="00694416">
        <w:rPr>
          <w:rFonts w:ascii="Arial" w:hAnsi="Arial" w:cs="Arial"/>
          <w:i/>
          <w:iCs/>
        </w:rPr>
        <w:t>Strategic Management: A Stakeholder Approach</w:t>
      </w:r>
      <w:r w:rsidRPr="00694416">
        <w:rPr>
          <w:rFonts w:ascii="Arial" w:hAnsi="Arial" w:cs="Arial"/>
        </w:rPr>
        <w:t xml:space="preserve">. London: Pitman. </w:t>
      </w:r>
      <w:hyperlink r:id="rId7" w:tgtFrame="_blank" w:history="1">
        <w:r w:rsidRPr="00694416">
          <w:rPr>
            <w:rStyle w:val="Hyperlink"/>
            <w:rFonts w:ascii="Arial" w:hAnsi="Arial" w:cs="Arial"/>
          </w:rPr>
          <w:t>Google Books+3Amazon+3SCIRP+3</w:t>
        </w:r>
      </w:hyperlink>
    </w:p>
    <w:p w14:paraId="359A8189" w14:textId="4EA79E8E" w:rsidR="00694416" w:rsidRPr="00694416" w:rsidRDefault="00694416" w:rsidP="00694416">
      <w:pPr>
        <w:rPr>
          <w:rFonts w:ascii="Arial" w:hAnsi="Arial" w:cs="Arial"/>
        </w:rPr>
      </w:pPr>
      <w:r w:rsidRPr="00694416">
        <w:rPr>
          <w:rFonts w:ascii="Arial" w:hAnsi="Arial" w:cs="Arial"/>
        </w:rPr>
        <w:t xml:space="preserve">Freeman, R.E. (ed.) (2010) </w:t>
      </w:r>
      <w:r w:rsidRPr="00694416">
        <w:rPr>
          <w:rFonts w:ascii="Arial" w:hAnsi="Arial" w:cs="Arial"/>
          <w:i/>
          <w:iCs/>
        </w:rPr>
        <w:t>Stakeholder Theory: The State of the Art</w:t>
      </w:r>
      <w:r w:rsidRPr="00694416">
        <w:rPr>
          <w:rFonts w:ascii="Arial" w:hAnsi="Arial" w:cs="Arial"/>
        </w:rPr>
        <w:t xml:space="preserve">. Cambridge: Cambridge University Press. </w:t>
      </w:r>
      <w:hyperlink r:id="rId8" w:tgtFrame="_blank" w:history="1">
        <w:r w:rsidRPr="00694416">
          <w:rPr>
            <w:rStyle w:val="Hyperlink"/>
            <w:rFonts w:ascii="Arial" w:hAnsi="Arial" w:cs="Arial"/>
          </w:rPr>
          <w:t>Google Books+1</w:t>
        </w:r>
      </w:hyperlink>
    </w:p>
    <w:p w14:paraId="03683612" w14:textId="4F86CE82" w:rsidR="00694416" w:rsidRPr="00694416" w:rsidRDefault="00694416" w:rsidP="00694416">
      <w:pPr>
        <w:rPr>
          <w:rFonts w:ascii="Arial" w:hAnsi="Arial" w:cs="Arial"/>
        </w:rPr>
      </w:pPr>
      <w:r w:rsidRPr="00694416">
        <w:rPr>
          <w:rFonts w:ascii="Arial" w:hAnsi="Arial" w:cs="Arial"/>
        </w:rPr>
        <w:t xml:space="preserve">Mendelow, A.L. (1991) ‘Stakeholder Mapping’, </w:t>
      </w:r>
      <w:r w:rsidRPr="00694416">
        <w:rPr>
          <w:rFonts w:ascii="Arial" w:hAnsi="Arial" w:cs="Arial"/>
          <w:i/>
          <w:iCs/>
        </w:rPr>
        <w:t>Proceedings of the 2nd International Conference on Information Systems</w:t>
      </w:r>
      <w:r w:rsidRPr="00694416">
        <w:rPr>
          <w:rFonts w:ascii="Arial" w:hAnsi="Arial" w:cs="Arial"/>
        </w:rPr>
        <w:t xml:space="preserve">, Cambridge, MA (December 1991), pp.113-125. </w:t>
      </w:r>
      <w:hyperlink r:id="rId9" w:tgtFrame="_blank" w:history="1">
        <w:r w:rsidRPr="00694416">
          <w:rPr>
            <w:rStyle w:val="Hyperlink"/>
            <w:rFonts w:ascii="Arial" w:hAnsi="Arial" w:cs="Arial"/>
          </w:rPr>
          <w:t>Studocu+1</w:t>
        </w:r>
      </w:hyperlink>
    </w:p>
    <w:p w14:paraId="4FEF0716" w14:textId="66427897" w:rsidR="00694416" w:rsidRPr="00694416" w:rsidRDefault="00694416" w:rsidP="00694416">
      <w:pPr>
        <w:rPr>
          <w:rFonts w:ascii="Arial" w:hAnsi="Arial" w:cs="Arial"/>
        </w:rPr>
      </w:pPr>
      <w:r w:rsidRPr="00694416">
        <w:rPr>
          <w:rFonts w:ascii="Arial" w:hAnsi="Arial" w:cs="Arial"/>
        </w:rPr>
        <w:lastRenderedPageBreak/>
        <w:t xml:space="preserve">Oxford College of Marketing (2018) ‘What is Mendelow’s Matrix and Why Is It Useful For …’, Oxford College of Marketing Blog, 23 April. Available at: https://blog.oxfordcollegeofmarketing.com/2018/04/23/what-is-mendelows-matrix-and-why-is-it-useful/ (Accessed: date). </w:t>
      </w:r>
      <w:hyperlink r:id="rId10" w:tgtFrame="_blank" w:history="1">
        <w:r w:rsidRPr="00694416">
          <w:rPr>
            <w:rStyle w:val="Hyperlink"/>
            <w:rFonts w:ascii="Arial" w:hAnsi="Arial" w:cs="Arial"/>
          </w:rPr>
          <w:t>Oxford College of Marketing Blog</w:t>
        </w:r>
      </w:hyperlink>
    </w:p>
    <w:p w14:paraId="1FEFB9D3" w14:textId="6FBDF173" w:rsidR="00694416" w:rsidRPr="00694416" w:rsidRDefault="00694416" w:rsidP="00694416">
      <w:pPr>
        <w:rPr>
          <w:rFonts w:ascii="Arial" w:hAnsi="Arial" w:cs="Arial"/>
        </w:rPr>
      </w:pPr>
      <w:proofErr w:type="spellStart"/>
      <w:r w:rsidRPr="00694416">
        <w:rPr>
          <w:rFonts w:ascii="Arial" w:hAnsi="Arial" w:cs="Arial"/>
        </w:rPr>
        <w:t>ToolsHero</w:t>
      </w:r>
      <w:proofErr w:type="spellEnd"/>
      <w:r w:rsidRPr="00694416">
        <w:rPr>
          <w:rFonts w:ascii="Arial" w:hAnsi="Arial" w:cs="Arial"/>
        </w:rPr>
        <w:t xml:space="preserve"> (2025) ‘Mendelow’s Matrix – Stakeholder Analysis Explained’, </w:t>
      </w:r>
      <w:proofErr w:type="spellStart"/>
      <w:r w:rsidRPr="00694416">
        <w:rPr>
          <w:rFonts w:ascii="Arial" w:hAnsi="Arial" w:cs="Arial"/>
        </w:rPr>
        <w:t>ToolsHero</w:t>
      </w:r>
      <w:proofErr w:type="spellEnd"/>
      <w:r w:rsidRPr="00694416">
        <w:rPr>
          <w:rFonts w:ascii="Arial" w:hAnsi="Arial" w:cs="Arial"/>
        </w:rPr>
        <w:t xml:space="preserve">, 15 March. Available at: </w:t>
      </w:r>
      <w:hyperlink r:id="rId11" w:tgtFrame="_new" w:history="1">
        <w:r w:rsidRPr="00694416">
          <w:rPr>
            <w:rStyle w:val="Hyperlink"/>
            <w:rFonts w:ascii="Arial" w:hAnsi="Arial" w:cs="Arial"/>
          </w:rPr>
          <w:t>https://www.toolshero.com/strategy/mendelow-matrix/</w:t>
        </w:r>
      </w:hyperlink>
      <w:r w:rsidRPr="00694416">
        <w:rPr>
          <w:rFonts w:ascii="Arial" w:hAnsi="Arial" w:cs="Arial"/>
        </w:rPr>
        <w:t xml:space="preserve"> (Accessed: date). </w:t>
      </w:r>
      <w:hyperlink r:id="rId12" w:tgtFrame="_blank" w:history="1">
        <w:proofErr w:type="spellStart"/>
        <w:r w:rsidRPr="00694416">
          <w:rPr>
            <w:rStyle w:val="Hyperlink"/>
            <w:rFonts w:ascii="Arial" w:hAnsi="Arial" w:cs="Arial"/>
          </w:rPr>
          <w:t>Toolshero</w:t>
        </w:r>
        <w:proofErr w:type="spellEnd"/>
      </w:hyperlink>
    </w:p>
    <w:p w14:paraId="4AB89D88" w14:textId="51120D33" w:rsidR="00694416" w:rsidRPr="00694416" w:rsidRDefault="00694416" w:rsidP="00694416">
      <w:pPr>
        <w:rPr>
          <w:rFonts w:ascii="Arial" w:hAnsi="Arial" w:cs="Arial"/>
        </w:rPr>
      </w:pPr>
      <w:r w:rsidRPr="00694416">
        <w:rPr>
          <w:rFonts w:ascii="Arial" w:hAnsi="Arial" w:cs="Arial"/>
        </w:rPr>
        <w:t xml:space="preserve">Das, D. (2011) ‘4C Model: A New Approach to Determine and Measure Organisational Effectiveness’, </w:t>
      </w:r>
      <w:r w:rsidRPr="00694416">
        <w:rPr>
          <w:rFonts w:ascii="Arial" w:hAnsi="Arial" w:cs="Arial"/>
          <w:i/>
          <w:iCs/>
        </w:rPr>
        <w:t>SSRN Electronic Journal</w:t>
      </w:r>
      <w:r w:rsidRPr="00694416">
        <w:rPr>
          <w:rFonts w:ascii="Arial" w:hAnsi="Arial" w:cs="Arial"/>
        </w:rPr>
        <w:t xml:space="preserve">. Available at: https://papers.ssrn.com/abstract=1879413 (Accessed: date). </w:t>
      </w:r>
      <w:hyperlink r:id="rId13" w:tgtFrame="_blank" w:history="1">
        <w:r w:rsidRPr="00694416">
          <w:rPr>
            <w:rStyle w:val="Hyperlink"/>
            <w:rFonts w:ascii="Arial" w:hAnsi="Arial" w:cs="Arial"/>
          </w:rPr>
          <w:t>SSRN</w:t>
        </w:r>
      </w:hyperlink>
    </w:p>
    <w:p w14:paraId="278047FE" w14:textId="4983E564" w:rsidR="00694416" w:rsidRPr="00694416" w:rsidRDefault="00694416" w:rsidP="00694416">
      <w:pPr>
        <w:rPr>
          <w:rFonts w:ascii="Arial" w:hAnsi="Arial" w:cs="Arial"/>
        </w:rPr>
      </w:pPr>
      <w:r w:rsidRPr="00694416">
        <w:rPr>
          <w:rFonts w:ascii="Arial" w:hAnsi="Arial" w:cs="Arial"/>
        </w:rPr>
        <w:t xml:space="preserve">Convergence Labs (2018) ‘The Four Cs: Communication, Coordination, Cooperation and Collaboration’, Convergence Labs Blog, 3 January. Available at: </w:t>
      </w:r>
      <w:hyperlink r:id="rId14" w:tgtFrame="_new" w:history="1">
        <w:r w:rsidRPr="00694416">
          <w:rPr>
            <w:rStyle w:val="Hyperlink"/>
            <w:rFonts w:ascii="Arial" w:hAnsi="Arial" w:cs="Arial"/>
          </w:rPr>
          <w:t>https://convergencelabs.com/blog/2018/01/the-four-cs-communication-coordination-cooperation-and-collaboration/</w:t>
        </w:r>
      </w:hyperlink>
      <w:r w:rsidRPr="00694416">
        <w:rPr>
          <w:rFonts w:ascii="Arial" w:hAnsi="Arial" w:cs="Arial"/>
        </w:rPr>
        <w:t xml:space="preserve"> (Accessed: date). </w:t>
      </w:r>
      <w:hyperlink r:id="rId15" w:tgtFrame="_blank" w:history="1">
        <w:r w:rsidRPr="00694416">
          <w:rPr>
            <w:rStyle w:val="Hyperlink"/>
            <w:rFonts w:ascii="Arial" w:hAnsi="Arial" w:cs="Arial"/>
          </w:rPr>
          <w:t>Convergence Labs</w:t>
        </w:r>
      </w:hyperlink>
    </w:p>
    <w:p w14:paraId="7F56B017" w14:textId="58CF8128" w:rsidR="00694416" w:rsidRPr="00694416" w:rsidRDefault="00694416" w:rsidP="00694416">
      <w:pPr>
        <w:rPr>
          <w:rFonts w:ascii="Arial" w:hAnsi="Arial" w:cs="Arial"/>
        </w:rPr>
      </w:pPr>
      <w:r w:rsidRPr="00694416">
        <w:rPr>
          <w:rFonts w:ascii="Arial" w:hAnsi="Arial" w:cs="Arial"/>
        </w:rPr>
        <w:t xml:space="preserve">Open University (Undated) ‘4.4 Power versus interest’, </w:t>
      </w:r>
      <w:r w:rsidRPr="00694416">
        <w:rPr>
          <w:rFonts w:ascii="Arial" w:hAnsi="Arial" w:cs="Arial"/>
          <w:i/>
          <w:iCs/>
        </w:rPr>
        <w:t>Successful IT Systems</w:t>
      </w:r>
      <w:r w:rsidRPr="00694416">
        <w:rPr>
          <w:rFonts w:ascii="Arial" w:hAnsi="Arial" w:cs="Arial"/>
        </w:rPr>
        <w:t xml:space="preserve"> module, The Open University. Available at: </w:t>
      </w:r>
      <w:hyperlink r:id="rId16" w:tgtFrame="_new" w:history="1">
        <w:r w:rsidRPr="00694416">
          <w:rPr>
            <w:rStyle w:val="Hyperlink"/>
            <w:rFonts w:ascii="Arial" w:hAnsi="Arial" w:cs="Arial"/>
          </w:rPr>
          <w:t>https://www.open.edu/openlearn/science-maths-technology/computing-ict/successful-it-systems/content-section-4.4</w:t>
        </w:r>
      </w:hyperlink>
      <w:r w:rsidRPr="00694416">
        <w:rPr>
          <w:rFonts w:ascii="Arial" w:hAnsi="Arial" w:cs="Arial"/>
        </w:rPr>
        <w:t xml:space="preserve"> (Accessed: date). </w:t>
      </w:r>
      <w:hyperlink r:id="rId17" w:tgtFrame="_blank" w:history="1">
        <w:r w:rsidRPr="00694416">
          <w:rPr>
            <w:rStyle w:val="Hyperlink"/>
            <w:rFonts w:ascii="Arial" w:hAnsi="Arial" w:cs="Arial"/>
          </w:rPr>
          <w:t>The Open University</w:t>
        </w:r>
      </w:hyperlink>
    </w:p>
    <w:p w14:paraId="3BAE53DF" w14:textId="54DD72FA" w:rsidR="00694416" w:rsidRPr="00694416" w:rsidRDefault="00694416" w:rsidP="00694416">
      <w:pPr>
        <w:rPr>
          <w:rFonts w:ascii="Arial" w:hAnsi="Arial" w:cs="Arial"/>
        </w:rPr>
      </w:pPr>
      <w:r w:rsidRPr="00694416">
        <w:rPr>
          <w:rFonts w:ascii="Arial" w:hAnsi="Arial" w:cs="Arial"/>
        </w:rPr>
        <w:t xml:space="preserve">Herazo, B. (2016) ‘Understanding stakeholders’ approaches to sustainability: based on Mendelow’s (1991) model’, </w:t>
      </w:r>
      <w:r w:rsidRPr="00694416">
        <w:rPr>
          <w:rFonts w:ascii="Arial" w:hAnsi="Arial" w:cs="Arial"/>
          <w:i/>
          <w:iCs/>
        </w:rPr>
        <w:t>Corporate Social Responsibility and Environmental Management</w:t>
      </w:r>
      <w:r w:rsidRPr="00694416">
        <w:rPr>
          <w:rFonts w:ascii="Arial" w:hAnsi="Arial" w:cs="Arial"/>
        </w:rPr>
        <w:t xml:space="preserve">, 23(5), pp.289-304. </w:t>
      </w:r>
      <w:hyperlink r:id="rId18" w:tgtFrame="_blank" w:history="1">
        <w:r w:rsidRPr="00694416">
          <w:rPr>
            <w:rStyle w:val="Hyperlink"/>
            <w:rFonts w:ascii="Arial" w:hAnsi="Arial" w:cs="Arial"/>
          </w:rPr>
          <w:t>ScienceDirect</w:t>
        </w:r>
      </w:hyperlink>
    </w:p>
    <w:p w14:paraId="29D4730C" w14:textId="785CB71F" w:rsidR="00694416" w:rsidRPr="00694416" w:rsidRDefault="00694416" w:rsidP="00694416">
      <w:pPr>
        <w:rPr>
          <w:rFonts w:ascii="Arial" w:hAnsi="Arial" w:cs="Arial"/>
        </w:rPr>
      </w:pPr>
      <w:r w:rsidRPr="00694416">
        <w:rPr>
          <w:rFonts w:ascii="Arial" w:hAnsi="Arial" w:cs="Arial"/>
        </w:rPr>
        <w:t xml:space="preserve">Huhn, S. et al. (2022) ‘The Impact of Wearable Technologies in Health Research’, </w:t>
      </w:r>
      <w:r w:rsidRPr="00694416">
        <w:rPr>
          <w:rFonts w:ascii="Arial" w:hAnsi="Arial" w:cs="Arial"/>
          <w:i/>
          <w:iCs/>
        </w:rPr>
        <w:t xml:space="preserve">JMIR mHealth and </w:t>
      </w:r>
      <w:proofErr w:type="spellStart"/>
      <w:r w:rsidRPr="00694416">
        <w:rPr>
          <w:rFonts w:ascii="Arial" w:hAnsi="Arial" w:cs="Arial"/>
          <w:i/>
          <w:iCs/>
        </w:rPr>
        <w:t>uHealth</w:t>
      </w:r>
      <w:proofErr w:type="spellEnd"/>
      <w:r w:rsidRPr="00694416">
        <w:rPr>
          <w:rFonts w:ascii="Arial" w:hAnsi="Arial" w:cs="Arial"/>
        </w:rPr>
        <w:t xml:space="preserve">, 10(7), e33631. Available at: https://www.ncbi.nlm.nih.gov/articles/PMC8826148/ (Accessed: date). </w:t>
      </w:r>
      <w:hyperlink r:id="rId19" w:tgtFrame="_blank" w:history="1">
        <w:r w:rsidRPr="00694416">
          <w:rPr>
            <w:rStyle w:val="Hyperlink"/>
            <w:rFonts w:ascii="Arial" w:hAnsi="Arial" w:cs="Arial"/>
          </w:rPr>
          <w:t>PMC</w:t>
        </w:r>
      </w:hyperlink>
    </w:p>
    <w:p w14:paraId="564E4F73" w14:textId="0A3B8A93" w:rsidR="00694416" w:rsidRPr="00694416" w:rsidRDefault="00694416" w:rsidP="00694416">
      <w:pPr>
        <w:rPr>
          <w:rFonts w:ascii="Arial" w:hAnsi="Arial" w:cs="Arial"/>
        </w:rPr>
      </w:pPr>
      <w:r w:rsidRPr="00694416">
        <w:rPr>
          <w:rFonts w:ascii="Arial" w:hAnsi="Arial" w:cs="Arial"/>
        </w:rPr>
        <w:t xml:space="preserve">Kang, H.S. et al. (2022) ‘Wearing the Future—Wearables to Empower Users to Take Control of Their Health’, </w:t>
      </w:r>
      <w:r w:rsidRPr="00694416">
        <w:rPr>
          <w:rFonts w:ascii="Arial" w:hAnsi="Arial" w:cs="Arial"/>
          <w:i/>
          <w:iCs/>
        </w:rPr>
        <w:t>Sensors</w:t>
      </w:r>
      <w:r w:rsidRPr="00694416">
        <w:rPr>
          <w:rFonts w:ascii="Arial" w:hAnsi="Arial" w:cs="Arial"/>
        </w:rPr>
        <w:t xml:space="preserve">, 22(3), art.733. Available at: https://www.ncbi.nlm.nih.gov/articles/PMC9330198/ (Accessed: date). </w:t>
      </w:r>
      <w:hyperlink r:id="rId20" w:tgtFrame="_blank" w:history="1">
        <w:r w:rsidRPr="00694416">
          <w:rPr>
            <w:rStyle w:val="Hyperlink"/>
            <w:rFonts w:ascii="Arial" w:hAnsi="Arial" w:cs="Arial"/>
          </w:rPr>
          <w:t>PMC</w:t>
        </w:r>
      </w:hyperlink>
    </w:p>
    <w:p w14:paraId="154AE28B" w14:textId="22B1DDB7" w:rsidR="00694416" w:rsidRPr="00694416" w:rsidRDefault="00694416" w:rsidP="00694416">
      <w:pPr>
        <w:rPr>
          <w:rFonts w:ascii="Arial" w:hAnsi="Arial" w:cs="Arial"/>
        </w:rPr>
      </w:pPr>
      <w:r w:rsidRPr="00694416">
        <w:rPr>
          <w:rFonts w:ascii="Arial" w:hAnsi="Arial" w:cs="Arial"/>
        </w:rPr>
        <w:t xml:space="preserve">Grand View Research (2024) ‘UK Wearable Medical Devices Market Size Report, 2030’, Grand View Research. Available at: </w:t>
      </w:r>
      <w:hyperlink r:id="rId21" w:tgtFrame="_new" w:history="1">
        <w:r w:rsidRPr="00694416">
          <w:rPr>
            <w:rStyle w:val="Hyperlink"/>
            <w:rFonts w:ascii="Arial" w:hAnsi="Arial" w:cs="Arial"/>
          </w:rPr>
          <w:t>https://www.grandviewresearch.com/industry-analysis/uk-wearable-medical-devices-market-report</w:t>
        </w:r>
      </w:hyperlink>
      <w:r w:rsidRPr="00694416">
        <w:rPr>
          <w:rFonts w:ascii="Arial" w:hAnsi="Arial" w:cs="Arial"/>
        </w:rPr>
        <w:t xml:space="preserve"> (Accessed: date). </w:t>
      </w:r>
      <w:hyperlink r:id="rId22" w:tgtFrame="_blank" w:history="1">
        <w:r w:rsidRPr="00694416">
          <w:rPr>
            <w:rStyle w:val="Hyperlink"/>
            <w:rFonts w:ascii="Arial" w:hAnsi="Arial" w:cs="Arial"/>
          </w:rPr>
          <w:t>grandviewresearch.com</w:t>
        </w:r>
      </w:hyperlink>
    </w:p>
    <w:p w14:paraId="74E1BA52" w14:textId="0395753C" w:rsidR="00694416" w:rsidRPr="00694416" w:rsidRDefault="00694416" w:rsidP="00694416">
      <w:pPr>
        <w:rPr>
          <w:rFonts w:ascii="Arial" w:hAnsi="Arial" w:cs="Arial"/>
        </w:rPr>
      </w:pPr>
      <w:r w:rsidRPr="00694416">
        <w:rPr>
          <w:rFonts w:ascii="Arial" w:hAnsi="Arial" w:cs="Arial"/>
        </w:rPr>
        <w:t xml:space="preserve">NHS England (2025) ‘Medical devices and digital tools’, NHS England Long Read, 17 April. Available at: </w:t>
      </w:r>
      <w:hyperlink r:id="rId23" w:tgtFrame="_new" w:history="1">
        <w:r w:rsidRPr="00694416">
          <w:rPr>
            <w:rStyle w:val="Hyperlink"/>
            <w:rFonts w:ascii="Arial" w:hAnsi="Arial" w:cs="Arial"/>
          </w:rPr>
          <w:t>https://www.england.nhs.uk/long-read/medical-devices-and-digital-tools/</w:t>
        </w:r>
      </w:hyperlink>
      <w:r w:rsidRPr="00694416">
        <w:rPr>
          <w:rFonts w:ascii="Arial" w:hAnsi="Arial" w:cs="Arial"/>
        </w:rPr>
        <w:t xml:space="preserve"> (Accessed: date). </w:t>
      </w:r>
      <w:hyperlink r:id="rId24" w:tgtFrame="_blank" w:history="1">
        <w:r w:rsidRPr="00694416">
          <w:rPr>
            <w:rStyle w:val="Hyperlink"/>
            <w:rFonts w:ascii="Arial" w:hAnsi="Arial" w:cs="Arial"/>
          </w:rPr>
          <w:t>NHS England</w:t>
        </w:r>
      </w:hyperlink>
    </w:p>
    <w:p w14:paraId="12B5D51A" w14:textId="2D6DC1B7" w:rsidR="00694416" w:rsidRPr="00694416" w:rsidRDefault="00694416" w:rsidP="00694416">
      <w:pPr>
        <w:rPr>
          <w:rFonts w:ascii="Arial" w:hAnsi="Arial" w:cs="Arial"/>
        </w:rPr>
      </w:pPr>
      <w:r w:rsidRPr="00694416">
        <w:rPr>
          <w:rFonts w:ascii="Arial" w:hAnsi="Arial" w:cs="Arial"/>
        </w:rPr>
        <w:t xml:space="preserve">Serban, A. (2025) ‘Is your health tech product a medical device? What UK startups need to know’, </w:t>
      </w:r>
      <w:r w:rsidRPr="00694416">
        <w:rPr>
          <w:rFonts w:ascii="Arial" w:hAnsi="Arial" w:cs="Arial"/>
          <w:i/>
          <w:iCs/>
        </w:rPr>
        <w:t>Founders-Law Blog</w:t>
      </w:r>
      <w:r w:rsidRPr="00694416">
        <w:rPr>
          <w:rFonts w:ascii="Arial" w:hAnsi="Arial" w:cs="Arial"/>
        </w:rPr>
        <w:t xml:space="preserve">, 10 July. Available at: </w:t>
      </w:r>
      <w:hyperlink r:id="rId25" w:tgtFrame="_new" w:history="1">
        <w:r w:rsidRPr="00694416">
          <w:rPr>
            <w:rStyle w:val="Hyperlink"/>
            <w:rFonts w:ascii="Arial" w:hAnsi="Arial" w:cs="Arial"/>
          </w:rPr>
          <w:t>https://www.founders-law.co.uk/blog/is-your-health-tech-product-a-medical-device-what-uk-startups-need-to-know</w:t>
        </w:r>
      </w:hyperlink>
      <w:r w:rsidRPr="00694416">
        <w:rPr>
          <w:rFonts w:ascii="Arial" w:hAnsi="Arial" w:cs="Arial"/>
        </w:rPr>
        <w:t xml:space="preserve"> (Accessed: date). </w:t>
      </w:r>
      <w:hyperlink r:id="rId26" w:tgtFrame="_blank" w:history="1">
        <w:r w:rsidRPr="00694416">
          <w:rPr>
            <w:rStyle w:val="Hyperlink"/>
            <w:rFonts w:ascii="Arial" w:hAnsi="Arial" w:cs="Arial"/>
          </w:rPr>
          <w:t>founders-law.co.uk</w:t>
        </w:r>
      </w:hyperlink>
    </w:p>
    <w:p w14:paraId="64BCFCEB" w14:textId="5E16B520" w:rsidR="00694416" w:rsidRPr="00694416" w:rsidRDefault="00694416" w:rsidP="00694416">
      <w:pPr>
        <w:rPr>
          <w:rFonts w:ascii="Arial" w:hAnsi="Arial" w:cs="Arial"/>
        </w:rPr>
      </w:pPr>
      <w:r w:rsidRPr="00694416">
        <w:rPr>
          <w:rFonts w:ascii="Arial" w:hAnsi="Arial" w:cs="Arial"/>
        </w:rPr>
        <w:lastRenderedPageBreak/>
        <w:t xml:space="preserve">Regulatory Horizons Council (2021) </w:t>
      </w:r>
      <w:r w:rsidRPr="00694416">
        <w:rPr>
          <w:rFonts w:ascii="Arial" w:hAnsi="Arial" w:cs="Arial"/>
          <w:i/>
          <w:iCs/>
        </w:rPr>
        <w:t>Regulatory Horizons Council Report on Medical Devices</w:t>
      </w:r>
      <w:r w:rsidRPr="00694416">
        <w:rPr>
          <w:rFonts w:ascii="Arial" w:hAnsi="Arial" w:cs="Arial"/>
        </w:rPr>
        <w:t xml:space="preserve">, UK Government, August. Available at: </w:t>
      </w:r>
      <w:hyperlink r:id="rId27" w:tgtFrame="_new" w:history="1">
        <w:r w:rsidRPr="00694416">
          <w:rPr>
            <w:rStyle w:val="Hyperlink"/>
            <w:rFonts w:ascii="Arial" w:hAnsi="Arial" w:cs="Arial"/>
          </w:rPr>
          <w:t>https://assets.publishing.service.gov.uk/media/611d11f1d3bf7f63aeb66cb3/rhc-medical-report.pdf</w:t>
        </w:r>
      </w:hyperlink>
      <w:r w:rsidRPr="00694416">
        <w:rPr>
          <w:rFonts w:ascii="Arial" w:hAnsi="Arial" w:cs="Arial"/>
        </w:rPr>
        <w:t xml:space="preserve"> (Accessed: date). </w:t>
      </w:r>
      <w:hyperlink r:id="rId28" w:tgtFrame="_blank" w:history="1">
        <w:r w:rsidRPr="00694416">
          <w:rPr>
            <w:rStyle w:val="Hyperlink"/>
            <w:rFonts w:ascii="Arial" w:hAnsi="Arial" w:cs="Arial"/>
          </w:rPr>
          <w:t>GOV.UK</w:t>
        </w:r>
      </w:hyperlink>
    </w:p>
    <w:p w14:paraId="6E10AC64" w14:textId="77777777" w:rsidR="00036D21" w:rsidRPr="00036D21" w:rsidRDefault="00036D21" w:rsidP="00A708BA">
      <w:pPr>
        <w:rPr>
          <w:rFonts w:ascii="Arial" w:hAnsi="Arial" w:cs="Arial"/>
          <w:b/>
          <w:bCs/>
          <w:sz w:val="32"/>
          <w:szCs w:val="32"/>
        </w:rPr>
      </w:pPr>
    </w:p>
    <w:sectPr w:rsidR="00036D21" w:rsidRPr="00036D21">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625BC" w14:textId="77777777" w:rsidR="00D90E14" w:rsidRDefault="00D90E14" w:rsidP="00D90E14">
      <w:pPr>
        <w:spacing w:after="0" w:line="240" w:lineRule="auto"/>
      </w:pPr>
      <w:r>
        <w:separator/>
      </w:r>
    </w:p>
  </w:endnote>
  <w:endnote w:type="continuationSeparator" w:id="0">
    <w:p w14:paraId="4B5329C1" w14:textId="77777777" w:rsidR="00D90E14" w:rsidRDefault="00D90E14" w:rsidP="00D90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A4DC" w14:textId="77777777" w:rsidR="00966D90" w:rsidRDefault="00966D9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C33F458" w14:textId="77777777" w:rsidR="00D90E14" w:rsidRDefault="00D90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50E2A" w14:textId="77777777" w:rsidR="00D90E14" w:rsidRDefault="00D90E14" w:rsidP="00D90E14">
      <w:pPr>
        <w:spacing w:after="0" w:line="240" w:lineRule="auto"/>
      </w:pPr>
      <w:r>
        <w:separator/>
      </w:r>
    </w:p>
  </w:footnote>
  <w:footnote w:type="continuationSeparator" w:id="0">
    <w:p w14:paraId="0582CE85" w14:textId="77777777" w:rsidR="00D90E14" w:rsidRDefault="00D90E14" w:rsidP="00D90E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649"/>
    <w:rsid w:val="00036D21"/>
    <w:rsid w:val="00140994"/>
    <w:rsid w:val="00174238"/>
    <w:rsid w:val="00180AAD"/>
    <w:rsid w:val="001B5D92"/>
    <w:rsid w:val="0020315C"/>
    <w:rsid w:val="00263436"/>
    <w:rsid w:val="002640A8"/>
    <w:rsid w:val="0032229D"/>
    <w:rsid w:val="00482AF3"/>
    <w:rsid w:val="004D5503"/>
    <w:rsid w:val="00517E70"/>
    <w:rsid w:val="005329DB"/>
    <w:rsid w:val="00564B62"/>
    <w:rsid w:val="00572A47"/>
    <w:rsid w:val="005B6E37"/>
    <w:rsid w:val="006817D8"/>
    <w:rsid w:val="00684512"/>
    <w:rsid w:val="00694416"/>
    <w:rsid w:val="00694C6E"/>
    <w:rsid w:val="00764889"/>
    <w:rsid w:val="007A3052"/>
    <w:rsid w:val="008700A7"/>
    <w:rsid w:val="009003B1"/>
    <w:rsid w:val="0093030C"/>
    <w:rsid w:val="00966D90"/>
    <w:rsid w:val="009C6FA9"/>
    <w:rsid w:val="00A708BA"/>
    <w:rsid w:val="00AC2B3D"/>
    <w:rsid w:val="00AD3FBD"/>
    <w:rsid w:val="00B81DAE"/>
    <w:rsid w:val="00BE1C1D"/>
    <w:rsid w:val="00CD65D2"/>
    <w:rsid w:val="00CF7544"/>
    <w:rsid w:val="00D141ED"/>
    <w:rsid w:val="00D82C79"/>
    <w:rsid w:val="00D90E14"/>
    <w:rsid w:val="00E767C2"/>
    <w:rsid w:val="00E875FC"/>
    <w:rsid w:val="00F92649"/>
    <w:rsid w:val="00FE0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1AD6"/>
  <w15:chartTrackingRefBased/>
  <w15:docId w15:val="{21D25489-DE92-415E-8DB5-107A786AF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2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2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2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2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2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649"/>
    <w:rPr>
      <w:rFonts w:eastAsiaTheme="majorEastAsia" w:cstheme="majorBidi"/>
      <w:color w:val="272727" w:themeColor="text1" w:themeTint="D8"/>
    </w:rPr>
  </w:style>
  <w:style w:type="paragraph" w:styleId="Title">
    <w:name w:val="Title"/>
    <w:basedOn w:val="Normal"/>
    <w:next w:val="Normal"/>
    <w:link w:val="TitleChar"/>
    <w:uiPriority w:val="10"/>
    <w:qFormat/>
    <w:rsid w:val="00F92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6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649"/>
    <w:pPr>
      <w:spacing w:before="160"/>
      <w:jc w:val="center"/>
    </w:pPr>
    <w:rPr>
      <w:i/>
      <w:iCs/>
      <w:color w:val="404040" w:themeColor="text1" w:themeTint="BF"/>
    </w:rPr>
  </w:style>
  <w:style w:type="character" w:customStyle="1" w:styleId="QuoteChar">
    <w:name w:val="Quote Char"/>
    <w:basedOn w:val="DefaultParagraphFont"/>
    <w:link w:val="Quote"/>
    <w:uiPriority w:val="29"/>
    <w:rsid w:val="00F92649"/>
    <w:rPr>
      <w:i/>
      <w:iCs/>
      <w:color w:val="404040" w:themeColor="text1" w:themeTint="BF"/>
    </w:rPr>
  </w:style>
  <w:style w:type="paragraph" w:styleId="ListParagraph">
    <w:name w:val="List Paragraph"/>
    <w:basedOn w:val="Normal"/>
    <w:uiPriority w:val="34"/>
    <w:qFormat/>
    <w:rsid w:val="00F92649"/>
    <w:pPr>
      <w:ind w:left="720"/>
      <w:contextualSpacing/>
    </w:pPr>
  </w:style>
  <w:style w:type="character" w:styleId="IntenseEmphasis">
    <w:name w:val="Intense Emphasis"/>
    <w:basedOn w:val="DefaultParagraphFont"/>
    <w:uiPriority w:val="21"/>
    <w:qFormat/>
    <w:rsid w:val="00F92649"/>
    <w:rPr>
      <w:i/>
      <w:iCs/>
      <w:color w:val="0F4761" w:themeColor="accent1" w:themeShade="BF"/>
    </w:rPr>
  </w:style>
  <w:style w:type="paragraph" w:styleId="IntenseQuote">
    <w:name w:val="Intense Quote"/>
    <w:basedOn w:val="Normal"/>
    <w:next w:val="Normal"/>
    <w:link w:val="IntenseQuoteChar"/>
    <w:uiPriority w:val="30"/>
    <w:qFormat/>
    <w:rsid w:val="00F92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2649"/>
    <w:rPr>
      <w:i/>
      <w:iCs/>
      <w:color w:val="0F4761" w:themeColor="accent1" w:themeShade="BF"/>
    </w:rPr>
  </w:style>
  <w:style w:type="character" w:styleId="IntenseReference">
    <w:name w:val="Intense Reference"/>
    <w:basedOn w:val="DefaultParagraphFont"/>
    <w:uiPriority w:val="32"/>
    <w:qFormat/>
    <w:rsid w:val="00F92649"/>
    <w:rPr>
      <w:b/>
      <w:bCs/>
      <w:smallCaps/>
      <w:color w:val="0F4761" w:themeColor="accent1" w:themeShade="BF"/>
      <w:spacing w:val="5"/>
    </w:rPr>
  </w:style>
  <w:style w:type="table" w:styleId="TableGrid">
    <w:name w:val="Table Grid"/>
    <w:basedOn w:val="TableNormal"/>
    <w:uiPriority w:val="39"/>
    <w:rsid w:val="00180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A305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7A305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2-Accent2">
    <w:name w:val="List Table 2 Accent 2"/>
    <w:basedOn w:val="TableNormal"/>
    <w:uiPriority w:val="47"/>
    <w:rsid w:val="007A3052"/>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6">
    <w:name w:val="Grid Table 2 Accent 6"/>
    <w:basedOn w:val="TableNormal"/>
    <w:uiPriority w:val="47"/>
    <w:rsid w:val="007A3052"/>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2-Accent5">
    <w:name w:val="Grid Table 2 Accent 5"/>
    <w:basedOn w:val="TableNormal"/>
    <w:uiPriority w:val="47"/>
    <w:rsid w:val="007A3052"/>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1">
    <w:name w:val="List Table 4 Accent 1"/>
    <w:basedOn w:val="TableNormal"/>
    <w:uiPriority w:val="49"/>
    <w:rsid w:val="007A305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7Colorful-Accent2">
    <w:name w:val="List Table 7 Colorful Accent 2"/>
    <w:basedOn w:val="TableNormal"/>
    <w:uiPriority w:val="52"/>
    <w:rsid w:val="00BE1C1D"/>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Accent2">
    <w:name w:val="Grid Table 7 Colorful Accent 2"/>
    <w:basedOn w:val="TableNormal"/>
    <w:uiPriority w:val="52"/>
    <w:rsid w:val="00BE1C1D"/>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1Light-Accent2">
    <w:name w:val="Grid Table 1 Light Accent 2"/>
    <w:basedOn w:val="TableNormal"/>
    <w:uiPriority w:val="46"/>
    <w:rsid w:val="00BE1C1D"/>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694C6E"/>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
    <w:name w:val="Grid Table 6 Colorful"/>
    <w:basedOn w:val="TableNormal"/>
    <w:uiPriority w:val="51"/>
    <w:rsid w:val="006845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694416"/>
    <w:rPr>
      <w:color w:val="467886" w:themeColor="hyperlink"/>
      <w:u w:val="single"/>
    </w:rPr>
  </w:style>
  <w:style w:type="character" w:styleId="UnresolvedMention">
    <w:name w:val="Unresolved Mention"/>
    <w:basedOn w:val="DefaultParagraphFont"/>
    <w:uiPriority w:val="99"/>
    <w:semiHidden/>
    <w:unhideWhenUsed/>
    <w:rsid w:val="00694416"/>
    <w:rPr>
      <w:color w:val="605E5C"/>
      <w:shd w:val="clear" w:color="auto" w:fill="E1DFDD"/>
    </w:rPr>
  </w:style>
  <w:style w:type="paragraph" w:styleId="Header">
    <w:name w:val="header"/>
    <w:basedOn w:val="Normal"/>
    <w:link w:val="HeaderChar"/>
    <w:uiPriority w:val="99"/>
    <w:unhideWhenUsed/>
    <w:rsid w:val="00D90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E14"/>
  </w:style>
  <w:style w:type="paragraph" w:styleId="Footer">
    <w:name w:val="footer"/>
    <w:basedOn w:val="Normal"/>
    <w:link w:val="FooterChar"/>
    <w:uiPriority w:val="99"/>
    <w:unhideWhenUsed/>
    <w:rsid w:val="00D90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E14"/>
  </w:style>
  <w:style w:type="paragraph" w:styleId="TOCHeading">
    <w:name w:val="TOC Heading"/>
    <w:basedOn w:val="Heading1"/>
    <w:next w:val="Normal"/>
    <w:uiPriority w:val="39"/>
    <w:unhideWhenUsed/>
    <w:qFormat/>
    <w:rsid w:val="0076488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64889"/>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764889"/>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764889"/>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about/Stakeholder_Theory.html?id=xF8-WN1QlIMC&amp;utm_source=chatgpt.com" TargetMode="External"/><Relationship Id="rId13" Type="http://schemas.openxmlformats.org/officeDocument/2006/relationships/hyperlink" Target="https://papers.ssrn.com/sol3/Delivery.cfm/SSRN_ID2039227_code1596092.pdf?abstractid=1879413&amp;mirid=1&amp;utm_source=chatgpt.com" TargetMode="External"/><Relationship Id="rId18" Type="http://schemas.openxmlformats.org/officeDocument/2006/relationships/hyperlink" Target="https://www.sciencedirect.com/science/article/abs/pii/S2210670716301068?utm_source=chatgpt.com" TargetMode="External"/><Relationship Id="rId26" Type="http://schemas.openxmlformats.org/officeDocument/2006/relationships/hyperlink" Target="https://www.founders-law.co.uk/blog/is-your-health-tech-product-a-medical-device-what-uk-startups-need-to-know?utm_source=chatgpt.com" TargetMode="External"/><Relationship Id="rId3" Type="http://schemas.openxmlformats.org/officeDocument/2006/relationships/settings" Target="settings.xml"/><Relationship Id="rId21" Type="http://schemas.openxmlformats.org/officeDocument/2006/relationships/hyperlink" Target="https://www.grandviewresearch.com/industry-analysis/uk-wearable-medical-devices-market-report?utm_source=chatgpt.com" TargetMode="External"/><Relationship Id="rId7" Type="http://schemas.openxmlformats.org/officeDocument/2006/relationships/hyperlink" Target="https://www.amazon.co.uk/Strategic-Management-R-Freeman/dp/0521151740?utm_source=chatgpt.com" TargetMode="External"/><Relationship Id="rId12" Type="http://schemas.openxmlformats.org/officeDocument/2006/relationships/hyperlink" Target="https://www.toolshero.com/strategy/mendelow-matrix/?utm_source=chatgpt.com" TargetMode="External"/><Relationship Id="rId17" Type="http://schemas.openxmlformats.org/officeDocument/2006/relationships/hyperlink" Target="https://www.open.edu/openlearn/science-maths-technology/computing-ict/successful-it-systems/content-section-4.4?utm_source=chatgpt.com" TargetMode="External"/><Relationship Id="rId25" Type="http://schemas.openxmlformats.org/officeDocument/2006/relationships/hyperlink" Target="https://www.founders-law.co.uk/blog/is-your-health-tech-product-a-medical-device-what-uk-startups-need-to-know?utm_source=chatgpt.com" TargetMode="External"/><Relationship Id="rId2" Type="http://schemas.openxmlformats.org/officeDocument/2006/relationships/styles" Target="styles.xml"/><Relationship Id="rId16" Type="http://schemas.openxmlformats.org/officeDocument/2006/relationships/hyperlink" Target="https://www.open.edu/openlearn/science-maths-technology/computing-ict/successful-it-systems/content-section-4.4?utm_source=chatgpt.com" TargetMode="External"/><Relationship Id="rId20" Type="http://schemas.openxmlformats.org/officeDocument/2006/relationships/hyperlink" Target="https://pmc.ncbi.nlm.nih.gov/articles/PMC9330198/?utm_source=chatgpt.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oolshero.com/strategy/mendelow-matrix/?utm_source=chatgpt.com" TargetMode="External"/><Relationship Id="rId24" Type="http://schemas.openxmlformats.org/officeDocument/2006/relationships/hyperlink" Target="https://www.england.nhs.uk/long-read/medical-devices-and-digital-tools/?utm_source=chatgpt.com" TargetMode="External"/><Relationship Id="rId5" Type="http://schemas.openxmlformats.org/officeDocument/2006/relationships/footnotes" Target="footnotes.xml"/><Relationship Id="rId15" Type="http://schemas.openxmlformats.org/officeDocument/2006/relationships/hyperlink" Target="https://convergencelabs.com/blog/2018/01/the-four-cs-communication-coordination-cooperation-and-collaboration/?utm_source=chatgpt.com" TargetMode="External"/><Relationship Id="rId23" Type="http://schemas.openxmlformats.org/officeDocument/2006/relationships/hyperlink" Target="https://www.england.nhs.uk/long-read/medical-devices-and-digital-tools/?utm_source=chatgpt.com" TargetMode="External"/><Relationship Id="rId28" Type="http://schemas.openxmlformats.org/officeDocument/2006/relationships/hyperlink" Target="https://assets.publishing.service.gov.uk/media/611d11f1d3bf7f63aeb66cb3/rhc-medical-report.pdf?utm_source=chatgpt.com" TargetMode="External"/><Relationship Id="rId10" Type="http://schemas.openxmlformats.org/officeDocument/2006/relationships/hyperlink" Target="https://blog.oxfordcollegeofmarketing.com/2018/04/23/what-is-mendelows-matrix-and-how-is-it-useful/?utm_source=chatgpt.com" TargetMode="External"/><Relationship Id="rId19" Type="http://schemas.openxmlformats.org/officeDocument/2006/relationships/hyperlink" Target="https://pmc.ncbi.nlm.nih.gov/articles/PMC8826148/?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udocu.com/en-gb/messages/question/8270606/mendelow-matrix-in-harvard-reference-format?utm_source=chatgpt.com" TargetMode="External"/><Relationship Id="rId14" Type="http://schemas.openxmlformats.org/officeDocument/2006/relationships/hyperlink" Target="https://convergencelabs.com/blog/2018/01/the-four-cs-communication-coordination-cooperation-and-collaboration/?utm_source=chatgpt.com" TargetMode="External"/><Relationship Id="rId22" Type="http://schemas.openxmlformats.org/officeDocument/2006/relationships/hyperlink" Target="https://www.grandviewresearch.com/industry-analysis/uk-wearable-medical-devices-market-report?utm_source=chatgpt.com" TargetMode="External"/><Relationship Id="rId27" Type="http://schemas.openxmlformats.org/officeDocument/2006/relationships/hyperlink" Target="https://assets.publishing.service.gov.uk/media/611d11f1d3bf7f63aeb66cb3/rhc-medical-report.pdf?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93EAD-8A8B-401C-911B-76C6D2F22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24</Pages>
  <Words>5733</Words>
  <Characters>32682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Netoi</dc:creator>
  <cp:keywords/>
  <dc:description/>
  <cp:lastModifiedBy>Ionut Netoi</cp:lastModifiedBy>
  <cp:revision>30</cp:revision>
  <dcterms:created xsi:type="dcterms:W3CDTF">2025-11-21T00:36:00Z</dcterms:created>
  <dcterms:modified xsi:type="dcterms:W3CDTF">2025-11-21T11:29:00Z</dcterms:modified>
</cp:coreProperties>
</file>