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/>
          <w:lang w:val="en-US" w:eastAsia="zh-CN"/>
        </w:rPr>
      </w:pPr>
      <w:r>
        <w:rPr>
          <w:rFonts w:hint="default"/>
          <w:lang w:val="en-US" w:eastAsia="zh-CN"/>
        </w:rPr>
        <w:t>public sector role</w:t>
      </w:r>
      <w:r>
        <w:rPr>
          <w:rFonts w:hint="eastAsia"/>
          <w:lang w:val="en-US" w:eastAsia="zh-CN"/>
        </w:rPr>
        <w:t>：</w:t>
      </w:r>
    </w:p>
    <w:p>
      <w:pPr>
        <w:rPr>
          <w:rFonts w:hint="default"/>
          <w:lang w:val="en-US" w:eastAsia="zh-CN"/>
        </w:rPr>
      </w:pPr>
    </w:p>
    <w:p>
      <w:pPr>
        <w:rPr>
          <w:rFonts w:hint="default"/>
          <w:lang w:val="en-US" w:eastAsia="zh-CN"/>
        </w:rPr>
      </w:pPr>
      <w:r>
        <w:rPr>
          <w:rFonts w:hint="default"/>
          <w:lang w:val="en-US" w:eastAsia="zh-CN"/>
        </w:rPr>
        <w:t>The innovations undertaken by the United Nations Inter-Agency Task Force on Science and Technology to achieve the Sustainable Development Goals will facilitate coordination,</w:t>
      </w:r>
    </w:p>
    <w:p>
      <w:pPr>
        <w:rPr>
          <w:rFonts w:hint="default"/>
          <w:lang w:val="en-US" w:eastAsia="zh-CN"/>
        </w:rPr>
      </w:pPr>
      <w:r>
        <w:rPr>
          <w:rFonts w:hint="default"/>
          <w:lang w:val="en-US" w:eastAsia="zh-CN"/>
        </w:rPr>
        <w:t>Coordination and cooperation in science within the United Nations system, technology and innovation-related matters, enhanced synergy and efficiency,</w:t>
      </w:r>
    </w:p>
    <w:p>
      <w:pPr>
        <w:rPr>
          <w:rFonts w:hint="default"/>
          <w:lang w:val="en-US" w:eastAsia="zh-CN"/>
        </w:rPr>
      </w:pPr>
      <w:bookmarkStart w:id="0" w:name="_GoBack"/>
      <w:bookmarkEnd w:id="0"/>
      <w:r>
        <w:rPr>
          <w:rFonts w:hint="default"/>
          <w:lang w:val="en-US" w:eastAsia="zh-CN"/>
        </w:rPr>
        <w:t>In particular, strengthen capacity-building initiatives. The task force will draw lots to use existing resources and will work with 10 representatives from the civilian sector</w:t>
      </w:r>
    </w:p>
    <w:p>
      <w:pPr>
        <w:rPr>
          <w:rFonts w:hint="default"/>
          <w:lang w:val="en-US" w:eastAsia="zh-CN"/>
        </w:rPr>
      </w:pPr>
      <w:r>
        <w:rPr>
          <w:rFonts w:hint="default"/>
          <w:lang w:val="en-US" w:eastAsia="zh-CN"/>
        </w:rPr>
        <w:t>The society, the private sector, and the scientific community prepare the meetings of the Multi-stakeholder Forum on Science, Technology and Innovation. Development and operation of innovative online platforms for achieving the Sustainable Development Goals, including preparation of recommendations for forum and online platform approaches.</w:t>
      </w:r>
    </w:p>
    <w:p>
      <w:pPr>
        <w:rPr>
          <w:rFonts w:hint="default"/>
          <w:lang w:val="en-US"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2AFB2F8D"/>
    <w:rsid w:val="2AFB2F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18</TotalTime>
  <ScaleCrop>false</ScaleCrop>
  <LinksUpToDate>false</LinksUpToDate>
  <CharactersWithSpaces>0</CharactersWithSpaces>
  <Application>WPS Office_11.1.0.9513_F1E327BC-269C-435d-A152-05C5408002CA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2020-03-17T12:14:00Z</dcterms:created>
  <dc:creator>Jung</dc:creator>
  <cp:lastModifiedBy>Jung</cp:lastModifiedBy>
  <dcterms:modified xsi:type="dcterms:W3CDTF">2020-03-17T12:46:46Z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2052-11.1.0.9513</vt:lpwstr>
  </property>
</Properties>
</file>