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Pr="00263FFC" w:rsidRDefault="007D1947">
          <w:pPr>
            <w:pStyle w:val="NoSpacing"/>
            <w:spacing w:before="1540" w:after="240"/>
            <w:jc w:val="center"/>
            <w:rPr>
              <w:color w:val="5B9BD5" w:themeColor="accent1"/>
              <w:lang w:val="en-GB"/>
            </w:rPr>
          </w:pPr>
          <w:r w:rsidRPr="00263FFC">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F389F04" w14:textId="77777777" w:rsidR="007F659E" w:rsidRDefault="007F659E" w:rsidP="00E03A6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lang w:val="en-GB"/>
            </w:rPr>
          </w:pPr>
          <w:r w:rsidRPr="007F659E">
            <w:rPr>
              <w:rFonts w:asciiTheme="majorHAnsi" w:eastAsiaTheme="majorEastAsia" w:hAnsiTheme="majorHAnsi" w:cstheme="majorBidi"/>
              <w:caps/>
              <w:color w:val="5B9BD5" w:themeColor="accent1"/>
              <w:sz w:val="72"/>
              <w:szCs w:val="72"/>
              <w:lang w:val="en-GB"/>
            </w:rPr>
            <w:t>Blue Thread Ltd: Budgeting Challenges and Financial Solutions</w:t>
          </w:r>
        </w:p>
        <w:p w14:paraId="475B7674" w14:textId="0FE715B6" w:rsidR="007D1947" w:rsidRPr="00263FFC" w:rsidRDefault="0009737C" w:rsidP="00E03A6B">
          <w:pPr>
            <w:pStyle w:val="NoSpacing"/>
            <w:pBdr>
              <w:top w:val="single" w:sz="6" w:space="6" w:color="5B9BD5" w:themeColor="accent1"/>
              <w:bottom w:val="single" w:sz="6" w:space="6" w:color="5B9BD5" w:themeColor="accent1"/>
            </w:pBdr>
            <w:spacing w:after="240"/>
            <w:jc w:val="center"/>
            <w:rPr>
              <w:color w:val="5B9BD5" w:themeColor="accent1"/>
              <w:sz w:val="28"/>
              <w:szCs w:val="28"/>
              <w:lang w:val="en-GB"/>
            </w:rPr>
          </w:pPr>
          <w:sdt>
            <w:sdtPr>
              <w:rPr>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7F659E">
                <w:rPr>
                  <w:color w:val="5B9BD5" w:themeColor="accent1"/>
                  <w:sz w:val="28"/>
                  <w:szCs w:val="28"/>
                  <w:lang w:val="en-GB"/>
                </w:rPr>
                <w:t>Principles and Concepts of Finance (BMSW5012_</w:t>
              </w:r>
              <w:proofErr w:type="gramStart"/>
              <w:r w:rsidR="007F659E">
                <w:rPr>
                  <w:color w:val="5B9BD5" w:themeColor="accent1"/>
                  <w:sz w:val="28"/>
                  <w:szCs w:val="28"/>
                  <w:lang w:val="en-GB"/>
                </w:rPr>
                <w:t xml:space="preserve">SWAN)   </w:t>
              </w:r>
              <w:proofErr w:type="gramEnd"/>
              <w:r w:rsidR="007F659E">
                <w:rPr>
                  <w:color w:val="5B9BD5" w:themeColor="accent1"/>
                  <w:sz w:val="28"/>
                  <w:szCs w:val="28"/>
                  <w:lang w:val="en-GB"/>
                </w:rPr>
                <w:t xml:space="preserve">                               Raluca-Cornelia Vasiu(2241085)</w:t>
              </w:r>
            </w:sdtContent>
          </w:sdt>
        </w:p>
        <w:p w14:paraId="1ADC1124" w14:textId="77777777" w:rsidR="007D1947" w:rsidRPr="00263FFC" w:rsidRDefault="007D1947">
          <w:pPr>
            <w:pStyle w:val="NoSpacing"/>
            <w:spacing w:before="480"/>
            <w:jc w:val="center"/>
            <w:rPr>
              <w:color w:val="5B9BD5" w:themeColor="accent1"/>
              <w:lang w:val="en-GB"/>
            </w:rPr>
          </w:pPr>
          <w:r w:rsidRPr="00263FFC">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EndPr/>
                                <w:sdtContent>
                                  <w:p w14:paraId="52BAF8D9" w14:textId="25AEEF19" w:rsidR="007D1947" w:rsidRPr="00263FFC" w:rsidRDefault="00A8206A">
                                    <w:pPr>
                                      <w:pStyle w:val="NoSpacing"/>
                                      <w:spacing w:after="40"/>
                                      <w:jc w:val="center"/>
                                      <w:rPr>
                                        <w:caps/>
                                        <w:color w:val="5B9BD5" w:themeColor="accent1"/>
                                        <w:sz w:val="28"/>
                                        <w:szCs w:val="28"/>
                                        <w:lang w:val="en-GB"/>
                                      </w:rPr>
                                    </w:pPr>
                                    <w:r w:rsidRPr="00263FFC">
                                      <w:rPr>
                                        <w:caps/>
                                        <w:color w:val="5B9BD5" w:themeColor="accent1"/>
                                        <w:sz w:val="28"/>
                                        <w:szCs w:val="28"/>
                                        <w:lang w:val="en-GB"/>
                                      </w:rPr>
                                      <w:t>March 28, 2025</w:t>
                                    </w:r>
                                  </w:p>
                                </w:sdtContent>
                              </w:sdt>
                              <w:p w14:paraId="69E98CB3" w14:textId="77777777" w:rsidR="007D1947" w:rsidRPr="00263FFC" w:rsidRDefault="0009737C">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263FFC">
                                      <w:rPr>
                                        <w:caps/>
                                        <w:color w:val="5B9BD5" w:themeColor="accent1"/>
                                        <w:lang w:val="en-GB"/>
                                      </w:rPr>
                                      <w:t>University of Wales Trinity Saint David</w:t>
                                    </w:r>
                                  </w:sdtContent>
                                </w:sdt>
                              </w:p>
                              <w:p w14:paraId="3FC79022" w14:textId="77777777" w:rsidR="007D1947" w:rsidRPr="00263FFC" w:rsidRDefault="0009737C">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263FFC">
                                      <w:rPr>
                                        <w:color w:val="5B9BD5"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EndPr/>
                          <w:sdtContent>
                            <w:p w14:paraId="52BAF8D9" w14:textId="25AEEF19" w:rsidR="007D1947" w:rsidRPr="00263FFC" w:rsidRDefault="00A8206A">
                              <w:pPr>
                                <w:pStyle w:val="NoSpacing"/>
                                <w:spacing w:after="40"/>
                                <w:jc w:val="center"/>
                                <w:rPr>
                                  <w:caps/>
                                  <w:color w:val="5B9BD5" w:themeColor="accent1"/>
                                  <w:sz w:val="28"/>
                                  <w:szCs w:val="28"/>
                                  <w:lang w:val="en-GB"/>
                                </w:rPr>
                              </w:pPr>
                              <w:r w:rsidRPr="00263FFC">
                                <w:rPr>
                                  <w:caps/>
                                  <w:color w:val="5B9BD5" w:themeColor="accent1"/>
                                  <w:sz w:val="28"/>
                                  <w:szCs w:val="28"/>
                                  <w:lang w:val="en-GB"/>
                                </w:rPr>
                                <w:t>March 28, 2025</w:t>
                              </w:r>
                            </w:p>
                          </w:sdtContent>
                        </w:sdt>
                        <w:p w14:paraId="69E98CB3" w14:textId="77777777" w:rsidR="007D1947" w:rsidRPr="00263FFC" w:rsidRDefault="00660A12">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263FFC">
                                <w:rPr>
                                  <w:caps/>
                                  <w:color w:val="5B9BD5" w:themeColor="accent1"/>
                                  <w:lang w:val="en-GB"/>
                                </w:rPr>
                                <w:t>University of Wales Trinity Saint David</w:t>
                              </w:r>
                            </w:sdtContent>
                          </w:sdt>
                        </w:p>
                        <w:p w14:paraId="3FC79022" w14:textId="77777777" w:rsidR="007D1947" w:rsidRPr="00263FFC" w:rsidRDefault="00660A12">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263FFC">
                                <w:rPr>
                                  <w:color w:val="5B9BD5" w:themeColor="accent1"/>
                                  <w:lang w:val="en-GB"/>
                                </w:rPr>
                                <w:t xml:space="preserve">     </w:t>
                              </w:r>
                            </w:sdtContent>
                          </w:sdt>
                        </w:p>
                      </w:txbxContent>
                    </v:textbox>
                    <w10:wrap anchorx="margin" anchory="page"/>
                  </v:shape>
                </w:pict>
              </mc:Fallback>
            </mc:AlternateContent>
          </w:r>
          <w:r w:rsidRPr="00263FFC">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rsidRPr="00263FFC">
            <w:br w:type="page"/>
          </w:r>
          <w:bookmarkStart w:id="0" w:name="_Toc194668461"/>
          <w:r w:rsidRPr="00263FFC">
            <w:lastRenderedPageBreak/>
            <w:t>Executive Summary</w:t>
          </w:r>
          <w:bookmarkEnd w:id="0"/>
        </w:p>
        <w:p w14:paraId="339392D7" w14:textId="77777777" w:rsidR="000224D0" w:rsidRPr="000224D0" w:rsidRDefault="000224D0" w:rsidP="000224D0"/>
        <w:p w14:paraId="08DA0F72" w14:textId="0B19E073" w:rsidR="000A176D" w:rsidRPr="000A176D" w:rsidRDefault="000A176D" w:rsidP="000A176D">
          <w:pPr>
            <w:spacing w:line="360" w:lineRule="auto"/>
            <w:rPr>
              <w:sz w:val="24"/>
              <w:szCs w:val="24"/>
            </w:rPr>
          </w:pPr>
          <w:r w:rsidRPr="000A176D">
            <w:rPr>
              <w:sz w:val="24"/>
              <w:szCs w:val="24"/>
            </w:rPr>
            <w:t xml:space="preserve">The purpose of this report is to analyse the budgeting practices and financial performance of Blue Thread Ltd, a UK-based fashion retail company operating ten high street stores. The business is currently facing financial pressure due to a £25,000 bank overdraft that must be eliminated by the end of November. </w:t>
          </w:r>
          <w:r w:rsidR="000224D0" w:rsidRPr="000A176D">
            <w:rPr>
              <w:sz w:val="24"/>
              <w:szCs w:val="24"/>
            </w:rPr>
            <w:t>Considering</w:t>
          </w:r>
          <w:r w:rsidRPr="000A176D">
            <w:rPr>
              <w:sz w:val="24"/>
              <w:szCs w:val="24"/>
            </w:rPr>
            <w:t xml:space="preserve"> this, the company has undertaken a six-month review (June to November) of its financial planning and control systems. This report evaluates the business's stock, cash, and profit and loss budgets to identify inefficiencies, assess strategic alignment, and recommend improvements to ensure the company’s financial stability and long-term sustainability.</w:t>
          </w:r>
        </w:p>
        <w:p w14:paraId="308F4C27" w14:textId="7E79AE3A" w:rsidR="000A176D" w:rsidRPr="000A176D" w:rsidRDefault="000A176D" w:rsidP="000A176D">
          <w:pPr>
            <w:spacing w:line="360" w:lineRule="auto"/>
            <w:rPr>
              <w:sz w:val="24"/>
              <w:szCs w:val="24"/>
            </w:rPr>
          </w:pPr>
          <w:r w:rsidRPr="000A176D">
            <w:rPr>
              <w:sz w:val="24"/>
              <w:szCs w:val="24"/>
            </w:rPr>
            <w:t xml:space="preserve">The report begins by analysing the stock budget, which reveals a consistent increase in inventory levels that may signal overstocking and poor working capital utilisation. The cash budget highlights significant monthly deficits, particularly in June, August, and September. These deficits are largely due to high stock purchases, rigid repayment schedules, and capital expenditure on store refurbishments. Although the profit and loss account </w:t>
          </w:r>
          <w:r w:rsidR="006167FB" w:rsidRPr="000A176D">
            <w:rPr>
              <w:sz w:val="24"/>
              <w:szCs w:val="24"/>
            </w:rPr>
            <w:t>demonstrate</w:t>
          </w:r>
          <w:r w:rsidRPr="000A176D">
            <w:rPr>
              <w:sz w:val="24"/>
              <w:szCs w:val="24"/>
            </w:rPr>
            <w:t xml:space="preserve"> a solid gross profit margin of 35%, it also indicates a disconnect between profitability and liquidity, a challenge commonly faced by retail businesses.</w:t>
          </w:r>
        </w:p>
        <w:p w14:paraId="04692F71" w14:textId="77777777" w:rsidR="000A176D" w:rsidRPr="000A176D" w:rsidRDefault="000A176D" w:rsidP="000A176D">
          <w:pPr>
            <w:spacing w:line="360" w:lineRule="auto"/>
            <w:rPr>
              <w:sz w:val="24"/>
              <w:szCs w:val="24"/>
            </w:rPr>
          </w:pPr>
          <w:r w:rsidRPr="000A176D">
            <w:rPr>
              <w:sz w:val="24"/>
              <w:szCs w:val="24"/>
            </w:rPr>
            <w:t>Section B focuses on identifying financial risks and recommending strategic actions to improve short-term cash flow and long-term planning. Key recommendations include phasing capital expenditures, improving stock control, renegotiating supplier terms, and adopting more agile inventory management techniques such as just-in-time (JIT) systems.</w:t>
          </w:r>
        </w:p>
        <w:p w14:paraId="524DA92A" w14:textId="77777777" w:rsidR="000A176D" w:rsidRPr="000A176D" w:rsidRDefault="000A176D" w:rsidP="000A176D">
          <w:pPr>
            <w:spacing w:line="360" w:lineRule="auto"/>
            <w:rPr>
              <w:sz w:val="24"/>
              <w:szCs w:val="24"/>
            </w:rPr>
          </w:pPr>
          <w:r w:rsidRPr="000A176D">
            <w:rPr>
              <w:sz w:val="24"/>
              <w:szCs w:val="24"/>
            </w:rPr>
            <w:t>Section C critically discusses the organisational and behavioural factors required for a successful budgeting system. It highlights the importance of participation, clear communication, realistic goal setting, and cross-departmental collaboration. The section also explores behavioural issues such as budgetary slack, motivation, and resistance to change that can undermine budgeting effectiveness.</w:t>
          </w:r>
        </w:p>
        <w:p w14:paraId="085F830F" w14:textId="77777777" w:rsidR="000A176D" w:rsidRPr="000A176D" w:rsidRDefault="000A176D" w:rsidP="000A176D">
          <w:pPr>
            <w:spacing w:line="360" w:lineRule="auto"/>
            <w:rPr>
              <w:sz w:val="24"/>
              <w:szCs w:val="24"/>
            </w:rPr>
          </w:pPr>
          <w:r w:rsidRPr="000A176D">
            <w:rPr>
              <w:sz w:val="24"/>
              <w:szCs w:val="24"/>
            </w:rPr>
            <w:t xml:space="preserve">Section D evaluates traditional budgeting methods, particularly incremental budgeting, and explores modern alternatives such as rolling forecasts, zero-based budgeting (ZBB), activity-based budgeting (ABB), and the Beyond Budgeting model. These approaches are analysed </w:t>
          </w:r>
          <w:r w:rsidRPr="000A176D">
            <w:rPr>
              <w:sz w:val="24"/>
              <w:szCs w:val="24"/>
            </w:rPr>
            <w:lastRenderedPageBreak/>
            <w:t>for their ability to provide greater flexibility, strategic alignment, and responsiveness in an unpredictable retail environment.</w:t>
          </w:r>
        </w:p>
        <w:p w14:paraId="53337EE9" w14:textId="77777777" w:rsidR="000A176D" w:rsidRPr="000A176D" w:rsidRDefault="000A176D" w:rsidP="000A176D">
          <w:pPr>
            <w:spacing w:line="360" w:lineRule="auto"/>
            <w:rPr>
              <w:sz w:val="24"/>
              <w:szCs w:val="24"/>
            </w:rPr>
          </w:pPr>
          <w:r w:rsidRPr="000A176D">
            <w:rPr>
              <w:sz w:val="24"/>
              <w:szCs w:val="24"/>
            </w:rPr>
            <w:t>The report concludes with a recommendation for Blue Thread Ltd to adopt a hybrid budgeting system that blends traditional structure with flexible, participatory methods. Such an approach will enable the company to eliminate its overdraft, improve cash flow management, and enhance its long-term financial resilience.</w:t>
          </w:r>
        </w:p>
        <w:p w14:paraId="75D3B42C" w14:textId="77777777" w:rsidR="000A176D" w:rsidRPr="000A176D" w:rsidRDefault="000A176D" w:rsidP="000A176D"/>
        <w:p w14:paraId="62AB7F7D" w14:textId="77777777" w:rsidR="007D1947" w:rsidRPr="00263FFC" w:rsidRDefault="007D1947"/>
        <w:p w14:paraId="6846CF66" w14:textId="77777777" w:rsidR="007D1947" w:rsidRPr="00263FFC" w:rsidRDefault="007D1947"/>
        <w:p w14:paraId="7F8F78F5" w14:textId="77777777" w:rsidR="007D1947" w:rsidRPr="00263FFC" w:rsidRDefault="007D1947"/>
        <w:p w14:paraId="3E204757" w14:textId="77777777" w:rsidR="007D1947" w:rsidRPr="00263FFC" w:rsidRDefault="007D1947"/>
        <w:p w14:paraId="775DA3A7" w14:textId="77777777" w:rsidR="007D1947" w:rsidRPr="00263FFC" w:rsidRDefault="007D1947"/>
        <w:p w14:paraId="5E5C2FB5" w14:textId="77777777" w:rsidR="007D1947" w:rsidRPr="00263FFC" w:rsidRDefault="007D1947"/>
        <w:p w14:paraId="119F1E47" w14:textId="77777777" w:rsidR="007D1947" w:rsidRPr="00263FFC" w:rsidRDefault="007D1947"/>
        <w:p w14:paraId="2059565F" w14:textId="77777777" w:rsidR="007D1947" w:rsidRPr="00263FFC" w:rsidRDefault="007D1947"/>
        <w:p w14:paraId="1E53466B" w14:textId="77777777" w:rsidR="007D1947" w:rsidRPr="00263FFC" w:rsidRDefault="007D1947"/>
        <w:p w14:paraId="7BC12A6B" w14:textId="77777777" w:rsidR="007D1947" w:rsidRPr="00263FFC" w:rsidRDefault="007D1947"/>
        <w:p w14:paraId="3C8549E0" w14:textId="77777777" w:rsidR="007D1947" w:rsidRPr="00263FFC" w:rsidRDefault="007D1947"/>
        <w:p w14:paraId="606FEBB7" w14:textId="77777777" w:rsidR="007D1947" w:rsidRPr="00263FFC" w:rsidRDefault="007D1947"/>
        <w:p w14:paraId="40B2C76A" w14:textId="77777777" w:rsidR="007D1947" w:rsidRPr="00263FFC" w:rsidRDefault="007D1947"/>
        <w:p w14:paraId="2598F19F" w14:textId="77777777" w:rsidR="007D1947" w:rsidRPr="00263FFC" w:rsidRDefault="007D1947"/>
        <w:p w14:paraId="777A1881" w14:textId="77777777" w:rsidR="007D1947" w:rsidRPr="00263FFC" w:rsidRDefault="007D1947"/>
        <w:p w14:paraId="220B1276" w14:textId="77777777" w:rsidR="007D1947" w:rsidRPr="00263FFC" w:rsidRDefault="007D1947"/>
        <w:p w14:paraId="1DD00D9D" w14:textId="77777777" w:rsidR="007D1947" w:rsidRPr="00263FFC" w:rsidRDefault="007D1947"/>
        <w:p w14:paraId="51A70438" w14:textId="77777777" w:rsidR="007D1947" w:rsidRPr="00263FFC" w:rsidRDefault="007D1947"/>
        <w:p w14:paraId="0F59BD6D" w14:textId="77777777" w:rsidR="007D1947" w:rsidRPr="00263FFC" w:rsidRDefault="007D1947"/>
        <w:p w14:paraId="00C4B35A" w14:textId="77777777" w:rsidR="007D1947" w:rsidRPr="00263FFC" w:rsidRDefault="007D1947"/>
        <w:p w14:paraId="15213261" w14:textId="77777777" w:rsidR="007D1947" w:rsidRPr="00263FFC" w:rsidRDefault="007D1947"/>
        <w:p w14:paraId="35966CEF" w14:textId="77777777" w:rsidR="007D1947" w:rsidRPr="00263FFC" w:rsidRDefault="007D1947"/>
        <w:p w14:paraId="66DDECEB" w14:textId="77777777" w:rsidR="007D1947" w:rsidRPr="00263FFC" w:rsidRDefault="007D1947"/>
        <w:p w14:paraId="6AD6DEAB" w14:textId="77777777" w:rsidR="007D1947" w:rsidRPr="00263FFC" w:rsidRDefault="007D1947"/>
        <w:p w14:paraId="50292428" w14:textId="77777777" w:rsidR="007D1947" w:rsidRDefault="007D1947"/>
        <w:p w14:paraId="01780153" w14:textId="77777777" w:rsidR="00BF3680" w:rsidRDefault="00BF3680"/>
        <w:p w14:paraId="52B68401" w14:textId="77777777" w:rsidR="00BF3680" w:rsidRPr="00263FFC" w:rsidRDefault="00BF3680"/>
        <w:p w14:paraId="0EAD00A7" w14:textId="77777777" w:rsidR="007D1947" w:rsidRPr="00263FFC"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rPr>
          </w:sdtEndPr>
          <w:sdtContent>
            <w:p w14:paraId="68AE094E" w14:textId="77777777" w:rsidR="00BF3680" w:rsidRDefault="00BF3680">
              <w:pPr>
                <w:pStyle w:val="TOCHeading"/>
                <w:rPr>
                  <w:rFonts w:asciiTheme="minorHAnsi" w:eastAsiaTheme="minorHAnsi" w:hAnsiTheme="minorHAnsi" w:cstheme="minorBidi"/>
                  <w:color w:val="auto"/>
                  <w:sz w:val="22"/>
                  <w:szCs w:val="22"/>
                  <w:lang w:val="en-GB"/>
                </w:rPr>
              </w:pPr>
            </w:p>
            <w:p w14:paraId="1DFECD67" w14:textId="7DE8D7DC" w:rsidR="007D1947" w:rsidRPr="00263FFC" w:rsidRDefault="007D1947">
              <w:pPr>
                <w:pStyle w:val="TOCHeading"/>
                <w:rPr>
                  <w:lang w:val="en-GB"/>
                </w:rPr>
              </w:pPr>
              <w:r w:rsidRPr="00263FFC">
                <w:rPr>
                  <w:lang w:val="en-GB"/>
                </w:rPr>
                <w:t>Table of Contents</w:t>
              </w:r>
            </w:p>
            <w:p w14:paraId="3DC0B8D8" w14:textId="5211048D" w:rsidR="0009737C" w:rsidRDefault="007D1947">
              <w:pPr>
                <w:pStyle w:val="TOC1"/>
                <w:tabs>
                  <w:tab w:val="right" w:leader="dot" w:pos="9016"/>
                </w:tabs>
                <w:rPr>
                  <w:rFonts w:eastAsiaTheme="minorEastAsia"/>
                  <w:noProof/>
                  <w:kern w:val="2"/>
                  <w:sz w:val="24"/>
                  <w:szCs w:val="24"/>
                  <w:lang w:eastAsia="en-GB"/>
                  <w14:ligatures w14:val="standardContextual"/>
                </w:rPr>
              </w:pPr>
              <w:r w:rsidRPr="00263FFC">
                <w:fldChar w:fldCharType="begin"/>
              </w:r>
              <w:r w:rsidRPr="00263FFC">
                <w:instrText xml:space="preserve"> TOC \o "1-3" \h \z \u </w:instrText>
              </w:r>
              <w:r w:rsidRPr="00263FFC">
                <w:fldChar w:fldCharType="separate"/>
              </w:r>
              <w:hyperlink w:anchor="_Toc194668461" w:history="1">
                <w:r w:rsidR="0009737C" w:rsidRPr="00F8517C">
                  <w:rPr>
                    <w:rStyle w:val="Hyperlink"/>
                    <w:noProof/>
                  </w:rPr>
                  <w:t>Executive Summary</w:t>
                </w:r>
                <w:r w:rsidR="0009737C">
                  <w:rPr>
                    <w:noProof/>
                    <w:webHidden/>
                  </w:rPr>
                  <w:tab/>
                </w:r>
                <w:r w:rsidR="0009737C">
                  <w:rPr>
                    <w:noProof/>
                    <w:webHidden/>
                  </w:rPr>
                  <w:fldChar w:fldCharType="begin"/>
                </w:r>
                <w:r w:rsidR="0009737C">
                  <w:rPr>
                    <w:noProof/>
                    <w:webHidden/>
                  </w:rPr>
                  <w:instrText xml:space="preserve"> PAGEREF _Toc194668461 \h </w:instrText>
                </w:r>
                <w:r w:rsidR="0009737C">
                  <w:rPr>
                    <w:noProof/>
                    <w:webHidden/>
                  </w:rPr>
                </w:r>
                <w:r w:rsidR="0009737C">
                  <w:rPr>
                    <w:noProof/>
                    <w:webHidden/>
                  </w:rPr>
                  <w:fldChar w:fldCharType="separate"/>
                </w:r>
                <w:r w:rsidR="0009737C">
                  <w:rPr>
                    <w:noProof/>
                    <w:webHidden/>
                  </w:rPr>
                  <w:t>1</w:t>
                </w:r>
                <w:r w:rsidR="0009737C">
                  <w:rPr>
                    <w:noProof/>
                    <w:webHidden/>
                  </w:rPr>
                  <w:fldChar w:fldCharType="end"/>
                </w:r>
              </w:hyperlink>
            </w:p>
            <w:p w14:paraId="258003F2" w14:textId="25597CAA" w:rsidR="0009737C" w:rsidRDefault="0009737C">
              <w:pPr>
                <w:pStyle w:val="TOC1"/>
                <w:tabs>
                  <w:tab w:val="right" w:leader="dot" w:pos="9016"/>
                </w:tabs>
                <w:rPr>
                  <w:rFonts w:eastAsiaTheme="minorEastAsia"/>
                  <w:noProof/>
                  <w:kern w:val="2"/>
                  <w:sz w:val="24"/>
                  <w:szCs w:val="24"/>
                  <w:lang w:eastAsia="en-GB"/>
                  <w14:ligatures w14:val="standardContextual"/>
                </w:rPr>
              </w:pPr>
              <w:hyperlink w:anchor="_Toc194668462" w:history="1">
                <w:r w:rsidRPr="00F8517C">
                  <w:rPr>
                    <w:rStyle w:val="Hyperlink"/>
                    <w:noProof/>
                  </w:rPr>
                  <w:t>Introduction</w:t>
                </w:r>
                <w:r>
                  <w:rPr>
                    <w:noProof/>
                    <w:webHidden/>
                  </w:rPr>
                  <w:tab/>
                </w:r>
                <w:r>
                  <w:rPr>
                    <w:noProof/>
                    <w:webHidden/>
                  </w:rPr>
                  <w:fldChar w:fldCharType="begin"/>
                </w:r>
                <w:r>
                  <w:rPr>
                    <w:noProof/>
                    <w:webHidden/>
                  </w:rPr>
                  <w:instrText xml:space="preserve"> PAGEREF _Toc194668462 \h </w:instrText>
                </w:r>
                <w:r>
                  <w:rPr>
                    <w:noProof/>
                    <w:webHidden/>
                  </w:rPr>
                </w:r>
                <w:r>
                  <w:rPr>
                    <w:noProof/>
                    <w:webHidden/>
                  </w:rPr>
                  <w:fldChar w:fldCharType="separate"/>
                </w:r>
                <w:r>
                  <w:rPr>
                    <w:noProof/>
                    <w:webHidden/>
                  </w:rPr>
                  <w:t>4</w:t>
                </w:r>
                <w:r>
                  <w:rPr>
                    <w:noProof/>
                    <w:webHidden/>
                  </w:rPr>
                  <w:fldChar w:fldCharType="end"/>
                </w:r>
              </w:hyperlink>
            </w:p>
            <w:p w14:paraId="3B242DB6" w14:textId="4A5F5904" w:rsidR="0009737C" w:rsidRDefault="0009737C">
              <w:pPr>
                <w:pStyle w:val="TOC1"/>
                <w:tabs>
                  <w:tab w:val="right" w:leader="dot" w:pos="9016"/>
                </w:tabs>
                <w:rPr>
                  <w:rFonts w:eastAsiaTheme="minorEastAsia"/>
                  <w:noProof/>
                  <w:kern w:val="2"/>
                  <w:sz w:val="24"/>
                  <w:szCs w:val="24"/>
                  <w:lang w:eastAsia="en-GB"/>
                  <w14:ligatures w14:val="standardContextual"/>
                </w:rPr>
              </w:pPr>
              <w:hyperlink w:anchor="_Toc194668463" w:history="1">
                <w:r w:rsidRPr="00F8517C">
                  <w:rPr>
                    <w:rStyle w:val="Hyperlink"/>
                    <w:noProof/>
                  </w:rPr>
                  <w:t>Main Findings</w:t>
                </w:r>
                <w:r>
                  <w:rPr>
                    <w:noProof/>
                    <w:webHidden/>
                  </w:rPr>
                  <w:tab/>
                </w:r>
                <w:r>
                  <w:rPr>
                    <w:noProof/>
                    <w:webHidden/>
                  </w:rPr>
                  <w:fldChar w:fldCharType="begin"/>
                </w:r>
                <w:r>
                  <w:rPr>
                    <w:noProof/>
                    <w:webHidden/>
                  </w:rPr>
                  <w:instrText xml:space="preserve"> PAGEREF _Toc194668463 \h </w:instrText>
                </w:r>
                <w:r>
                  <w:rPr>
                    <w:noProof/>
                    <w:webHidden/>
                  </w:rPr>
                </w:r>
                <w:r>
                  <w:rPr>
                    <w:noProof/>
                    <w:webHidden/>
                  </w:rPr>
                  <w:fldChar w:fldCharType="separate"/>
                </w:r>
                <w:r>
                  <w:rPr>
                    <w:noProof/>
                    <w:webHidden/>
                  </w:rPr>
                  <w:t>6</w:t>
                </w:r>
                <w:r>
                  <w:rPr>
                    <w:noProof/>
                    <w:webHidden/>
                  </w:rPr>
                  <w:fldChar w:fldCharType="end"/>
                </w:r>
              </w:hyperlink>
            </w:p>
            <w:p w14:paraId="75FA6DF0" w14:textId="6B4959CE" w:rsidR="0009737C" w:rsidRDefault="0009737C">
              <w:pPr>
                <w:pStyle w:val="TOC2"/>
                <w:tabs>
                  <w:tab w:val="right" w:leader="dot" w:pos="9016"/>
                </w:tabs>
                <w:rPr>
                  <w:rFonts w:eastAsiaTheme="minorEastAsia"/>
                  <w:noProof/>
                  <w:kern w:val="2"/>
                  <w:sz w:val="24"/>
                  <w:szCs w:val="24"/>
                  <w:lang w:eastAsia="en-GB"/>
                  <w14:ligatures w14:val="standardContextual"/>
                </w:rPr>
              </w:pPr>
              <w:hyperlink w:anchor="_Toc194668464" w:history="1">
                <w:r w:rsidRPr="00F8517C">
                  <w:rPr>
                    <w:rStyle w:val="Hyperlink"/>
                    <w:noProof/>
                  </w:rPr>
                  <w:t>b). Financial Problems and Management Actions</w:t>
                </w:r>
                <w:r>
                  <w:rPr>
                    <w:noProof/>
                    <w:webHidden/>
                  </w:rPr>
                  <w:tab/>
                </w:r>
                <w:r>
                  <w:rPr>
                    <w:noProof/>
                    <w:webHidden/>
                  </w:rPr>
                  <w:fldChar w:fldCharType="begin"/>
                </w:r>
                <w:r>
                  <w:rPr>
                    <w:noProof/>
                    <w:webHidden/>
                  </w:rPr>
                  <w:instrText xml:space="preserve"> PAGEREF _Toc194668464 \h </w:instrText>
                </w:r>
                <w:r>
                  <w:rPr>
                    <w:noProof/>
                    <w:webHidden/>
                  </w:rPr>
                </w:r>
                <w:r>
                  <w:rPr>
                    <w:noProof/>
                    <w:webHidden/>
                  </w:rPr>
                  <w:fldChar w:fldCharType="separate"/>
                </w:r>
                <w:r>
                  <w:rPr>
                    <w:noProof/>
                    <w:webHidden/>
                  </w:rPr>
                  <w:t>8</w:t>
                </w:r>
                <w:r>
                  <w:rPr>
                    <w:noProof/>
                    <w:webHidden/>
                  </w:rPr>
                  <w:fldChar w:fldCharType="end"/>
                </w:r>
              </w:hyperlink>
            </w:p>
            <w:p w14:paraId="235893B0" w14:textId="4CE064DB" w:rsidR="0009737C" w:rsidRDefault="0009737C">
              <w:pPr>
                <w:pStyle w:val="TOC2"/>
                <w:tabs>
                  <w:tab w:val="right" w:leader="dot" w:pos="9016"/>
                </w:tabs>
                <w:rPr>
                  <w:rFonts w:eastAsiaTheme="minorEastAsia"/>
                  <w:noProof/>
                  <w:kern w:val="2"/>
                  <w:sz w:val="24"/>
                  <w:szCs w:val="24"/>
                  <w:lang w:eastAsia="en-GB"/>
                  <w14:ligatures w14:val="standardContextual"/>
                </w:rPr>
              </w:pPr>
              <w:hyperlink w:anchor="_Toc194668465" w:history="1">
                <w:r w:rsidRPr="00F8517C">
                  <w:rPr>
                    <w:rStyle w:val="Hyperlink"/>
                    <w:noProof/>
                  </w:rPr>
                  <w:t>c). Conditions for Successful Budgetary Control and Behavioural Factors</w:t>
                </w:r>
                <w:r>
                  <w:rPr>
                    <w:noProof/>
                    <w:webHidden/>
                  </w:rPr>
                  <w:tab/>
                </w:r>
                <w:r>
                  <w:rPr>
                    <w:noProof/>
                    <w:webHidden/>
                  </w:rPr>
                  <w:fldChar w:fldCharType="begin"/>
                </w:r>
                <w:r>
                  <w:rPr>
                    <w:noProof/>
                    <w:webHidden/>
                  </w:rPr>
                  <w:instrText xml:space="preserve"> PAGEREF _Toc194668465 \h </w:instrText>
                </w:r>
                <w:r>
                  <w:rPr>
                    <w:noProof/>
                    <w:webHidden/>
                  </w:rPr>
                </w:r>
                <w:r>
                  <w:rPr>
                    <w:noProof/>
                    <w:webHidden/>
                  </w:rPr>
                  <w:fldChar w:fldCharType="separate"/>
                </w:r>
                <w:r>
                  <w:rPr>
                    <w:noProof/>
                    <w:webHidden/>
                  </w:rPr>
                  <w:t>11</w:t>
                </w:r>
                <w:r>
                  <w:rPr>
                    <w:noProof/>
                    <w:webHidden/>
                  </w:rPr>
                  <w:fldChar w:fldCharType="end"/>
                </w:r>
              </w:hyperlink>
            </w:p>
            <w:p w14:paraId="18269863" w14:textId="10FA67B5" w:rsidR="0009737C" w:rsidRDefault="0009737C">
              <w:pPr>
                <w:pStyle w:val="TOC2"/>
                <w:tabs>
                  <w:tab w:val="right" w:leader="dot" w:pos="9016"/>
                </w:tabs>
                <w:rPr>
                  <w:rFonts w:eastAsiaTheme="minorEastAsia"/>
                  <w:noProof/>
                  <w:kern w:val="2"/>
                  <w:sz w:val="24"/>
                  <w:szCs w:val="24"/>
                  <w:lang w:eastAsia="en-GB"/>
                  <w14:ligatures w14:val="standardContextual"/>
                </w:rPr>
              </w:pPr>
              <w:hyperlink w:anchor="_Toc194668466" w:history="1">
                <w:r w:rsidRPr="00F8517C">
                  <w:rPr>
                    <w:rStyle w:val="Hyperlink"/>
                    <w:noProof/>
                  </w:rPr>
                  <w:t>d). Critique of Traditional Budgeting in a Changing Business Environment</w:t>
                </w:r>
                <w:r>
                  <w:rPr>
                    <w:noProof/>
                    <w:webHidden/>
                  </w:rPr>
                  <w:tab/>
                </w:r>
                <w:r>
                  <w:rPr>
                    <w:noProof/>
                    <w:webHidden/>
                  </w:rPr>
                  <w:fldChar w:fldCharType="begin"/>
                </w:r>
                <w:r>
                  <w:rPr>
                    <w:noProof/>
                    <w:webHidden/>
                  </w:rPr>
                  <w:instrText xml:space="preserve"> PAGEREF _Toc194668466 \h </w:instrText>
                </w:r>
                <w:r>
                  <w:rPr>
                    <w:noProof/>
                    <w:webHidden/>
                  </w:rPr>
                </w:r>
                <w:r>
                  <w:rPr>
                    <w:noProof/>
                    <w:webHidden/>
                  </w:rPr>
                  <w:fldChar w:fldCharType="separate"/>
                </w:r>
                <w:r>
                  <w:rPr>
                    <w:noProof/>
                    <w:webHidden/>
                  </w:rPr>
                  <w:t>14</w:t>
                </w:r>
                <w:r>
                  <w:rPr>
                    <w:noProof/>
                    <w:webHidden/>
                  </w:rPr>
                  <w:fldChar w:fldCharType="end"/>
                </w:r>
              </w:hyperlink>
            </w:p>
            <w:p w14:paraId="1BB0D274" w14:textId="2AD767FC" w:rsidR="0009737C" w:rsidRDefault="0009737C">
              <w:pPr>
                <w:pStyle w:val="TOC1"/>
                <w:tabs>
                  <w:tab w:val="right" w:leader="dot" w:pos="9016"/>
                </w:tabs>
                <w:rPr>
                  <w:rFonts w:eastAsiaTheme="minorEastAsia"/>
                  <w:noProof/>
                  <w:kern w:val="2"/>
                  <w:sz w:val="24"/>
                  <w:szCs w:val="24"/>
                  <w:lang w:eastAsia="en-GB"/>
                  <w14:ligatures w14:val="standardContextual"/>
                </w:rPr>
              </w:pPr>
              <w:hyperlink w:anchor="_Toc194668467" w:history="1">
                <w:r w:rsidRPr="00F8517C">
                  <w:rPr>
                    <w:rStyle w:val="Hyperlink"/>
                    <w:noProof/>
                  </w:rPr>
                  <w:t>Conclusion</w:t>
                </w:r>
                <w:r>
                  <w:rPr>
                    <w:noProof/>
                    <w:webHidden/>
                  </w:rPr>
                  <w:tab/>
                </w:r>
                <w:r>
                  <w:rPr>
                    <w:noProof/>
                    <w:webHidden/>
                  </w:rPr>
                  <w:fldChar w:fldCharType="begin"/>
                </w:r>
                <w:r>
                  <w:rPr>
                    <w:noProof/>
                    <w:webHidden/>
                  </w:rPr>
                  <w:instrText xml:space="preserve"> PAGEREF _Toc194668467 \h </w:instrText>
                </w:r>
                <w:r>
                  <w:rPr>
                    <w:noProof/>
                    <w:webHidden/>
                  </w:rPr>
                </w:r>
                <w:r>
                  <w:rPr>
                    <w:noProof/>
                    <w:webHidden/>
                  </w:rPr>
                  <w:fldChar w:fldCharType="separate"/>
                </w:r>
                <w:r>
                  <w:rPr>
                    <w:noProof/>
                    <w:webHidden/>
                  </w:rPr>
                  <w:t>16</w:t>
                </w:r>
                <w:r>
                  <w:rPr>
                    <w:noProof/>
                    <w:webHidden/>
                  </w:rPr>
                  <w:fldChar w:fldCharType="end"/>
                </w:r>
              </w:hyperlink>
            </w:p>
            <w:p w14:paraId="6986605D" w14:textId="17B44C3B" w:rsidR="0009737C" w:rsidRDefault="0009737C">
              <w:pPr>
                <w:pStyle w:val="TOC1"/>
                <w:tabs>
                  <w:tab w:val="right" w:leader="dot" w:pos="9016"/>
                </w:tabs>
                <w:rPr>
                  <w:rFonts w:eastAsiaTheme="minorEastAsia"/>
                  <w:noProof/>
                  <w:kern w:val="2"/>
                  <w:sz w:val="24"/>
                  <w:szCs w:val="24"/>
                  <w:lang w:eastAsia="en-GB"/>
                  <w14:ligatures w14:val="standardContextual"/>
                </w:rPr>
              </w:pPr>
              <w:hyperlink w:anchor="_Toc194668468" w:history="1">
                <w:r w:rsidRPr="00F8517C">
                  <w:rPr>
                    <w:rStyle w:val="Hyperlink"/>
                    <w:noProof/>
                  </w:rPr>
                  <w:t>Bibliography</w:t>
                </w:r>
                <w:r>
                  <w:rPr>
                    <w:noProof/>
                    <w:webHidden/>
                  </w:rPr>
                  <w:tab/>
                </w:r>
                <w:r>
                  <w:rPr>
                    <w:noProof/>
                    <w:webHidden/>
                  </w:rPr>
                  <w:fldChar w:fldCharType="begin"/>
                </w:r>
                <w:r>
                  <w:rPr>
                    <w:noProof/>
                    <w:webHidden/>
                  </w:rPr>
                  <w:instrText xml:space="preserve"> PAGEREF _Toc194668468 \h </w:instrText>
                </w:r>
                <w:r>
                  <w:rPr>
                    <w:noProof/>
                    <w:webHidden/>
                  </w:rPr>
                </w:r>
                <w:r>
                  <w:rPr>
                    <w:noProof/>
                    <w:webHidden/>
                  </w:rPr>
                  <w:fldChar w:fldCharType="separate"/>
                </w:r>
                <w:r>
                  <w:rPr>
                    <w:noProof/>
                    <w:webHidden/>
                  </w:rPr>
                  <w:t>18</w:t>
                </w:r>
                <w:r>
                  <w:rPr>
                    <w:noProof/>
                    <w:webHidden/>
                  </w:rPr>
                  <w:fldChar w:fldCharType="end"/>
                </w:r>
              </w:hyperlink>
            </w:p>
            <w:p w14:paraId="05194699" w14:textId="632BC0C6" w:rsidR="007D1947" w:rsidRPr="00263FFC" w:rsidRDefault="007D1947">
              <w:r w:rsidRPr="00263FFC">
                <w:rPr>
                  <w:b/>
                  <w:bCs/>
                </w:rPr>
                <w:fldChar w:fldCharType="end"/>
              </w:r>
              <w:r w:rsidR="00441909" w:rsidRPr="00263FFC">
                <w:rPr>
                  <w:b/>
                  <w:bCs/>
                </w:rPr>
                <w:t xml:space="preserve"> </w:t>
              </w:r>
            </w:p>
          </w:sdtContent>
        </w:sdt>
        <w:p w14:paraId="35B6052B" w14:textId="77777777" w:rsidR="007D1947" w:rsidRPr="00263FFC" w:rsidRDefault="007D1947"/>
        <w:p w14:paraId="22F11532" w14:textId="77777777" w:rsidR="007D1947" w:rsidRPr="00263FFC" w:rsidRDefault="007D1947"/>
        <w:p w14:paraId="15C6D916" w14:textId="77777777" w:rsidR="007D1947" w:rsidRPr="00263FFC" w:rsidRDefault="007D1947"/>
        <w:p w14:paraId="0882E422" w14:textId="77777777" w:rsidR="007D1947" w:rsidRPr="00263FFC" w:rsidRDefault="007D1947"/>
        <w:p w14:paraId="2076963D" w14:textId="77777777" w:rsidR="007D1947" w:rsidRPr="00263FFC" w:rsidRDefault="007D1947"/>
        <w:p w14:paraId="006E6A3F" w14:textId="77777777" w:rsidR="007D1947" w:rsidRPr="00263FFC" w:rsidRDefault="007D1947"/>
        <w:p w14:paraId="26EE9C53" w14:textId="77777777" w:rsidR="007D1947" w:rsidRPr="00263FFC" w:rsidRDefault="007D1947"/>
        <w:p w14:paraId="2AEFE0CA" w14:textId="77777777" w:rsidR="007D1947" w:rsidRPr="00263FFC" w:rsidRDefault="007D1947"/>
        <w:p w14:paraId="4F8F730C" w14:textId="77777777" w:rsidR="007D1947" w:rsidRPr="00263FFC" w:rsidRDefault="007D1947"/>
        <w:p w14:paraId="4D3D6465" w14:textId="77777777" w:rsidR="007D1947" w:rsidRPr="00263FFC" w:rsidRDefault="007D1947"/>
        <w:p w14:paraId="47414E5B" w14:textId="77777777" w:rsidR="007D1947" w:rsidRPr="00263FFC" w:rsidRDefault="007D1947"/>
        <w:p w14:paraId="2F67E6D4" w14:textId="77777777" w:rsidR="007D1947" w:rsidRPr="00263FFC" w:rsidRDefault="007D1947"/>
        <w:p w14:paraId="400F30D3" w14:textId="77777777" w:rsidR="007D1947" w:rsidRPr="00263FFC" w:rsidRDefault="007D1947"/>
        <w:p w14:paraId="21D0F861" w14:textId="77777777" w:rsidR="007D1947" w:rsidRPr="00263FFC" w:rsidRDefault="007D1947"/>
        <w:p w14:paraId="68D56007" w14:textId="25DC41A4" w:rsidR="007D1947" w:rsidRPr="00263FFC" w:rsidRDefault="007D1947"/>
        <w:p w14:paraId="0DCF0194" w14:textId="70600FC3" w:rsidR="00084E65" w:rsidRPr="00263FFC" w:rsidRDefault="00084E65"/>
        <w:p w14:paraId="30499783" w14:textId="1246572E" w:rsidR="00084E65" w:rsidRPr="00263FFC" w:rsidRDefault="00084E65"/>
        <w:p w14:paraId="2F8B4A57" w14:textId="0DAFC227" w:rsidR="00084E65" w:rsidRPr="00263FFC" w:rsidRDefault="00084E65"/>
        <w:p w14:paraId="655F29CA" w14:textId="77777777" w:rsidR="007D1947" w:rsidRPr="00263FFC" w:rsidRDefault="007D1947" w:rsidP="0054180F">
          <w:pPr>
            <w:spacing w:line="360" w:lineRule="auto"/>
          </w:pPr>
        </w:p>
        <w:p w14:paraId="0ED321E6" w14:textId="195BB0F3" w:rsidR="007D1947" w:rsidRPr="00263FFC" w:rsidRDefault="007D1947" w:rsidP="00A12B58">
          <w:pPr>
            <w:pStyle w:val="Heading1"/>
          </w:pPr>
          <w:bookmarkStart w:id="1" w:name="_Toc194668462"/>
          <w:r w:rsidRPr="00263FFC">
            <w:t>Introduction</w:t>
          </w:r>
          <w:bookmarkEnd w:id="1"/>
        </w:p>
        <w:p w14:paraId="67E0778E" w14:textId="77777777" w:rsidR="0054180F" w:rsidRPr="00263FFC" w:rsidRDefault="0054180F" w:rsidP="0054180F"/>
        <w:p w14:paraId="1030F2BF" w14:textId="642423F9" w:rsidR="0054180F" w:rsidRPr="00263FFC" w:rsidRDefault="0054180F" w:rsidP="0054180F">
          <w:pPr>
            <w:spacing w:line="360" w:lineRule="auto"/>
            <w:rPr>
              <w:sz w:val="24"/>
              <w:szCs w:val="24"/>
            </w:rPr>
          </w:pPr>
          <w:r w:rsidRPr="0054180F">
            <w:rPr>
              <w:sz w:val="24"/>
              <w:szCs w:val="24"/>
            </w:rPr>
            <w:t>In today’s highly competitive and fast-paced retail industry, effective financial management is essential to sustain operations and remain profitable. Budgeting plays a central role in the financial planning process of organisations, offering a structured framework for anticipating revenue, managing expenditures, and aligning resources with strategic priorities. Retailers</w:t>
          </w:r>
          <w:r w:rsidR="000635AE" w:rsidRPr="00263FFC">
            <w:rPr>
              <w:sz w:val="24"/>
              <w:szCs w:val="24"/>
            </w:rPr>
            <w:t xml:space="preserve"> must</w:t>
          </w:r>
          <w:r w:rsidRPr="0054180F">
            <w:rPr>
              <w:sz w:val="24"/>
              <w:szCs w:val="24"/>
            </w:rPr>
            <w:t xml:space="preserve"> navigate fluctuating consumer demand, seasonal trends, supply chain </w:t>
          </w:r>
          <w:r w:rsidR="00FE4876" w:rsidRPr="0054180F">
            <w:rPr>
              <w:sz w:val="24"/>
              <w:szCs w:val="24"/>
            </w:rPr>
            <w:t>instability</w:t>
          </w:r>
          <w:r w:rsidRPr="0054180F">
            <w:rPr>
              <w:sz w:val="24"/>
              <w:szCs w:val="24"/>
            </w:rPr>
            <w:t xml:space="preserve">, and thin profit margins, which </w:t>
          </w:r>
          <w:r w:rsidR="00FE4876" w:rsidRPr="0054180F">
            <w:rPr>
              <w:sz w:val="24"/>
              <w:szCs w:val="24"/>
            </w:rPr>
            <w:t>increase</w:t>
          </w:r>
          <w:r w:rsidRPr="0054180F">
            <w:rPr>
              <w:sz w:val="24"/>
              <w:szCs w:val="24"/>
            </w:rPr>
            <w:t xml:space="preserve"> the importance of having accurate and adaptable budgeting systems (Drury, 2018).</w:t>
          </w:r>
        </w:p>
        <w:p w14:paraId="084E60F8" w14:textId="77777777" w:rsidR="00AD686B" w:rsidRDefault="00AD686B" w:rsidP="00AD686B">
          <w:pPr>
            <w:spacing w:line="360" w:lineRule="auto"/>
            <w:rPr>
              <w:sz w:val="24"/>
              <w:szCs w:val="24"/>
            </w:rPr>
          </w:pPr>
          <w:r w:rsidRPr="00AD686B">
            <w:rPr>
              <w:sz w:val="24"/>
              <w:szCs w:val="24"/>
            </w:rPr>
            <w:t>Ten main street locations make up the mid-sized UK apparel brand Blue Thread Ltd. The company has earned a reputation for providing consistently excellent customer service and premium clothing. However, a £25,000 bank overdraft that needs to be paid off by the end of November presents a financial difficulty for the business. Due to this circumstance, the board have decided to reassess the company's financial assumptions, operational choices, and budgeting strategy over a six-month period from June to November (</w:t>
          </w:r>
          <w:proofErr w:type="spellStart"/>
          <w:r w:rsidRPr="00AD686B">
            <w:rPr>
              <w:sz w:val="24"/>
              <w:szCs w:val="24"/>
            </w:rPr>
            <w:t>Atrill</w:t>
          </w:r>
          <w:proofErr w:type="spellEnd"/>
          <w:r w:rsidRPr="00AD686B">
            <w:rPr>
              <w:sz w:val="24"/>
              <w:szCs w:val="24"/>
            </w:rPr>
            <w:t xml:space="preserve"> and McLaney, 2022).</w:t>
          </w:r>
        </w:p>
        <w:p w14:paraId="066E57BB" w14:textId="6F7BEE02" w:rsidR="003D16F0" w:rsidRDefault="00303D0F" w:rsidP="00A432D2">
          <w:pPr>
            <w:spacing w:line="360" w:lineRule="auto"/>
            <w:rPr>
              <w:sz w:val="24"/>
              <w:szCs w:val="24"/>
            </w:rPr>
          </w:pPr>
          <w:r w:rsidRPr="00303D0F">
            <w:rPr>
              <w:sz w:val="24"/>
              <w:szCs w:val="24"/>
            </w:rPr>
            <w:t xml:space="preserve">To manage both unforeseen market challenges and daily financial planning, the budgeting process needs to be sufficiently solid. This requirement is frequently not met by rigid, static budgets in the fast-paced environment of today. Given Blue Thread </w:t>
          </w:r>
          <w:proofErr w:type="spellStart"/>
          <w:r w:rsidRPr="00303D0F">
            <w:rPr>
              <w:sz w:val="24"/>
              <w:szCs w:val="24"/>
            </w:rPr>
            <w:t>Ltd's</w:t>
          </w:r>
          <w:proofErr w:type="spellEnd"/>
          <w:r w:rsidRPr="00303D0F">
            <w:rPr>
              <w:sz w:val="24"/>
              <w:szCs w:val="24"/>
            </w:rPr>
            <w:t xml:space="preserve"> circumstances, it is possible to evaluate how budgeting techniques can be used for risk reduction and strategic decision-making in addition to cost control. The company's budgets can also be reviewed to gain important insight into the relationships between inventory management, profitability, and liquidity. </w:t>
          </w:r>
          <w:r w:rsidRPr="00303D0F">
            <w:rPr>
              <w:sz w:val="24"/>
              <w:szCs w:val="24"/>
            </w:rPr>
            <w:br/>
            <w:t>Budgeting is also more than just a technical procedure. It is also influenced by organisational and behavioural elements, as Hope and Fraser (2003) point out. These include how employees interact with targets, how communication within departments flows, and how correctly teams perceive strategic objectives.</w:t>
          </w:r>
          <w:r w:rsidR="00237A56">
            <w:rPr>
              <w:sz w:val="24"/>
              <w:szCs w:val="24"/>
            </w:rPr>
            <w:t xml:space="preserve"> </w:t>
          </w:r>
          <w:r w:rsidR="00A432D2" w:rsidRPr="00A432D2">
            <w:rPr>
              <w:sz w:val="24"/>
              <w:szCs w:val="24"/>
            </w:rPr>
            <w:t>Building</w:t>
          </w:r>
          <w:r w:rsidR="00237A56">
            <w:rPr>
              <w:sz w:val="24"/>
              <w:szCs w:val="24"/>
            </w:rPr>
            <w:t xml:space="preserve"> </w:t>
          </w:r>
          <w:r w:rsidR="00A432D2" w:rsidRPr="00A432D2">
            <w:rPr>
              <w:sz w:val="24"/>
              <w:szCs w:val="24"/>
            </w:rPr>
            <w:t xml:space="preserve">efficient budgets that promote </w:t>
          </w:r>
          <w:r w:rsidR="00A432D2" w:rsidRPr="00A432D2">
            <w:rPr>
              <w:sz w:val="24"/>
              <w:szCs w:val="24"/>
            </w:rPr>
            <w:lastRenderedPageBreak/>
            <w:t xml:space="preserve">accountability, accuracy, and ownership requires an understanding of the human dynamics behind financial systems. </w:t>
          </w:r>
        </w:p>
        <w:p w14:paraId="230137D2" w14:textId="5228609F" w:rsidR="00A432D2" w:rsidRPr="00A432D2" w:rsidRDefault="00A432D2" w:rsidP="00A432D2">
          <w:pPr>
            <w:spacing w:line="360" w:lineRule="auto"/>
            <w:rPr>
              <w:sz w:val="24"/>
              <w:szCs w:val="24"/>
            </w:rPr>
          </w:pPr>
          <w:r w:rsidRPr="00A432D2">
            <w:rPr>
              <w:sz w:val="24"/>
              <w:szCs w:val="24"/>
            </w:rPr>
            <w:t xml:space="preserve">This </w:t>
          </w:r>
          <w:r w:rsidR="00BC16E3" w:rsidRPr="00A432D2">
            <w:rPr>
              <w:sz w:val="24"/>
              <w:szCs w:val="24"/>
            </w:rPr>
            <w:t>wider context</w:t>
          </w:r>
          <w:r w:rsidRPr="00A432D2">
            <w:rPr>
              <w:sz w:val="24"/>
              <w:szCs w:val="24"/>
            </w:rPr>
            <w:t xml:space="preserve"> serves as the foundation for this report. It examines the structural and behavioural factors that support effective budgetary control while critically assessing Blue Thread Ltd.'s cash, stock, and profit and loss budgets. Additionally, it looks at both conventional and contemporary budgeting strategies, placing Blue Thread's financial difficulties in the context of larger theoretical and applied discussions.</w:t>
          </w:r>
        </w:p>
        <w:p w14:paraId="2A0B37BF" w14:textId="77777777" w:rsidR="00A432D2" w:rsidRPr="00303D0F" w:rsidRDefault="00A432D2" w:rsidP="00303D0F">
          <w:pPr>
            <w:spacing w:line="360" w:lineRule="auto"/>
            <w:rPr>
              <w:sz w:val="24"/>
              <w:szCs w:val="24"/>
            </w:rPr>
          </w:pPr>
        </w:p>
        <w:p w14:paraId="7B1F4F16" w14:textId="77777777" w:rsidR="00303D0F" w:rsidRPr="00AD686B" w:rsidRDefault="00303D0F" w:rsidP="00AD686B">
          <w:pPr>
            <w:spacing w:line="360" w:lineRule="auto"/>
            <w:rPr>
              <w:sz w:val="24"/>
              <w:szCs w:val="24"/>
            </w:rPr>
          </w:pPr>
        </w:p>
        <w:p w14:paraId="10189776" w14:textId="77777777" w:rsidR="009422C8" w:rsidRPr="0054180F" w:rsidRDefault="009422C8" w:rsidP="0054180F">
          <w:pPr>
            <w:spacing w:line="360" w:lineRule="auto"/>
            <w:rPr>
              <w:sz w:val="24"/>
              <w:szCs w:val="24"/>
            </w:rPr>
          </w:pPr>
        </w:p>
        <w:p w14:paraId="18BDC50C" w14:textId="77777777" w:rsidR="0054180F" w:rsidRPr="00263FFC" w:rsidRDefault="0054180F" w:rsidP="0054180F"/>
        <w:p w14:paraId="6D91C7B3" w14:textId="77777777" w:rsidR="007508DF" w:rsidRPr="00263FFC" w:rsidRDefault="007508DF" w:rsidP="007508DF"/>
        <w:p w14:paraId="7F936DF5" w14:textId="77777777" w:rsidR="007508DF" w:rsidRPr="00263FFC" w:rsidRDefault="007508DF" w:rsidP="007508DF"/>
        <w:p w14:paraId="54C81D2A" w14:textId="77777777" w:rsidR="007D1947" w:rsidRPr="00263FFC" w:rsidRDefault="007D1947" w:rsidP="007D1947"/>
        <w:p w14:paraId="5DBAD65B" w14:textId="77777777" w:rsidR="004A11F6" w:rsidRPr="00263FFC" w:rsidRDefault="004A11F6" w:rsidP="007D1947"/>
        <w:p w14:paraId="63BE38B9" w14:textId="77777777" w:rsidR="004A11F6" w:rsidRPr="00263FFC" w:rsidRDefault="004A11F6" w:rsidP="007D1947"/>
        <w:p w14:paraId="1392FEFB" w14:textId="77777777" w:rsidR="004A11F6" w:rsidRPr="00263FFC" w:rsidRDefault="004A11F6" w:rsidP="007D1947"/>
        <w:p w14:paraId="094C9AA2" w14:textId="77777777" w:rsidR="004A11F6" w:rsidRPr="00263FFC" w:rsidRDefault="004A11F6" w:rsidP="007D1947"/>
        <w:p w14:paraId="5AD4FC36" w14:textId="77777777" w:rsidR="004A11F6" w:rsidRPr="00263FFC" w:rsidRDefault="004A11F6" w:rsidP="007D1947"/>
        <w:p w14:paraId="37DC88C5" w14:textId="77777777" w:rsidR="004A11F6" w:rsidRPr="00263FFC" w:rsidRDefault="004A11F6" w:rsidP="007D1947"/>
        <w:p w14:paraId="2277CFA6" w14:textId="77777777" w:rsidR="004A11F6" w:rsidRPr="00263FFC" w:rsidRDefault="004A11F6" w:rsidP="007D1947"/>
        <w:p w14:paraId="6965E43A" w14:textId="77777777" w:rsidR="004A11F6" w:rsidRPr="00263FFC" w:rsidRDefault="004A11F6" w:rsidP="007D1947"/>
        <w:p w14:paraId="04F16582" w14:textId="77777777" w:rsidR="004A11F6" w:rsidRPr="00263FFC" w:rsidRDefault="004A11F6" w:rsidP="007D1947"/>
        <w:p w14:paraId="3BCFD6F0" w14:textId="77777777" w:rsidR="004A11F6" w:rsidRPr="00263FFC" w:rsidRDefault="004A11F6" w:rsidP="007D1947"/>
        <w:p w14:paraId="2F757D32" w14:textId="77777777" w:rsidR="004A11F6" w:rsidRPr="00263FFC" w:rsidRDefault="004A11F6" w:rsidP="007D1947"/>
        <w:p w14:paraId="4950AFFE" w14:textId="77777777" w:rsidR="004A11F6" w:rsidRPr="00263FFC" w:rsidRDefault="004A11F6" w:rsidP="007D1947"/>
        <w:p w14:paraId="377C9265" w14:textId="77777777" w:rsidR="004A11F6" w:rsidRPr="00263FFC" w:rsidRDefault="004A11F6" w:rsidP="007D1947"/>
        <w:p w14:paraId="4108EE7B" w14:textId="77777777" w:rsidR="004A11F6" w:rsidRPr="00263FFC" w:rsidRDefault="004A11F6" w:rsidP="007D1947"/>
        <w:p w14:paraId="4AA639F2" w14:textId="77777777" w:rsidR="004A11F6" w:rsidRPr="00263FFC" w:rsidRDefault="004A11F6" w:rsidP="007D1947"/>
        <w:p w14:paraId="2E293EB9" w14:textId="42B6D001" w:rsidR="00480872" w:rsidRDefault="00480872" w:rsidP="00AA2A91">
          <w:pPr>
            <w:pStyle w:val="Heading1"/>
          </w:pPr>
          <w:bookmarkStart w:id="2" w:name="_Toc194668463"/>
          <w:r w:rsidRPr="00263FFC">
            <w:lastRenderedPageBreak/>
            <w:t xml:space="preserve">Main </w:t>
          </w:r>
          <w:r w:rsidR="00BF15E5" w:rsidRPr="00263FFC">
            <w:t>Findings</w:t>
          </w:r>
          <w:bookmarkEnd w:id="2"/>
        </w:p>
        <w:p w14:paraId="0EA885DF" w14:textId="77777777" w:rsidR="007B51ED" w:rsidRDefault="007B51ED" w:rsidP="007B51ED"/>
        <w:p w14:paraId="46DD7064" w14:textId="77777777" w:rsidR="008E5108" w:rsidRPr="008E5108" w:rsidRDefault="008E5108" w:rsidP="008E5108">
          <w:pPr>
            <w:spacing w:line="360" w:lineRule="auto"/>
            <w:rPr>
              <w:sz w:val="24"/>
              <w:szCs w:val="24"/>
            </w:rPr>
          </w:pPr>
          <w:r w:rsidRPr="008E5108">
            <w:rPr>
              <w:sz w:val="24"/>
              <w:szCs w:val="24"/>
            </w:rPr>
            <w:t>Budgeting is the process of creating a financial plan that outlines expected income and expenditure over a given period. According to the Chartered Institute of Management Accountants (CIMA, 2017), a budget is a "quantitative statement for a defined period of time which may include planned revenues, expenses, cash flows, and financial position." Budgeting serves as a tool for planning, performance measurement, resource allocation, and financial control.</w:t>
          </w:r>
        </w:p>
        <w:p w14:paraId="7EC02AF3" w14:textId="77777777" w:rsidR="00D853AD" w:rsidRDefault="008E5108" w:rsidP="008E5108">
          <w:pPr>
            <w:spacing w:line="360" w:lineRule="auto"/>
            <w:rPr>
              <w:sz w:val="24"/>
              <w:szCs w:val="24"/>
            </w:rPr>
          </w:pPr>
          <w:r w:rsidRPr="008E5108">
            <w:rPr>
              <w:sz w:val="24"/>
              <w:szCs w:val="24"/>
            </w:rPr>
            <w:t>In the context of Blue Thread Ltd, budgeting plays a critical role in assessing whether the company can meet its goal of eliminating the existing £25,000 overdraft within six months. Three key budgets are used in this report:</w:t>
          </w:r>
        </w:p>
        <w:p w14:paraId="2406F291" w14:textId="77777777" w:rsidR="00B1002F" w:rsidRPr="00B1002F" w:rsidRDefault="00B1002F" w:rsidP="00D53D22">
          <w:pPr>
            <w:spacing w:line="360" w:lineRule="auto"/>
            <w:rPr>
              <w:sz w:val="24"/>
              <w:szCs w:val="24"/>
            </w:rPr>
          </w:pPr>
          <w:r w:rsidRPr="00B1002F">
            <w:rPr>
              <w:b/>
              <w:bCs/>
              <w:sz w:val="24"/>
              <w:szCs w:val="24"/>
            </w:rPr>
            <w:t>Stock Budget</w:t>
          </w:r>
          <w:r w:rsidRPr="00B1002F">
            <w:rPr>
              <w:sz w:val="24"/>
              <w:szCs w:val="24"/>
            </w:rPr>
            <w:t>: A financial plan that tracks the value and flow of inventory, including opening stock, purchases, cost of goods sold, and closing stock levels (Slack et al., 2020).</w:t>
          </w:r>
        </w:p>
        <w:p w14:paraId="5E73208A" w14:textId="77777777" w:rsidR="00B1002F" w:rsidRPr="00B1002F" w:rsidRDefault="00B1002F" w:rsidP="00D53D22">
          <w:pPr>
            <w:spacing w:line="360" w:lineRule="auto"/>
            <w:rPr>
              <w:sz w:val="24"/>
              <w:szCs w:val="24"/>
            </w:rPr>
          </w:pPr>
          <w:r w:rsidRPr="00B1002F">
            <w:rPr>
              <w:b/>
              <w:bCs/>
              <w:sz w:val="24"/>
              <w:szCs w:val="24"/>
            </w:rPr>
            <w:t>Cash Budget</w:t>
          </w:r>
          <w:r w:rsidRPr="00B1002F">
            <w:rPr>
              <w:sz w:val="24"/>
              <w:szCs w:val="24"/>
            </w:rPr>
            <w:t>: A projection of an organisation’s cash inflows and outflows over a period, used to ensure liquidity and manage working capital (Drury, 2018).</w:t>
          </w:r>
        </w:p>
        <w:p w14:paraId="58DB316B" w14:textId="77777777" w:rsidR="00D53D22" w:rsidRPr="00D53D22" w:rsidRDefault="00D53D22" w:rsidP="00D53D22">
          <w:pPr>
            <w:spacing w:line="360" w:lineRule="auto"/>
            <w:rPr>
              <w:sz w:val="24"/>
              <w:szCs w:val="24"/>
            </w:rPr>
          </w:pPr>
          <w:r w:rsidRPr="00D53D22">
            <w:rPr>
              <w:b/>
              <w:bCs/>
              <w:sz w:val="24"/>
              <w:szCs w:val="24"/>
            </w:rPr>
            <w:t>Profit and Loss Account</w:t>
          </w:r>
          <w:r w:rsidRPr="00D53D22">
            <w:rPr>
              <w:sz w:val="24"/>
              <w:szCs w:val="24"/>
            </w:rPr>
            <w:t>: Also known as an income statement, it summarises a company’s revenues, costs, and expenses over a period to show its financial performance (</w:t>
          </w:r>
          <w:proofErr w:type="spellStart"/>
          <w:r w:rsidRPr="00D53D22">
            <w:rPr>
              <w:sz w:val="24"/>
              <w:szCs w:val="24"/>
            </w:rPr>
            <w:t>Atrill</w:t>
          </w:r>
          <w:proofErr w:type="spellEnd"/>
          <w:r w:rsidRPr="00D53D22">
            <w:rPr>
              <w:sz w:val="24"/>
              <w:szCs w:val="24"/>
            </w:rPr>
            <w:t xml:space="preserve"> and McLaney, 2022).</w:t>
          </w:r>
        </w:p>
        <w:p w14:paraId="28473418" w14:textId="77777777" w:rsidR="008E5108" w:rsidRPr="007B51ED" w:rsidRDefault="008E5108" w:rsidP="007B51ED"/>
        <w:p w14:paraId="054598CE" w14:textId="77777777" w:rsidR="008F4B79" w:rsidRPr="00263FFC" w:rsidRDefault="008F4B79" w:rsidP="008F4B79"/>
        <w:p w14:paraId="7EE4B013" w14:textId="77777777" w:rsidR="008F4B79" w:rsidRPr="00684865" w:rsidRDefault="008F4B79" w:rsidP="008F4B79">
          <w:pPr>
            <w:pStyle w:val="ListParagraph"/>
            <w:numPr>
              <w:ilvl w:val="0"/>
              <w:numId w:val="1"/>
            </w:numPr>
            <w:ind w:left="851"/>
            <w:jc w:val="both"/>
            <w:rPr>
              <w:rFonts w:ascii="Arial" w:hAnsi="Arial" w:cs="Arial"/>
              <w:b/>
              <w:bCs/>
            </w:rPr>
          </w:pPr>
          <w:r w:rsidRPr="00684865">
            <w:rPr>
              <w:rFonts w:ascii="Arial" w:hAnsi="Arial" w:cs="Arial"/>
              <w:b/>
              <w:bCs/>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263FFC" w14:paraId="154D928D" w14:textId="77777777" w:rsidTr="00097CA9">
            <w:tc>
              <w:tcPr>
                <w:tcW w:w="2551" w:type="dxa"/>
              </w:tcPr>
              <w:p w14:paraId="2643CF53" w14:textId="77777777" w:rsidR="008F4B79" w:rsidRPr="00263FFC" w:rsidRDefault="008F4B79" w:rsidP="00097CA9">
                <w:pPr>
                  <w:jc w:val="center"/>
                  <w:rPr>
                    <w:rFonts w:ascii="Arial" w:hAnsi="Arial" w:cs="Arial"/>
                  </w:rPr>
                </w:pPr>
              </w:p>
            </w:tc>
            <w:tc>
              <w:tcPr>
                <w:tcW w:w="992" w:type="dxa"/>
              </w:tcPr>
              <w:p w14:paraId="127577E6" w14:textId="77777777" w:rsidR="008F4B79" w:rsidRPr="00263FFC" w:rsidRDefault="008F4B79" w:rsidP="00097CA9">
                <w:pPr>
                  <w:jc w:val="right"/>
                  <w:rPr>
                    <w:rFonts w:ascii="Arial" w:hAnsi="Arial" w:cs="Arial"/>
                    <w:b/>
                  </w:rPr>
                </w:pPr>
                <w:r w:rsidRPr="00263FFC">
                  <w:rPr>
                    <w:rFonts w:ascii="Arial" w:hAnsi="Arial" w:cs="Arial"/>
                    <w:b/>
                  </w:rPr>
                  <w:t>June</w:t>
                </w:r>
              </w:p>
            </w:tc>
            <w:tc>
              <w:tcPr>
                <w:tcW w:w="992" w:type="dxa"/>
              </w:tcPr>
              <w:p w14:paraId="3F8576BD" w14:textId="77777777" w:rsidR="008F4B79" w:rsidRPr="00263FFC" w:rsidRDefault="008F4B79" w:rsidP="00097CA9">
                <w:pPr>
                  <w:jc w:val="right"/>
                  <w:rPr>
                    <w:rFonts w:ascii="Arial" w:hAnsi="Arial" w:cs="Arial"/>
                    <w:b/>
                  </w:rPr>
                </w:pPr>
                <w:r w:rsidRPr="00263FFC">
                  <w:rPr>
                    <w:rFonts w:ascii="Arial" w:hAnsi="Arial" w:cs="Arial"/>
                    <w:b/>
                  </w:rPr>
                  <w:t>July</w:t>
                </w:r>
              </w:p>
            </w:tc>
            <w:tc>
              <w:tcPr>
                <w:tcW w:w="964" w:type="dxa"/>
              </w:tcPr>
              <w:p w14:paraId="7E2915BC" w14:textId="77777777" w:rsidR="008F4B79" w:rsidRPr="00263FFC" w:rsidRDefault="008F4B79" w:rsidP="00097CA9">
                <w:pPr>
                  <w:jc w:val="right"/>
                  <w:rPr>
                    <w:rFonts w:ascii="Arial" w:hAnsi="Arial" w:cs="Arial"/>
                    <w:b/>
                  </w:rPr>
                </w:pPr>
                <w:r w:rsidRPr="00263FFC">
                  <w:rPr>
                    <w:rFonts w:ascii="Arial" w:hAnsi="Arial" w:cs="Arial"/>
                    <w:b/>
                  </w:rPr>
                  <w:t>Aug</w:t>
                </w:r>
              </w:p>
            </w:tc>
            <w:tc>
              <w:tcPr>
                <w:tcW w:w="993" w:type="dxa"/>
              </w:tcPr>
              <w:p w14:paraId="0933CEC7" w14:textId="77777777" w:rsidR="008F4B79" w:rsidRPr="00263FFC" w:rsidRDefault="008F4B79" w:rsidP="00097CA9">
                <w:pPr>
                  <w:jc w:val="right"/>
                  <w:rPr>
                    <w:rFonts w:ascii="Arial" w:hAnsi="Arial" w:cs="Arial"/>
                    <w:b/>
                  </w:rPr>
                </w:pPr>
                <w:r w:rsidRPr="00263FFC">
                  <w:rPr>
                    <w:rFonts w:ascii="Arial" w:hAnsi="Arial" w:cs="Arial"/>
                    <w:b/>
                  </w:rPr>
                  <w:t>Sept</w:t>
                </w:r>
              </w:p>
            </w:tc>
            <w:tc>
              <w:tcPr>
                <w:tcW w:w="992" w:type="dxa"/>
              </w:tcPr>
              <w:p w14:paraId="239056FA" w14:textId="77777777" w:rsidR="008F4B79" w:rsidRPr="00263FFC" w:rsidRDefault="008F4B79" w:rsidP="00097CA9">
                <w:pPr>
                  <w:jc w:val="right"/>
                  <w:rPr>
                    <w:rFonts w:ascii="Arial" w:hAnsi="Arial" w:cs="Arial"/>
                    <w:b/>
                  </w:rPr>
                </w:pPr>
                <w:r w:rsidRPr="00263FFC">
                  <w:rPr>
                    <w:rFonts w:ascii="Arial" w:hAnsi="Arial" w:cs="Arial"/>
                    <w:b/>
                  </w:rPr>
                  <w:t>Oct</w:t>
                </w:r>
              </w:p>
            </w:tc>
            <w:tc>
              <w:tcPr>
                <w:tcW w:w="992" w:type="dxa"/>
              </w:tcPr>
              <w:p w14:paraId="73656E83" w14:textId="77777777" w:rsidR="008F4B79" w:rsidRPr="00263FFC" w:rsidRDefault="008F4B79" w:rsidP="00097CA9">
                <w:pPr>
                  <w:jc w:val="right"/>
                  <w:rPr>
                    <w:rFonts w:ascii="Arial" w:hAnsi="Arial" w:cs="Arial"/>
                    <w:b/>
                  </w:rPr>
                </w:pPr>
                <w:r w:rsidRPr="00263FFC">
                  <w:rPr>
                    <w:rFonts w:ascii="Arial" w:hAnsi="Arial" w:cs="Arial"/>
                    <w:b/>
                  </w:rPr>
                  <w:t>Nov</w:t>
                </w:r>
              </w:p>
            </w:tc>
          </w:tr>
          <w:tr w:rsidR="008F4B79" w:rsidRPr="00263FFC" w14:paraId="48267129" w14:textId="77777777" w:rsidTr="00097CA9">
            <w:trPr>
              <w:trHeight w:val="281"/>
            </w:trPr>
            <w:tc>
              <w:tcPr>
                <w:tcW w:w="2551" w:type="dxa"/>
              </w:tcPr>
              <w:p w14:paraId="5BFBE18B" w14:textId="77777777" w:rsidR="008F4B79" w:rsidRPr="00263FFC" w:rsidRDefault="008F4B79" w:rsidP="00097CA9">
                <w:pPr>
                  <w:rPr>
                    <w:rFonts w:ascii="Arial" w:hAnsi="Arial" w:cs="Arial"/>
                  </w:rPr>
                </w:pPr>
              </w:p>
            </w:tc>
            <w:tc>
              <w:tcPr>
                <w:tcW w:w="992" w:type="dxa"/>
              </w:tcPr>
              <w:p w14:paraId="690885C8"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c>
              <w:tcPr>
                <w:tcW w:w="992" w:type="dxa"/>
              </w:tcPr>
              <w:p w14:paraId="07014644"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c>
              <w:tcPr>
                <w:tcW w:w="964" w:type="dxa"/>
              </w:tcPr>
              <w:p w14:paraId="56F154CD"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c>
              <w:tcPr>
                <w:tcW w:w="993" w:type="dxa"/>
              </w:tcPr>
              <w:p w14:paraId="034F1BDC"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c>
              <w:tcPr>
                <w:tcW w:w="992" w:type="dxa"/>
              </w:tcPr>
              <w:p w14:paraId="0CEC832B"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c>
              <w:tcPr>
                <w:tcW w:w="992" w:type="dxa"/>
              </w:tcPr>
              <w:p w14:paraId="6870BD98" w14:textId="77777777" w:rsidR="008F4B79" w:rsidRPr="00263FFC" w:rsidRDefault="008F4B79" w:rsidP="00097CA9">
                <w:pPr>
                  <w:jc w:val="right"/>
                  <w:rPr>
                    <w:rFonts w:ascii="Arial" w:hAnsi="Arial" w:cs="Arial"/>
                    <w:sz w:val="20"/>
                    <w:szCs w:val="20"/>
                  </w:rPr>
                </w:pPr>
                <w:r w:rsidRPr="00263FFC">
                  <w:rPr>
                    <w:rFonts w:ascii="Arial" w:hAnsi="Arial" w:cs="Arial"/>
                    <w:sz w:val="20"/>
                    <w:szCs w:val="20"/>
                  </w:rPr>
                  <w:t>£000</w:t>
                </w:r>
              </w:p>
            </w:tc>
          </w:tr>
          <w:tr w:rsidR="008F4B79" w:rsidRPr="00263FFC" w14:paraId="4B0E14E7" w14:textId="77777777" w:rsidTr="00097CA9">
            <w:tc>
              <w:tcPr>
                <w:tcW w:w="2551" w:type="dxa"/>
              </w:tcPr>
              <w:p w14:paraId="05D0139B" w14:textId="77777777" w:rsidR="008F4B79" w:rsidRPr="00263FFC" w:rsidRDefault="008F4B79" w:rsidP="00097CA9">
                <w:pPr>
                  <w:rPr>
                    <w:rFonts w:ascii="Arial" w:hAnsi="Arial" w:cs="Arial"/>
                  </w:rPr>
                </w:pPr>
                <w:r w:rsidRPr="00263FFC">
                  <w:rPr>
                    <w:rFonts w:ascii="Arial" w:hAnsi="Arial" w:cs="Arial"/>
                  </w:rPr>
                  <w:t>Opening balance</w:t>
                </w:r>
              </w:p>
            </w:tc>
            <w:tc>
              <w:tcPr>
                <w:tcW w:w="992" w:type="dxa"/>
              </w:tcPr>
              <w:p w14:paraId="1A8CCF64" w14:textId="40339CBB" w:rsidR="008F4B79" w:rsidRPr="00263FFC" w:rsidRDefault="000B3D71" w:rsidP="00097CA9">
                <w:pPr>
                  <w:jc w:val="right"/>
                  <w:rPr>
                    <w:rFonts w:ascii="Arial" w:hAnsi="Arial" w:cs="Arial"/>
                  </w:rPr>
                </w:pPr>
                <w:r w:rsidRPr="00263FFC">
                  <w:rPr>
                    <w:rFonts w:ascii="Arial" w:hAnsi="Arial" w:cs="Arial"/>
                  </w:rPr>
                  <w:t>90</w:t>
                </w:r>
                <w:r w:rsidR="008F4B79" w:rsidRPr="00263FFC">
                  <w:rPr>
                    <w:rFonts w:ascii="Arial" w:hAnsi="Arial" w:cs="Arial"/>
                    <w:color w:val="FF0000"/>
                  </w:rPr>
                  <w:t xml:space="preserve"> </w:t>
                </w:r>
              </w:p>
            </w:tc>
            <w:tc>
              <w:tcPr>
                <w:tcW w:w="992" w:type="dxa"/>
              </w:tcPr>
              <w:p w14:paraId="26FCFE01" w14:textId="327F991F" w:rsidR="008F4B79" w:rsidRPr="00263FFC" w:rsidRDefault="00341E02" w:rsidP="00097CA9">
                <w:pPr>
                  <w:jc w:val="right"/>
                  <w:rPr>
                    <w:rFonts w:ascii="Arial" w:hAnsi="Arial" w:cs="Arial"/>
                  </w:rPr>
                </w:pPr>
                <w:r w:rsidRPr="00263FFC">
                  <w:rPr>
                    <w:rFonts w:ascii="Arial" w:hAnsi="Arial" w:cs="Arial"/>
                  </w:rPr>
                  <w:t>110</w:t>
                </w:r>
                <w:r w:rsidR="008F4B79" w:rsidRPr="00263FFC">
                  <w:rPr>
                    <w:rFonts w:ascii="Arial" w:hAnsi="Arial" w:cs="Arial"/>
                  </w:rPr>
                  <w:t xml:space="preserve"> </w:t>
                </w:r>
              </w:p>
            </w:tc>
            <w:tc>
              <w:tcPr>
                <w:tcW w:w="964" w:type="dxa"/>
              </w:tcPr>
              <w:p w14:paraId="52A93B90" w14:textId="3534B146" w:rsidR="008F4B79" w:rsidRPr="00263FFC" w:rsidRDefault="00341E02" w:rsidP="00097CA9">
                <w:pPr>
                  <w:jc w:val="right"/>
                  <w:rPr>
                    <w:rFonts w:ascii="Arial" w:hAnsi="Arial" w:cs="Arial"/>
                  </w:rPr>
                </w:pPr>
                <w:r w:rsidRPr="00263FFC">
                  <w:rPr>
                    <w:rFonts w:ascii="Arial" w:hAnsi="Arial" w:cs="Arial"/>
                  </w:rPr>
                  <w:t>134</w:t>
                </w:r>
                <w:r w:rsidR="008F4B79" w:rsidRPr="00263FFC">
                  <w:rPr>
                    <w:rFonts w:ascii="Arial" w:hAnsi="Arial" w:cs="Arial"/>
                  </w:rPr>
                  <w:t xml:space="preserve"> </w:t>
                </w:r>
              </w:p>
            </w:tc>
            <w:tc>
              <w:tcPr>
                <w:tcW w:w="993" w:type="dxa"/>
              </w:tcPr>
              <w:p w14:paraId="415EDCED" w14:textId="346C7711" w:rsidR="008F4B79" w:rsidRPr="00263FFC" w:rsidRDefault="00341E02" w:rsidP="00097CA9">
                <w:pPr>
                  <w:jc w:val="right"/>
                  <w:rPr>
                    <w:rFonts w:ascii="Arial" w:hAnsi="Arial" w:cs="Arial"/>
                  </w:rPr>
                </w:pPr>
                <w:r w:rsidRPr="00263FFC">
                  <w:rPr>
                    <w:rFonts w:ascii="Arial" w:hAnsi="Arial" w:cs="Arial"/>
                  </w:rPr>
                  <w:t>187.5</w:t>
                </w:r>
                <w:r w:rsidR="008F4B79" w:rsidRPr="00263FFC">
                  <w:rPr>
                    <w:rFonts w:ascii="Arial" w:hAnsi="Arial" w:cs="Arial"/>
                  </w:rPr>
                  <w:t xml:space="preserve"> </w:t>
                </w:r>
              </w:p>
            </w:tc>
            <w:tc>
              <w:tcPr>
                <w:tcW w:w="992" w:type="dxa"/>
              </w:tcPr>
              <w:p w14:paraId="6F4E533A" w14:textId="7B7CF187" w:rsidR="008F4B79" w:rsidRPr="00263FFC" w:rsidRDefault="00341E02" w:rsidP="00097CA9">
                <w:pPr>
                  <w:jc w:val="right"/>
                  <w:rPr>
                    <w:rFonts w:ascii="Arial" w:hAnsi="Arial" w:cs="Arial"/>
                  </w:rPr>
                </w:pPr>
                <w:r w:rsidRPr="00263FFC">
                  <w:rPr>
                    <w:rFonts w:ascii="Arial" w:hAnsi="Arial" w:cs="Arial"/>
                  </w:rPr>
                  <w:t>204.5</w:t>
                </w:r>
                <w:r w:rsidR="008F4B79" w:rsidRPr="00263FFC">
                  <w:rPr>
                    <w:rFonts w:ascii="Arial" w:hAnsi="Arial" w:cs="Arial"/>
                  </w:rPr>
                  <w:t xml:space="preserve"> </w:t>
                </w:r>
              </w:p>
            </w:tc>
            <w:tc>
              <w:tcPr>
                <w:tcW w:w="992" w:type="dxa"/>
              </w:tcPr>
              <w:p w14:paraId="2ADBBDD3" w14:textId="258B6BF3" w:rsidR="008F4B79" w:rsidRPr="00263FFC" w:rsidRDefault="00341E02" w:rsidP="00097CA9">
                <w:pPr>
                  <w:jc w:val="right"/>
                  <w:rPr>
                    <w:rFonts w:ascii="Arial" w:hAnsi="Arial" w:cs="Arial"/>
                  </w:rPr>
                </w:pPr>
                <w:r w:rsidRPr="00263FFC">
                  <w:rPr>
                    <w:rFonts w:ascii="Arial" w:hAnsi="Arial" w:cs="Arial"/>
                  </w:rPr>
                  <w:t>255</w:t>
                </w:r>
                <w:r w:rsidR="008F4B79" w:rsidRPr="00263FFC">
                  <w:rPr>
                    <w:rFonts w:ascii="Arial" w:hAnsi="Arial" w:cs="Arial"/>
                  </w:rPr>
                  <w:t xml:space="preserve"> </w:t>
                </w:r>
              </w:p>
            </w:tc>
          </w:tr>
          <w:tr w:rsidR="008F4B79" w:rsidRPr="00263FFC" w14:paraId="2EB4036E" w14:textId="77777777" w:rsidTr="00097CA9">
            <w:tc>
              <w:tcPr>
                <w:tcW w:w="2551" w:type="dxa"/>
              </w:tcPr>
              <w:p w14:paraId="7644C62B" w14:textId="77777777" w:rsidR="008F4B79" w:rsidRPr="00263FFC" w:rsidRDefault="008F4B79" w:rsidP="00097CA9">
                <w:pPr>
                  <w:ind w:left="-675" w:firstLine="675"/>
                  <w:rPr>
                    <w:rFonts w:ascii="Arial" w:hAnsi="Arial" w:cs="Arial"/>
                  </w:rPr>
                </w:pPr>
                <w:r w:rsidRPr="00263FFC">
                  <w:rPr>
                    <w:rFonts w:ascii="Arial" w:hAnsi="Arial" w:cs="Arial"/>
                  </w:rPr>
                  <w:t>Stock purchased</w:t>
                </w:r>
              </w:p>
            </w:tc>
            <w:tc>
              <w:tcPr>
                <w:tcW w:w="992" w:type="dxa"/>
              </w:tcPr>
              <w:p w14:paraId="4773612C" w14:textId="24F763DA" w:rsidR="008F4B79" w:rsidRPr="00263FFC" w:rsidRDefault="00885EBB" w:rsidP="00097CA9">
                <w:pPr>
                  <w:jc w:val="right"/>
                  <w:rPr>
                    <w:rFonts w:ascii="Arial" w:hAnsi="Arial" w:cs="Arial"/>
                    <w:u w:val="single"/>
                  </w:rPr>
                </w:pPr>
                <w:r w:rsidRPr="00263FFC">
                  <w:rPr>
                    <w:rFonts w:ascii="Arial" w:hAnsi="Arial" w:cs="Arial"/>
                    <w:u w:val="single"/>
                  </w:rPr>
                  <w:t>150</w:t>
                </w:r>
                <w:r w:rsidR="008F4B79" w:rsidRPr="00263FFC">
                  <w:rPr>
                    <w:rFonts w:ascii="Arial" w:hAnsi="Arial" w:cs="Arial"/>
                    <w:u w:val="single"/>
                  </w:rPr>
                  <w:t xml:space="preserve"> </w:t>
                </w:r>
              </w:p>
            </w:tc>
            <w:tc>
              <w:tcPr>
                <w:tcW w:w="992" w:type="dxa"/>
              </w:tcPr>
              <w:p w14:paraId="3063B113" w14:textId="38120334" w:rsidR="008F4B79" w:rsidRPr="00263FFC" w:rsidRDefault="00341E02" w:rsidP="00097CA9">
                <w:pPr>
                  <w:jc w:val="right"/>
                  <w:rPr>
                    <w:rFonts w:ascii="Arial" w:hAnsi="Arial" w:cs="Arial"/>
                    <w:u w:val="single"/>
                  </w:rPr>
                </w:pPr>
                <w:r w:rsidRPr="00263FFC">
                  <w:rPr>
                    <w:rFonts w:ascii="Arial" w:hAnsi="Arial" w:cs="Arial"/>
                    <w:u w:val="single"/>
                  </w:rPr>
                  <w:t>180</w:t>
                </w:r>
                <w:r w:rsidR="008F4B79" w:rsidRPr="00263FFC">
                  <w:rPr>
                    <w:rFonts w:ascii="Arial" w:hAnsi="Arial" w:cs="Arial"/>
                    <w:u w:val="single"/>
                  </w:rPr>
                  <w:t xml:space="preserve">  </w:t>
                </w:r>
              </w:p>
            </w:tc>
            <w:tc>
              <w:tcPr>
                <w:tcW w:w="964" w:type="dxa"/>
              </w:tcPr>
              <w:p w14:paraId="7B8CE271" w14:textId="6B7DD8FD" w:rsidR="008F4B79" w:rsidRPr="00263FFC" w:rsidRDefault="00341E02" w:rsidP="00097CA9">
                <w:pPr>
                  <w:jc w:val="right"/>
                  <w:rPr>
                    <w:rFonts w:ascii="Arial" w:hAnsi="Arial" w:cs="Arial"/>
                    <w:u w:val="single"/>
                  </w:rPr>
                </w:pPr>
                <w:r w:rsidRPr="00263FFC">
                  <w:rPr>
                    <w:rFonts w:ascii="Arial" w:hAnsi="Arial" w:cs="Arial"/>
                    <w:u w:val="single"/>
                  </w:rPr>
                  <w:t>190</w:t>
                </w:r>
                <w:r w:rsidR="008F4B79" w:rsidRPr="00263FFC">
                  <w:rPr>
                    <w:rFonts w:ascii="Arial" w:hAnsi="Arial" w:cs="Arial"/>
                    <w:u w:val="single"/>
                  </w:rPr>
                  <w:t xml:space="preserve"> </w:t>
                </w:r>
              </w:p>
            </w:tc>
            <w:tc>
              <w:tcPr>
                <w:tcW w:w="993" w:type="dxa"/>
              </w:tcPr>
              <w:p w14:paraId="66D80042" w14:textId="2BCCBDF3" w:rsidR="008F4B79" w:rsidRPr="00263FFC" w:rsidRDefault="00341E02" w:rsidP="00097CA9">
                <w:pPr>
                  <w:jc w:val="right"/>
                  <w:rPr>
                    <w:rFonts w:ascii="Arial" w:hAnsi="Arial" w:cs="Arial"/>
                    <w:u w:val="single"/>
                  </w:rPr>
                </w:pPr>
                <w:r w:rsidRPr="00263FFC">
                  <w:rPr>
                    <w:rFonts w:ascii="Arial" w:hAnsi="Arial" w:cs="Arial"/>
                    <w:u w:val="single"/>
                  </w:rPr>
                  <w:t>160</w:t>
                </w:r>
                <w:r w:rsidR="008F4B79" w:rsidRPr="00263FFC">
                  <w:rPr>
                    <w:rFonts w:ascii="Arial" w:hAnsi="Arial" w:cs="Arial"/>
                    <w:u w:val="single"/>
                  </w:rPr>
                  <w:t xml:space="preserve"> </w:t>
                </w:r>
              </w:p>
            </w:tc>
            <w:tc>
              <w:tcPr>
                <w:tcW w:w="992" w:type="dxa"/>
              </w:tcPr>
              <w:p w14:paraId="078EE3E2" w14:textId="301C63B2" w:rsidR="008F4B79" w:rsidRPr="00263FFC" w:rsidRDefault="00341E02" w:rsidP="00097CA9">
                <w:pPr>
                  <w:jc w:val="right"/>
                  <w:rPr>
                    <w:rFonts w:ascii="Arial" w:hAnsi="Arial" w:cs="Arial"/>
                    <w:u w:val="single"/>
                  </w:rPr>
                </w:pPr>
                <w:r w:rsidRPr="00263FFC">
                  <w:rPr>
                    <w:rFonts w:ascii="Arial" w:hAnsi="Arial" w:cs="Arial"/>
                    <w:u w:val="single"/>
                  </w:rPr>
                  <w:t>200</w:t>
                </w:r>
                <w:r w:rsidR="008F4B79" w:rsidRPr="00263FFC">
                  <w:rPr>
                    <w:rFonts w:ascii="Arial" w:hAnsi="Arial" w:cs="Arial"/>
                    <w:u w:val="single"/>
                  </w:rPr>
                  <w:t xml:space="preserve"> </w:t>
                </w:r>
              </w:p>
            </w:tc>
            <w:tc>
              <w:tcPr>
                <w:tcW w:w="992" w:type="dxa"/>
              </w:tcPr>
              <w:p w14:paraId="0FC90AE7" w14:textId="6C8D8E5F" w:rsidR="008F4B79" w:rsidRPr="00263FFC" w:rsidRDefault="00341E02" w:rsidP="00097CA9">
                <w:pPr>
                  <w:jc w:val="right"/>
                  <w:rPr>
                    <w:rFonts w:ascii="Arial" w:hAnsi="Arial" w:cs="Arial"/>
                    <w:u w:val="single"/>
                  </w:rPr>
                </w:pPr>
                <w:r w:rsidRPr="00263FFC">
                  <w:rPr>
                    <w:rFonts w:ascii="Arial" w:hAnsi="Arial" w:cs="Arial"/>
                    <w:u w:val="single"/>
                  </w:rPr>
                  <w:t>210</w:t>
                </w:r>
                <w:r w:rsidR="008F4B79" w:rsidRPr="00263FFC">
                  <w:rPr>
                    <w:rFonts w:ascii="Arial" w:hAnsi="Arial" w:cs="Arial"/>
                    <w:u w:val="single"/>
                  </w:rPr>
                  <w:t xml:space="preserve"> </w:t>
                </w:r>
              </w:p>
            </w:tc>
          </w:tr>
          <w:tr w:rsidR="008F4B79" w:rsidRPr="00263FFC" w14:paraId="5CA577E1" w14:textId="77777777" w:rsidTr="00097CA9">
            <w:tc>
              <w:tcPr>
                <w:tcW w:w="2551" w:type="dxa"/>
              </w:tcPr>
              <w:p w14:paraId="4AF45FB0" w14:textId="77777777" w:rsidR="008F4B79" w:rsidRPr="00263FFC" w:rsidRDefault="008F4B79" w:rsidP="00097CA9">
                <w:pPr>
                  <w:rPr>
                    <w:rFonts w:ascii="Arial" w:hAnsi="Arial" w:cs="Arial"/>
                  </w:rPr>
                </w:pPr>
              </w:p>
            </w:tc>
            <w:tc>
              <w:tcPr>
                <w:tcW w:w="992" w:type="dxa"/>
              </w:tcPr>
              <w:p w14:paraId="1C07BCC7" w14:textId="77777777" w:rsidR="008F4B79" w:rsidRPr="00263FFC" w:rsidRDefault="008F4B79" w:rsidP="00097CA9">
                <w:pPr>
                  <w:jc w:val="right"/>
                  <w:rPr>
                    <w:rFonts w:ascii="Arial" w:hAnsi="Arial" w:cs="Arial"/>
                  </w:rPr>
                </w:pPr>
                <w:r w:rsidRPr="00263FFC">
                  <w:rPr>
                    <w:rFonts w:ascii="Arial" w:hAnsi="Arial" w:cs="Arial"/>
                  </w:rPr>
                  <w:t xml:space="preserve"> </w:t>
                </w:r>
              </w:p>
            </w:tc>
            <w:tc>
              <w:tcPr>
                <w:tcW w:w="992" w:type="dxa"/>
              </w:tcPr>
              <w:p w14:paraId="6FE1EFF6" w14:textId="77777777" w:rsidR="008F4B79" w:rsidRPr="00263FFC" w:rsidRDefault="008F4B79" w:rsidP="00097CA9">
                <w:pPr>
                  <w:jc w:val="right"/>
                  <w:rPr>
                    <w:rFonts w:ascii="Arial" w:hAnsi="Arial" w:cs="Arial"/>
                  </w:rPr>
                </w:pPr>
                <w:r w:rsidRPr="00263FFC">
                  <w:rPr>
                    <w:rFonts w:ascii="Arial" w:hAnsi="Arial" w:cs="Arial"/>
                  </w:rPr>
                  <w:t xml:space="preserve">  </w:t>
                </w:r>
              </w:p>
            </w:tc>
            <w:tc>
              <w:tcPr>
                <w:tcW w:w="964" w:type="dxa"/>
              </w:tcPr>
              <w:p w14:paraId="49BFB01F" w14:textId="77777777" w:rsidR="008F4B79" w:rsidRPr="00263FFC" w:rsidRDefault="008F4B79" w:rsidP="00097CA9">
                <w:pPr>
                  <w:jc w:val="right"/>
                  <w:rPr>
                    <w:rFonts w:ascii="Arial" w:hAnsi="Arial" w:cs="Arial"/>
                  </w:rPr>
                </w:pPr>
                <w:r w:rsidRPr="00263FFC">
                  <w:rPr>
                    <w:rFonts w:ascii="Arial" w:hAnsi="Arial" w:cs="Arial"/>
                  </w:rPr>
                  <w:t xml:space="preserve"> </w:t>
                </w:r>
              </w:p>
            </w:tc>
            <w:tc>
              <w:tcPr>
                <w:tcW w:w="993" w:type="dxa"/>
              </w:tcPr>
              <w:p w14:paraId="59D4638F" w14:textId="77777777" w:rsidR="008F4B79" w:rsidRPr="00263FFC" w:rsidRDefault="008F4B79" w:rsidP="00097CA9">
                <w:pPr>
                  <w:jc w:val="right"/>
                  <w:rPr>
                    <w:rFonts w:ascii="Arial" w:hAnsi="Arial" w:cs="Arial"/>
                  </w:rPr>
                </w:pPr>
                <w:r w:rsidRPr="00263FFC">
                  <w:rPr>
                    <w:rFonts w:ascii="Arial" w:hAnsi="Arial" w:cs="Arial"/>
                  </w:rPr>
                  <w:t xml:space="preserve"> </w:t>
                </w:r>
              </w:p>
            </w:tc>
            <w:tc>
              <w:tcPr>
                <w:tcW w:w="992" w:type="dxa"/>
              </w:tcPr>
              <w:p w14:paraId="43FC5E09" w14:textId="77777777" w:rsidR="008F4B79" w:rsidRPr="00263FFC" w:rsidRDefault="008F4B79" w:rsidP="00097CA9">
                <w:pPr>
                  <w:jc w:val="right"/>
                  <w:rPr>
                    <w:rFonts w:ascii="Arial" w:hAnsi="Arial" w:cs="Arial"/>
                  </w:rPr>
                </w:pPr>
                <w:r w:rsidRPr="00263FFC">
                  <w:rPr>
                    <w:rFonts w:ascii="Arial" w:hAnsi="Arial" w:cs="Arial"/>
                  </w:rPr>
                  <w:t xml:space="preserve"> </w:t>
                </w:r>
              </w:p>
            </w:tc>
            <w:tc>
              <w:tcPr>
                <w:tcW w:w="992" w:type="dxa"/>
              </w:tcPr>
              <w:p w14:paraId="43B04720" w14:textId="77777777" w:rsidR="008F4B79" w:rsidRPr="00263FFC" w:rsidRDefault="008F4B79" w:rsidP="00097CA9">
                <w:pPr>
                  <w:jc w:val="right"/>
                  <w:rPr>
                    <w:rFonts w:ascii="Arial" w:hAnsi="Arial" w:cs="Arial"/>
                  </w:rPr>
                </w:pPr>
                <w:r w:rsidRPr="00263FFC">
                  <w:rPr>
                    <w:rFonts w:ascii="Arial" w:hAnsi="Arial" w:cs="Arial"/>
                  </w:rPr>
                  <w:t xml:space="preserve"> </w:t>
                </w:r>
              </w:p>
            </w:tc>
          </w:tr>
          <w:tr w:rsidR="008F4B79" w:rsidRPr="00263FFC" w14:paraId="3DDF65BB" w14:textId="77777777" w:rsidTr="00097CA9">
            <w:tc>
              <w:tcPr>
                <w:tcW w:w="2551" w:type="dxa"/>
              </w:tcPr>
              <w:p w14:paraId="52F4EA19" w14:textId="5A0C34FB" w:rsidR="008F4B79" w:rsidRPr="00263FFC" w:rsidRDefault="008F4B79" w:rsidP="00097CA9">
                <w:pPr>
                  <w:rPr>
                    <w:rFonts w:ascii="Arial" w:hAnsi="Arial" w:cs="Arial"/>
                  </w:rPr>
                </w:pPr>
              </w:p>
            </w:tc>
            <w:tc>
              <w:tcPr>
                <w:tcW w:w="992" w:type="dxa"/>
              </w:tcPr>
              <w:p w14:paraId="18C5A87C" w14:textId="77777777" w:rsidR="008F4B79" w:rsidRPr="00263FFC" w:rsidRDefault="008F4B79" w:rsidP="00097CA9">
                <w:pPr>
                  <w:jc w:val="right"/>
                  <w:rPr>
                    <w:rFonts w:ascii="Arial" w:hAnsi="Arial" w:cs="Arial"/>
                  </w:rPr>
                </w:pPr>
              </w:p>
            </w:tc>
            <w:tc>
              <w:tcPr>
                <w:tcW w:w="992" w:type="dxa"/>
              </w:tcPr>
              <w:p w14:paraId="71DD69FF" w14:textId="77777777" w:rsidR="008F4B79" w:rsidRPr="00263FFC" w:rsidRDefault="008F4B79" w:rsidP="00097CA9">
                <w:pPr>
                  <w:jc w:val="right"/>
                  <w:rPr>
                    <w:rFonts w:ascii="Arial" w:hAnsi="Arial" w:cs="Arial"/>
                  </w:rPr>
                </w:pPr>
              </w:p>
            </w:tc>
            <w:tc>
              <w:tcPr>
                <w:tcW w:w="964" w:type="dxa"/>
              </w:tcPr>
              <w:p w14:paraId="56384A61" w14:textId="77777777" w:rsidR="008F4B79" w:rsidRPr="00263FFC" w:rsidRDefault="008F4B79" w:rsidP="00097CA9">
                <w:pPr>
                  <w:jc w:val="right"/>
                  <w:rPr>
                    <w:rFonts w:ascii="Arial" w:hAnsi="Arial" w:cs="Arial"/>
                  </w:rPr>
                </w:pPr>
              </w:p>
            </w:tc>
            <w:tc>
              <w:tcPr>
                <w:tcW w:w="993" w:type="dxa"/>
              </w:tcPr>
              <w:p w14:paraId="488A570F" w14:textId="77777777" w:rsidR="008F4B79" w:rsidRPr="00263FFC" w:rsidRDefault="008F4B79" w:rsidP="00097CA9">
                <w:pPr>
                  <w:jc w:val="right"/>
                  <w:rPr>
                    <w:rFonts w:ascii="Arial" w:hAnsi="Arial" w:cs="Arial"/>
                  </w:rPr>
                </w:pPr>
              </w:p>
            </w:tc>
            <w:tc>
              <w:tcPr>
                <w:tcW w:w="992" w:type="dxa"/>
              </w:tcPr>
              <w:p w14:paraId="7E3AC2E5" w14:textId="77777777" w:rsidR="008F4B79" w:rsidRPr="00263FFC" w:rsidRDefault="008F4B79" w:rsidP="00097CA9">
                <w:pPr>
                  <w:jc w:val="right"/>
                  <w:rPr>
                    <w:rFonts w:ascii="Arial" w:hAnsi="Arial" w:cs="Arial"/>
                  </w:rPr>
                </w:pPr>
              </w:p>
            </w:tc>
            <w:tc>
              <w:tcPr>
                <w:tcW w:w="992" w:type="dxa"/>
              </w:tcPr>
              <w:p w14:paraId="2F53D356" w14:textId="77777777" w:rsidR="008F4B79" w:rsidRPr="00263FFC" w:rsidRDefault="008F4B79" w:rsidP="00097CA9">
                <w:pPr>
                  <w:jc w:val="right"/>
                  <w:rPr>
                    <w:rFonts w:ascii="Arial" w:hAnsi="Arial" w:cs="Arial"/>
                  </w:rPr>
                </w:pPr>
              </w:p>
            </w:tc>
          </w:tr>
          <w:tr w:rsidR="008F4B79" w:rsidRPr="00263FFC" w14:paraId="42432D2F" w14:textId="77777777" w:rsidTr="00097CA9">
            <w:tc>
              <w:tcPr>
                <w:tcW w:w="2551" w:type="dxa"/>
              </w:tcPr>
              <w:p w14:paraId="3E4E8875" w14:textId="6B5A63CE" w:rsidR="008F4B79" w:rsidRPr="00263FFC" w:rsidRDefault="009A4E26" w:rsidP="00097CA9">
                <w:pPr>
                  <w:rPr>
                    <w:rFonts w:ascii="Arial" w:hAnsi="Arial" w:cs="Arial"/>
                  </w:rPr>
                </w:pPr>
                <w:r w:rsidRPr="00263FFC">
                  <w:rPr>
                    <w:rFonts w:ascii="Arial" w:hAnsi="Arial" w:cs="Arial"/>
                  </w:rPr>
                  <w:t>Cost of Stock sold</w:t>
                </w:r>
              </w:p>
            </w:tc>
            <w:tc>
              <w:tcPr>
                <w:tcW w:w="992" w:type="dxa"/>
              </w:tcPr>
              <w:p w14:paraId="65D5BBF4" w14:textId="455EBEC2" w:rsidR="008F4B79" w:rsidRPr="00263FFC" w:rsidRDefault="008F4B79" w:rsidP="00097CA9">
                <w:pPr>
                  <w:jc w:val="right"/>
                  <w:rPr>
                    <w:rFonts w:ascii="Arial" w:hAnsi="Arial" w:cs="Arial"/>
                    <w:u w:val="single"/>
                  </w:rPr>
                </w:pPr>
                <w:r w:rsidRPr="00263FFC">
                  <w:rPr>
                    <w:rFonts w:ascii="Arial" w:hAnsi="Arial" w:cs="Arial"/>
                    <w:u w:val="single"/>
                  </w:rPr>
                  <w:t>(</w:t>
                </w:r>
                <w:r w:rsidR="00885EBB" w:rsidRPr="00263FFC">
                  <w:rPr>
                    <w:rFonts w:ascii="Arial" w:hAnsi="Arial" w:cs="Arial"/>
                    <w:u w:val="single"/>
                  </w:rPr>
                  <w:t>130</w:t>
                </w:r>
                <w:r w:rsidRPr="00263FFC">
                  <w:rPr>
                    <w:rFonts w:ascii="Arial" w:hAnsi="Arial" w:cs="Arial"/>
                    <w:u w:val="single"/>
                  </w:rPr>
                  <w:t>)</w:t>
                </w:r>
              </w:p>
            </w:tc>
            <w:tc>
              <w:tcPr>
                <w:tcW w:w="992" w:type="dxa"/>
              </w:tcPr>
              <w:p w14:paraId="53987C78" w14:textId="5EC8E427" w:rsidR="008F4B79" w:rsidRPr="00263FFC" w:rsidRDefault="008F4B79" w:rsidP="00097CA9">
                <w:pPr>
                  <w:jc w:val="right"/>
                  <w:rPr>
                    <w:rFonts w:ascii="Arial" w:hAnsi="Arial" w:cs="Arial"/>
                    <w:u w:val="single"/>
                  </w:rPr>
                </w:pPr>
                <w:r w:rsidRPr="00263FFC">
                  <w:rPr>
                    <w:rFonts w:ascii="Arial" w:hAnsi="Arial" w:cs="Arial"/>
                    <w:u w:val="single"/>
                  </w:rPr>
                  <w:t>(</w:t>
                </w:r>
                <w:r w:rsidR="008C6014" w:rsidRPr="00263FFC">
                  <w:rPr>
                    <w:rFonts w:ascii="Arial" w:hAnsi="Arial" w:cs="Arial"/>
                    <w:u w:val="single"/>
                  </w:rPr>
                  <w:t>156</w:t>
                </w:r>
                <w:r w:rsidRPr="00263FFC">
                  <w:rPr>
                    <w:rFonts w:ascii="Arial" w:hAnsi="Arial" w:cs="Arial"/>
                    <w:u w:val="single"/>
                  </w:rPr>
                  <w:t>)</w:t>
                </w:r>
              </w:p>
            </w:tc>
            <w:tc>
              <w:tcPr>
                <w:tcW w:w="964" w:type="dxa"/>
              </w:tcPr>
              <w:p w14:paraId="1BEBF8F6" w14:textId="2B701E28" w:rsidR="008F4B79" w:rsidRPr="00263FFC" w:rsidRDefault="008F4B79" w:rsidP="006E6C44">
                <w:pPr>
                  <w:rPr>
                    <w:rFonts w:ascii="Arial" w:hAnsi="Arial" w:cs="Arial"/>
                    <w:u w:val="single"/>
                  </w:rPr>
                </w:pPr>
                <w:r w:rsidRPr="00263FFC">
                  <w:rPr>
                    <w:rFonts w:ascii="Arial" w:hAnsi="Arial" w:cs="Arial"/>
                    <w:u w:val="single"/>
                  </w:rPr>
                  <w:t>(</w:t>
                </w:r>
                <w:r w:rsidR="008C6014" w:rsidRPr="00263FFC">
                  <w:rPr>
                    <w:rFonts w:ascii="Arial" w:hAnsi="Arial" w:cs="Arial"/>
                    <w:u w:val="single"/>
                  </w:rPr>
                  <w:t>136.5</w:t>
                </w:r>
                <w:r w:rsidRPr="00263FFC">
                  <w:rPr>
                    <w:rFonts w:ascii="Arial" w:hAnsi="Arial" w:cs="Arial"/>
                    <w:u w:val="single"/>
                  </w:rPr>
                  <w:t>)</w:t>
                </w:r>
              </w:p>
            </w:tc>
            <w:tc>
              <w:tcPr>
                <w:tcW w:w="993" w:type="dxa"/>
              </w:tcPr>
              <w:p w14:paraId="46BAC863" w14:textId="7584BACB" w:rsidR="008F4B79" w:rsidRPr="00263FFC" w:rsidRDefault="008F4B79" w:rsidP="00097CA9">
                <w:pPr>
                  <w:jc w:val="right"/>
                  <w:rPr>
                    <w:rFonts w:ascii="Arial" w:hAnsi="Arial" w:cs="Arial"/>
                    <w:u w:val="single"/>
                  </w:rPr>
                </w:pPr>
                <w:r w:rsidRPr="00263FFC">
                  <w:rPr>
                    <w:rFonts w:ascii="Arial" w:hAnsi="Arial" w:cs="Arial"/>
                    <w:u w:val="single"/>
                  </w:rPr>
                  <w:t>(</w:t>
                </w:r>
                <w:r w:rsidR="003B3253" w:rsidRPr="00263FFC">
                  <w:rPr>
                    <w:rFonts w:ascii="Arial" w:hAnsi="Arial" w:cs="Arial"/>
                    <w:u w:val="single"/>
                  </w:rPr>
                  <w:t>143</w:t>
                </w:r>
                <w:r w:rsidRPr="00263FFC">
                  <w:rPr>
                    <w:rFonts w:ascii="Arial" w:hAnsi="Arial" w:cs="Arial"/>
                    <w:u w:val="single"/>
                  </w:rPr>
                  <w:t>)</w:t>
                </w:r>
              </w:p>
            </w:tc>
            <w:tc>
              <w:tcPr>
                <w:tcW w:w="992" w:type="dxa"/>
              </w:tcPr>
              <w:p w14:paraId="06A661B3" w14:textId="66F3E4EB" w:rsidR="008F4B79" w:rsidRPr="00263FFC" w:rsidRDefault="003037D3" w:rsidP="003B3253">
                <w:pPr>
                  <w:rPr>
                    <w:rFonts w:ascii="Arial" w:hAnsi="Arial" w:cs="Arial"/>
                    <w:u w:val="single"/>
                  </w:rPr>
                </w:pPr>
                <w:r w:rsidRPr="00263FFC">
                  <w:rPr>
                    <w:rFonts w:ascii="Arial" w:hAnsi="Arial" w:cs="Arial"/>
                    <w:u w:val="single"/>
                  </w:rPr>
                  <w:t xml:space="preserve"> </w:t>
                </w:r>
                <w:r w:rsidR="008F4B79" w:rsidRPr="00263FFC">
                  <w:rPr>
                    <w:rFonts w:ascii="Arial" w:hAnsi="Arial" w:cs="Arial"/>
                    <w:u w:val="single"/>
                  </w:rPr>
                  <w:t>(</w:t>
                </w:r>
                <w:r w:rsidR="003B3253" w:rsidRPr="00263FFC">
                  <w:rPr>
                    <w:rFonts w:ascii="Arial" w:hAnsi="Arial" w:cs="Arial"/>
                    <w:u w:val="single"/>
                  </w:rPr>
                  <w:t>149.5</w:t>
                </w:r>
                <w:r w:rsidR="008F4B79" w:rsidRPr="00263FFC">
                  <w:rPr>
                    <w:rFonts w:ascii="Arial" w:hAnsi="Arial" w:cs="Arial"/>
                    <w:u w:val="single"/>
                  </w:rPr>
                  <w:t>)</w:t>
                </w:r>
              </w:p>
            </w:tc>
            <w:tc>
              <w:tcPr>
                <w:tcW w:w="992" w:type="dxa"/>
              </w:tcPr>
              <w:p w14:paraId="37FEBA70" w14:textId="475B3A36" w:rsidR="008F4B79" w:rsidRPr="00263FFC" w:rsidRDefault="008F4B79" w:rsidP="00097CA9">
                <w:pPr>
                  <w:jc w:val="right"/>
                  <w:rPr>
                    <w:rFonts w:ascii="Arial" w:hAnsi="Arial" w:cs="Arial"/>
                    <w:u w:val="single"/>
                  </w:rPr>
                </w:pPr>
                <w:r w:rsidRPr="00263FFC">
                  <w:rPr>
                    <w:rFonts w:ascii="Arial" w:hAnsi="Arial" w:cs="Arial"/>
                    <w:u w:val="single"/>
                  </w:rPr>
                  <w:t>(</w:t>
                </w:r>
                <w:r w:rsidR="00C84910" w:rsidRPr="00263FFC">
                  <w:rPr>
                    <w:rFonts w:ascii="Arial" w:hAnsi="Arial" w:cs="Arial"/>
                    <w:u w:val="single"/>
                  </w:rPr>
                  <w:t>162.5</w:t>
                </w:r>
                <w:r w:rsidRPr="00263FFC">
                  <w:rPr>
                    <w:rFonts w:ascii="Arial" w:hAnsi="Arial" w:cs="Arial"/>
                    <w:u w:val="single"/>
                  </w:rPr>
                  <w:t>)</w:t>
                </w:r>
              </w:p>
            </w:tc>
          </w:tr>
          <w:tr w:rsidR="008F4B79" w:rsidRPr="00263FFC" w14:paraId="1A4C0D6B" w14:textId="77777777" w:rsidTr="00097CA9">
            <w:tc>
              <w:tcPr>
                <w:tcW w:w="2551" w:type="dxa"/>
              </w:tcPr>
              <w:p w14:paraId="26293D64" w14:textId="77777777" w:rsidR="008F4B79" w:rsidRPr="00263FFC" w:rsidRDefault="008F4B79" w:rsidP="00097CA9">
                <w:pPr>
                  <w:rPr>
                    <w:rFonts w:ascii="Arial" w:hAnsi="Arial" w:cs="Arial"/>
                  </w:rPr>
                </w:pPr>
                <w:proofErr w:type="gramStart"/>
                <w:r w:rsidRPr="00263FFC">
                  <w:rPr>
                    <w:rFonts w:ascii="Arial" w:hAnsi="Arial" w:cs="Arial"/>
                  </w:rPr>
                  <w:t>Therefore</w:t>
                </w:r>
                <w:proofErr w:type="gramEnd"/>
                <w:r w:rsidRPr="00263FFC">
                  <w:rPr>
                    <w:rFonts w:ascii="Arial" w:hAnsi="Arial" w:cs="Arial"/>
                  </w:rPr>
                  <w:t xml:space="preserve"> Closing stock</w:t>
                </w:r>
              </w:p>
            </w:tc>
            <w:tc>
              <w:tcPr>
                <w:tcW w:w="992" w:type="dxa"/>
              </w:tcPr>
              <w:p w14:paraId="1724EC96" w14:textId="3639A16B" w:rsidR="008F4B79" w:rsidRPr="00263FFC" w:rsidRDefault="00885EBB" w:rsidP="00097CA9">
                <w:pPr>
                  <w:jc w:val="right"/>
                  <w:rPr>
                    <w:rFonts w:ascii="Arial" w:hAnsi="Arial" w:cs="Arial"/>
                    <w:u w:val="single"/>
                  </w:rPr>
                </w:pPr>
                <w:r w:rsidRPr="00263FFC">
                  <w:rPr>
                    <w:rFonts w:ascii="Arial" w:hAnsi="Arial" w:cs="Arial"/>
                    <w:u w:val="single"/>
                  </w:rPr>
                  <w:t>110</w:t>
                </w:r>
                <w:r w:rsidR="008F4B79" w:rsidRPr="00263FFC">
                  <w:rPr>
                    <w:rFonts w:ascii="Arial" w:hAnsi="Arial" w:cs="Arial"/>
                    <w:u w:val="single"/>
                  </w:rPr>
                  <w:t xml:space="preserve">   </w:t>
                </w:r>
              </w:p>
            </w:tc>
            <w:tc>
              <w:tcPr>
                <w:tcW w:w="992" w:type="dxa"/>
              </w:tcPr>
              <w:p w14:paraId="7E95065D" w14:textId="3A81B30D" w:rsidR="008F4B79" w:rsidRPr="00263FFC" w:rsidRDefault="00904EE7" w:rsidP="00097CA9">
                <w:pPr>
                  <w:jc w:val="right"/>
                  <w:rPr>
                    <w:rFonts w:ascii="Arial" w:hAnsi="Arial" w:cs="Arial"/>
                    <w:u w:val="single"/>
                  </w:rPr>
                </w:pPr>
                <w:r w:rsidRPr="00263FFC">
                  <w:rPr>
                    <w:rFonts w:ascii="Arial" w:hAnsi="Arial" w:cs="Arial"/>
                    <w:u w:val="single"/>
                  </w:rPr>
                  <w:t>134</w:t>
                </w:r>
                <w:r w:rsidR="008F4B79" w:rsidRPr="00263FFC">
                  <w:rPr>
                    <w:rFonts w:ascii="Arial" w:hAnsi="Arial" w:cs="Arial"/>
                    <w:u w:val="single"/>
                  </w:rPr>
                  <w:t xml:space="preserve">   </w:t>
                </w:r>
              </w:p>
            </w:tc>
            <w:tc>
              <w:tcPr>
                <w:tcW w:w="964" w:type="dxa"/>
              </w:tcPr>
              <w:p w14:paraId="36220FC1" w14:textId="4A9575A3" w:rsidR="008F4B79" w:rsidRPr="00263FFC" w:rsidRDefault="00904EE7" w:rsidP="00097CA9">
                <w:pPr>
                  <w:jc w:val="right"/>
                  <w:rPr>
                    <w:rFonts w:ascii="Arial" w:hAnsi="Arial" w:cs="Arial"/>
                    <w:u w:val="single"/>
                  </w:rPr>
                </w:pPr>
                <w:r w:rsidRPr="00263FFC">
                  <w:rPr>
                    <w:rFonts w:ascii="Arial" w:hAnsi="Arial" w:cs="Arial"/>
                    <w:u w:val="single"/>
                  </w:rPr>
                  <w:t>187.5</w:t>
                </w:r>
                <w:r w:rsidR="008F4B79" w:rsidRPr="00263FFC">
                  <w:rPr>
                    <w:rFonts w:ascii="Arial" w:hAnsi="Arial" w:cs="Arial"/>
                    <w:u w:val="single"/>
                  </w:rPr>
                  <w:t xml:space="preserve">     </w:t>
                </w:r>
              </w:p>
            </w:tc>
            <w:tc>
              <w:tcPr>
                <w:tcW w:w="993" w:type="dxa"/>
              </w:tcPr>
              <w:p w14:paraId="53C31D3A" w14:textId="289F6CE9" w:rsidR="008F4B79" w:rsidRPr="00263FFC" w:rsidRDefault="003037D3" w:rsidP="00097CA9">
                <w:pPr>
                  <w:jc w:val="right"/>
                  <w:rPr>
                    <w:rFonts w:ascii="Arial" w:hAnsi="Arial" w:cs="Arial"/>
                    <w:u w:val="single"/>
                  </w:rPr>
                </w:pPr>
                <w:r w:rsidRPr="00263FFC">
                  <w:rPr>
                    <w:rFonts w:ascii="Arial" w:hAnsi="Arial" w:cs="Arial"/>
                    <w:u w:val="single"/>
                  </w:rPr>
                  <w:t xml:space="preserve">  </w:t>
                </w:r>
                <w:r w:rsidR="00904EE7" w:rsidRPr="00263FFC">
                  <w:rPr>
                    <w:rFonts w:ascii="Arial" w:hAnsi="Arial" w:cs="Arial"/>
                    <w:u w:val="single"/>
                  </w:rPr>
                  <w:t>204.5</w:t>
                </w:r>
                <w:r w:rsidR="008F4B79" w:rsidRPr="00263FFC">
                  <w:rPr>
                    <w:rFonts w:ascii="Arial" w:hAnsi="Arial" w:cs="Arial"/>
                    <w:u w:val="single"/>
                  </w:rPr>
                  <w:t xml:space="preserve"> </w:t>
                </w:r>
              </w:p>
            </w:tc>
            <w:tc>
              <w:tcPr>
                <w:tcW w:w="992" w:type="dxa"/>
              </w:tcPr>
              <w:p w14:paraId="7F452A29" w14:textId="32CD00E9" w:rsidR="008F4B79" w:rsidRPr="00263FFC" w:rsidRDefault="00904EE7" w:rsidP="003037D3">
                <w:pPr>
                  <w:jc w:val="center"/>
                  <w:rPr>
                    <w:rFonts w:ascii="Arial" w:hAnsi="Arial" w:cs="Arial"/>
                    <w:u w:val="single"/>
                  </w:rPr>
                </w:pPr>
                <w:r w:rsidRPr="00263FFC">
                  <w:rPr>
                    <w:rFonts w:ascii="Arial" w:hAnsi="Arial" w:cs="Arial"/>
                    <w:u w:val="single"/>
                  </w:rPr>
                  <w:t>255</w:t>
                </w:r>
                <w:r w:rsidR="008F4B79" w:rsidRPr="00263FFC">
                  <w:rPr>
                    <w:rFonts w:ascii="Arial" w:hAnsi="Arial" w:cs="Arial"/>
                    <w:u w:val="single"/>
                  </w:rPr>
                  <w:t xml:space="preserve"> </w:t>
                </w:r>
              </w:p>
            </w:tc>
            <w:tc>
              <w:tcPr>
                <w:tcW w:w="992" w:type="dxa"/>
              </w:tcPr>
              <w:p w14:paraId="1B6F5CE9" w14:textId="2F0D41A3" w:rsidR="008F4B79" w:rsidRPr="00263FFC" w:rsidRDefault="003037D3" w:rsidP="00097CA9">
                <w:pPr>
                  <w:jc w:val="right"/>
                  <w:rPr>
                    <w:rFonts w:ascii="Arial" w:hAnsi="Arial" w:cs="Arial"/>
                    <w:u w:val="single"/>
                  </w:rPr>
                </w:pPr>
                <w:r w:rsidRPr="00263FFC">
                  <w:rPr>
                    <w:rFonts w:ascii="Arial" w:hAnsi="Arial" w:cs="Arial"/>
                    <w:u w:val="single"/>
                  </w:rPr>
                  <w:t>302.5</w:t>
                </w:r>
                <w:r w:rsidR="008F4B79" w:rsidRPr="00263FFC">
                  <w:rPr>
                    <w:rFonts w:ascii="Arial" w:hAnsi="Arial" w:cs="Arial"/>
                    <w:u w:val="single"/>
                  </w:rPr>
                  <w:t xml:space="preserve"> </w:t>
                </w:r>
              </w:p>
            </w:tc>
          </w:tr>
          <w:tr w:rsidR="008C2DC5" w:rsidRPr="00263FFC" w14:paraId="1E6B1976" w14:textId="77777777" w:rsidTr="00097CA9">
            <w:tc>
              <w:tcPr>
                <w:tcW w:w="2551" w:type="dxa"/>
              </w:tcPr>
              <w:p w14:paraId="13748E8C" w14:textId="77777777" w:rsidR="008C2DC5" w:rsidRDefault="008C2DC5" w:rsidP="00097CA9">
                <w:pPr>
                  <w:rPr>
                    <w:rFonts w:ascii="Arial" w:hAnsi="Arial" w:cs="Arial"/>
                  </w:rPr>
                </w:pPr>
              </w:p>
              <w:p w14:paraId="3D1E766C" w14:textId="77777777" w:rsidR="008C2DC5" w:rsidRDefault="008C2DC5" w:rsidP="00097CA9">
                <w:pPr>
                  <w:rPr>
                    <w:rFonts w:ascii="Arial" w:hAnsi="Arial" w:cs="Arial"/>
                  </w:rPr>
                </w:pPr>
              </w:p>
              <w:p w14:paraId="45D86E25" w14:textId="77777777" w:rsidR="008C2DC5" w:rsidRDefault="008C2DC5" w:rsidP="00097CA9">
                <w:pPr>
                  <w:rPr>
                    <w:rFonts w:ascii="Arial" w:hAnsi="Arial" w:cs="Arial"/>
                  </w:rPr>
                </w:pPr>
              </w:p>
              <w:p w14:paraId="60331072" w14:textId="77777777" w:rsidR="008C2DC5" w:rsidRDefault="008C2DC5" w:rsidP="00097CA9">
                <w:pPr>
                  <w:rPr>
                    <w:rFonts w:ascii="Arial" w:hAnsi="Arial" w:cs="Arial"/>
                  </w:rPr>
                </w:pPr>
              </w:p>
              <w:p w14:paraId="23635494" w14:textId="77777777" w:rsidR="008C2DC5" w:rsidRPr="00263FFC" w:rsidRDefault="008C2DC5" w:rsidP="00097CA9">
                <w:pPr>
                  <w:rPr>
                    <w:rFonts w:ascii="Arial" w:hAnsi="Arial" w:cs="Arial"/>
                  </w:rPr>
                </w:pPr>
              </w:p>
            </w:tc>
            <w:tc>
              <w:tcPr>
                <w:tcW w:w="992" w:type="dxa"/>
              </w:tcPr>
              <w:p w14:paraId="34B0671E" w14:textId="77777777" w:rsidR="008C2DC5" w:rsidRPr="00263FFC" w:rsidRDefault="008C2DC5" w:rsidP="00097CA9">
                <w:pPr>
                  <w:jc w:val="right"/>
                  <w:rPr>
                    <w:rFonts w:ascii="Arial" w:hAnsi="Arial" w:cs="Arial"/>
                    <w:u w:val="single"/>
                  </w:rPr>
                </w:pPr>
              </w:p>
            </w:tc>
            <w:tc>
              <w:tcPr>
                <w:tcW w:w="992" w:type="dxa"/>
              </w:tcPr>
              <w:p w14:paraId="6E70A9F6" w14:textId="77777777" w:rsidR="008C2DC5" w:rsidRPr="00263FFC" w:rsidRDefault="008C2DC5" w:rsidP="00097CA9">
                <w:pPr>
                  <w:jc w:val="right"/>
                  <w:rPr>
                    <w:rFonts w:ascii="Arial" w:hAnsi="Arial" w:cs="Arial"/>
                    <w:u w:val="single"/>
                  </w:rPr>
                </w:pPr>
              </w:p>
            </w:tc>
            <w:tc>
              <w:tcPr>
                <w:tcW w:w="964" w:type="dxa"/>
              </w:tcPr>
              <w:p w14:paraId="733527D1" w14:textId="77777777" w:rsidR="008C2DC5" w:rsidRPr="00263FFC" w:rsidRDefault="008C2DC5" w:rsidP="00097CA9">
                <w:pPr>
                  <w:jc w:val="right"/>
                  <w:rPr>
                    <w:rFonts w:ascii="Arial" w:hAnsi="Arial" w:cs="Arial"/>
                    <w:u w:val="single"/>
                  </w:rPr>
                </w:pPr>
              </w:p>
            </w:tc>
            <w:tc>
              <w:tcPr>
                <w:tcW w:w="993" w:type="dxa"/>
              </w:tcPr>
              <w:p w14:paraId="59457B07" w14:textId="77777777" w:rsidR="008C2DC5" w:rsidRPr="00263FFC" w:rsidRDefault="008C2DC5" w:rsidP="00097CA9">
                <w:pPr>
                  <w:jc w:val="right"/>
                  <w:rPr>
                    <w:rFonts w:ascii="Arial" w:hAnsi="Arial" w:cs="Arial"/>
                    <w:u w:val="single"/>
                  </w:rPr>
                </w:pPr>
              </w:p>
            </w:tc>
            <w:tc>
              <w:tcPr>
                <w:tcW w:w="992" w:type="dxa"/>
              </w:tcPr>
              <w:p w14:paraId="598DB05B" w14:textId="77777777" w:rsidR="008C2DC5" w:rsidRPr="00263FFC" w:rsidRDefault="008C2DC5" w:rsidP="003037D3">
                <w:pPr>
                  <w:jc w:val="center"/>
                  <w:rPr>
                    <w:rFonts w:ascii="Arial" w:hAnsi="Arial" w:cs="Arial"/>
                    <w:u w:val="single"/>
                  </w:rPr>
                </w:pPr>
              </w:p>
            </w:tc>
            <w:tc>
              <w:tcPr>
                <w:tcW w:w="992" w:type="dxa"/>
              </w:tcPr>
              <w:p w14:paraId="2BB373B8" w14:textId="77777777" w:rsidR="008C2DC5" w:rsidRPr="00263FFC" w:rsidRDefault="008C2DC5" w:rsidP="00097CA9">
                <w:pPr>
                  <w:jc w:val="right"/>
                  <w:rPr>
                    <w:rFonts w:ascii="Arial" w:hAnsi="Arial" w:cs="Arial"/>
                    <w:u w:val="single"/>
                  </w:rPr>
                </w:pPr>
              </w:p>
            </w:tc>
          </w:tr>
        </w:tbl>
        <w:p w14:paraId="72AB933E" w14:textId="77777777" w:rsidR="008F4B79" w:rsidRPr="00263FFC" w:rsidRDefault="008F4B79" w:rsidP="008F4B79">
          <w:pPr>
            <w:spacing w:line="240" w:lineRule="auto"/>
            <w:ind w:left="360" w:firstLine="360"/>
            <w:rPr>
              <w:rFonts w:ascii="Arial" w:hAnsi="Arial" w:cs="Arial"/>
            </w:rPr>
          </w:pPr>
        </w:p>
        <w:p w14:paraId="3B3C9567" w14:textId="17391CB7" w:rsidR="008F4B79" w:rsidRPr="00684865" w:rsidRDefault="008F4B79" w:rsidP="008C2DC5">
          <w:pPr>
            <w:pStyle w:val="ListParagraph"/>
            <w:numPr>
              <w:ilvl w:val="0"/>
              <w:numId w:val="1"/>
            </w:numPr>
            <w:ind w:left="851"/>
            <w:jc w:val="both"/>
            <w:rPr>
              <w:rFonts w:ascii="Arial" w:hAnsi="Arial" w:cs="Arial"/>
              <w:b/>
              <w:bCs/>
            </w:rPr>
          </w:pPr>
          <w:r w:rsidRPr="00684865">
            <w:rPr>
              <w:rFonts w:ascii="Arial" w:hAnsi="Arial" w:cs="Arial"/>
              <w:b/>
              <w:bCs/>
            </w:rPr>
            <w:lastRenderedPageBreak/>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263FFC" w14:paraId="06B9D7C0" w14:textId="77777777" w:rsidTr="00097CA9">
            <w:tc>
              <w:tcPr>
                <w:tcW w:w="3260" w:type="dxa"/>
              </w:tcPr>
              <w:p w14:paraId="1E3C6F34" w14:textId="77777777" w:rsidR="008F4B79" w:rsidRPr="00263FFC" w:rsidRDefault="008F4B79" w:rsidP="00097CA9">
                <w:pPr>
                  <w:jc w:val="center"/>
                  <w:rPr>
                    <w:rFonts w:ascii="Arial" w:hAnsi="Arial" w:cs="Arial"/>
                  </w:rPr>
                </w:pPr>
              </w:p>
            </w:tc>
            <w:tc>
              <w:tcPr>
                <w:tcW w:w="992" w:type="dxa"/>
              </w:tcPr>
              <w:p w14:paraId="0F82EF1E" w14:textId="77777777" w:rsidR="008F4B79" w:rsidRPr="00263FFC" w:rsidRDefault="008F4B79" w:rsidP="00097CA9">
                <w:pPr>
                  <w:jc w:val="center"/>
                  <w:rPr>
                    <w:rFonts w:ascii="Arial" w:hAnsi="Arial" w:cs="Arial"/>
                    <w:b/>
                  </w:rPr>
                </w:pPr>
                <w:r w:rsidRPr="00263FFC">
                  <w:rPr>
                    <w:rFonts w:ascii="Arial" w:hAnsi="Arial" w:cs="Arial"/>
                    <w:b/>
                  </w:rPr>
                  <w:t>June</w:t>
                </w:r>
              </w:p>
            </w:tc>
            <w:tc>
              <w:tcPr>
                <w:tcW w:w="992" w:type="dxa"/>
              </w:tcPr>
              <w:p w14:paraId="2D1C017B" w14:textId="77777777" w:rsidR="008F4B79" w:rsidRPr="00263FFC" w:rsidRDefault="008F4B79" w:rsidP="00097CA9">
                <w:pPr>
                  <w:jc w:val="center"/>
                  <w:rPr>
                    <w:rFonts w:ascii="Arial" w:hAnsi="Arial" w:cs="Arial"/>
                    <w:b/>
                  </w:rPr>
                </w:pPr>
                <w:r w:rsidRPr="00263FFC">
                  <w:rPr>
                    <w:rFonts w:ascii="Arial" w:hAnsi="Arial" w:cs="Arial"/>
                    <w:b/>
                  </w:rPr>
                  <w:t>July</w:t>
                </w:r>
              </w:p>
            </w:tc>
            <w:tc>
              <w:tcPr>
                <w:tcW w:w="993" w:type="dxa"/>
              </w:tcPr>
              <w:p w14:paraId="26718C46" w14:textId="77777777" w:rsidR="008F4B79" w:rsidRPr="00263FFC" w:rsidRDefault="008F4B79" w:rsidP="00097CA9">
                <w:pPr>
                  <w:jc w:val="center"/>
                  <w:rPr>
                    <w:rFonts w:ascii="Arial" w:hAnsi="Arial" w:cs="Arial"/>
                    <w:b/>
                  </w:rPr>
                </w:pPr>
                <w:r w:rsidRPr="00263FFC">
                  <w:rPr>
                    <w:rFonts w:ascii="Arial" w:hAnsi="Arial" w:cs="Arial"/>
                    <w:b/>
                  </w:rPr>
                  <w:t>Aug</w:t>
                </w:r>
              </w:p>
            </w:tc>
            <w:tc>
              <w:tcPr>
                <w:tcW w:w="992" w:type="dxa"/>
              </w:tcPr>
              <w:p w14:paraId="6D1F22EF" w14:textId="77777777" w:rsidR="008F4B79" w:rsidRPr="00263FFC" w:rsidRDefault="008F4B79" w:rsidP="00097CA9">
                <w:pPr>
                  <w:jc w:val="center"/>
                  <w:rPr>
                    <w:rFonts w:ascii="Arial" w:hAnsi="Arial" w:cs="Arial"/>
                    <w:b/>
                  </w:rPr>
                </w:pPr>
                <w:r w:rsidRPr="00263FFC">
                  <w:rPr>
                    <w:rFonts w:ascii="Arial" w:hAnsi="Arial" w:cs="Arial"/>
                    <w:b/>
                  </w:rPr>
                  <w:t>Sept</w:t>
                </w:r>
              </w:p>
            </w:tc>
            <w:tc>
              <w:tcPr>
                <w:tcW w:w="992" w:type="dxa"/>
              </w:tcPr>
              <w:p w14:paraId="5E8C0BEE" w14:textId="77777777" w:rsidR="008F4B79" w:rsidRPr="00263FFC" w:rsidRDefault="008F4B79" w:rsidP="00097CA9">
                <w:pPr>
                  <w:jc w:val="center"/>
                  <w:rPr>
                    <w:rFonts w:ascii="Arial" w:hAnsi="Arial" w:cs="Arial"/>
                    <w:b/>
                  </w:rPr>
                </w:pPr>
                <w:r w:rsidRPr="00263FFC">
                  <w:rPr>
                    <w:rFonts w:ascii="Arial" w:hAnsi="Arial" w:cs="Arial"/>
                    <w:b/>
                  </w:rPr>
                  <w:t>Oct</w:t>
                </w:r>
              </w:p>
            </w:tc>
            <w:tc>
              <w:tcPr>
                <w:tcW w:w="992" w:type="dxa"/>
              </w:tcPr>
              <w:p w14:paraId="3DB292E3" w14:textId="77777777" w:rsidR="008F4B79" w:rsidRPr="00263FFC" w:rsidRDefault="008F4B79" w:rsidP="00097CA9">
                <w:pPr>
                  <w:jc w:val="center"/>
                  <w:rPr>
                    <w:rFonts w:ascii="Arial" w:hAnsi="Arial" w:cs="Arial"/>
                    <w:b/>
                  </w:rPr>
                </w:pPr>
                <w:r w:rsidRPr="00263FFC">
                  <w:rPr>
                    <w:rFonts w:ascii="Arial" w:hAnsi="Arial" w:cs="Arial"/>
                    <w:b/>
                  </w:rPr>
                  <w:t>Nov</w:t>
                </w:r>
              </w:p>
            </w:tc>
          </w:tr>
          <w:tr w:rsidR="008F4B79" w:rsidRPr="00263FFC" w14:paraId="387BECA4" w14:textId="77777777" w:rsidTr="00097CA9">
            <w:tc>
              <w:tcPr>
                <w:tcW w:w="3260" w:type="dxa"/>
              </w:tcPr>
              <w:p w14:paraId="22968697" w14:textId="77777777" w:rsidR="008F4B79" w:rsidRPr="00263FFC" w:rsidRDefault="008F4B79" w:rsidP="00097CA9">
                <w:pPr>
                  <w:rPr>
                    <w:rFonts w:ascii="Arial" w:hAnsi="Arial" w:cs="Arial"/>
                  </w:rPr>
                </w:pPr>
              </w:p>
            </w:tc>
            <w:tc>
              <w:tcPr>
                <w:tcW w:w="992" w:type="dxa"/>
              </w:tcPr>
              <w:p w14:paraId="03B61E49"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c>
              <w:tcPr>
                <w:tcW w:w="992" w:type="dxa"/>
              </w:tcPr>
              <w:p w14:paraId="7CB4784F"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c>
              <w:tcPr>
                <w:tcW w:w="993" w:type="dxa"/>
              </w:tcPr>
              <w:p w14:paraId="32786BD5"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c>
              <w:tcPr>
                <w:tcW w:w="992" w:type="dxa"/>
              </w:tcPr>
              <w:p w14:paraId="50CD8B0B"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c>
              <w:tcPr>
                <w:tcW w:w="992" w:type="dxa"/>
              </w:tcPr>
              <w:p w14:paraId="785BF577"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c>
              <w:tcPr>
                <w:tcW w:w="992" w:type="dxa"/>
              </w:tcPr>
              <w:p w14:paraId="7AE4D994" w14:textId="77777777" w:rsidR="008F4B79" w:rsidRPr="00263FFC" w:rsidRDefault="008F4B79" w:rsidP="00097CA9">
                <w:pPr>
                  <w:jc w:val="center"/>
                  <w:rPr>
                    <w:rFonts w:ascii="Arial" w:hAnsi="Arial" w:cs="Arial"/>
                    <w:sz w:val="20"/>
                    <w:szCs w:val="20"/>
                  </w:rPr>
                </w:pPr>
                <w:r w:rsidRPr="00263FFC">
                  <w:rPr>
                    <w:rFonts w:ascii="Arial" w:hAnsi="Arial" w:cs="Arial"/>
                    <w:sz w:val="20"/>
                    <w:szCs w:val="20"/>
                  </w:rPr>
                  <w:t>£000</w:t>
                </w:r>
              </w:p>
            </w:tc>
          </w:tr>
          <w:tr w:rsidR="008F4B79" w:rsidRPr="00263FFC" w14:paraId="7E9282B2" w14:textId="77777777" w:rsidTr="00097CA9">
            <w:tc>
              <w:tcPr>
                <w:tcW w:w="3260" w:type="dxa"/>
              </w:tcPr>
              <w:p w14:paraId="05321C62" w14:textId="77777777" w:rsidR="008F4B79" w:rsidRPr="00263FFC" w:rsidRDefault="008F4B79" w:rsidP="00097CA9">
                <w:pPr>
                  <w:rPr>
                    <w:rFonts w:ascii="Arial" w:hAnsi="Arial" w:cs="Arial"/>
                    <w:b/>
                  </w:rPr>
                </w:pPr>
                <w:r w:rsidRPr="00263FFC">
                  <w:rPr>
                    <w:rFonts w:ascii="Arial" w:hAnsi="Arial" w:cs="Arial"/>
                    <w:b/>
                  </w:rPr>
                  <w:t xml:space="preserve">Cash receipts </w:t>
                </w:r>
              </w:p>
              <w:p w14:paraId="6E77960B" w14:textId="678E6E04" w:rsidR="008F4B79" w:rsidRPr="00263FFC" w:rsidRDefault="008F4B79" w:rsidP="00097CA9">
                <w:pPr>
                  <w:rPr>
                    <w:rFonts w:ascii="Arial" w:hAnsi="Arial" w:cs="Arial"/>
                  </w:rPr>
                </w:pPr>
                <w:r w:rsidRPr="00263FFC">
                  <w:rPr>
                    <w:rFonts w:ascii="Arial" w:hAnsi="Arial" w:cs="Arial"/>
                  </w:rPr>
                  <w:t xml:space="preserve">Sales net of  </w:t>
                </w:r>
              </w:p>
            </w:tc>
            <w:tc>
              <w:tcPr>
                <w:tcW w:w="992" w:type="dxa"/>
              </w:tcPr>
              <w:p w14:paraId="7CC417E8" w14:textId="77777777" w:rsidR="008F4B79" w:rsidRPr="00263FFC" w:rsidRDefault="008F4B79" w:rsidP="00097CA9">
                <w:pPr>
                  <w:jc w:val="center"/>
                  <w:rPr>
                    <w:rFonts w:ascii="Arial" w:hAnsi="Arial" w:cs="Arial"/>
                  </w:rPr>
                </w:pPr>
              </w:p>
              <w:p w14:paraId="09D61F7D" w14:textId="3384877F" w:rsidR="008F4B79" w:rsidRPr="00263FFC" w:rsidRDefault="00DE31F9" w:rsidP="00097CA9">
                <w:pPr>
                  <w:jc w:val="center"/>
                  <w:rPr>
                    <w:rFonts w:ascii="Arial" w:hAnsi="Arial" w:cs="Arial"/>
                  </w:rPr>
                </w:pPr>
                <w:r w:rsidRPr="00263FFC">
                  <w:rPr>
                    <w:rFonts w:ascii="Arial" w:hAnsi="Arial" w:cs="Arial"/>
                  </w:rPr>
                  <w:t>198</w:t>
                </w:r>
                <w:r w:rsidR="00316095" w:rsidRPr="00263FFC">
                  <w:rPr>
                    <w:rFonts w:ascii="Arial" w:hAnsi="Arial" w:cs="Arial"/>
                  </w:rPr>
                  <w:t>.2</w:t>
                </w:r>
                <w:r w:rsidR="008F4B79" w:rsidRPr="00263FFC">
                  <w:rPr>
                    <w:rFonts w:ascii="Arial" w:hAnsi="Arial" w:cs="Arial"/>
                  </w:rPr>
                  <w:t xml:space="preserve"> </w:t>
                </w:r>
              </w:p>
            </w:tc>
            <w:tc>
              <w:tcPr>
                <w:tcW w:w="992" w:type="dxa"/>
              </w:tcPr>
              <w:p w14:paraId="7682A9CA" w14:textId="77777777" w:rsidR="008F4B79" w:rsidRPr="00263FFC" w:rsidRDefault="008F4B79" w:rsidP="00097CA9">
                <w:pPr>
                  <w:jc w:val="center"/>
                  <w:rPr>
                    <w:rFonts w:ascii="Arial" w:hAnsi="Arial" w:cs="Arial"/>
                  </w:rPr>
                </w:pPr>
              </w:p>
              <w:p w14:paraId="0DB8B11B" w14:textId="2D28B241" w:rsidR="008F4B79" w:rsidRPr="00263FFC" w:rsidRDefault="00316095" w:rsidP="00097CA9">
                <w:pPr>
                  <w:jc w:val="center"/>
                  <w:rPr>
                    <w:rFonts w:ascii="Arial" w:hAnsi="Arial" w:cs="Arial"/>
                  </w:rPr>
                </w:pPr>
                <w:r w:rsidRPr="00263FFC">
                  <w:rPr>
                    <w:rFonts w:ascii="Arial" w:hAnsi="Arial" w:cs="Arial"/>
                  </w:rPr>
                  <w:t>237.8</w:t>
                </w:r>
                <w:r w:rsidR="008F4B79" w:rsidRPr="00263FFC">
                  <w:rPr>
                    <w:rFonts w:ascii="Arial" w:hAnsi="Arial" w:cs="Arial"/>
                  </w:rPr>
                  <w:t xml:space="preserve"> </w:t>
                </w:r>
              </w:p>
            </w:tc>
            <w:tc>
              <w:tcPr>
                <w:tcW w:w="993" w:type="dxa"/>
              </w:tcPr>
              <w:p w14:paraId="016F2311" w14:textId="77777777" w:rsidR="008F4B79" w:rsidRPr="00263FFC" w:rsidRDefault="008F4B79" w:rsidP="00097CA9">
                <w:pPr>
                  <w:jc w:val="center"/>
                  <w:rPr>
                    <w:rFonts w:ascii="Arial" w:hAnsi="Arial" w:cs="Arial"/>
                  </w:rPr>
                </w:pPr>
              </w:p>
              <w:p w14:paraId="1FA0F6E1" w14:textId="5988E9FB" w:rsidR="008F4B79" w:rsidRPr="00263FFC" w:rsidRDefault="00316095" w:rsidP="00097CA9">
                <w:pPr>
                  <w:jc w:val="center"/>
                  <w:rPr>
                    <w:rFonts w:ascii="Arial" w:hAnsi="Arial" w:cs="Arial"/>
                  </w:rPr>
                </w:pPr>
                <w:r w:rsidRPr="00263FFC">
                  <w:rPr>
                    <w:rFonts w:ascii="Arial" w:hAnsi="Arial" w:cs="Arial"/>
                  </w:rPr>
                  <w:t>208.11</w:t>
                </w:r>
                <w:r w:rsidR="008F4B79" w:rsidRPr="00263FFC">
                  <w:rPr>
                    <w:rFonts w:ascii="Arial" w:hAnsi="Arial" w:cs="Arial"/>
                  </w:rPr>
                  <w:t xml:space="preserve"> </w:t>
                </w:r>
              </w:p>
            </w:tc>
            <w:tc>
              <w:tcPr>
                <w:tcW w:w="992" w:type="dxa"/>
              </w:tcPr>
              <w:p w14:paraId="7D2BD5F3" w14:textId="77777777" w:rsidR="008F4B79" w:rsidRPr="00263FFC" w:rsidRDefault="008F4B79" w:rsidP="00097CA9">
                <w:pPr>
                  <w:jc w:val="center"/>
                  <w:rPr>
                    <w:rFonts w:ascii="Arial" w:hAnsi="Arial" w:cs="Arial"/>
                  </w:rPr>
                </w:pPr>
              </w:p>
              <w:p w14:paraId="15BBCA2C" w14:textId="505D2C6B" w:rsidR="008F4B79" w:rsidRPr="00263FFC" w:rsidRDefault="00316095" w:rsidP="00097CA9">
                <w:pPr>
                  <w:jc w:val="center"/>
                  <w:rPr>
                    <w:rFonts w:ascii="Arial" w:hAnsi="Arial" w:cs="Arial"/>
                  </w:rPr>
                </w:pPr>
                <w:r w:rsidRPr="00263FFC">
                  <w:rPr>
                    <w:rFonts w:ascii="Arial" w:hAnsi="Arial" w:cs="Arial"/>
                  </w:rPr>
                  <w:t>218.02</w:t>
                </w:r>
                <w:r w:rsidR="008F4B79" w:rsidRPr="00263FFC">
                  <w:rPr>
                    <w:rFonts w:ascii="Arial" w:hAnsi="Arial" w:cs="Arial"/>
                  </w:rPr>
                  <w:t xml:space="preserve"> </w:t>
                </w:r>
              </w:p>
            </w:tc>
            <w:tc>
              <w:tcPr>
                <w:tcW w:w="992" w:type="dxa"/>
              </w:tcPr>
              <w:p w14:paraId="6047B1A8" w14:textId="77777777" w:rsidR="008F4B79" w:rsidRPr="00263FFC" w:rsidRDefault="008F4B79" w:rsidP="00097CA9">
                <w:pPr>
                  <w:jc w:val="center"/>
                  <w:rPr>
                    <w:rFonts w:ascii="Arial" w:hAnsi="Arial" w:cs="Arial"/>
                  </w:rPr>
                </w:pPr>
              </w:p>
              <w:p w14:paraId="3977524C" w14:textId="667EA157" w:rsidR="008F4B79" w:rsidRPr="00263FFC" w:rsidRDefault="00FF3BF4" w:rsidP="00097CA9">
                <w:pPr>
                  <w:jc w:val="center"/>
                  <w:rPr>
                    <w:rFonts w:ascii="Arial" w:hAnsi="Arial" w:cs="Arial"/>
                  </w:rPr>
                </w:pPr>
                <w:r w:rsidRPr="00263FFC">
                  <w:rPr>
                    <w:rFonts w:ascii="Arial" w:hAnsi="Arial" w:cs="Arial"/>
                  </w:rPr>
                  <w:t>227.93</w:t>
                </w:r>
                <w:r w:rsidR="008F4B79" w:rsidRPr="00263FFC">
                  <w:rPr>
                    <w:rFonts w:ascii="Arial" w:hAnsi="Arial" w:cs="Arial"/>
                  </w:rPr>
                  <w:t xml:space="preserve"> </w:t>
                </w:r>
              </w:p>
            </w:tc>
            <w:tc>
              <w:tcPr>
                <w:tcW w:w="992" w:type="dxa"/>
              </w:tcPr>
              <w:p w14:paraId="319D0667" w14:textId="77777777" w:rsidR="008F4B79" w:rsidRPr="00263FFC" w:rsidRDefault="008F4B79" w:rsidP="00097CA9">
                <w:pPr>
                  <w:jc w:val="center"/>
                  <w:rPr>
                    <w:rFonts w:ascii="Arial" w:hAnsi="Arial" w:cs="Arial"/>
                  </w:rPr>
                </w:pPr>
              </w:p>
              <w:p w14:paraId="700B5A42" w14:textId="60367653" w:rsidR="008F4B79" w:rsidRPr="00263FFC" w:rsidRDefault="00FF3BF4" w:rsidP="00097CA9">
                <w:pPr>
                  <w:jc w:val="center"/>
                  <w:rPr>
                    <w:rFonts w:ascii="Arial" w:hAnsi="Arial" w:cs="Arial"/>
                  </w:rPr>
                </w:pPr>
                <w:r w:rsidRPr="00263FFC">
                  <w:rPr>
                    <w:rFonts w:ascii="Arial" w:hAnsi="Arial" w:cs="Arial"/>
                  </w:rPr>
                  <w:t>247.75</w:t>
                </w:r>
                <w:r w:rsidR="008F4B79" w:rsidRPr="00263FFC">
                  <w:rPr>
                    <w:rFonts w:ascii="Arial" w:hAnsi="Arial" w:cs="Arial"/>
                  </w:rPr>
                  <w:t xml:space="preserve"> </w:t>
                </w:r>
              </w:p>
            </w:tc>
          </w:tr>
          <w:tr w:rsidR="008F4B79" w:rsidRPr="00263FFC" w14:paraId="3FCE4A4B" w14:textId="77777777" w:rsidTr="00097CA9">
            <w:tc>
              <w:tcPr>
                <w:tcW w:w="3260" w:type="dxa"/>
              </w:tcPr>
              <w:p w14:paraId="55ACD615" w14:textId="77777777" w:rsidR="008F4B79" w:rsidRPr="00263FFC" w:rsidRDefault="008F4B79" w:rsidP="00097CA9">
                <w:pPr>
                  <w:rPr>
                    <w:rFonts w:ascii="Arial" w:hAnsi="Arial" w:cs="Arial"/>
                    <w:b/>
                  </w:rPr>
                </w:pPr>
                <w:r w:rsidRPr="00263FFC">
                  <w:rPr>
                    <w:rFonts w:ascii="Arial" w:hAnsi="Arial" w:cs="Arial"/>
                    <w:b/>
                  </w:rPr>
                  <w:t>Cash payments</w:t>
                </w:r>
              </w:p>
              <w:p w14:paraId="629DC15D" w14:textId="7B8C3510" w:rsidR="008F4B79" w:rsidRPr="00263FFC" w:rsidRDefault="008F4B79" w:rsidP="00097CA9">
                <w:pPr>
                  <w:rPr>
                    <w:rFonts w:ascii="Arial" w:hAnsi="Arial" w:cs="Arial"/>
                  </w:rPr>
                </w:pPr>
                <w:r w:rsidRPr="00263FFC">
                  <w:rPr>
                    <w:rFonts w:ascii="Arial" w:hAnsi="Arial" w:cs="Arial"/>
                  </w:rPr>
                  <w:t xml:space="preserve">Administration  </w:t>
                </w:r>
              </w:p>
            </w:tc>
            <w:tc>
              <w:tcPr>
                <w:tcW w:w="992" w:type="dxa"/>
                <w:vAlign w:val="center"/>
              </w:tcPr>
              <w:p w14:paraId="590FEF8A" w14:textId="01040F53" w:rsidR="008F4B79" w:rsidRPr="00263FFC" w:rsidRDefault="00FF3BF4" w:rsidP="00097CA9">
                <w:pPr>
                  <w:jc w:val="center"/>
                  <w:rPr>
                    <w:rFonts w:ascii="Arial" w:hAnsi="Arial" w:cs="Arial"/>
                  </w:rPr>
                </w:pPr>
                <w:r w:rsidRPr="00263FFC">
                  <w:rPr>
                    <w:rFonts w:ascii="Arial" w:hAnsi="Arial" w:cs="Arial"/>
                  </w:rPr>
                  <w:t>(17</w:t>
                </w:r>
                <w:r w:rsidR="008F4B79" w:rsidRPr="00263FFC">
                  <w:rPr>
                    <w:rFonts w:ascii="Arial" w:hAnsi="Arial" w:cs="Arial"/>
                  </w:rPr>
                  <w:t>)</w:t>
                </w:r>
              </w:p>
            </w:tc>
            <w:tc>
              <w:tcPr>
                <w:tcW w:w="992" w:type="dxa"/>
                <w:vAlign w:val="center"/>
              </w:tcPr>
              <w:p w14:paraId="53656A68" w14:textId="4C54D436" w:rsidR="008F4B79" w:rsidRPr="00263FFC" w:rsidRDefault="008F4B79" w:rsidP="00097CA9">
                <w:pPr>
                  <w:jc w:val="center"/>
                  <w:rPr>
                    <w:rFonts w:ascii="Arial" w:hAnsi="Arial" w:cs="Arial"/>
                  </w:rPr>
                </w:pPr>
                <w:r w:rsidRPr="00263FFC">
                  <w:rPr>
                    <w:rFonts w:ascii="Arial" w:hAnsi="Arial" w:cs="Arial"/>
                  </w:rPr>
                  <w:t>(</w:t>
                </w:r>
                <w:r w:rsidR="001C692D" w:rsidRPr="00263FFC">
                  <w:rPr>
                    <w:rFonts w:ascii="Arial" w:hAnsi="Arial" w:cs="Arial"/>
                  </w:rPr>
                  <w:t>18</w:t>
                </w:r>
                <w:r w:rsidRPr="00263FFC">
                  <w:rPr>
                    <w:rFonts w:ascii="Arial" w:hAnsi="Arial" w:cs="Arial"/>
                  </w:rPr>
                  <w:t>)</w:t>
                </w:r>
              </w:p>
            </w:tc>
            <w:tc>
              <w:tcPr>
                <w:tcW w:w="993" w:type="dxa"/>
                <w:vAlign w:val="center"/>
              </w:tcPr>
              <w:p w14:paraId="74AFF97C" w14:textId="2774CE27" w:rsidR="008F4B79" w:rsidRPr="00263FFC" w:rsidRDefault="008F4B79" w:rsidP="00097CA9">
                <w:pPr>
                  <w:jc w:val="center"/>
                  <w:rPr>
                    <w:rFonts w:ascii="Arial" w:hAnsi="Arial" w:cs="Arial"/>
                  </w:rPr>
                </w:pPr>
                <w:r w:rsidRPr="00263FFC">
                  <w:rPr>
                    <w:rFonts w:ascii="Arial" w:hAnsi="Arial" w:cs="Arial"/>
                  </w:rPr>
                  <w:t>(</w:t>
                </w:r>
                <w:r w:rsidR="001C692D" w:rsidRPr="00263FFC">
                  <w:rPr>
                    <w:rFonts w:ascii="Arial" w:hAnsi="Arial" w:cs="Arial"/>
                  </w:rPr>
                  <w:t>19</w:t>
                </w:r>
                <w:r w:rsidRPr="00263FFC">
                  <w:rPr>
                    <w:rFonts w:ascii="Arial" w:hAnsi="Arial" w:cs="Arial"/>
                  </w:rPr>
                  <w:t>)</w:t>
                </w:r>
              </w:p>
            </w:tc>
            <w:tc>
              <w:tcPr>
                <w:tcW w:w="992" w:type="dxa"/>
                <w:vAlign w:val="center"/>
              </w:tcPr>
              <w:p w14:paraId="1E0304DB" w14:textId="4E45AAF5" w:rsidR="008F4B79" w:rsidRPr="00263FFC" w:rsidRDefault="008F4B79" w:rsidP="00097CA9">
                <w:pPr>
                  <w:jc w:val="center"/>
                  <w:rPr>
                    <w:rFonts w:ascii="Arial" w:hAnsi="Arial" w:cs="Arial"/>
                  </w:rPr>
                </w:pPr>
                <w:r w:rsidRPr="00263FFC">
                  <w:rPr>
                    <w:rFonts w:ascii="Arial" w:hAnsi="Arial" w:cs="Arial"/>
                  </w:rPr>
                  <w:t>(</w:t>
                </w:r>
                <w:r w:rsidR="001C692D" w:rsidRPr="00263FFC">
                  <w:rPr>
                    <w:rFonts w:ascii="Arial" w:hAnsi="Arial" w:cs="Arial"/>
                  </w:rPr>
                  <w:t>20</w:t>
                </w:r>
                <w:r w:rsidRPr="00263FFC">
                  <w:rPr>
                    <w:rFonts w:ascii="Arial" w:hAnsi="Arial" w:cs="Arial"/>
                  </w:rPr>
                  <w:t>)</w:t>
                </w:r>
              </w:p>
            </w:tc>
            <w:tc>
              <w:tcPr>
                <w:tcW w:w="992" w:type="dxa"/>
                <w:vAlign w:val="center"/>
              </w:tcPr>
              <w:p w14:paraId="74DE144E" w14:textId="7100675F" w:rsidR="008F4B79" w:rsidRPr="00263FFC" w:rsidRDefault="008F4B79" w:rsidP="00097CA9">
                <w:pPr>
                  <w:jc w:val="center"/>
                  <w:rPr>
                    <w:rFonts w:ascii="Arial" w:hAnsi="Arial" w:cs="Arial"/>
                  </w:rPr>
                </w:pPr>
                <w:r w:rsidRPr="00263FFC">
                  <w:rPr>
                    <w:rFonts w:ascii="Arial" w:hAnsi="Arial" w:cs="Arial"/>
                  </w:rPr>
                  <w:t>(</w:t>
                </w:r>
                <w:r w:rsidR="001C692D" w:rsidRPr="00263FFC">
                  <w:rPr>
                    <w:rFonts w:ascii="Arial" w:hAnsi="Arial" w:cs="Arial"/>
                  </w:rPr>
                  <w:t>21</w:t>
                </w:r>
                <w:r w:rsidRPr="00263FFC">
                  <w:rPr>
                    <w:rFonts w:ascii="Arial" w:hAnsi="Arial" w:cs="Arial"/>
                  </w:rPr>
                  <w:t>)</w:t>
                </w:r>
              </w:p>
            </w:tc>
            <w:tc>
              <w:tcPr>
                <w:tcW w:w="992" w:type="dxa"/>
                <w:vAlign w:val="center"/>
              </w:tcPr>
              <w:p w14:paraId="06BDF0DF" w14:textId="472F1463" w:rsidR="008F4B79" w:rsidRPr="00263FFC" w:rsidRDefault="008F4B79" w:rsidP="00097CA9">
                <w:pPr>
                  <w:jc w:val="center"/>
                  <w:rPr>
                    <w:rFonts w:ascii="Arial" w:hAnsi="Arial" w:cs="Arial"/>
                  </w:rPr>
                </w:pPr>
                <w:r w:rsidRPr="00263FFC">
                  <w:rPr>
                    <w:rFonts w:ascii="Arial" w:hAnsi="Arial" w:cs="Arial"/>
                  </w:rPr>
                  <w:t>(</w:t>
                </w:r>
                <w:r w:rsidR="001C692D" w:rsidRPr="00263FFC">
                  <w:rPr>
                    <w:rFonts w:ascii="Arial" w:hAnsi="Arial" w:cs="Arial"/>
                  </w:rPr>
                  <w:t>22</w:t>
                </w:r>
                <w:r w:rsidRPr="00263FFC">
                  <w:rPr>
                    <w:rFonts w:ascii="Arial" w:hAnsi="Arial" w:cs="Arial"/>
                  </w:rPr>
                  <w:t>)</w:t>
                </w:r>
              </w:p>
            </w:tc>
          </w:tr>
          <w:tr w:rsidR="008F4B79" w:rsidRPr="00263FFC" w14:paraId="3926545C" w14:textId="77777777" w:rsidTr="00097CA9">
            <w:trPr>
              <w:trHeight w:val="400"/>
            </w:trPr>
            <w:tc>
              <w:tcPr>
                <w:tcW w:w="3260" w:type="dxa"/>
              </w:tcPr>
              <w:p w14:paraId="6804EA52" w14:textId="46BE24AF" w:rsidR="008F4B79" w:rsidRPr="00263FFC" w:rsidRDefault="008F4B79" w:rsidP="00097CA9">
                <w:pPr>
                  <w:rPr>
                    <w:rFonts w:ascii="Arial" w:hAnsi="Arial" w:cs="Arial"/>
                  </w:rPr>
                </w:pPr>
                <w:r w:rsidRPr="00263FFC">
                  <w:rPr>
                    <w:rFonts w:ascii="Arial" w:hAnsi="Arial" w:cs="Arial"/>
                  </w:rPr>
                  <w:t xml:space="preserve">Stock purchased  </w:t>
                </w:r>
              </w:p>
            </w:tc>
            <w:tc>
              <w:tcPr>
                <w:tcW w:w="992" w:type="dxa"/>
              </w:tcPr>
              <w:p w14:paraId="1F9E4C25" w14:textId="75D27B68" w:rsidR="008F4B79" w:rsidRPr="00263FFC" w:rsidRDefault="008F4B79" w:rsidP="00097CA9">
                <w:pPr>
                  <w:jc w:val="center"/>
                  <w:rPr>
                    <w:rFonts w:ascii="Arial" w:hAnsi="Arial" w:cs="Arial"/>
                  </w:rPr>
                </w:pPr>
                <w:r w:rsidRPr="00263FFC">
                  <w:rPr>
                    <w:rFonts w:ascii="Arial" w:hAnsi="Arial" w:cs="Arial"/>
                  </w:rPr>
                  <w:t>(</w:t>
                </w:r>
                <w:r w:rsidR="00CD70A4" w:rsidRPr="00263FFC">
                  <w:rPr>
                    <w:rFonts w:ascii="Arial" w:hAnsi="Arial" w:cs="Arial"/>
                  </w:rPr>
                  <w:t>170</w:t>
                </w:r>
                <w:r w:rsidRPr="00263FFC">
                  <w:rPr>
                    <w:rFonts w:ascii="Arial" w:hAnsi="Arial" w:cs="Arial"/>
                  </w:rPr>
                  <w:t>)</w:t>
                </w:r>
              </w:p>
            </w:tc>
            <w:tc>
              <w:tcPr>
                <w:tcW w:w="992" w:type="dxa"/>
              </w:tcPr>
              <w:p w14:paraId="16DBE0B1" w14:textId="0E67A8F6" w:rsidR="008F4B79" w:rsidRPr="00263FFC" w:rsidRDefault="008F4B79" w:rsidP="00097CA9">
                <w:pPr>
                  <w:jc w:val="center"/>
                  <w:rPr>
                    <w:rFonts w:ascii="Arial" w:hAnsi="Arial" w:cs="Arial"/>
                  </w:rPr>
                </w:pPr>
                <w:r w:rsidRPr="00263FFC">
                  <w:rPr>
                    <w:rFonts w:ascii="Arial" w:hAnsi="Arial" w:cs="Arial"/>
                  </w:rPr>
                  <w:t>(</w:t>
                </w:r>
                <w:r w:rsidR="00CD70A4" w:rsidRPr="00263FFC">
                  <w:rPr>
                    <w:rFonts w:ascii="Arial" w:hAnsi="Arial" w:cs="Arial"/>
                  </w:rPr>
                  <w:t>150</w:t>
                </w:r>
                <w:r w:rsidRPr="00263FFC">
                  <w:rPr>
                    <w:rFonts w:ascii="Arial" w:hAnsi="Arial" w:cs="Arial"/>
                  </w:rPr>
                  <w:t>)</w:t>
                </w:r>
              </w:p>
            </w:tc>
            <w:tc>
              <w:tcPr>
                <w:tcW w:w="993" w:type="dxa"/>
              </w:tcPr>
              <w:p w14:paraId="0C479117" w14:textId="412B7D3F" w:rsidR="008F4B79" w:rsidRPr="00263FFC" w:rsidRDefault="008F4B79" w:rsidP="00097CA9">
                <w:pPr>
                  <w:jc w:val="center"/>
                  <w:rPr>
                    <w:rFonts w:ascii="Arial" w:hAnsi="Arial" w:cs="Arial"/>
                  </w:rPr>
                </w:pPr>
                <w:r w:rsidRPr="00263FFC">
                  <w:rPr>
                    <w:rFonts w:ascii="Arial" w:hAnsi="Arial" w:cs="Arial"/>
                  </w:rPr>
                  <w:t>(</w:t>
                </w:r>
                <w:r w:rsidR="00CD70A4" w:rsidRPr="00263FFC">
                  <w:rPr>
                    <w:rFonts w:ascii="Arial" w:hAnsi="Arial" w:cs="Arial"/>
                  </w:rPr>
                  <w:t>180</w:t>
                </w:r>
                <w:r w:rsidRPr="00263FFC">
                  <w:rPr>
                    <w:rFonts w:ascii="Arial" w:hAnsi="Arial" w:cs="Arial"/>
                  </w:rPr>
                  <w:t>)</w:t>
                </w:r>
              </w:p>
            </w:tc>
            <w:tc>
              <w:tcPr>
                <w:tcW w:w="992" w:type="dxa"/>
              </w:tcPr>
              <w:p w14:paraId="3095C7F8" w14:textId="56F604D6" w:rsidR="008F4B79" w:rsidRPr="00263FFC" w:rsidRDefault="008F4B79" w:rsidP="00097CA9">
                <w:pPr>
                  <w:jc w:val="center"/>
                  <w:rPr>
                    <w:rFonts w:ascii="Arial" w:hAnsi="Arial" w:cs="Arial"/>
                  </w:rPr>
                </w:pPr>
                <w:r w:rsidRPr="00263FFC">
                  <w:rPr>
                    <w:rFonts w:ascii="Arial" w:hAnsi="Arial" w:cs="Arial"/>
                  </w:rPr>
                  <w:t>(</w:t>
                </w:r>
                <w:r w:rsidR="00CD70A4" w:rsidRPr="00263FFC">
                  <w:rPr>
                    <w:rFonts w:ascii="Arial" w:hAnsi="Arial" w:cs="Arial"/>
                  </w:rPr>
                  <w:t>190</w:t>
                </w:r>
                <w:r w:rsidRPr="00263FFC">
                  <w:rPr>
                    <w:rFonts w:ascii="Arial" w:hAnsi="Arial" w:cs="Arial"/>
                  </w:rPr>
                  <w:t>)</w:t>
                </w:r>
              </w:p>
            </w:tc>
            <w:tc>
              <w:tcPr>
                <w:tcW w:w="992" w:type="dxa"/>
              </w:tcPr>
              <w:p w14:paraId="7D2539CD" w14:textId="083DC07F" w:rsidR="008F4B79" w:rsidRPr="00263FFC" w:rsidRDefault="008F4B79" w:rsidP="00097CA9">
                <w:pPr>
                  <w:jc w:val="center"/>
                  <w:rPr>
                    <w:rFonts w:ascii="Arial" w:hAnsi="Arial" w:cs="Arial"/>
                  </w:rPr>
                </w:pPr>
                <w:r w:rsidRPr="00263FFC">
                  <w:rPr>
                    <w:rFonts w:ascii="Arial" w:hAnsi="Arial" w:cs="Arial"/>
                  </w:rPr>
                  <w:t>(</w:t>
                </w:r>
                <w:r w:rsidR="00CD70A4" w:rsidRPr="00263FFC">
                  <w:rPr>
                    <w:rFonts w:ascii="Arial" w:hAnsi="Arial" w:cs="Arial"/>
                  </w:rPr>
                  <w:t>160</w:t>
                </w:r>
                <w:r w:rsidRPr="00263FFC">
                  <w:rPr>
                    <w:rFonts w:ascii="Arial" w:hAnsi="Arial" w:cs="Arial"/>
                  </w:rPr>
                  <w:t>)</w:t>
                </w:r>
              </w:p>
            </w:tc>
            <w:tc>
              <w:tcPr>
                <w:tcW w:w="992" w:type="dxa"/>
              </w:tcPr>
              <w:p w14:paraId="18275CF8" w14:textId="3C9F71DC" w:rsidR="008F4B79" w:rsidRPr="00263FFC" w:rsidRDefault="008F4B79" w:rsidP="00097CA9">
                <w:pPr>
                  <w:jc w:val="center"/>
                  <w:rPr>
                    <w:rFonts w:ascii="Arial" w:hAnsi="Arial" w:cs="Arial"/>
                  </w:rPr>
                </w:pPr>
                <w:r w:rsidRPr="00263FFC">
                  <w:rPr>
                    <w:rFonts w:ascii="Arial" w:hAnsi="Arial" w:cs="Arial"/>
                  </w:rPr>
                  <w:t>(</w:t>
                </w:r>
                <w:r w:rsidR="007317AD" w:rsidRPr="00263FFC">
                  <w:rPr>
                    <w:rFonts w:ascii="Arial" w:hAnsi="Arial" w:cs="Arial"/>
                  </w:rPr>
                  <w:t>200</w:t>
                </w:r>
                <w:r w:rsidRPr="00263FFC">
                  <w:rPr>
                    <w:rFonts w:ascii="Arial" w:hAnsi="Arial" w:cs="Arial"/>
                  </w:rPr>
                  <w:t>)</w:t>
                </w:r>
              </w:p>
            </w:tc>
          </w:tr>
          <w:tr w:rsidR="008F4B79" w:rsidRPr="00263FFC" w14:paraId="23357C22" w14:textId="77777777" w:rsidTr="00097CA9">
            <w:trPr>
              <w:trHeight w:val="421"/>
            </w:trPr>
            <w:tc>
              <w:tcPr>
                <w:tcW w:w="3260" w:type="dxa"/>
              </w:tcPr>
              <w:p w14:paraId="0E7F2517" w14:textId="0E26F1DD" w:rsidR="008F4B79" w:rsidRPr="00263FFC" w:rsidRDefault="008F4B79" w:rsidP="00097CA9">
                <w:pPr>
                  <w:rPr>
                    <w:rFonts w:ascii="Arial" w:hAnsi="Arial" w:cs="Arial"/>
                  </w:rPr>
                </w:pPr>
                <w:r w:rsidRPr="00263FFC">
                  <w:rPr>
                    <w:rFonts w:ascii="Arial" w:hAnsi="Arial" w:cs="Arial"/>
                  </w:rPr>
                  <w:t xml:space="preserve">Repayments of loan  </w:t>
                </w:r>
              </w:p>
            </w:tc>
            <w:tc>
              <w:tcPr>
                <w:tcW w:w="992" w:type="dxa"/>
              </w:tcPr>
              <w:p w14:paraId="3EBEAAC3" w14:textId="4CB4A943"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c>
              <w:tcPr>
                <w:tcW w:w="992" w:type="dxa"/>
              </w:tcPr>
              <w:p w14:paraId="33A9D8A7" w14:textId="6687C59F"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c>
              <w:tcPr>
                <w:tcW w:w="993" w:type="dxa"/>
              </w:tcPr>
              <w:p w14:paraId="15E94208" w14:textId="68E015EA"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c>
              <w:tcPr>
                <w:tcW w:w="992" w:type="dxa"/>
              </w:tcPr>
              <w:p w14:paraId="3096EBB3" w14:textId="40CF97F5"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c>
              <w:tcPr>
                <w:tcW w:w="992" w:type="dxa"/>
              </w:tcPr>
              <w:p w14:paraId="28DCEDBF" w14:textId="1D85665C"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c>
              <w:tcPr>
                <w:tcW w:w="992" w:type="dxa"/>
              </w:tcPr>
              <w:p w14:paraId="3E99894F" w14:textId="1854E742" w:rsidR="008F4B79" w:rsidRPr="00263FFC" w:rsidRDefault="008F4B79" w:rsidP="00097CA9">
                <w:pPr>
                  <w:jc w:val="center"/>
                  <w:rPr>
                    <w:rFonts w:ascii="Arial" w:hAnsi="Arial" w:cs="Arial"/>
                  </w:rPr>
                </w:pPr>
                <w:r w:rsidRPr="00263FFC">
                  <w:rPr>
                    <w:rFonts w:ascii="Arial" w:hAnsi="Arial" w:cs="Arial"/>
                  </w:rPr>
                  <w:t>(</w:t>
                </w:r>
                <w:r w:rsidR="00166C40" w:rsidRPr="00263FFC">
                  <w:rPr>
                    <w:rFonts w:ascii="Arial" w:hAnsi="Arial" w:cs="Arial"/>
                  </w:rPr>
                  <w:t>4</w:t>
                </w:r>
                <w:r w:rsidRPr="00263FFC">
                  <w:rPr>
                    <w:rFonts w:ascii="Arial" w:hAnsi="Arial" w:cs="Arial"/>
                  </w:rPr>
                  <w:t>)</w:t>
                </w:r>
              </w:p>
            </w:tc>
          </w:tr>
          <w:tr w:rsidR="008F4B79" w:rsidRPr="00263FFC" w14:paraId="20BF1E6D" w14:textId="77777777" w:rsidTr="00097CA9">
            <w:trPr>
              <w:trHeight w:val="413"/>
            </w:trPr>
            <w:tc>
              <w:tcPr>
                <w:tcW w:w="3260" w:type="dxa"/>
              </w:tcPr>
              <w:p w14:paraId="55E7F56C" w14:textId="72E5158D" w:rsidR="008F4B79" w:rsidRPr="00263FFC" w:rsidRDefault="008F4B79" w:rsidP="00097CA9">
                <w:pPr>
                  <w:rPr>
                    <w:rFonts w:ascii="Arial" w:hAnsi="Arial" w:cs="Arial"/>
                  </w:rPr>
                </w:pPr>
                <w:r w:rsidRPr="00263FFC">
                  <w:rPr>
                    <w:rFonts w:ascii="Arial" w:hAnsi="Arial" w:cs="Arial"/>
                  </w:rPr>
                  <w:t xml:space="preserve">Selling expenses  </w:t>
                </w:r>
              </w:p>
            </w:tc>
            <w:tc>
              <w:tcPr>
                <w:tcW w:w="992" w:type="dxa"/>
              </w:tcPr>
              <w:p w14:paraId="3EBF1E9B" w14:textId="110A6F1B"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5</w:t>
                </w:r>
                <w:r w:rsidRPr="00263FFC">
                  <w:rPr>
                    <w:rFonts w:ascii="Arial" w:hAnsi="Arial" w:cs="Arial"/>
                  </w:rPr>
                  <w:t>)</w:t>
                </w:r>
              </w:p>
            </w:tc>
            <w:tc>
              <w:tcPr>
                <w:tcW w:w="992" w:type="dxa"/>
              </w:tcPr>
              <w:p w14:paraId="4505E924" w14:textId="2D4A09F1"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6</w:t>
                </w:r>
                <w:r w:rsidRPr="00263FFC">
                  <w:rPr>
                    <w:rFonts w:ascii="Arial" w:hAnsi="Arial" w:cs="Arial"/>
                  </w:rPr>
                  <w:t>)</w:t>
                </w:r>
              </w:p>
            </w:tc>
            <w:tc>
              <w:tcPr>
                <w:tcW w:w="993" w:type="dxa"/>
              </w:tcPr>
              <w:p w14:paraId="0ECDD2D6" w14:textId="30B0F465"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7</w:t>
                </w:r>
                <w:r w:rsidRPr="00263FFC">
                  <w:rPr>
                    <w:rFonts w:ascii="Arial" w:hAnsi="Arial" w:cs="Arial"/>
                  </w:rPr>
                  <w:t>)</w:t>
                </w:r>
              </w:p>
            </w:tc>
            <w:tc>
              <w:tcPr>
                <w:tcW w:w="992" w:type="dxa"/>
              </w:tcPr>
              <w:p w14:paraId="091E1D88" w14:textId="55BC49E8"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8</w:t>
                </w:r>
                <w:r w:rsidRPr="00263FFC">
                  <w:rPr>
                    <w:rFonts w:ascii="Arial" w:hAnsi="Arial" w:cs="Arial"/>
                  </w:rPr>
                  <w:t>)</w:t>
                </w:r>
              </w:p>
            </w:tc>
            <w:tc>
              <w:tcPr>
                <w:tcW w:w="992" w:type="dxa"/>
              </w:tcPr>
              <w:p w14:paraId="635FB050" w14:textId="369DB080"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9</w:t>
                </w:r>
                <w:r w:rsidRPr="00263FFC">
                  <w:rPr>
                    <w:rFonts w:ascii="Arial" w:hAnsi="Arial" w:cs="Arial"/>
                  </w:rPr>
                  <w:t>)</w:t>
                </w:r>
              </w:p>
            </w:tc>
            <w:tc>
              <w:tcPr>
                <w:tcW w:w="992" w:type="dxa"/>
              </w:tcPr>
              <w:p w14:paraId="68FBD8F5" w14:textId="22F17F29"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6</w:t>
                </w:r>
                <w:r w:rsidRPr="00263FFC">
                  <w:rPr>
                    <w:rFonts w:ascii="Arial" w:hAnsi="Arial" w:cs="Arial"/>
                  </w:rPr>
                  <w:t>)</w:t>
                </w:r>
              </w:p>
            </w:tc>
          </w:tr>
          <w:tr w:rsidR="008F4B79" w:rsidRPr="00263FFC" w14:paraId="35CCEDD3" w14:textId="77777777" w:rsidTr="00097CA9">
            <w:trPr>
              <w:trHeight w:val="419"/>
            </w:trPr>
            <w:tc>
              <w:tcPr>
                <w:tcW w:w="3260" w:type="dxa"/>
              </w:tcPr>
              <w:p w14:paraId="5EFEF2E5" w14:textId="77777777" w:rsidR="008F4B79" w:rsidRPr="00263FFC" w:rsidRDefault="008F4B79" w:rsidP="00097CA9">
                <w:pPr>
                  <w:rPr>
                    <w:rFonts w:ascii="Arial" w:hAnsi="Arial" w:cs="Arial"/>
                  </w:rPr>
                </w:pPr>
                <w:r w:rsidRPr="00263FFC">
                  <w:rPr>
                    <w:rFonts w:ascii="Arial" w:hAnsi="Arial" w:cs="Arial"/>
                  </w:rPr>
                  <w:t>Taxation paid</w:t>
                </w:r>
              </w:p>
            </w:tc>
            <w:tc>
              <w:tcPr>
                <w:tcW w:w="992" w:type="dxa"/>
              </w:tcPr>
              <w:p w14:paraId="75B916FA" w14:textId="77777777" w:rsidR="008F4B79" w:rsidRPr="00263FFC" w:rsidRDefault="008F4B79" w:rsidP="00097CA9">
                <w:pPr>
                  <w:jc w:val="center"/>
                  <w:rPr>
                    <w:rFonts w:ascii="Arial" w:hAnsi="Arial" w:cs="Arial"/>
                  </w:rPr>
                </w:pPr>
                <w:r w:rsidRPr="00263FFC">
                  <w:rPr>
                    <w:rFonts w:ascii="Arial" w:hAnsi="Arial" w:cs="Arial"/>
                  </w:rPr>
                  <w:t>-</w:t>
                </w:r>
              </w:p>
            </w:tc>
            <w:tc>
              <w:tcPr>
                <w:tcW w:w="992" w:type="dxa"/>
              </w:tcPr>
              <w:p w14:paraId="58B36237" w14:textId="77777777" w:rsidR="008F4B79" w:rsidRPr="00263FFC" w:rsidRDefault="008F4B79" w:rsidP="00097CA9">
                <w:pPr>
                  <w:jc w:val="center"/>
                  <w:rPr>
                    <w:rFonts w:ascii="Arial" w:hAnsi="Arial" w:cs="Arial"/>
                  </w:rPr>
                </w:pPr>
                <w:r w:rsidRPr="00263FFC">
                  <w:rPr>
                    <w:rFonts w:ascii="Arial" w:hAnsi="Arial" w:cs="Arial"/>
                  </w:rPr>
                  <w:t>-</w:t>
                </w:r>
              </w:p>
            </w:tc>
            <w:tc>
              <w:tcPr>
                <w:tcW w:w="993" w:type="dxa"/>
              </w:tcPr>
              <w:p w14:paraId="74CBB94F" w14:textId="19D00941" w:rsidR="008F4B79" w:rsidRPr="00263FFC" w:rsidRDefault="008F4B79" w:rsidP="00097CA9">
                <w:pPr>
                  <w:jc w:val="center"/>
                  <w:rPr>
                    <w:rFonts w:ascii="Arial" w:hAnsi="Arial" w:cs="Arial"/>
                  </w:rPr>
                </w:pPr>
                <w:r w:rsidRPr="00263FFC">
                  <w:rPr>
                    <w:rFonts w:ascii="Arial" w:hAnsi="Arial" w:cs="Arial"/>
                  </w:rPr>
                  <w:t>(</w:t>
                </w:r>
                <w:r w:rsidR="00A22528" w:rsidRPr="00263FFC">
                  <w:rPr>
                    <w:rFonts w:ascii="Arial" w:hAnsi="Arial" w:cs="Arial"/>
                  </w:rPr>
                  <w:t>15</w:t>
                </w:r>
                <w:r w:rsidRPr="00263FFC">
                  <w:rPr>
                    <w:rFonts w:ascii="Arial" w:hAnsi="Arial" w:cs="Arial"/>
                  </w:rPr>
                  <w:t>)</w:t>
                </w:r>
              </w:p>
            </w:tc>
            <w:tc>
              <w:tcPr>
                <w:tcW w:w="992" w:type="dxa"/>
              </w:tcPr>
              <w:p w14:paraId="46910A07" w14:textId="77777777" w:rsidR="008F4B79" w:rsidRPr="00263FFC" w:rsidRDefault="008F4B79" w:rsidP="00097CA9">
                <w:pPr>
                  <w:jc w:val="center"/>
                  <w:rPr>
                    <w:rFonts w:ascii="Arial" w:hAnsi="Arial" w:cs="Arial"/>
                  </w:rPr>
                </w:pPr>
                <w:r w:rsidRPr="00263FFC">
                  <w:rPr>
                    <w:rFonts w:ascii="Arial" w:hAnsi="Arial" w:cs="Arial"/>
                  </w:rPr>
                  <w:t>-</w:t>
                </w:r>
              </w:p>
            </w:tc>
            <w:tc>
              <w:tcPr>
                <w:tcW w:w="992" w:type="dxa"/>
              </w:tcPr>
              <w:p w14:paraId="453A91F9" w14:textId="77777777" w:rsidR="008F4B79" w:rsidRPr="00263FFC" w:rsidRDefault="008F4B79" w:rsidP="00097CA9">
                <w:pPr>
                  <w:jc w:val="center"/>
                  <w:rPr>
                    <w:rFonts w:ascii="Arial" w:hAnsi="Arial" w:cs="Arial"/>
                  </w:rPr>
                </w:pPr>
                <w:r w:rsidRPr="00263FFC">
                  <w:rPr>
                    <w:rFonts w:ascii="Arial" w:hAnsi="Arial" w:cs="Arial"/>
                  </w:rPr>
                  <w:t>-</w:t>
                </w:r>
              </w:p>
            </w:tc>
            <w:tc>
              <w:tcPr>
                <w:tcW w:w="992" w:type="dxa"/>
              </w:tcPr>
              <w:p w14:paraId="72FED8B8" w14:textId="77777777" w:rsidR="008F4B79" w:rsidRPr="00263FFC" w:rsidRDefault="008F4B79" w:rsidP="00097CA9">
                <w:pPr>
                  <w:jc w:val="center"/>
                  <w:rPr>
                    <w:rFonts w:ascii="Arial" w:hAnsi="Arial" w:cs="Arial"/>
                  </w:rPr>
                </w:pPr>
                <w:r w:rsidRPr="00263FFC">
                  <w:rPr>
                    <w:rFonts w:ascii="Arial" w:hAnsi="Arial" w:cs="Arial"/>
                  </w:rPr>
                  <w:t>-</w:t>
                </w:r>
              </w:p>
            </w:tc>
          </w:tr>
          <w:tr w:rsidR="008F4B79" w:rsidRPr="00263FFC" w14:paraId="213419E5" w14:textId="77777777" w:rsidTr="00097CA9">
            <w:trPr>
              <w:trHeight w:val="419"/>
            </w:trPr>
            <w:tc>
              <w:tcPr>
                <w:tcW w:w="3260" w:type="dxa"/>
              </w:tcPr>
              <w:p w14:paraId="11CC8F8C" w14:textId="77777777" w:rsidR="008F4B79" w:rsidRPr="00263FFC" w:rsidRDefault="008F4B79" w:rsidP="00097CA9">
                <w:pPr>
                  <w:rPr>
                    <w:rFonts w:ascii="Arial" w:hAnsi="Arial" w:cs="Arial"/>
                  </w:rPr>
                </w:pPr>
                <w:r w:rsidRPr="00263FFC">
                  <w:rPr>
                    <w:rFonts w:ascii="Arial" w:hAnsi="Arial" w:cs="Arial"/>
                  </w:rPr>
                  <w:t>Interest payments</w:t>
                </w:r>
              </w:p>
            </w:tc>
            <w:tc>
              <w:tcPr>
                <w:tcW w:w="992" w:type="dxa"/>
              </w:tcPr>
              <w:p w14:paraId="6FABA3CE" w14:textId="0C5EF05B"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c>
              <w:tcPr>
                <w:tcW w:w="992" w:type="dxa"/>
              </w:tcPr>
              <w:p w14:paraId="26B80DA6" w14:textId="05DBBE6E"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c>
              <w:tcPr>
                <w:tcW w:w="993" w:type="dxa"/>
              </w:tcPr>
              <w:p w14:paraId="7DF05DDC" w14:textId="4A767C3E"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c>
              <w:tcPr>
                <w:tcW w:w="992" w:type="dxa"/>
              </w:tcPr>
              <w:p w14:paraId="094DC8D8" w14:textId="234BFF98"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c>
              <w:tcPr>
                <w:tcW w:w="992" w:type="dxa"/>
              </w:tcPr>
              <w:p w14:paraId="081ECD21" w14:textId="7BB17174"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c>
              <w:tcPr>
                <w:tcW w:w="992" w:type="dxa"/>
              </w:tcPr>
              <w:p w14:paraId="20B0297B" w14:textId="478FF9C9" w:rsidR="008F4B79" w:rsidRPr="00263FFC" w:rsidRDefault="008F4B79" w:rsidP="00097CA9">
                <w:pPr>
                  <w:jc w:val="center"/>
                  <w:rPr>
                    <w:rFonts w:ascii="Arial" w:hAnsi="Arial" w:cs="Arial"/>
                  </w:rPr>
                </w:pPr>
                <w:r w:rsidRPr="00263FFC">
                  <w:rPr>
                    <w:rFonts w:ascii="Arial" w:hAnsi="Arial" w:cs="Arial"/>
                  </w:rPr>
                  <w:t>(</w:t>
                </w:r>
                <w:r w:rsidR="0057041A" w:rsidRPr="00263FFC">
                  <w:rPr>
                    <w:rFonts w:ascii="Arial" w:hAnsi="Arial" w:cs="Arial"/>
                  </w:rPr>
                  <w:t>1</w:t>
                </w:r>
                <w:r w:rsidRPr="00263FFC">
                  <w:rPr>
                    <w:rFonts w:ascii="Arial" w:hAnsi="Arial" w:cs="Arial"/>
                  </w:rPr>
                  <w:t>)</w:t>
                </w:r>
              </w:p>
            </w:tc>
          </w:tr>
          <w:tr w:rsidR="008F4B79" w:rsidRPr="00263FFC" w14:paraId="74C746AA" w14:textId="77777777" w:rsidTr="00097CA9">
            <w:trPr>
              <w:trHeight w:val="410"/>
            </w:trPr>
            <w:tc>
              <w:tcPr>
                <w:tcW w:w="3260" w:type="dxa"/>
              </w:tcPr>
              <w:p w14:paraId="66D2213C" w14:textId="77777777" w:rsidR="008F4B79" w:rsidRPr="00263FFC" w:rsidRDefault="008F4B79" w:rsidP="00097CA9">
                <w:pPr>
                  <w:rPr>
                    <w:rFonts w:ascii="Arial" w:hAnsi="Arial" w:cs="Arial"/>
                  </w:rPr>
                </w:pPr>
                <w:r w:rsidRPr="00263FFC">
                  <w:rPr>
                    <w:rFonts w:ascii="Arial" w:hAnsi="Arial" w:cs="Arial"/>
                  </w:rPr>
                  <w:t>Shop refurbishment</w:t>
                </w:r>
              </w:p>
            </w:tc>
            <w:tc>
              <w:tcPr>
                <w:tcW w:w="992" w:type="dxa"/>
              </w:tcPr>
              <w:p w14:paraId="2651D9BC" w14:textId="2E740B48"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6C7E0C" w:rsidRPr="00263FFC">
                  <w:rPr>
                    <w:rFonts w:ascii="Arial" w:hAnsi="Arial" w:cs="Arial"/>
                    <w:u w:val="single"/>
                  </w:rPr>
                  <w:t>(</w:t>
                </w:r>
                <w:r w:rsidR="00514108" w:rsidRPr="00263FFC">
                  <w:rPr>
                    <w:rFonts w:ascii="Arial" w:hAnsi="Arial" w:cs="Arial"/>
                    <w:u w:val="single"/>
                  </w:rPr>
                  <w:t>12</w:t>
                </w:r>
                <w:r w:rsidR="006C7E0C" w:rsidRPr="00263FFC">
                  <w:rPr>
                    <w:rFonts w:ascii="Arial" w:hAnsi="Arial" w:cs="Arial"/>
                    <w:u w:val="single"/>
                  </w:rPr>
                  <w:t>)</w:t>
                </w:r>
              </w:p>
            </w:tc>
            <w:tc>
              <w:tcPr>
                <w:tcW w:w="992" w:type="dxa"/>
              </w:tcPr>
              <w:p w14:paraId="2D1ABA18" w14:textId="3EC047D1"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514108" w:rsidRPr="00263FFC">
                  <w:rPr>
                    <w:rFonts w:ascii="Arial" w:hAnsi="Arial" w:cs="Arial"/>
                    <w:u w:val="single"/>
                  </w:rPr>
                  <w:t>10</w:t>
                </w:r>
                <w:r w:rsidRPr="00263FFC">
                  <w:rPr>
                    <w:rFonts w:ascii="Arial" w:hAnsi="Arial" w:cs="Arial"/>
                    <w:u w:val="single"/>
                  </w:rPr>
                  <w:t>)</w:t>
                </w:r>
              </w:p>
            </w:tc>
            <w:tc>
              <w:tcPr>
                <w:tcW w:w="993" w:type="dxa"/>
              </w:tcPr>
              <w:p w14:paraId="7561F86B" w14:textId="742FD336"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514108" w:rsidRPr="00263FFC">
                  <w:rPr>
                    <w:rFonts w:ascii="Arial" w:hAnsi="Arial" w:cs="Arial"/>
                    <w:u w:val="single"/>
                  </w:rPr>
                  <w:t>14</w:t>
                </w:r>
                <w:r w:rsidRPr="00263FFC">
                  <w:rPr>
                    <w:rFonts w:ascii="Arial" w:hAnsi="Arial" w:cs="Arial"/>
                    <w:u w:val="single"/>
                  </w:rPr>
                  <w:t>)</w:t>
                </w:r>
              </w:p>
            </w:tc>
            <w:tc>
              <w:tcPr>
                <w:tcW w:w="992" w:type="dxa"/>
              </w:tcPr>
              <w:p w14:paraId="4A840892" w14:textId="706DA2D4"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6C7E0C" w:rsidRPr="00263FFC">
                  <w:rPr>
                    <w:rFonts w:ascii="Arial" w:hAnsi="Arial" w:cs="Arial"/>
                    <w:u w:val="single"/>
                  </w:rPr>
                  <w:t>-</w:t>
                </w:r>
              </w:p>
            </w:tc>
            <w:tc>
              <w:tcPr>
                <w:tcW w:w="992" w:type="dxa"/>
              </w:tcPr>
              <w:p w14:paraId="4649B1DD" w14:textId="77777777" w:rsidR="008F4B79" w:rsidRPr="00263FFC" w:rsidRDefault="008F4B79" w:rsidP="00097CA9">
                <w:pPr>
                  <w:jc w:val="center"/>
                  <w:rPr>
                    <w:rFonts w:ascii="Arial" w:hAnsi="Arial" w:cs="Arial"/>
                    <w:u w:val="single"/>
                  </w:rPr>
                </w:pPr>
                <w:r w:rsidRPr="00263FFC">
                  <w:rPr>
                    <w:rFonts w:ascii="Arial" w:hAnsi="Arial" w:cs="Arial"/>
                    <w:u w:val="single"/>
                  </w:rPr>
                  <w:t xml:space="preserve">       -</w:t>
                </w:r>
              </w:p>
            </w:tc>
            <w:tc>
              <w:tcPr>
                <w:tcW w:w="992" w:type="dxa"/>
              </w:tcPr>
              <w:p w14:paraId="1439498C" w14:textId="77777777" w:rsidR="008F4B79" w:rsidRPr="00263FFC" w:rsidRDefault="008F4B79" w:rsidP="00097CA9">
                <w:pPr>
                  <w:jc w:val="center"/>
                  <w:rPr>
                    <w:rFonts w:ascii="Arial" w:hAnsi="Arial" w:cs="Arial"/>
                    <w:u w:val="single"/>
                  </w:rPr>
                </w:pPr>
                <w:r w:rsidRPr="00263FFC">
                  <w:rPr>
                    <w:rFonts w:ascii="Arial" w:hAnsi="Arial" w:cs="Arial"/>
                    <w:u w:val="single"/>
                  </w:rPr>
                  <w:t xml:space="preserve">       -</w:t>
                </w:r>
              </w:p>
            </w:tc>
          </w:tr>
          <w:tr w:rsidR="008F4B79" w:rsidRPr="00263FFC" w14:paraId="432B1539" w14:textId="77777777" w:rsidTr="00097CA9">
            <w:trPr>
              <w:trHeight w:val="423"/>
            </w:trPr>
            <w:tc>
              <w:tcPr>
                <w:tcW w:w="3260" w:type="dxa"/>
              </w:tcPr>
              <w:p w14:paraId="1BEEDA8D" w14:textId="77777777" w:rsidR="008F4B79" w:rsidRPr="00263FFC" w:rsidRDefault="008F4B79" w:rsidP="00097CA9">
                <w:pPr>
                  <w:rPr>
                    <w:rFonts w:ascii="Arial" w:hAnsi="Arial" w:cs="Arial"/>
                  </w:rPr>
                </w:pPr>
                <w:r w:rsidRPr="00263FFC">
                  <w:rPr>
                    <w:rFonts w:ascii="Arial" w:hAnsi="Arial" w:cs="Arial"/>
                  </w:rPr>
                  <w:t>Cash surplus (deficit)</w:t>
                </w:r>
              </w:p>
            </w:tc>
            <w:tc>
              <w:tcPr>
                <w:tcW w:w="992" w:type="dxa"/>
              </w:tcPr>
              <w:p w14:paraId="35431130" w14:textId="75625EF9" w:rsidR="008F4B79" w:rsidRPr="00263FFC" w:rsidRDefault="00500C2F" w:rsidP="00097CA9">
                <w:pPr>
                  <w:jc w:val="center"/>
                  <w:rPr>
                    <w:rFonts w:ascii="Arial" w:hAnsi="Arial" w:cs="Arial"/>
                  </w:rPr>
                </w:pPr>
                <w:r w:rsidRPr="00263FFC">
                  <w:rPr>
                    <w:rFonts w:ascii="Arial" w:hAnsi="Arial" w:cs="Arial"/>
                  </w:rPr>
                  <w:t>(10.8)</w:t>
                </w:r>
                <w:r w:rsidR="008F4B79" w:rsidRPr="00263FFC">
                  <w:rPr>
                    <w:rFonts w:ascii="Arial" w:hAnsi="Arial" w:cs="Arial"/>
                  </w:rPr>
                  <w:t xml:space="preserve"> </w:t>
                </w:r>
              </w:p>
            </w:tc>
            <w:tc>
              <w:tcPr>
                <w:tcW w:w="992" w:type="dxa"/>
              </w:tcPr>
              <w:p w14:paraId="68F74097" w14:textId="2180A438" w:rsidR="008F4B79" w:rsidRPr="00263FFC" w:rsidRDefault="00500C2F" w:rsidP="00097CA9">
                <w:pPr>
                  <w:jc w:val="center"/>
                  <w:rPr>
                    <w:rFonts w:ascii="Arial" w:hAnsi="Arial" w:cs="Arial"/>
                  </w:rPr>
                </w:pPr>
                <w:r w:rsidRPr="00263FFC">
                  <w:rPr>
                    <w:rFonts w:ascii="Arial" w:hAnsi="Arial" w:cs="Arial"/>
                  </w:rPr>
                  <w:t>48.8</w:t>
                </w:r>
                <w:r w:rsidR="008F4B79" w:rsidRPr="00263FFC">
                  <w:rPr>
                    <w:rFonts w:ascii="Arial" w:hAnsi="Arial" w:cs="Arial"/>
                  </w:rPr>
                  <w:t xml:space="preserve"> </w:t>
                </w:r>
              </w:p>
            </w:tc>
            <w:tc>
              <w:tcPr>
                <w:tcW w:w="993" w:type="dxa"/>
              </w:tcPr>
              <w:p w14:paraId="7075DF1B" w14:textId="1245D18B" w:rsidR="008F4B79" w:rsidRPr="00263FFC" w:rsidRDefault="00500C2F" w:rsidP="00097CA9">
                <w:pPr>
                  <w:jc w:val="center"/>
                  <w:rPr>
                    <w:rFonts w:ascii="Arial" w:hAnsi="Arial" w:cs="Arial"/>
                  </w:rPr>
                </w:pPr>
                <w:r w:rsidRPr="00263FFC">
                  <w:rPr>
                    <w:rFonts w:ascii="Arial" w:hAnsi="Arial" w:cs="Arial"/>
                  </w:rPr>
                  <w:t>(31.9)</w:t>
                </w:r>
                <w:r w:rsidR="008F4B79" w:rsidRPr="00263FFC">
                  <w:rPr>
                    <w:rFonts w:ascii="Arial" w:hAnsi="Arial" w:cs="Arial"/>
                  </w:rPr>
                  <w:t xml:space="preserve"> </w:t>
                </w:r>
              </w:p>
            </w:tc>
            <w:tc>
              <w:tcPr>
                <w:tcW w:w="992" w:type="dxa"/>
              </w:tcPr>
              <w:p w14:paraId="74FD117B" w14:textId="35B45B6B" w:rsidR="008F4B79" w:rsidRPr="00263FFC" w:rsidRDefault="00140E53" w:rsidP="00097CA9">
                <w:pPr>
                  <w:jc w:val="center"/>
                  <w:rPr>
                    <w:rFonts w:ascii="Arial" w:hAnsi="Arial" w:cs="Arial"/>
                  </w:rPr>
                </w:pPr>
                <w:r w:rsidRPr="00263FFC">
                  <w:rPr>
                    <w:rFonts w:ascii="Arial" w:hAnsi="Arial" w:cs="Arial"/>
                  </w:rPr>
                  <w:t>5</w:t>
                </w:r>
                <w:r w:rsidR="008F4B79" w:rsidRPr="00263FFC">
                  <w:rPr>
                    <w:rFonts w:ascii="Arial" w:hAnsi="Arial" w:cs="Arial"/>
                  </w:rPr>
                  <w:t xml:space="preserve"> </w:t>
                </w:r>
              </w:p>
            </w:tc>
            <w:tc>
              <w:tcPr>
                <w:tcW w:w="992" w:type="dxa"/>
              </w:tcPr>
              <w:p w14:paraId="2B94937F" w14:textId="623C283A" w:rsidR="008F4B79" w:rsidRPr="00263FFC" w:rsidRDefault="00140E53" w:rsidP="00097CA9">
                <w:pPr>
                  <w:jc w:val="center"/>
                  <w:rPr>
                    <w:rFonts w:ascii="Arial" w:hAnsi="Arial" w:cs="Arial"/>
                  </w:rPr>
                </w:pPr>
                <w:r w:rsidRPr="00263FFC">
                  <w:rPr>
                    <w:rFonts w:ascii="Arial" w:hAnsi="Arial" w:cs="Arial"/>
                  </w:rPr>
                  <w:t>32.9</w:t>
                </w:r>
                <w:r w:rsidR="008F4B79" w:rsidRPr="00263FFC">
                  <w:rPr>
                    <w:rFonts w:ascii="Arial" w:hAnsi="Arial" w:cs="Arial"/>
                  </w:rPr>
                  <w:t xml:space="preserve"> </w:t>
                </w:r>
              </w:p>
            </w:tc>
            <w:tc>
              <w:tcPr>
                <w:tcW w:w="992" w:type="dxa"/>
              </w:tcPr>
              <w:p w14:paraId="7DEB33B1" w14:textId="1B8A0ABA" w:rsidR="008F4B79" w:rsidRPr="00263FFC" w:rsidRDefault="00140E53" w:rsidP="00097CA9">
                <w:pPr>
                  <w:jc w:val="center"/>
                  <w:rPr>
                    <w:rFonts w:ascii="Arial" w:hAnsi="Arial" w:cs="Arial"/>
                  </w:rPr>
                </w:pPr>
                <w:r w:rsidRPr="00263FFC">
                  <w:rPr>
                    <w:rFonts w:ascii="Arial" w:hAnsi="Arial" w:cs="Arial"/>
                  </w:rPr>
                  <w:t>14.7</w:t>
                </w:r>
                <w:r w:rsidR="008F4B79" w:rsidRPr="00263FFC">
                  <w:rPr>
                    <w:rFonts w:ascii="Arial" w:hAnsi="Arial" w:cs="Arial"/>
                  </w:rPr>
                  <w:t xml:space="preserve"> </w:t>
                </w:r>
              </w:p>
            </w:tc>
          </w:tr>
          <w:tr w:rsidR="008F4B79" w:rsidRPr="00263FFC" w14:paraId="374E61E0" w14:textId="77777777" w:rsidTr="00097CA9">
            <w:trPr>
              <w:trHeight w:val="407"/>
            </w:trPr>
            <w:tc>
              <w:tcPr>
                <w:tcW w:w="3260" w:type="dxa"/>
              </w:tcPr>
              <w:p w14:paraId="66D9F25D" w14:textId="77777777" w:rsidR="008F4B79" w:rsidRPr="00263FFC" w:rsidRDefault="008F4B79" w:rsidP="00097CA9">
                <w:pPr>
                  <w:rPr>
                    <w:rFonts w:ascii="Arial" w:hAnsi="Arial" w:cs="Arial"/>
                  </w:rPr>
                </w:pPr>
                <w:r w:rsidRPr="00263FFC">
                  <w:rPr>
                    <w:rFonts w:ascii="Arial" w:hAnsi="Arial" w:cs="Arial"/>
                  </w:rPr>
                  <w:t>Opening balance</w:t>
                </w:r>
              </w:p>
            </w:tc>
            <w:tc>
              <w:tcPr>
                <w:tcW w:w="992" w:type="dxa"/>
              </w:tcPr>
              <w:p w14:paraId="5233BEA3" w14:textId="3DBD1711" w:rsidR="008F4B79" w:rsidRPr="00263FFC" w:rsidRDefault="00140E53" w:rsidP="00097CA9">
                <w:pPr>
                  <w:jc w:val="center"/>
                  <w:rPr>
                    <w:rFonts w:ascii="Arial" w:hAnsi="Arial" w:cs="Arial"/>
                    <w:u w:val="single"/>
                  </w:rPr>
                </w:pPr>
                <w:r w:rsidRPr="00263FFC">
                  <w:rPr>
                    <w:rFonts w:ascii="Arial" w:hAnsi="Arial" w:cs="Arial"/>
                    <w:u w:val="single"/>
                  </w:rPr>
                  <w:t>(25)</w:t>
                </w:r>
                <w:r w:rsidR="008F4B79" w:rsidRPr="00263FFC">
                  <w:rPr>
                    <w:rFonts w:ascii="Arial" w:hAnsi="Arial" w:cs="Arial"/>
                    <w:u w:val="single"/>
                  </w:rPr>
                  <w:t xml:space="preserve"> </w:t>
                </w:r>
              </w:p>
            </w:tc>
            <w:tc>
              <w:tcPr>
                <w:tcW w:w="992" w:type="dxa"/>
              </w:tcPr>
              <w:p w14:paraId="26255FCA" w14:textId="52FBD190" w:rsidR="008F4B79" w:rsidRPr="00263FFC" w:rsidRDefault="00140E53" w:rsidP="00097CA9">
                <w:pPr>
                  <w:jc w:val="center"/>
                  <w:rPr>
                    <w:rFonts w:ascii="Arial" w:hAnsi="Arial" w:cs="Arial"/>
                    <w:u w:val="single"/>
                  </w:rPr>
                </w:pPr>
                <w:r w:rsidRPr="00263FFC">
                  <w:rPr>
                    <w:rFonts w:ascii="Arial" w:hAnsi="Arial" w:cs="Arial"/>
                    <w:u w:val="single"/>
                  </w:rPr>
                  <w:t>(35.8)</w:t>
                </w:r>
                <w:r w:rsidR="008F4B79" w:rsidRPr="00263FFC">
                  <w:rPr>
                    <w:rFonts w:ascii="Arial" w:hAnsi="Arial" w:cs="Arial"/>
                    <w:u w:val="single"/>
                  </w:rPr>
                  <w:t xml:space="preserve"> </w:t>
                </w:r>
              </w:p>
            </w:tc>
            <w:tc>
              <w:tcPr>
                <w:tcW w:w="993" w:type="dxa"/>
              </w:tcPr>
              <w:p w14:paraId="02D8836E" w14:textId="74CB8A59" w:rsidR="008F4B79" w:rsidRPr="00263FFC" w:rsidRDefault="007E0914" w:rsidP="00097CA9">
                <w:pPr>
                  <w:jc w:val="center"/>
                  <w:rPr>
                    <w:rFonts w:ascii="Arial" w:hAnsi="Arial" w:cs="Arial"/>
                    <w:u w:val="single"/>
                  </w:rPr>
                </w:pPr>
                <w:r w:rsidRPr="00263FFC">
                  <w:rPr>
                    <w:rFonts w:ascii="Arial" w:hAnsi="Arial" w:cs="Arial"/>
                    <w:u w:val="single"/>
                  </w:rPr>
                  <w:t>13</w:t>
                </w:r>
                <w:r w:rsidR="008F4B79" w:rsidRPr="00263FFC">
                  <w:rPr>
                    <w:rFonts w:ascii="Arial" w:hAnsi="Arial" w:cs="Arial"/>
                    <w:u w:val="single"/>
                  </w:rPr>
                  <w:t xml:space="preserve"> </w:t>
                </w:r>
              </w:p>
            </w:tc>
            <w:tc>
              <w:tcPr>
                <w:tcW w:w="992" w:type="dxa"/>
              </w:tcPr>
              <w:p w14:paraId="4736CB88" w14:textId="43CCD078"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7E0914" w:rsidRPr="00263FFC">
                  <w:rPr>
                    <w:rFonts w:ascii="Arial" w:hAnsi="Arial" w:cs="Arial"/>
                    <w:u w:val="single"/>
                  </w:rPr>
                  <w:t>(18.9)</w:t>
                </w:r>
              </w:p>
            </w:tc>
            <w:tc>
              <w:tcPr>
                <w:tcW w:w="992" w:type="dxa"/>
              </w:tcPr>
              <w:p w14:paraId="1C2AFF92" w14:textId="6F3F1200"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7E0914" w:rsidRPr="00263FFC">
                  <w:rPr>
                    <w:rFonts w:ascii="Arial" w:hAnsi="Arial" w:cs="Arial"/>
                    <w:u w:val="single"/>
                  </w:rPr>
                  <w:t>(23.9)</w:t>
                </w:r>
              </w:p>
            </w:tc>
            <w:tc>
              <w:tcPr>
                <w:tcW w:w="992" w:type="dxa"/>
              </w:tcPr>
              <w:p w14:paraId="389B4261" w14:textId="61A26CE7" w:rsidR="008F4B79" w:rsidRPr="00263FFC" w:rsidRDefault="008F4B79" w:rsidP="00097CA9">
                <w:pPr>
                  <w:jc w:val="center"/>
                  <w:rPr>
                    <w:rFonts w:ascii="Arial" w:hAnsi="Arial" w:cs="Arial"/>
                    <w:u w:val="single"/>
                  </w:rPr>
                </w:pPr>
                <w:r w:rsidRPr="00263FFC">
                  <w:rPr>
                    <w:rFonts w:ascii="Arial" w:hAnsi="Arial" w:cs="Arial"/>
                    <w:u w:val="single"/>
                  </w:rPr>
                  <w:t xml:space="preserve"> </w:t>
                </w:r>
                <w:r w:rsidR="007E0914" w:rsidRPr="00263FFC">
                  <w:rPr>
                    <w:rFonts w:ascii="Arial" w:hAnsi="Arial" w:cs="Arial"/>
                    <w:u w:val="single"/>
                  </w:rPr>
                  <w:t>9</w:t>
                </w:r>
              </w:p>
            </w:tc>
          </w:tr>
          <w:tr w:rsidR="008F4B79" w:rsidRPr="00263FFC" w14:paraId="3409A111" w14:textId="77777777" w:rsidTr="00097CA9">
            <w:trPr>
              <w:trHeight w:val="426"/>
            </w:trPr>
            <w:tc>
              <w:tcPr>
                <w:tcW w:w="3260" w:type="dxa"/>
              </w:tcPr>
              <w:p w14:paraId="550D91A9" w14:textId="77777777" w:rsidR="008F4B79" w:rsidRPr="00263FFC" w:rsidRDefault="008F4B79" w:rsidP="00097CA9">
                <w:pPr>
                  <w:rPr>
                    <w:rFonts w:ascii="Arial" w:hAnsi="Arial" w:cs="Arial"/>
                  </w:rPr>
                </w:pPr>
                <w:r w:rsidRPr="00263FFC">
                  <w:rPr>
                    <w:rFonts w:ascii="Arial" w:hAnsi="Arial" w:cs="Arial"/>
                  </w:rPr>
                  <w:t>Closing balance</w:t>
                </w:r>
              </w:p>
            </w:tc>
            <w:tc>
              <w:tcPr>
                <w:tcW w:w="992" w:type="dxa"/>
              </w:tcPr>
              <w:p w14:paraId="0499DE95" w14:textId="60FC0115" w:rsidR="008F4B79" w:rsidRPr="00263FFC" w:rsidRDefault="00100CF0" w:rsidP="00097CA9">
                <w:pPr>
                  <w:jc w:val="center"/>
                  <w:rPr>
                    <w:rFonts w:ascii="Arial" w:hAnsi="Arial" w:cs="Arial"/>
                  </w:rPr>
                </w:pPr>
                <w:r w:rsidRPr="00263FFC">
                  <w:rPr>
                    <w:rFonts w:ascii="Arial" w:hAnsi="Arial" w:cs="Arial"/>
                  </w:rPr>
                  <w:t>(35.8)</w:t>
                </w:r>
                <w:r w:rsidR="008F4B79" w:rsidRPr="00263FFC">
                  <w:rPr>
                    <w:rFonts w:ascii="Arial" w:hAnsi="Arial" w:cs="Arial"/>
                  </w:rPr>
                  <w:t xml:space="preserve"> </w:t>
                </w:r>
              </w:p>
            </w:tc>
            <w:tc>
              <w:tcPr>
                <w:tcW w:w="992" w:type="dxa"/>
              </w:tcPr>
              <w:p w14:paraId="1DFCB9F8" w14:textId="41B87563" w:rsidR="008F4B79" w:rsidRPr="00263FFC" w:rsidRDefault="00100CF0" w:rsidP="00097CA9">
                <w:pPr>
                  <w:jc w:val="center"/>
                  <w:rPr>
                    <w:rFonts w:ascii="Arial" w:hAnsi="Arial" w:cs="Arial"/>
                  </w:rPr>
                </w:pPr>
                <w:r w:rsidRPr="00263FFC">
                  <w:rPr>
                    <w:rFonts w:ascii="Arial" w:hAnsi="Arial" w:cs="Arial"/>
                  </w:rPr>
                  <w:t>13</w:t>
                </w:r>
                <w:r w:rsidR="008F4B79" w:rsidRPr="00263FFC">
                  <w:rPr>
                    <w:rFonts w:ascii="Arial" w:hAnsi="Arial" w:cs="Arial"/>
                  </w:rPr>
                  <w:t xml:space="preserve"> </w:t>
                </w:r>
              </w:p>
            </w:tc>
            <w:tc>
              <w:tcPr>
                <w:tcW w:w="993" w:type="dxa"/>
              </w:tcPr>
              <w:p w14:paraId="03772FA5" w14:textId="3A410EF2" w:rsidR="008F4B79" w:rsidRPr="00263FFC" w:rsidRDefault="008F4B79" w:rsidP="00097CA9">
                <w:pPr>
                  <w:jc w:val="center"/>
                  <w:rPr>
                    <w:rFonts w:ascii="Arial" w:hAnsi="Arial" w:cs="Arial"/>
                  </w:rPr>
                </w:pPr>
                <w:r w:rsidRPr="00263FFC">
                  <w:rPr>
                    <w:rFonts w:ascii="Arial" w:hAnsi="Arial" w:cs="Arial"/>
                  </w:rPr>
                  <w:t xml:space="preserve"> </w:t>
                </w:r>
                <w:r w:rsidR="00100CF0" w:rsidRPr="00263FFC">
                  <w:rPr>
                    <w:rFonts w:ascii="Arial" w:hAnsi="Arial" w:cs="Arial"/>
                  </w:rPr>
                  <w:t>(18.9)</w:t>
                </w:r>
              </w:p>
            </w:tc>
            <w:tc>
              <w:tcPr>
                <w:tcW w:w="992" w:type="dxa"/>
              </w:tcPr>
              <w:p w14:paraId="0E6B8A89" w14:textId="234E9EF1" w:rsidR="008F4B79" w:rsidRPr="00263FFC" w:rsidRDefault="00100CF0" w:rsidP="00097CA9">
                <w:pPr>
                  <w:jc w:val="center"/>
                  <w:rPr>
                    <w:rFonts w:ascii="Arial" w:hAnsi="Arial" w:cs="Arial"/>
                  </w:rPr>
                </w:pPr>
                <w:r w:rsidRPr="00263FFC">
                  <w:rPr>
                    <w:rFonts w:ascii="Arial" w:hAnsi="Arial" w:cs="Arial"/>
                  </w:rPr>
                  <w:t>(23.9</w:t>
                </w:r>
                <w:r w:rsidR="005C72FA" w:rsidRPr="00263FFC">
                  <w:rPr>
                    <w:rFonts w:ascii="Arial" w:hAnsi="Arial" w:cs="Arial"/>
                  </w:rPr>
                  <w:t>)</w:t>
                </w:r>
                <w:r w:rsidR="008F4B79" w:rsidRPr="00263FFC">
                  <w:rPr>
                    <w:rFonts w:ascii="Arial" w:hAnsi="Arial" w:cs="Arial"/>
                  </w:rPr>
                  <w:t xml:space="preserve"> </w:t>
                </w:r>
              </w:p>
            </w:tc>
            <w:tc>
              <w:tcPr>
                <w:tcW w:w="992" w:type="dxa"/>
              </w:tcPr>
              <w:p w14:paraId="4EAE6915" w14:textId="1A343E86" w:rsidR="008F4B79" w:rsidRPr="00263FFC" w:rsidRDefault="008F4B79" w:rsidP="00097CA9">
                <w:pPr>
                  <w:jc w:val="center"/>
                  <w:rPr>
                    <w:rFonts w:ascii="Arial" w:hAnsi="Arial" w:cs="Arial"/>
                  </w:rPr>
                </w:pPr>
                <w:r w:rsidRPr="00263FFC">
                  <w:rPr>
                    <w:rFonts w:ascii="Arial" w:hAnsi="Arial" w:cs="Arial"/>
                  </w:rPr>
                  <w:t xml:space="preserve"> </w:t>
                </w:r>
                <w:r w:rsidR="005C72FA" w:rsidRPr="00263FFC">
                  <w:rPr>
                    <w:rFonts w:ascii="Arial" w:hAnsi="Arial" w:cs="Arial"/>
                  </w:rPr>
                  <w:t>9</w:t>
                </w:r>
              </w:p>
            </w:tc>
            <w:tc>
              <w:tcPr>
                <w:tcW w:w="992" w:type="dxa"/>
              </w:tcPr>
              <w:p w14:paraId="14023721" w14:textId="2A4D2D50" w:rsidR="008F4B79" w:rsidRPr="00263FFC" w:rsidRDefault="008F4B79" w:rsidP="00097CA9">
                <w:pPr>
                  <w:jc w:val="center"/>
                  <w:rPr>
                    <w:rFonts w:ascii="Arial" w:hAnsi="Arial" w:cs="Arial"/>
                  </w:rPr>
                </w:pPr>
                <w:r w:rsidRPr="00263FFC">
                  <w:rPr>
                    <w:rFonts w:ascii="Arial" w:hAnsi="Arial" w:cs="Arial"/>
                  </w:rPr>
                  <w:t xml:space="preserve"> </w:t>
                </w:r>
                <w:r w:rsidR="005C72FA" w:rsidRPr="00263FFC">
                  <w:rPr>
                    <w:rFonts w:ascii="Arial" w:hAnsi="Arial" w:cs="Arial"/>
                  </w:rPr>
                  <w:t>23.7</w:t>
                </w:r>
              </w:p>
            </w:tc>
          </w:tr>
        </w:tbl>
        <w:p w14:paraId="7074C5DD" w14:textId="77777777" w:rsidR="008F4B79" w:rsidRPr="00263FFC" w:rsidRDefault="008F4B79" w:rsidP="008F4B79">
          <w:pPr>
            <w:spacing w:line="240" w:lineRule="auto"/>
            <w:ind w:left="360" w:firstLine="360"/>
            <w:rPr>
              <w:rFonts w:ascii="Arial" w:hAnsi="Arial" w:cs="Arial"/>
            </w:rPr>
          </w:pPr>
        </w:p>
        <w:p w14:paraId="4AD7B46F" w14:textId="77777777" w:rsidR="008F4B79" w:rsidRPr="00263FFC" w:rsidRDefault="008F4B79" w:rsidP="008F4B79">
          <w:pPr>
            <w:pStyle w:val="ListParagraph"/>
            <w:numPr>
              <w:ilvl w:val="0"/>
              <w:numId w:val="1"/>
            </w:numPr>
            <w:ind w:left="851"/>
            <w:jc w:val="both"/>
            <w:rPr>
              <w:rFonts w:ascii="Arial" w:hAnsi="Arial" w:cs="Arial"/>
            </w:rPr>
          </w:pPr>
          <w:bookmarkStart w:id="3" w:name="OLE_LINK1"/>
          <w:bookmarkStart w:id="4" w:name="OLE_LINK2"/>
          <w:r w:rsidRPr="00263FFC">
            <w:rPr>
              <w:rFonts w:ascii="Arial" w:hAnsi="Arial" w:cs="Arial"/>
            </w:rPr>
            <w:t>The (</w:t>
          </w:r>
          <w:r w:rsidRPr="00263FFC">
            <w:rPr>
              <w:rFonts w:ascii="Arial" w:hAnsi="Arial" w:cs="Arial"/>
              <w:i/>
            </w:rPr>
            <w:t>accruals-based)</w:t>
          </w:r>
          <w:r w:rsidRPr="00263FFC">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263FFC" w14:paraId="20E9B54F" w14:textId="77777777" w:rsidTr="00097CA9">
            <w:tc>
              <w:tcPr>
                <w:tcW w:w="2409" w:type="dxa"/>
              </w:tcPr>
              <w:p w14:paraId="5031D79F" w14:textId="77777777" w:rsidR="008F4B79" w:rsidRPr="00263FFC" w:rsidRDefault="008F4B79" w:rsidP="00097CA9">
                <w:pPr>
                  <w:rPr>
                    <w:rFonts w:ascii="Arial" w:hAnsi="Arial" w:cs="Arial"/>
                  </w:rPr>
                </w:pPr>
              </w:p>
            </w:tc>
            <w:tc>
              <w:tcPr>
                <w:tcW w:w="1134" w:type="dxa"/>
              </w:tcPr>
              <w:p w14:paraId="2329CBAD" w14:textId="77777777" w:rsidR="008F4B79" w:rsidRPr="00263FFC" w:rsidRDefault="008F4B79" w:rsidP="00097CA9">
                <w:pPr>
                  <w:jc w:val="right"/>
                  <w:rPr>
                    <w:rFonts w:ascii="Arial" w:hAnsi="Arial" w:cs="Arial"/>
                    <w:b/>
                  </w:rPr>
                </w:pPr>
                <w:r w:rsidRPr="00263FFC">
                  <w:rPr>
                    <w:rFonts w:ascii="Arial" w:hAnsi="Arial" w:cs="Arial"/>
                    <w:b/>
                  </w:rPr>
                  <w:t>£000</w:t>
                </w:r>
              </w:p>
            </w:tc>
            <w:tc>
              <w:tcPr>
                <w:tcW w:w="3544" w:type="dxa"/>
              </w:tcPr>
              <w:p w14:paraId="15776851" w14:textId="77777777" w:rsidR="008F4B79" w:rsidRPr="00263FFC" w:rsidRDefault="008F4B79" w:rsidP="00097CA9">
                <w:pPr>
                  <w:rPr>
                    <w:rFonts w:ascii="Arial" w:hAnsi="Arial" w:cs="Arial"/>
                    <w:b/>
                  </w:rPr>
                </w:pPr>
                <w:r w:rsidRPr="00263FFC">
                  <w:rPr>
                    <w:rFonts w:ascii="Arial" w:hAnsi="Arial" w:cs="Arial"/>
                    <w:b/>
                  </w:rPr>
                  <w:t>Calculation</w:t>
                </w:r>
              </w:p>
            </w:tc>
          </w:tr>
          <w:tr w:rsidR="008F4B79" w:rsidRPr="00263FFC" w14:paraId="3439859E" w14:textId="77777777" w:rsidTr="00097CA9">
            <w:trPr>
              <w:trHeight w:val="439"/>
            </w:trPr>
            <w:tc>
              <w:tcPr>
                <w:tcW w:w="2409" w:type="dxa"/>
              </w:tcPr>
              <w:p w14:paraId="40DD4EEC" w14:textId="77777777" w:rsidR="008F4B79" w:rsidRPr="00263FFC" w:rsidRDefault="008F4B79" w:rsidP="00097CA9">
                <w:pPr>
                  <w:rPr>
                    <w:rFonts w:ascii="Arial" w:hAnsi="Arial" w:cs="Arial"/>
                  </w:rPr>
                </w:pPr>
                <w:r w:rsidRPr="00263FFC">
                  <w:rPr>
                    <w:rFonts w:ascii="Arial" w:hAnsi="Arial" w:cs="Arial"/>
                  </w:rPr>
                  <w:t xml:space="preserve">Sales </w:t>
                </w:r>
              </w:p>
            </w:tc>
            <w:tc>
              <w:tcPr>
                <w:tcW w:w="1134" w:type="dxa"/>
              </w:tcPr>
              <w:p w14:paraId="0529888F" w14:textId="01D377AC" w:rsidR="008F4B79" w:rsidRPr="00263FFC" w:rsidRDefault="00A6774E" w:rsidP="00097CA9">
                <w:pPr>
                  <w:jc w:val="right"/>
                  <w:rPr>
                    <w:rFonts w:ascii="Arial" w:hAnsi="Arial" w:cs="Arial"/>
                  </w:rPr>
                </w:pPr>
                <w:r w:rsidRPr="00263FFC">
                  <w:rPr>
                    <w:rFonts w:ascii="Arial" w:hAnsi="Arial" w:cs="Arial"/>
                  </w:rPr>
                  <w:t>1350</w:t>
                </w:r>
                <w:r w:rsidR="008F4B79" w:rsidRPr="00263FFC">
                  <w:rPr>
                    <w:rFonts w:ascii="Arial" w:hAnsi="Arial" w:cs="Arial"/>
                  </w:rPr>
                  <w:t xml:space="preserve"> </w:t>
                </w:r>
              </w:p>
            </w:tc>
            <w:tc>
              <w:tcPr>
                <w:tcW w:w="3544" w:type="dxa"/>
              </w:tcPr>
              <w:p w14:paraId="25687ABE" w14:textId="77777777" w:rsidR="008F4B79" w:rsidRPr="00263FFC" w:rsidRDefault="008F4B79" w:rsidP="00097CA9">
                <w:pPr>
                  <w:rPr>
                    <w:rFonts w:ascii="Arial" w:hAnsi="Arial" w:cs="Arial"/>
                  </w:rPr>
                </w:pPr>
                <w:r w:rsidRPr="00263FFC">
                  <w:rPr>
                    <w:rFonts w:ascii="Arial" w:hAnsi="Arial" w:cs="Arial"/>
                  </w:rPr>
                  <w:t xml:space="preserve"> </w:t>
                </w:r>
              </w:p>
            </w:tc>
          </w:tr>
          <w:tr w:rsidR="008F4B79" w:rsidRPr="00263FFC" w14:paraId="6ADA0140" w14:textId="77777777" w:rsidTr="00097CA9">
            <w:trPr>
              <w:trHeight w:val="414"/>
            </w:trPr>
            <w:tc>
              <w:tcPr>
                <w:tcW w:w="2409" w:type="dxa"/>
              </w:tcPr>
              <w:p w14:paraId="1DC7D9E3" w14:textId="77777777" w:rsidR="008F4B79" w:rsidRPr="00263FFC" w:rsidRDefault="008F4B79" w:rsidP="00097CA9">
                <w:pPr>
                  <w:rPr>
                    <w:rFonts w:ascii="Arial" w:hAnsi="Arial" w:cs="Arial"/>
                  </w:rPr>
                </w:pPr>
                <w:r w:rsidRPr="00263FFC">
                  <w:rPr>
                    <w:rFonts w:ascii="Arial" w:hAnsi="Arial" w:cs="Arial"/>
                  </w:rPr>
                  <w:t>Cost of goods sold</w:t>
                </w:r>
              </w:p>
            </w:tc>
            <w:tc>
              <w:tcPr>
                <w:tcW w:w="1134" w:type="dxa"/>
              </w:tcPr>
              <w:p w14:paraId="16FEAAFD" w14:textId="63BF19E3" w:rsidR="008F4B79" w:rsidRPr="00263FFC" w:rsidRDefault="008F4B79" w:rsidP="006F0936">
                <w:pPr>
                  <w:rPr>
                    <w:rFonts w:ascii="Arial" w:hAnsi="Arial" w:cs="Arial"/>
                    <w:u w:val="single"/>
                  </w:rPr>
                </w:pPr>
                <w:r w:rsidRPr="00263FFC">
                  <w:rPr>
                    <w:rFonts w:ascii="Arial" w:hAnsi="Arial" w:cs="Arial"/>
                    <w:u w:val="single"/>
                  </w:rPr>
                  <w:t>(</w:t>
                </w:r>
                <w:r w:rsidR="006F0936" w:rsidRPr="00263FFC">
                  <w:rPr>
                    <w:rFonts w:ascii="Arial" w:hAnsi="Arial" w:cs="Arial"/>
                    <w:u w:val="single"/>
                  </w:rPr>
                  <w:t>877.5)</w:t>
                </w:r>
              </w:p>
            </w:tc>
            <w:tc>
              <w:tcPr>
                <w:tcW w:w="3544" w:type="dxa"/>
              </w:tcPr>
              <w:p w14:paraId="42F2775D" w14:textId="77777777" w:rsidR="008F4B79" w:rsidRPr="00263FFC" w:rsidRDefault="008F4B79" w:rsidP="00097CA9">
                <w:pPr>
                  <w:rPr>
                    <w:rFonts w:ascii="Arial" w:hAnsi="Arial" w:cs="Arial"/>
                  </w:rPr>
                </w:pPr>
                <w:r w:rsidRPr="00263FFC">
                  <w:rPr>
                    <w:rFonts w:ascii="Arial" w:hAnsi="Arial" w:cs="Arial"/>
                  </w:rPr>
                  <w:t xml:space="preserve">therefore  </w:t>
                </w:r>
              </w:p>
            </w:tc>
          </w:tr>
          <w:tr w:rsidR="008F4B79" w:rsidRPr="00263FFC" w14:paraId="3C2F039C" w14:textId="77777777" w:rsidTr="00097CA9">
            <w:trPr>
              <w:trHeight w:val="407"/>
            </w:trPr>
            <w:tc>
              <w:tcPr>
                <w:tcW w:w="2409" w:type="dxa"/>
              </w:tcPr>
              <w:p w14:paraId="486EE59E" w14:textId="77777777" w:rsidR="008F4B79" w:rsidRPr="00263FFC" w:rsidRDefault="008F4B79" w:rsidP="00097CA9">
                <w:pPr>
                  <w:rPr>
                    <w:rFonts w:ascii="Arial" w:hAnsi="Arial" w:cs="Arial"/>
                  </w:rPr>
                </w:pPr>
                <w:r w:rsidRPr="00263FFC">
                  <w:rPr>
                    <w:rFonts w:ascii="Arial" w:hAnsi="Arial" w:cs="Arial"/>
                  </w:rPr>
                  <w:t>Gross profit</w:t>
                </w:r>
              </w:p>
            </w:tc>
            <w:tc>
              <w:tcPr>
                <w:tcW w:w="1134" w:type="dxa"/>
              </w:tcPr>
              <w:p w14:paraId="616BB17E" w14:textId="04002496" w:rsidR="008F4B79" w:rsidRPr="00263FFC" w:rsidRDefault="00EA2EF8" w:rsidP="00CA7766">
                <w:pPr>
                  <w:rPr>
                    <w:rFonts w:ascii="Arial" w:hAnsi="Arial" w:cs="Arial"/>
                  </w:rPr>
                </w:pPr>
                <w:r w:rsidRPr="00263FFC">
                  <w:rPr>
                    <w:rFonts w:ascii="Arial" w:hAnsi="Arial" w:cs="Arial"/>
                  </w:rPr>
                  <w:t>472.5</w:t>
                </w:r>
                <w:r w:rsidR="008F4B79" w:rsidRPr="00263FFC">
                  <w:rPr>
                    <w:rFonts w:ascii="Arial" w:hAnsi="Arial" w:cs="Arial"/>
                  </w:rPr>
                  <w:t xml:space="preserve"> </w:t>
                </w:r>
              </w:p>
            </w:tc>
            <w:tc>
              <w:tcPr>
                <w:tcW w:w="3544" w:type="dxa"/>
              </w:tcPr>
              <w:p w14:paraId="7B851978" w14:textId="09CD35A8" w:rsidR="008F4B79" w:rsidRPr="00263FFC" w:rsidRDefault="008F4B79" w:rsidP="00097CA9">
                <w:pPr>
                  <w:rPr>
                    <w:rFonts w:ascii="Arial" w:hAnsi="Arial" w:cs="Arial"/>
                  </w:rPr>
                </w:pPr>
                <w:r w:rsidRPr="00263FFC">
                  <w:rPr>
                    <w:rFonts w:ascii="Arial" w:hAnsi="Arial" w:cs="Arial"/>
                  </w:rPr>
                  <w:t xml:space="preserve">                                       </w:t>
                </w:r>
              </w:p>
            </w:tc>
          </w:tr>
          <w:tr w:rsidR="008F4B79" w:rsidRPr="00263FFC" w14:paraId="46C1183F" w14:textId="77777777" w:rsidTr="00097CA9">
            <w:trPr>
              <w:trHeight w:val="413"/>
            </w:trPr>
            <w:tc>
              <w:tcPr>
                <w:tcW w:w="2409" w:type="dxa"/>
              </w:tcPr>
              <w:p w14:paraId="72AA4A9D" w14:textId="77777777" w:rsidR="008F4B79" w:rsidRPr="00263FFC" w:rsidRDefault="008F4B79" w:rsidP="00097CA9">
                <w:pPr>
                  <w:rPr>
                    <w:rFonts w:ascii="Arial" w:hAnsi="Arial" w:cs="Arial"/>
                  </w:rPr>
                </w:pPr>
                <w:r w:rsidRPr="00263FFC">
                  <w:rPr>
                    <w:rFonts w:ascii="Arial" w:hAnsi="Arial" w:cs="Arial"/>
                  </w:rPr>
                  <w:t>Selling expenses</w:t>
                </w:r>
              </w:p>
            </w:tc>
            <w:tc>
              <w:tcPr>
                <w:tcW w:w="1134" w:type="dxa"/>
              </w:tcPr>
              <w:p w14:paraId="09FD6C2A" w14:textId="28C64A17" w:rsidR="008F4B79" w:rsidRPr="00263FFC" w:rsidRDefault="008F4B79" w:rsidP="00CA7766">
                <w:pPr>
                  <w:rPr>
                    <w:rFonts w:ascii="Arial" w:hAnsi="Arial" w:cs="Arial"/>
                  </w:rPr>
                </w:pPr>
                <w:r w:rsidRPr="00263FFC">
                  <w:rPr>
                    <w:rFonts w:ascii="Arial" w:hAnsi="Arial" w:cs="Arial"/>
                  </w:rPr>
                  <w:t>(</w:t>
                </w:r>
                <w:r w:rsidR="008A58A8" w:rsidRPr="00263FFC">
                  <w:rPr>
                    <w:rFonts w:ascii="Arial" w:hAnsi="Arial" w:cs="Arial"/>
                  </w:rPr>
                  <w:t>41</w:t>
                </w:r>
                <w:r w:rsidRPr="00263FFC">
                  <w:rPr>
                    <w:rFonts w:ascii="Arial" w:hAnsi="Arial" w:cs="Arial"/>
                  </w:rPr>
                  <w:t>)</w:t>
                </w:r>
              </w:p>
            </w:tc>
            <w:tc>
              <w:tcPr>
                <w:tcW w:w="3544" w:type="dxa"/>
              </w:tcPr>
              <w:p w14:paraId="5A2B35F0" w14:textId="77777777" w:rsidR="008F4B79" w:rsidRPr="00263FFC" w:rsidRDefault="008F4B79" w:rsidP="00097CA9">
                <w:pPr>
                  <w:rPr>
                    <w:rFonts w:ascii="Arial" w:hAnsi="Arial" w:cs="Arial"/>
                  </w:rPr>
                </w:pPr>
                <w:r w:rsidRPr="00263FFC">
                  <w:rPr>
                    <w:rFonts w:ascii="Arial" w:hAnsi="Arial" w:cs="Arial"/>
                  </w:rPr>
                  <w:t xml:space="preserve"> </w:t>
                </w:r>
              </w:p>
            </w:tc>
          </w:tr>
          <w:tr w:rsidR="008F4B79" w:rsidRPr="00263FFC" w14:paraId="24BAAB0B" w14:textId="77777777" w:rsidTr="00097CA9">
            <w:trPr>
              <w:trHeight w:val="419"/>
            </w:trPr>
            <w:tc>
              <w:tcPr>
                <w:tcW w:w="2409" w:type="dxa"/>
              </w:tcPr>
              <w:p w14:paraId="78CBFD7A" w14:textId="77777777" w:rsidR="008F4B79" w:rsidRPr="00263FFC" w:rsidRDefault="008F4B79" w:rsidP="00097CA9">
                <w:pPr>
                  <w:rPr>
                    <w:rFonts w:ascii="Arial" w:hAnsi="Arial" w:cs="Arial"/>
                  </w:rPr>
                </w:pPr>
                <w:r w:rsidRPr="00263FFC">
                  <w:rPr>
                    <w:rFonts w:ascii="Arial" w:hAnsi="Arial" w:cs="Arial"/>
                  </w:rPr>
                  <w:t>Admin Expenses</w:t>
                </w:r>
              </w:p>
            </w:tc>
            <w:tc>
              <w:tcPr>
                <w:tcW w:w="1134" w:type="dxa"/>
              </w:tcPr>
              <w:p w14:paraId="44C8344C" w14:textId="058BF6E8" w:rsidR="008F4B79" w:rsidRPr="00263FFC" w:rsidRDefault="008F4B79" w:rsidP="00CA7766">
                <w:pPr>
                  <w:rPr>
                    <w:rFonts w:ascii="Arial" w:hAnsi="Arial" w:cs="Arial"/>
                  </w:rPr>
                </w:pPr>
                <w:r w:rsidRPr="00263FFC">
                  <w:rPr>
                    <w:rFonts w:ascii="Arial" w:hAnsi="Arial" w:cs="Arial"/>
                  </w:rPr>
                  <w:t>(</w:t>
                </w:r>
                <w:r w:rsidR="008A58A8" w:rsidRPr="00263FFC">
                  <w:rPr>
                    <w:rFonts w:ascii="Arial" w:hAnsi="Arial" w:cs="Arial"/>
                  </w:rPr>
                  <w:t>153</w:t>
                </w:r>
                <w:r w:rsidRPr="00263FFC">
                  <w:rPr>
                    <w:rFonts w:ascii="Arial" w:hAnsi="Arial" w:cs="Arial"/>
                  </w:rPr>
                  <w:t>)</w:t>
                </w:r>
              </w:p>
            </w:tc>
            <w:tc>
              <w:tcPr>
                <w:tcW w:w="3544" w:type="dxa"/>
              </w:tcPr>
              <w:p w14:paraId="4F8B0E91" w14:textId="77777777" w:rsidR="008F4B79" w:rsidRPr="00263FFC" w:rsidRDefault="008F4B79" w:rsidP="00097CA9">
                <w:pPr>
                  <w:rPr>
                    <w:rFonts w:ascii="Arial" w:hAnsi="Arial" w:cs="Arial"/>
                  </w:rPr>
                </w:pPr>
                <w:r w:rsidRPr="00263FFC">
                  <w:rPr>
                    <w:rFonts w:ascii="Arial" w:hAnsi="Arial" w:cs="Arial"/>
                  </w:rPr>
                  <w:t xml:space="preserve"> </w:t>
                </w:r>
              </w:p>
            </w:tc>
          </w:tr>
          <w:tr w:rsidR="008F4B79" w:rsidRPr="00263FFC" w14:paraId="583A840C" w14:textId="77777777" w:rsidTr="00097CA9">
            <w:trPr>
              <w:trHeight w:val="424"/>
            </w:trPr>
            <w:tc>
              <w:tcPr>
                <w:tcW w:w="2409" w:type="dxa"/>
              </w:tcPr>
              <w:p w14:paraId="28407AB9" w14:textId="77777777" w:rsidR="008F4B79" w:rsidRPr="00263FFC" w:rsidRDefault="008F4B79" w:rsidP="00097CA9">
                <w:pPr>
                  <w:rPr>
                    <w:rFonts w:ascii="Arial" w:hAnsi="Arial" w:cs="Arial"/>
                  </w:rPr>
                </w:pPr>
                <w:r w:rsidRPr="00263FFC">
                  <w:rPr>
                    <w:rFonts w:ascii="Arial" w:hAnsi="Arial" w:cs="Arial"/>
                  </w:rPr>
                  <w:t>Credit card charges</w:t>
                </w:r>
              </w:p>
            </w:tc>
            <w:tc>
              <w:tcPr>
                <w:tcW w:w="1134" w:type="dxa"/>
              </w:tcPr>
              <w:p w14:paraId="4CB0C7C0" w14:textId="27904DA7" w:rsidR="008F4B79" w:rsidRPr="00263FFC" w:rsidRDefault="008F4B79" w:rsidP="00505714">
                <w:pPr>
                  <w:rPr>
                    <w:rFonts w:ascii="Arial" w:hAnsi="Arial" w:cs="Arial"/>
                    <w:u w:val="single"/>
                  </w:rPr>
                </w:pPr>
                <w:r w:rsidRPr="00263FFC">
                  <w:rPr>
                    <w:rFonts w:ascii="Arial" w:hAnsi="Arial" w:cs="Arial"/>
                    <w:u w:val="single"/>
                  </w:rPr>
                  <w:t>(</w:t>
                </w:r>
                <w:r w:rsidR="00A02724" w:rsidRPr="00263FFC">
                  <w:rPr>
                    <w:rFonts w:ascii="Arial" w:hAnsi="Arial" w:cs="Arial"/>
                    <w:u w:val="single"/>
                  </w:rPr>
                  <w:t>12.15</w:t>
                </w:r>
                <w:r w:rsidRPr="00263FFC">
                  <w:rPr>
                    <w:rFonts w:ascii="Arial" w:hAnsi="Arial" w:cs="Arial"/>
                    <w:u w:val="single"/>
                  </w:rPr>
                  <w:t>)</w:t>
                </w:r>
              </w:p>
            </w:tc>
            <w:tc>
              <w:tcPr>
                <w:tcW w:w="3544" w:type="dxa"/>
              </w:tcPr>
              <w:p w14:paraId="34EBE199" w14:textId="3820C5BA" w:rsidR="008F4B79" w:rsidRPr="00263FFC" w:rsidRDefault="008F4B79" w:rsidP="00097CA9">
                <w:pPr>
                  <w:rPr>
                    <w:rFonts w:ascii="Arial" w:hAnsi="Arial" w:cs="Arial"/>
                  </w:rPr>
                </w:pPr>
                <w:r w:rsidRPr="00263FFC">
                  <w:rPr>
                    <w:rFonts w:ascii="Arial" w:hAnsi="Arial" w:cs="Arial"/>
                  </w:rPr>
                  <w:t xml:space="preserve">                                        </w:t>
                </w:r>
              </w:p>
            </w:tc>
          </w:tr>
          <w:tr w:rsidR="008F4B79" w:rsidRPr="00263FFC" w14:paraId="75BDAA06" w14:textId="77777777" w:rsidTr="00097CA9">
            <w:trPr>
              <w:trHeight w:val="417"/>
            </w:trPr>
            <w:tc>
              <w:tcPr>
                <w:tcW w:w="2409" w:type="dxa"/>
              </w:tcPr>
              <w:p w14:paraId="57E8958D" w14:textId="77777777" w:rsidR="008F4B79" w:rsidRPr="00263FFC" w:rsidRDefault="008F4B79" w:rsidP="00097CA9">
                <w:pPr>
                  <w:rPr>
                    <w:rFonts w:ascii="Arial" w:hAnsi="Arial" w:cs="Arial"/>
                  </w:rPr>
                </w:pPr>
                <w:r w:rsidRPr="00263FFC">
                  <w:rPr>
                    <w:rFonts w:ascii="Arial" w:hAnsi="Arial" w:cs="Arial"/>
                  </w:rPr>
                  <w:t>Operating profit</w:t>
                </w:r>
              </w:p>
            </w:tc>
            <w:tc>
              <w:tcPr>
                <w:tcW w:w="1134" w:type="dxa"/>
              </w:tcPr>
              <w:p w14:paraId="10BE3038" w14:textId="3550F434" w:rsidR="008F4B79" w:rsidRPr="00263FFC" w:rsidRDefault="00505714" w:rsidP="00505714">
                <w:pPr>
                  <w:rPr>
                    <w:rFonts w:ascii="Arial" w:hAnsi="Arial" w:cs="Arial"/>
                  </w:rPr>
                </w:pPr>
                <w:r w:rsidRPr="00263FFC">
                  <w:rPr>
                    <w:rFonts w:ascii="Arial" w:hAnsi="Arial" w:cs="Arial"/>
                  </w:rPr>
                  <w:t>266.35</w:t>
                </w:r>
                <w:r w:rsidR="008F4B79" w:rsidRPr="00263FFC">
                  <w:rPr>
                    <w:rFonts w:ascii="Arial" w:hAnsi="Arial" w:cs="Arial"/>
                  </w:rPr>
                  <w:t xml:space="preserve"> </w:t>
                </w:r>
              </w:p>
            </w:tc>
            <w:tc>
              <w:tcPr>
                <w:tcW w:w="3544" w:type="dxa"/>
              </w:tcPr>
              <w:p w14:paraId="6B4CA0B2" w14:textId="77777777" w:rsidR="008F4B79" w:rsidRPr="00263FFC" w:rsidRDefault="008F4B79" w:rsidP="00097CA9">
                <w:pPr>
                  <w:rPr>
                    <w:rFonts w:ascii="Arial" w:hAnsi="Arial" w:cs="Arial"/>
                  </w:rPr>
                </w:pPr>
              </w:p>
            </w:tc>
          </w:tr>
          <w:tr w:rsidR="008F4B79" w:rsidRPr="00263FFC" w14:paraId="632DB9A7" w14:textId="77777777" w:rsidTr="00097CA9">
            <w:trPr>
              <w:trHeight w:val="409"/>
            </w:trPr>
            <w:tc>
              <w:tcPr>
                <w:tcW w:w="2409" w:type="dxa"/>
              </w:tcPr>
              <w:p w14:paraId="08308E9C" w14:textId="77777777" w:rsidR="008F4B79" w:rsidRPr="00263FFC" w:rsidRDefault="008F4B79" w:rsidP="00097CA9">
                <w:pPr>
                  <w:rPr>
                    <w:rFonts w:ascii="Arial" w:hAnsi="Arial" w:cs="Arial"/>
                  </w:rPr>
                </w:pPr>
                <w:r w:rsidRPr="00263FFC">
                  <w:rPr>
                    <w:rFonts w:ascii="Arial" w:hAnsi="Arial" w:cs="Arial"/>
                  </w:rPr>
                  <w:t>Interest payable</w:t>
                </w:r>
              </w:p>
            </w:tc>
            <w:tc>
              <w:tcPr>
                <w:tcW w:w="1134" w:type="dxa"/>
              </w:tcPr>
              <w:p w14:paraId="49DBB5D6" w14:textId="699C4BAD" w:rsidR="008F4B79" w:rsidRPr="00263FFC" w:rsidRDefault="008F4B79" w:rsidP="00505714">
                <w:pPr>
                  <w:rPr>
                    <w:rFonts w:ascii="Arial" w:hAnsi="Arial" w:cs="Arial"/>
                    <w:u w:val="single"/>
                  </w:rPr>
                </w:pPr>
                <w:r w:rsidRPr="00263FFC">
                  <w:rPr>
                    <w:rFonts w:ascii="Arial" w:hAnsi="Arial" w:cs="Arial"/>
                    <w:u w:val="single"/>
                  </w:rPr>
                  <w:t>(</w:t>
                </w:r>
                <w:r w:rsidR="00505714" w:rsidRPr="00263FFC">
                  <w:rPr>
                    <w:rFonts w:ascii="Arial" w:hAnsi="Arial" w:cs="Arial"/>
                    <w:u w:val="single"/>
                  </w:rPr>
                  <w:t>6</w:t>
                </w:r>
                <w:r w:rsidRPr="00263FFC">
                  <w:rPr>
                    <w:rFonts w:ascii="Arial" w:hAnsi="Arial" w:cs="Arial"/>
                    <w:u w:val="single"/>
                  </w:rPr>
                  <w:t>)</w:t>
                </w:r>
              </w:p>
            </w:tc>
            <w:tc>
              <w:tcPr>
                <w:tcW w:w="3544" w:type="dxa"/>
              </w:tcPr>
              <w:p w14:paraId="0CDBB14E" w14:textId="77777777" w:rsidR="008F4B79" w:rsidRPr="00263FFC" w:rsidRDefault="008F4B79" w:rsidP="00097CA9">
                <w:pPr>
                  <w:rPr>
                    <w:rFonts w:ascii="Arial" w:hAnsi="Arial" w:cs="Arial"/>
                  </w:rPr>
                </w:pPr>
                <w:r w:rsidRPr="00263FFC">
                  <w:rPr>
                    <w:rFonts w:ascii="Arial" w:hAnsi="Arial" w:cs="Arial"/>
                  </w:rPr>
                  <w:t xml:space="preserve">                                         (Note 5)</w:t>
                </w:r>
              </w:p>
            </w:tc>
          </w:tr>
          <w:tr w:rsidR="008F4B79" w:rsidRPr="00263FFC" w14:paraId="0AEB7DED" w14:textId="77777777" w:rsidTr="00097CA9">
            <w:trPr>
              <w:trHeight w:val="387"/>
            </w:trPr>
            <w:tc>
              <w:tcPr>
                <w:tcW w:w="2409" w:type="dxa"/>
              </w:tcPr>
              <w:p w14:paraId="6C381DF9" w14:textId="77777777" w:rsidR="008F4B79" w:rsidRPr="00263FFC" w:rsidRDefault="008F4B79" w:rsidP="00097CA9">
                <w:pPr>
                  <w:rPr>
                    <w:rFonts w:ascii="Arial" w:hAnsi="Arial" w:cs="Arial"/>
                  </w:rPr>
                </w:pPr>
                <w:r w:rsidRPr="00263FFC">
                  <w:rPr>
                    <w:rFonts w:ascii="Arial" w:hAnsi="Arial" w:cs="Arial"/>
                  </w:rPr>
                  <w:t>Profit for the period</w:t>
                </w:r>
              </w:p>
            </w:tc>
            <w:tc>
              <w:tcPr>
                <w:tcW w:w="1134" w:type="dxa"/>
              </w:tcPr>
              <w:p w14:paraId="0A32BAB4" w14:textId="77777777" w:rsidR="008F4B79" w:rsidRPr="00263FFC" w:rsidRDefault="00D71D5B" w:rsidP="00D71D5B">
                <w:pPr>
                  <w:rPr>
                    <w:rFonts w:ascii="Arial" w:hAnsi="Arial" w:cs="Arial"/>
                    <w:u w:val="single"/>
                  </w:rPr>
                </w:pPr>
                <w:r w:rsidRPr="00263FFC">
                  <w:rPr>
                    <w:rFonts w:ascii="Arial" w:hAnsi="Arial" w:cs="Arial"/>
                    <w:u w:val="single"/>
                  </w:rPr>
                  <w:t>260.35</w:t>
                </w:r>
                <w:r w:rsidR="008F4B79" w:rsidRPr="00263FFC">
                  <w:rPr>
                    <w:rFonts w:ascii="Arial" w:hAnsi="Arial" w:cs="Arial"/>
                    <w:u w:val="single"/>
                  </w:rPr>
                  <w:t xml:space="preserve"> </w:t>
                </w:r>
              </w:p>
              <w:p w14:paraId="1657070F" w14:textId="77777777" w:rsidR="00770CBD" w:rsidRPr="00263FFC" w:rsidRDefault="00770CBD" w:rsidP="00D71D5B">
                <w:pPr>
                  <w:rPr>
                    <w:rFonts w:ascii="Arial" w:hAnsi="Arial" w:cs="Arial"/>
                    <w:u w:val="single"/>
                  </w:rPr>
                </w:pPr>
              </w:p>
              <w:p w14:paraId="3FE2BF49" w14:textId="1F90F473" w:rsidR="00770CBD" w:rsidRPr="00263FFC" w:rsidRDefault="00770CBD" w:rsidP="00D71D5B">
                <w:pPr>
                  <w:rPr>
                    <w:rFonts w:ascii="Arial" w:hAnsi="Arial" w:cs="Arial"/>
                    <w:u w:val="single"/>
                  </w:rPr>
                </w:pPr>
              </w:p>
            </w:tc>
            <w:tc>
              <w:tcPr>
                <w:tcW w:w="3544" w:type="dxa"/>
              </w:tcPr>
              <w:p w14:paraId="78D127A9" w14:textId="77777777" w:rsidR="008F4B79" w:rsidRPr="00263FFC" w:rsidRDefault="008F4B79" w:rsidP="00097CA9">
                <w:pPr>
                  <w:rPr>
                    <w:rFonts w:ascii="Arial" w:hAnsi="Arial" w:cs="Arial"/>
                    <w:u w:val="single"/>
                  </w:rPr>
                </w:pPr>
              </w:p>
            </w:tc>
          </w:tr>
        </w:tbl>
        <w:p w14:paraId="4133DA70" w14:textId="081A6CB0" w:rsidR="00480872" w:rsidRDefault="008F4B79" w:rsidP="008F4B79">
          <w:pPr>
            <w:pStyle w:val="Heading2"/>
          </w:pPr>
          <w:r w:rsidRPr="00263FFC">
            <w:rPr>
              <w:rFonts w:ascii="Arial" w:hAnsi="Arial" w:cs="Arial"/>
              <w:sz w:val="20"/>
              <w:szCs w:val="20"/>
            </w:rPr>
            <w:t xml:space="preserve"> </w:t>
          </w:r>
        </w:p>
        <w:p w14:paraId="0D596BE6" w14:textId="77777777" w:rsidR="004B2CD4" w:rsidRDefault="004B2CD4" w:rsidP="008F0009">
          <w:pPr>
            <w:pStyle w:val="Heading2"/>
          </w:pPr>
        </w:p>
        <w:p w14:paraId="4B9B7B00" w14:textId="77777777" w:rsidR="00996FD9" w:rsidRDefault="00996FD9" w:rsidP="00996FD9"/>
        <w:p w14:paraId="43328ECE" w14:textId="77777777" w:rsidR="00996FD9" w:rsidRDefault="00996FD9" w:rsidP="00996FD9"/>
        <w:p w14:paraId="7C1A1476" w14:textId="77777777" w:rsidR="00996FD9" w:rsidRPr="00996FD9" w:rsidRDefault="00996FD9" w:rsidP="00996FD9"/>
        <w:p w14:paraId="1920166D" w14:textId="77777777" w:rsidR="004B2CD4" w:rsidRDefault="004B2CD4" w:rsidP="008F0009">
          <w:pPr>
            <w:pStyle w:val="Heading2"/>
          </w:pPr>
        </w:p>
        <w:p w14:paraId="0DAFDE63" w14:textId="7FE640A6" w:rsidR="00EC0FD6" w:rsidRDefault="00297A89" w:rsidP="008F0009">
          <w:pPr>
            <w:pStyle w:val="Heading2"/>
          </w:pPr>
          <w:bookmarkStart w:id="5" w:name="_Toc194668464"/>
          <w:r>
            <w:t xml:space="preserve">b). </w:t>
          </w:r>
          <w:r w:rsidR="00EC0FD6" w:rsidRPr="00EC0FD6">
            <w:t>Financial Problems and Management Actions</w:t>
          </w:r>
          <w:bookmarkEnd w:id="5"/>
        </w:p>
        <w:p w14:paraId="082F0BC3" w14:textId="77777777" w:rsidR="004B2CD4" w:rsidRPr="004B2CD4" w:rsidRDefault="004B2CD4" w:rsidP="004B2CD4"/>
        <w:p w14:paraId="2EF324A7" w14:textId="77777777" w:rsidR="00EC0FD6" w:rsidRPr="00EC0FD6" w:rsidRDefault="00EC0FD6" w:rsidP="003333FB">
          <w:pPr>
            <w:spacing w:line="360" w:lineRule="auto"/>
            <w:rPr>
              <w:sz w:val="24"/>
              <w:szCs w:val="24"/>
            </w:rPr>
          </w:pPr>
          <w:r w:rsidRPr="00EC0FD6">
            <w:rPr>
              <w:sz w:val="24"/>
              <w:szCs w:val="24"/>
            </w:rPr>
            <w:t>Despite demonstrating profitability in its accrual-based profit and loss account, Blue Thread Ltd is facing critical financial challenges, primarily driven by poor liquidity management, high inventory holdings, and mistimed capital expenditures. This section identifies these key financial problems and proposes a series of strategic management actions to improve the company's short-term cash position and long-term financial resilience.</w:t>
          </w:r>
        </w:p>
        <w:p w14:paraId="40D1E659" w14:textId="29477D75" w:rsidR="00EC0FD6" w:rsidRPr="004B2CD4" w:rsidRDefault="00EC0FD6" w:rsidP="003333FB">
          <w:pPr>
            <w:pStyle w:val="ListParagraph"/>
            <w:numPr>
              <w:ilvl w:val="0"/>
              <w:numId w:val="3"/>
            </w:numPr>
            <w:spacing w:line="360" w:lineRule="auto"/>
            <w:rPr>
              <w:b/>
              <w:bCs/>
              <w:sz w:val="24"/>
              <w:szCs w:val="24"/>
            </w:rPr>
          </w:pPr>
          <w:r w:rsidRPr="004B2CD4">
            <w:rPr>
              <w:b/>
              <w:bCs/>
              <w:sz w:val="24"/>
              <w:szCs w:val="24"/>
            </w:rPr>
            <w:t>Liquidity Deficits and Timing Mismatches</w:t>
          </w:r>
        </w:p>
        <w:p w14:paraId="076B4A6E" w14:textId="77777777" w:rsidR="004B2CD4" w:rsidRDefault="004B2CD4" w:rsidP="003333FB">
          <w:pPr>
            <w:spacing w:line="360" w:lineRule="auto"/>
            <w:rPr>
              <w:sz w:val="24"/>
              <w:szCs w:val="24"/>
            </w:rPr>
          </w:pPr>
          <w:r w:rsidRPr="004B2CD4">
            <w:rPr>
              <w:sz w:val="24"/>
              <w:szCs w:val="24"/>
            </w:rPr>
            <w:t xml:space="preserve">The ability to pay short-term obligations with cash or easily convertible assets is known as </w:t>
          </w:r>
          <w:r w:rsidRPr="004B2CD4">
            <w:rPr>
              <w:b/>
              <w:bCs/>
              <w:sz w:val="24"/>
              <w:szCs w:val="24"/>
            </w:rPr>
            <w:t>liquidity</w:t>
          </w:r>
          <w:r w:rsidRPr="004B2CD4">
            <w:rPr>
              <w:sz w:val="24"/>
              <w:szCs w:val="24"/>
            </w:rPr>
            <w:t>. When a business has adequate liquidity, it can settle its debts on time (ACCA, 2021).</w:t>
          </w:r>
        </w:p>
        <w:p w14:paraId="4F7EA957" w14:textId="7D88E2A2" w:rsidR="00EC0FD6" w:rsidRPr="00EC0FD6" w:rsidRDefault="00EC0FD6" w:rsidP="003333FB">
          <w:pPr>
            <w:spacing w:line="360" w:lineRule="auto"/>
            <w:rPr>
              <w:sz w:val="24"/>
              <w:szCs w:val="24"/>
            </w:rPr>
          </w:pPr>
          <w:r w:rsidRPr="00EC0FD6">
            <w:rPr>
              <w:sz w:val="24"/>
              <w:szCs w:val="24"/>
            </w:rPr>
            <w:t>The cash budget reveals negative balances in June, August, and September. These deficits occur despite strong monthly sales and reflect a significant timing mismatch between cash inflows and outflows. This is a common issue in static budgeting systems that fail to account for seasonal fluctuations in income or timing of major expenditures (Drury, 2018; Horngren et al., 2013). For Blue Thread Ltd, large stock purchases and refurbishment expenses during these months contribute to substantial cash shortfalls, placing pressure on working capital and increasing the risk of missed payments or reliance on costly overdraft facilities (CIMA, 2022).</w:t>
          </w:r>
        </w:p>
        <w:p w14:paraId="4933539C" w14:textId="77777777" w:rsidR="00EC0FD6" w:rsidRPr="00EC0FD6" w:rsidRDefault="00EC0FD6" w:rsidP="003333FB">
          <w:pPr>
            <w:spacing w:line="360" w:lineRule="auto"/>
            <w:rPr>
              <w:sz w:val="24"/>
              <w:szCs w:val="24"/>
            </w:rPr>
          </w:pPr>
          <w:r w:rsidRPr="00EC0FD6">
            <w:rPr>
              <w:b/>
              <w:bCs/>
              <w:sz w:val="24"/>
              <w:szCs w:val="24"/>
            </w:rPr>
            <w:t>Recommended Action</w:t>
          </w:r>
          <w:r w:rsidRPr="00EC0FD6">
            <w:rPr>
              <w:sz w:val="24"/>
              <w:szCs w:val="24"/>
            </w:rPr>
            <w:t>: Management should implement rolling cash forecasts to improve visibility of upcoming cash requirements. This would enable proactive adjustments, such as deferring discretionary spending or negotiating temporary credit extensions.</w:t>
          </w:r>
        </w:p>
        <w:p w14:paraId="511B5BD1" w14:textId="77777777" w:rsidR="00EC0FD6" w:rsidRPr="00EC0FD6" w:rsidRDefault="00EC0FD6" w:rsidP="003333FB">
          <w:pPr>
            <w:spacing w:line="360" w:lineRule="auto"/>
            <w:rPr>
              <w:b/>
              <w:bCs/>
              <w:sz w:val="24"/>
              <w:szCs w:val="24"/>
            </w:rPr>
          </w:pPr>
          <w:r w:rsidRPr="00EC0FD6">
            <w:rPr>
              <w:b/>
              <w:bCs/>
              <w:sz w:val="24"/>
              <w:szCs w:val="24"/>
            </w:rPr>
            <w:t>2. Overstocking and Inefficient Working Capital Use</w:t>
          </w:r>
        </w:p>
        <w:p w14:paraId="219E3A18" w14:textId="77777777" w:rsidR="00EC0FD6" w:rsidRPr="00EC0FD6" w:rsidRDefault="00EC0FD6" w:rsidP="003333FB">
          <w:pPr>
            <w:spacing w:line="360" w:lineRule="auto"/>
            <w:rPr>
              <w:sz w:val="24"/>
              <w:szCs w:val="24"/>
            </w:rPr>
          </w:pPr>
          <w:r w:rsidRPr="00EC0FD6">
            <w:rPr>
              <w:sz w:val="24"/>
              <w:szCs w:val="24"/>
            </w:rPr>
            <w:t>Analysis of the stock budget shows a continual increase in inventory, rising from £110,000 in June to £302,500 in November. While maintaining adequate inventory is important in retail, excessive stock ties up valuable cash and raises the risk of obsolescence, markdowns, or shrinkage (Bhimani et al., 2019; Shim and Siegel, 2021). In fashion retail, where trends evolve rapidly, lean inventory management is vital.</w:t>
          </w:r>
        </w:p>
        <w:p w14:paraId="072BDD5B" w14:textId="24ED8EC3" w:rsidR="001D4A85" w:rsidRDefault="00EC0FD6" w:rsidP="003333FB">
          <w:pPr>
            <w:spacing w:line="360" w:lineRule="auto"/>
            <w:rPr>
              <w:sz w:val="24"/>
              <w:szCs w:val="24"/>
            </w:rPr>
          </w:pPr>
          <w:r w:rsidRPr="00EC0FD6">
            <w:rPr>
              <w:b/>
              <w:bCs/>
              <w:sz w:val="24"/>
              <w:szCs w:val="24"/>
            </w:rPr>
            <w:lastRenderedPageBreak/>
            <w:t>Recommended Action</w:t>
          </w:r>
          <w:r w:rsidRPr="00EC0FD6">
            <w:rPr>
              <w:sz w:val="24"/>
              <w:szCs w:val="24"/>
            </w:rPr>
            <w:t xml:space="preserve">: </w:t>
          </w:r>
        </w:p>
        <w:p w14:paraId="0E444C14" w14:textId="7722C2E5" w:rsidR="003E0452" w:rsidRPr="003E0452" w:rsidRDefault="00D61CBD" w:rsidP="003333FB">
          <w:pPr>
            <w:spacing w:line="360" w:lineRule="auto"/>
            <w:rPr>
              <w:sz w:val="24"/>
              <w:szCs w:val="24"/>
            </w:rPr>
          </w:pPr>
          <w:r w:rsidRPr="00D61CBD">
            <w:rPr>
              <w:b/>
              <w:bCs/>
              <w:sz w:val="24"/>
              <w:szCs w:val="24"/>
            </w:rPr>
            <w:t>Just-in-Time (JIT)</w:t>
          </w:r>
          <w:r>
            <w:rPr>
              <w:sz w:val="24"/>
              <w:szCs w:val="24"/>
            </w:rPr>
            <w:t xml:space="preserve">- </w:t>
          </w:r>
          <w:r w:rsidR="003E0452" w:rsidRPr="003E0452">
            <w:rPr>
              <w:sz w:val="24"/>
              <w:szCs w:val="24"/>
            </w:rPr>
            <w:t>An inventory management strategy where goods are received or produced only when needed, reducing holding costs and improving cash flow (Slack et al., 2020).</w:t>
          </w:r>
        </w:p>
        <w:p w14:paraId="4E27640A" w14:textId="38D79891" w:rsidR="00EC0FD6" w:rsidRDefault="00EC0FD6" w:rsidP="003333FB">
          <w:pPr>
            <w:spacing w:line="360" w:lineRule="auto"/>
            <w:rPr>
              <w:sz w:val="24"/>
              <w:szCs w:val="24"/>
            </w:rPr>
          </w:pPr>
          <w:r w:rsidRPr="00EC0FD6">
            <w:rPr>
              <w:sz w:val="24"/>
              <w:szCs w:val="24"/>
            </w:rPr>
            <w:t>Blue Thread Ltd should consider implementing just-in-time (JIT) or demand-driven inventory models. This approach can reduce holding costs and improve cash availability without compromising customer service (Slack et al., 2020).</w:t>
          </w:r>
        </w:p>
        <w:p w14:paraId="055FC779" w14:textId="77777777" w:rsidR="001D4A85" w:rsidRPr="00EC0FD6" w:rsidRDefault="001D4A85" w:rsidP="003333FB">
          <w:pPr>
            <w:spacing w:line="360" w:lineRule="auto"/>
            <w:rPr>
              <w:sz w:val="24"/>
              <w:szCs w:val="24"/>
            </w:rPr>
          </w:pPr>
        </w:p>
        <w:p w14:paraId="5835ABBF" w14:textId="77777777" w:rsidR="00EC0FD6" w:rsidRPr="00EC0FD6" w:rsidRDefault="00EC0FD6" w:rsidP="003333FB">
          <w:pPr>
            <w:spacing w:line="360" w:lineRule="auto"/>
            <w:rPr>
              <w:b/>
              <w:bCs/>
              <w:sz w:val="24"/>
              <w:szCs w:val="24"/>
            </w:rPr>
          </w:pPr>
          <w:r w:rsidRPr="00EC0FD6">
            <w:rPr>
              <w:b/>
              <w:bCs/>
              <w:sz w:val="24"/>
              <w:szCs w:val="24"/>
            </w:rPr>
            <w:t>3. Rigid Capital Expenditures</w:t>
          </w:r>
        </w:p>
        <w:p w14:paraId="1E0AAF9B" w14:textId="77777777" w:rsidR="00EC0FD6" w:rsidRPr="00EC0FD6" w:rsidRDefault="00EC0FD6" w:rsidP="003333FB">
          <w:pPr>
            <w:spacing w:line="360" w:lineRule="auto"/>
            <w:rPr>
              <w:sz w:val="24"/>
              <w:szCs w:val="24"/>
            </w:rPr>
          </w:pPr>
          <w:r w:rsidRPr="00EC0FD6">
            <w:rPr>
              <w:sz w:val="24"/>
              <w:szCs w:val="24"/>
            </w:rPr>
            <w:t>The cash budget also reveals that significant refurbishment costs are concentrated in July, August, and September. These investments occur during periods of cash deficit, further straining liquidity. Poor coordination between capital planning and cash budgeting suggests a disconnect between strategic and operational decision-making (Hope and Fraser, 2003).</w:t>
          </w:r>
        </w:p>
        <w:p w14:paraId="1AFF9265" w14:textId="77777777" w:rsidR="00EC0FD6" w:rsidRPr="00EC0FD6" w:rsidRDefault="00EC0FD6" w:rsidP="003333FB">
          <w:pPr>
            <w:spacing w:line="360" w:lineRule="auto"/>
            <w:rPr>
              <w:sz w:val="24"/>
              <w:szCs w:val="24"/>
            </w:rPr>
          </w:pPr>
          <w:r w:rsidRPr="00EC0FD6">
            <w:rPr>
              <w:b/>
              <w:bCs/>
              <w:sz w:val="24"/>
              <w:szCs w:val="24"/>
            </w:rPr>
            <w:t>Recommended Action</w:t>
          </w:r>
          <w:r w:rsidRPr="00EC0FD6">
            <w:rPr>
              <w:sz w:val="24"/>
              <w:szCs w:val="24"/>
            </w:rPr>
            <w:t>: Capital projects should be phased based on forecasted cash availability, using net present value (NPV) or internal rate of return (IRR) methods to prioritise high-impact investments (</w:t>
          </w:r>
          <w:proofErr w:type="spellStart"/>
          <w:r w:rsidRPr="00EC0FD6">
            <w:rPr>
              <w:sz w:val="24"/>
              <w:szCs w:val="24"/>
            </w:rPr>
            <w:t>Atrill</w:t>
          </w:r>
          <w:proofErr w:type="spellEnd"/>
          <w:r w:rsidRPr="00EC0FD6">
            <w:rPr>
              <w:sz w:val="24"/>
              <w:szCs w:val="24"/>
            </w:rPr>
            <w:t xml:space="preserve"> and McLaney, 2022).</w:t>
          </w:r>
        </w:p>
        <w:p w14:paraId="599FF24C" w14:textId="77777777" w:rsidR="00EC0FD6" w:rsidRPr="00EC0FD6" w:rsidRDefault="00EC0FD6" w:rsidP="003333FB">
          <w:pPr>
            <w:spacing w:line="360" w:lineRule="auto"/>
            <w:rPr>
              <w:b/>
              <w:bCs/>
              <w:sz w:val="24"/>
              <w:szCs w:val="24"/>
            </w:rPr>
          </w:pPr>
          <w:r w:rsidRPr="00EC0FD6">
            <w:rPr>
              <w:b/>
              <w:bCs/>
              <w:sz w:val="24"/>
              <w:szCs w:val="24"/>
            </w:rPr>
            <w:t>4. Inflexible Loan Repayments</w:t>
          </w:r>
        </w:p>
        <w:p w14:paraId="681F43FE" w14:textId="77777777" w:rsidR="00EC0FD6" w:rsidRPr="00EC0FD6" w:rsidRDefault="00EC0FD6" w:rsidP="003333FB">
          <w:pPr>
            <w:spacing w:line="360" w:lineRule="auto"/>
            <w:rPr>
              <w:sz w:val="24"/>
              <w:szCs w:val="24"/>
            </w:rPr>
          </w:pPr>
          <w:r w:rsidRPr="00EC0FD6">
            <w:rPr>
              <w:sz w:val="24"/>
              <w:szCs w:val="24"/>
            </w:rPr>
            <w:t>The company’s fixed monthly loan repayments (£4,000) offer no room for flexibility during cash-strapped months. While debt servicing is essential, a rigid structure without contingency support reduces financial agility.</w:t>
          </w:r>
        </w:p>
        <w:p w14:paraId="1280672E" w14:textId="2FFF9EA6" w:rsidR="00EC0FD6" w:rsidRDefault="00EC0FD6" w:rsidP="003333FB">
          <w:pPr>
            <w:spacing w:line="360" w:lineRule="auto"/>
            <w:rPr>
              <w:sz w:val="24"/>
              <w:szCs w:val="24"/>
            </w:rPr>
          </w:pPr>
          <w:r w:rsidRPr="00EC0FD6">
            <w:rPr>
              <w:b/>
              <w:bCs/>
              <w:sz w:val="24"/>
              <w:szCs w:val="24"/>
            </w:rPr>
            <w:t>Recommended Action</w:t>
          </w:r>
          <w:r w:rsidRPr="00EC0FD6">
            <w:rPr>
              <w:sz w:val="24"/>
              <w:szCs w:val="24"/>
            </w:rPr>
            <w:t>: Blue Thread Ltd should explore renegotiating loan terms with its lender to introduce repayment holidays or restructure payments during the deficit period. Establishing access to a revolving credit facility or overdraft protection could also enhance short-term liquidity (ACCA, 2021)</w:t>
          </w:r>
          <w:r w:rsidR="009B672B">
            <w:rPr>
              <w:sz w:val="24"/>
              <w:szCs w:val="24"/>
            </w:rPr>
            <w:t>.</w:t>
          </w:r>
        </w:p>
        <w:p w14:paraId="6B7AD348" w14:textId="77777777" w:rsidR="007D2B10" w:rsidRDefault="007D2B10" w:rsidP="003333FB">
          <w:pPr>
            <w:spacing w:line="360" w:lineRule="auto"/>
            <w:rPr>
              <w:sz w:val="24"/>
              <w:szCs w:val="24"/>
            </w:rPr>
          </w:pPr>
        </w:p>
        <w:p w14:paraId="75EF4AD3" w14:textId="77777777" w:rsidR="007D2B10" w:rsidRDefault="007D2B10" w:rsidP="003333FB">
          <w:pPr>
            <w:spacing w:line="360" w:lineRule="auto"/>
            <w:rPr>
              <w:sz w:val="24"/>
              <w:szCs w:val="24"/>
            </w:rPr>
          </w:pPr>
        </w:p>
        <w:p w14:paraId="5785E219" w14:textId="77777777" w:rsidR="009B672B" w:rsidRPr="00EC0FD6" w:rsidRDefault="009B672B" w:rsidP="003333FB">
          <w:pPr>
            <w:spacing w:line="360" w:lineRule="auto"/>
            <w:rPr>
              <w:sz w:val="24"/>
              <w:szCs w:val="24"/>
            </w:rPr>
          </w:pPr>
        </w:p>
        <w:p w14:paraId="63030582" w14:textId="77777777" w:rsidR="00EC0FD6" w:rsidRPr="00EC0FD6" w:rsidRDefault="00EC0FD6" w:rsidP="003333FB">
          <w:pPr>
            <w:spacing w:line="360" w:lineRule="auto"/>
            <w:rPr>
              <w:b/>
              <w:bCs/>
              <w:sz w:val="24"/>
              <w:szCs w:val="24"/>
            </w:rPr>
          </w:pPr>
          <w:r w:rsidRPr="00EC0FD6">
            <w:rPr>
              <w:b/>
              <w:bCs/>
              <w:sz w:val="24"/>
              <w:szCs w:val="24"/>
            </w:rPr>
            <w:lastRenderedPageBreak/>
            <w:t>5. Supplier Payment Terms</w:t>
          </w:r>
        </w:p>
        <w:p w14:paraId="05F7361B" w14:textId="77777777" w:rsidR="00EC0FD6" w:rsidRPr="00EC0FD6" w:rsidRDefault="00EC0FD6" w:rsidP="003333FB">
          <w:pPr>
            <w:spacing w:line="360" w:lineRule="auto"/>
            <w:rPr>
              <w:sz w:val="24"/>
              <w:szCs w:val="24"/>
            </w:rPr>
          </w:pPr>
          <w:r w:rsidRPr="00EC0FD6">
            <w:rPr>
              <w:sz w:val="24"/>
              <w:szCs w:val="24"/>
            </w:rPr>
            <w:t>Currently, Blue Thread Ltd operates with one month of supplier credit. While standard, this may be insufficient during months of high purchasing activity. Extending payment terms to 45 or 60 days could significantly ease monthly cash burdens.</w:t>
          </w:r>
        </w:p>
        <w:p w14:paraId="77E3502B" w14:textId="77777777" w:rsidR="00EC0FD6" w:rsidRPr="00EC0FD6" w:rsidRDefault="00EC0FD6" w:rsidP="003333FB">
          <w:pPr>
            <w:spacing w:line="360" w:lineRule="auto"/>
            <w:rPr>
              <w:sz w:val="24"/>
              <w:szCs w:val="24"/>
            </w:rPr>
          </w:pPr>
          <w:r w:rsidRPr="00EC0FD6">
            <w:rPr>
              <w:b/>
              <w:bCs/>
              <w:sz w:val="24"/>
              <w:szCs w:val="24"/>
            </w:rPr>
            <w:t>Recommended Action</w:t>
          </w:r>
          <w:r w:rsidRPr="00EC0FD6">
            <w:rPr>
              <w:sz w:val="24"/>
              <w:szCs w:val="24"/>
            </w:rPr>
            <w:t>: Negotiate extended supplier credit terms, leveraging long-standing supplier relationships and volume commitments to secure more favourable arrangements (Chartered Institute of Procurement &amp; Supply [CIPS], 2020).</w:t>
          </w:r>
        </w:p>
        <w:p w14:paraId="668781D2" w14:textId="77777777" w:rsidR="00EC0FD6" w:rsidRDefault="00EC0FD6" w:rsidP="003333FB">
          <w:pPr>
            <w:spacing w:line="360" w:lineRule="auto"/>
            <w:rPr>
              <w:sz w:val="24"/>
              <w:szCs w:val="24"/>
            </w:rPr>
          </w:pPr>
          <w:r w:rsidRPr="00EC0FD6">
            <w:rPr>
              <w:sz w:val="24"/>
              <w:szCs w:val="24"/>
            </w:rPr>
            <w:t>By addressing these financial management weaknesses with targeted actions, Blue Thread Ltd can enhance its liquidity position, reduce financial risk, and align budgeting practices more closely with operational realities.</w:t>
          </w:r>
        </w:p>
        <w:p w14:paraId="1E32A142" w14:textId="77777777" w:rsidR="000F1D8A" w:rsidRDefault="000F1D8A" w:rsidP="003333FB">
          <w:pPr>
            <w:spacing w:line="360" w:lineRule="auto"/>
            <w:rPr>
              <w:sz w:val="24"/>
              <w:szCs w:val="24"/>
            </w:rPr>
          </w:pPr>
        </w:p>
        <w:p w14:paraId="4BAA2416" w14:textId="39DBCF4F" w:rsidR="00EC4E5D" w:rsidRDefault="00EC4E5D" w:rsidP="00EC4E5D">
          <w:pPr>
            <w:spacing w:line="360" w:lineRule="auto"/>
            <w:rPr>
              <w:sz w:val="24"/>
              <w:szCs w:val="24"/>
            </w:rPr>
          </w:pPr>
          <w:r w:rsidRPr="00EC4E5D">
            <w:rPr>
              <w:sz w:val="24"/>
              <w:szCs w:val="24"/>
            </w:rPr>
            <w:t xml:space="preserve">An additional concern lies in the overall budgetary culture and the lack of proactive financial management, which have contributed to a reactive </w:t>
          </w:r>
          <w:r>
            <w:rPr>
              <w:sz w:val="24"/>
              <w:szCs w:val="24"/>
            </w:rPr>
            <w:t xml:space="preserve">position </w:t>
          </w:r>
          <w:r w:rsidRPr="00EC4E5D">
            <w:rPr>
              <w:sz w:val="24"/>
              <w:szCs w:val="24"/>
            </w:rPr>
            <w:t xml:space="preserve">toward cash flow problems. The company’s reliance on outdated budget frameworks has restrained its ability to model different financial scenarios and respond dynamically to operational demands. For instance, without scenario analysis or contingency planning, the business has been unable to </w:t>
          </w:r>
          <w:r w:rsidR="00BF7700" w:rsidRPr="00EC4E5D">
            <w:rPr>
              <w:sz w:val="24"/>
              <w:szCs w:val="24"/>
            </w:rPr>
            <w:t>shield</w:t>
          </w:r>
          <w:r w:rsidRPr="00EC4E5D">
            <w:rPr>
              <w:sz w:val="24"/>
              <w:szCs w:val="24"/>
            </w:rPr>
            <w:t xml:space="preserve"> against seasonal downturns or unexpected costs. To improve this, Blue Thread Ltd should integrate scenario planning into its budgeting process and adopt financial dashboards that provide real-time performance indicators. This would support quicker, evidence-based decisions and reduce reliance on end-of-period reports. Moreover, cultivating a budgeting culture that values planning, adaptability, and transparency can promote cross-functional collaboration and drive accountability at all levels. These improvements would not only address current weaknesses but also position the business for more resilient financial performance in the future.</w:t>
          </w:r>
        </w:p>
        <w:p w14:paraId="6F9630A2" w14:textId="07031CB0" w:rsidR="00E25119" w:rsidRPr="00E25119" w:rsidRDefault="00E25119" w:rsidP="00E25119">
          <w:pPr>
            <w:spacing w:line="360" w:lineRule="auto"/>
            <w:rPr>
              <w:sz w:val="24"/>
              <w:szCs w:val="24"/>
            </w:rPr>
          </w:pPr>
          <w:r w:rsidRPr="00E25119">
            <w:rPr>
              <w:sz w:val="24"/>
              <w:szCs w:val="24"/>
            </w:rPr>
            <w:t xml:space="preserve">Another important tool in performance-based financial management is the use of Key Performance Indicators (KPIs). KPIs are quantifiable metrics that organisations use to assess the success of various business activities in meeting strategic and operational goals. In budgeting, KPIs are essential for translating financial objectives into measurable targets that guide managerial decision-making. For instance, KPIs such as gross profit margin, stock </w:t>
          </w:r>
          <w:r w:rsidRPr="00E25119">
            <w:rPr>
              <w:sz w:val="24"/>
              <w:szCs w:val="24"/>
            </w:rPr>
            <w:lastRenderedPageBreak/>
            <w:t>turnover ratio, and current ratio can help Blue Thread Ltd monitor financial health in real time and identify emerging risks (ACCA, 2021). Integrating KPIs into the budgeting process promotes accountability and helps evaluate whether budget allocations are yielding expected outcomes. Additionally, linking KPIs to departmental performance can motivate employees to align their actions with broader organisational goals. For maximum effectiveness, KPIs should be SMART—Specific, Measurable, Achievable, Relevant</w:t>
          </w:r>
          <w:r w:rsidR="00F41162">
            <w:rPr>
              <w:sz w:val="24"/>
              <w:szCs w:val="24"/>
            </w:rPr>
            <w:t xml:space="preserve"> (</w:t>
          </w:r>
          <w:r w:rsidR="00F41162" w:rsidRPr="00F41162">
            <w:rPr>
              <w:sz w:val="24"/>
              <w:szCs w:val="24"/>
            </w:rPr>
            <w:t>Doran</w:t>
          </w:r>
          <w:r w:rsidR="00DE0CEF">
            <w:rPr>
              <w:sz w:val="24"/>
              <w:szCs w:val="24"/>
            </w:rPr>
            <w:t>,</w:t>
          </w:r>
          <w:r w:rsidR="00F41162" w:rsidRPr="00F41162">
            <w:rPr>
              <w:sz w:val="24"/>
              <w:szCs w:val="24"/>
            </w:rPr>
            <w:t xml:space="preserve"> 1981)</w:t>
          </w:r>
          <w:r w:rsidRPr="00E25119">
            <w:rPr>
              <w:sz w:val="24"/>
              <w:szCs w:val="24"/>
            </w:rPr>
            <w:t>, and Time-bound—and regularly reviewed to ensure continued relevance in a changing business environment (Kaplan and Norton, 1996).</w:t>
          </w:r>
        </w:p>
        <w:p w14:paraId="3F32ED19" w14:textId="77777777" w:rsidR="00E25119" w:rsidRPr="00EC4E5D" w:rsidRDefault="00E25119" w:rsidP="00EC4E5D">
          <w:pPr>
            <w:spacing w:line="360" w:lineRule="auto"/>
            <w:rPr>
              <w:sz w:val="24"/>
              <w:szCs w:val="24"/>
            </w:rPr>
          </w:pPr>
        </w:p>
        <w:p w14:paraId="28C884C7" w14:textId="77777777" w:rsidR="00EC4E5D" w:rsidRDefault="00EC4E5D" w:rsidP="003333FB">
          <w:pPr>
            <w:spacing w:line="360" w:lineRule="auto"/>
            <w:rPr>
              <w:sz w:val="24"/>
              <w:szCs w:val="24"/>
            </w:rPr>
          </w:pPr>
        </w:p>
        <w:p w14:paraId="18309FB7" w14:textId="77777777" w:rsidR="006B6FE9" w:rsidRDefault="006B6FE9" w:rsidP="003333FB">
          <w:pPr>
            <w:spacing w:line="360" w:lineRule="auto"/>
            <w:rPr>
              <w:sz w:val="24"/>
              <w:szCs w:val="24"/>
            </w:rPr>
          </w:pPr>
        </w:p>
        <w:p w14:paraId="0E3033D3" w14:textId="10C7B03B" w:rsidR="00FE30E6" w:rsidRDefault="00FE30E6" w:rsidP="003333FB">
          <w:pPr>
            <w:pStyle w:val="Heading2"/>
            <w:spacing w:line="360" w:lineRule="auto"/>
          </w:pPr>
          <w:bookmarkStart w:id="6" w:name="_Toc194668465"/>
          <w:r>
            <w:t>c)</w:t>
          </w:r>
          <w:r w:rsidRPr="00FE30E6">
            <w:t>. Conditions for Successful Budgetary Control and Behavioural Factors</w:t>
          </w:r>
          <w:bookmarkEnd w:id="6"/>
        </w:p>
        <w:p w14:paraId="1EABB935" w14:textId="77777777" w:rsidR="003C5CDE" w:rsidRPr="003C5CDE" w:rsidRDefault="003C5CDE" w:rsidP="003C5CDE"/>
        <w:p w14:paraId="6A40DD8C" w14:textId="77777777" w:rsidR="00FE30E6" w:rsidRPr="00FE30E6" w:rsidRDefault="00FE30E6" w:rsidP="003333FB">
          <w:pPr>
            <w:spacing w:line="360" w:lineRule="auto"/>
            <w:rPr>
              <w:sz w:val="24"/>
              <w:szCs w:val="24"/>
            </w:rPr>
          </w:pPr>
          <w:r w:rsidRPr="00FE30E6">
            <w:rPr>
              <w:sz w:val="24"/>
              <w:szCs w:val="24"/>
            </w:rPr>
            <w:t>For budgeting systems to be effective, they must be supported by appropriate organisational structures, cultural norms, and behavioural dynamics. While financial tools and forecasts are essential, the success of a budgeting system is often determined by the people involved and how well the budgeting process is integrated into the wider organisational strategy (Horngren et al., 2013).</w:t>
          </w:r>
        </w:p>
        <w:p w14:paraId="55803107" w14:textId="77777777" w:rsidR="00FE30E6" w:rsidRPr="00FE30E6" w:rsidRDefault="00FE30E6" w:rsidP="003333FB">
          <w:pPr>
            <w:spacing w:line="360" w:lineRule="auto"/>
            <w:rPr>
              <w:b/>
              <w:bCs/>
              <w:sz w:val="24"/>
              <w:szCs w:val="24"/>
            </w:rPr>
          </w:pPr>
          <w:r w:rsidRPr="00FE30E6">
            <w:rPr>
              <w:b/>
              <w:bCs/>
              <w:sz w:val="24"/>
              <w:szCs w:val="24"/>
            </w:rPr>
            <w:t>Organisational Foundations for Budgeting Success</w:t>
          </w:r>
        </w:p>
        <w:p w14:paraId="31E5CC56" w14:textId="77777777" w:rsidR="00FE30E6" w:rsidRPr="00FE30E6" w:rsidRDefault="00FE30E6" w:rsidP="003333FB">
          <w:pPr>
            <w:numPr>
              <w:ilvl w:val="0"/>
              <w:numId w:val="4"/>
            </w:numPr>
            <w:spacing w:line="360" w:lineRule="auto"/>
            <w:rPr>
              <w:sz w:val="24"/>
              <w:szCs w:val="24"/>
            </w:rPr>
          </w:pPr>
          <w:r w:rsidRPr="00FE30E6">
            <w:rPr>
              <w:b/>
              <w:bCs/>
              <w:sz w:val="24"/>
              <w:szCs w:val="24"/>
            </w:rPr>
            <w:t>Strategic Alignment</w:t>
          </w:r>
          <w:r w:rsidRPr="00FE30E6">
            <w:rPr>
              <w:sz w:val="24"/>
              <w:szCs w:val="24"/>
            </w:rPr>
            <w:t xml:space="preserve">: Budgets must be linked to both short-term operational targets and long-term strategic objectives. In Blue Thread </w:t>
          </w:r>
          <w:proofErr w:type="spellStart"/>
          <w:r w:rsidRPr="00FE30E6">
            <w:rPr>
              <w:sz w:val="24"/>
              <w:szCs w:val="24"/>
            </w:rPr>
            <w:t>Ltd’s</w:t>
          </w:r>
          <w:proofErr w:type="spellEnd"/>
          <w:r w:rsidRPr="00FE30E6">
            <w:rPr>
              <w:sz w:val="24"/>
              <w:szCs w:val="24"/>
            </w:rPr>
            <w:t xml:space="preserve"> case, this means ensuring that initiatives such as store refurbishment, stock purchasing, and marketing align with the company’s broader mission of financial recovery and growth (Anthony and Govindarajan, 2007).</w:t>
          </w:r>
        </w:p>
        <w:p w14:paraId="57DCBD35" w14:textId="77777777" w:rsidR="00FE30E6" w:rsidRPr="00FE30E6" w:rsidRDefault="00FE30E6" w:rsidP="003333FB">
          <w:pPr>
            <w:numPr>
              <w:ilvl w:val="0"/>
              <w:numId w:val="4"/>
            </w:numPr>
            <w:spacing w:line="360" w:lineRule="auto"/>
            <w:rPr>
              <w:sz w:val="24"/>
              <w:szCs w:val="24"/>
            </w:rPr>
          </w:pPr>
          <w:r w:rsidRPr="00FE30E6">
            <w:rPr>
              <w:b/>
              <w:bCs/>
              <w:sz w:val="24"/>
              <w:szCs w:val="24"/>
            </w:rPr>
            <w:t>Timely and Accurate Data</w:t>
          </w:r>
          <w:r w:rsidRPr="00FE30E6">
            <w:rPr>
              <w:sz w:val="24"/>
              <w:szCs w:val="24"/>
            </w:rPr>
            <w:t>: Successful budgeting relies on accurate forecasting and regular updates to reflect changes in market dynamics, customer behaviour, or operational constraints (CIMA, 2017). Real-time data integration with budgeting tools can improve forecast accuracy and enhance decision-making.</w:t>
          </w:r>
        </w:p>
        <w:p w14:paraId="4A537C69" w14:textId="77777777" w:rsidR="00FE30E6" w:rsidRPr="00FE30E6" w:rsidRDefault="00FE30E6" w:rsidP="003333FB">
          <w:pPr>
            <w:numPr>
              <w:ilvl w:val="0"/>
              <w:numId w:val="4"/>
            </w:numPr>
            <w:spacing w:line="360" w:lineRule="auto"/>
            <w:rPr>
              <w:sz w:val="24"/>
              <w:szCs w:val="24"/>
            </w:rPr>
          </w:pPr>
          <w:r w:rsidRPr="00FE30E6">
            <w:rPr>
              <w:b/>
              <w:bCs/>
              <w:sz w:val="24"/>
              <w:szCs w:val="24"/>
            </w:rPr>
            <w:lastRenderedPageBreak/>
            <w:t>Clear Communication and Integration</w:t>
          </w:r>
          <w:r w:rsidRPr="00FE30E6">
            <w:rPr>
              <w:sz w:val="24"/>
              <w:szCs w:val="24"/>
            </w:rPr>
            <w:t>: The budgeting process must include coordination between departments. A lack of communication between finance, operations, and procurement teams can result in misaligned goals and duplicated efforts (Otley, 1999).</w:t>
          </w:r>
        </w:p>
        <w:p w14:paraId="7FD8A008" w14:textId="77777777" w:rsidR="00FE30E6" w:rsidRPr="00FE30E6" w:rsidRDefault="00FE30E6" w:rsidP="003333FB">
          <w:pPr>
            <w:numPr>
              <w:ilvl w:val="0"/>
              <w:numId w:val="4"/>
            </w:numPr>
            <w:spacing w:line="360" w:lineRule="auto"/>
            <w:rPr>
              <w:sz w:val="24"/>
              <w:szCs w:val="24"/>
            </w:rPr>
          </w:pPr>
          <w:r w:rsidRPr="00FE30E6">
            <w:rPr>
              <w:b/>
              <w:bCs/>
              <w:sz w:val="24"/>
              <w:szCs w:val="24"/>
            </w:rPr>
            <w:t>Leadership Support and Accountability</w:t>
          </w:r>
          <w:r w:rsidRPr="00FE30E6">
            <w:rPr>
              <w:sz w:val="24"/>
              <w:szCs w:val="24"/>
            </w:rPr>
            <w:t>: Senior leadership must actively endorse budgeting processes and demonstrate commitment through regular reviews, performance tracking, and responsive management interventions (Hope and Fraser, 2003).</w:t>
          </w:r>
        </w:p>
        <w:p w14:paraId="34805595" w14:textId="77777777" w:rsidR="00FE30E6" w:rsidRPr="00FE30E6" w:rsidRDefault="00FE30E6" w:rsidP="003333FB">
          <w:pPr>
            <w:numPr>
              <w:ilvl w:val="0"/>
              <w:numId w:val="4"/>
            </w:numPr>
            <w:spacing w:line="360" w:lineRule="auto"/>
            <w:rPr>
              <w:sz w:val="24"/>
              <w:szCs w:val="24"/>
            </w:rPr>
          </w:pPr>
          <w:r w:rsidRPr="00FE30E6">
            <w:rPr>
              <w:b/>
              <w:bCs/>
              <w:sz w:val="24"/>
              <w:szCs w:val="24"/>
            </w:rPr>
            <w:t>Flexibility</w:t>
          </w:r>
          <w:r w:rsidRPr="00FE30E6">
            <w:rPr>
              <w:sz w:val="24"/>
              <w:szCs w:val="24"/>
            </w:rPr>
            <w:t>: Static budgets can quickly become obsolete. Organisations that incorporate flexible budgeting systems, such as rolling forecasts or scenario-based budgeting, are more likely to respond effectively to volatility (Libby and Lindsay, 2010).</w:t>
          </w:r>
        </w:p>
        <w:p w14:paraId="3A600694" w14:textId="77777777" w:rsidR="00FE30E6" w:rsidRPr="00FE30E6" w:rsidRDefault="00FE30E6" w:rsidP="003333FB">
          <w:pPr>
            <w:spacing w:line="360" w:lineRule="auto"/>
            <w:rPr>
              <w:b/>
              <w:bCs/>
              <w:sz w:val="24"/>
              <w:szCs w:val="24"/>
            </w:rPr>
          </w:pPr>
          <w:r w:rsidRPr="00FE30E6">
            <w:rPr>
              <w:b/>
              <w:bCs/>
              <w:sz w:val="24"/>
              <w:szCs w:val="24"/>
            </w:rPr>
            <w:t>Behavioural Considerations in Budgeting</w:t>
          </w:r>
        </w:p>
        <w:p w14:paraId="10E92041" w14:textId="77777777" w:rsidR="00FE30E6" w:rsidRPr="00FE30E6" w:rsidRDefault="00FE30E6" w:rsidP="003333FB">
          <w:pPr>
            <w:numPr>
              <w:ilvl w:val="0"/>
              <w:numId w:val="5"/>
            </w:numPr>
            <w:spacing w:line="360" w:lineRule="auto"/>
            <w:rPr>
              <w:sz w:val="24"/>
              <w:szCs w:val="24"/>
            </w:rPr>
          </w:pPr>
          <w:r w:rsidRPr="00FE30E6">
            <w:rPr>
              <w:b/>
              <w:bCs/>
              <w:sz w:val="24"/>
              <w:szCs w:val="24"/>
            </w:rPr>
            <w:t>Participation and Buy-In</w:t>
          </w:r>
          <w:r w:rsidRPr="00FE30E6">
            <w:rPr>
              <w:sz w:val="24"/>
              <w:szCs w:val="24"/>
            </w:rPr>
            <w:t>: Involving employees in the budgeting process can lead to higher levels of ownership, commitment, and alignment with organisational objectives. However, participatory budgeting must be carefully managed to avoid inefficiencies or the inclusion of unrealistic assumptions (Merchant and Van der Stede, 2017).</w:t>
          </w:r>
        </w:p>
        <w:p w14:paraId="5A8711D6" w14:textId="77777777" w:rsidR="00FE30E6" w:rsidRPr="00FE30E6" w:rsidRDefault="00FE30E6" w:rsidP="003333FB">
          <w:pPr>
            <w:numPr>
              <w:ilvl w:val="0"/>
              <w:numId w:val="5"/>
            </w:numPr>
            <w:spacing w:line="360" w:lineRule="auto"/>
            <w:rPr>
              <w:sz w:val="24"/>
              <w:szCs w:val="24"/>
            </w:rPr>
          </w:pPr>
          <w:r w:rsidRPr="00FE30E6">
            <w:rPr>
              <w:b/>
              <w:bCs/>
              <w:sz w:val="24"/>
              <w:szCs w:val="24"/>
            </w:rPr>
            <w:t>Budgetary Slack</w:t>
          </w:r>
          <w:r w:rsidRPr="00FE30E6">
            <w:rPr>
              <w:sz w:val="24"/>
              <w:szCs w:val="24"/>
            </w:rPr>
            <w:t>: Managers may intentionally pad budgets to ensure they meet targets. While some slack can provide a safety net, excessive slack reduces the efficiency of resource allocation and weakens performance incentives (Van der Stede, 2000).</w:t>
          </w:r>
        </w:p>
        <w:p w14:paraId="0AC42FBD" w14:textId="77777777" w:rsidR="00FE30E6" w:rsidRPr="00FE30E6" w:rsidRDefault="00FE30E6" w:rsidP="003333FB">
          <w:pPr>
            <w:numPr>
              <w:ilvl w:val="0"/>
              <w:numId w:val="5"/>
            </w:numPr>
            <w:spacing w:line="360" w:lineRule="auto"/>
            <w:rPr>
              <w:sz w:val="24"/>
              <w:szCs w:val="24"/>
            </w:rPr>
          </w:pPr>
          <w:r w:rsidRPr="00FE30E6">
            <w:rPr>
              <w:b/>
              <w:bCs/>
              <w:sz w:val="24"/>
              <w:szCs w:val="24"/>
            </w:rPr>
            <w:t>Goal Congruence and Motivation</w:t>
          </w:r>
          <w:r w:rsidRPr="00FE30E6">
            <w:rPr>
              <w:sz w:val="24"/>
              <w:szCs w:val="24"/>
            </w:rPr>
            <w:t>: Budgets are more effective when individual incentives and organisational goals are aligned. Misalignment can lead to behaviours that optimise personal performance at the expense of broader business objectives (Anthony and Govindarajan, 2007).</w:t>
          </w:r>
        </w:p>
        <w:p w14:paraId="236815D7" w14:textId="77777777" w:rsidR="00FE30E6" w:rsidRPr="00FE30E6" w:rsidRDefault="00FE30E6" w:rsidP="003333FB">
          <w:pPr>
            <w:numPr>
              <w:ilvl w:val="0"/>
              <w:numId w:val="5"/>
            </w:numPr>
            <w:spacing w:line="360" w:lineRule="auto"/>
            <w:rPr>
              <w:sz w:val="24"/>
              <w:szCs w:val="24"/>
            </w:rPr>
          </w:pPr>
          <w:r w:rsidRPr="00FE30E6">
            <w:rPr>
              <w:b/>
              <w:bCs/>
              <w:sz w:val="24"/>
              <w:szCs w:val="24"/>
            </w:rPr>
            <w:t>Resistance to Change</w:t>
          </w:r>
          <w:r w:rsidRPr="00FE30E6">
            <w:rPr>
              <w:sz w:val="24"/>
              <w:szCs w:val="24"/>
            </w:rPr>
            <w:t xml:space="preserve">: New budgeting systems or reforms may be met with scepticism or resistance, especially if they are imposed top-down without </w:t>
          </w:r>
          <w:r w:rsidRPr="00FE30E6">
            <w:rPr>
              <w:sz w:val="24"/>
              <w:szCs w:val="24"/>
            </w:rPr>
            <w:lastRenderedPageBreak/>
            <w:t>explanation or support. Change management strategies, including training, feedback mechanisms, and phased rollouts, can help overcome this (Jackson et al., 2013).</w:t>
          </w:r>
        </w:p>
        <w:p w14:paraId="6B1AAB13" w14:textId="77777777" w:rsidR="00FE30E6" w:rsidRPr="00FE30E6" w:rsidRDefault="00FE30E6" w:rsidP="003333FB">
          <w:pPr>
            <w:numPr>
              <w:ilvl w:val="0"/>
              <w:numId w:val="5"/>
            </w:numPr>
            <w:spacing w:line="360" w:lineRule="auto"/>
            <w:rPr>
              <w:sz w:val="24"/>
              <w:szCs w:val="24"/>
            </w:rPr>
          </w:pPr>
          <w:r w:rsidRPr="00FE30E6">
            <w:rPr>
              <w:b/>
              <w:bCs/>
              <w:sz w:val="24"/>
              <w:szCs w:val="24"/>
            </w:rPr>
            <w:t>Performance Feedback and Fairness</w:t>
          </w:r>
          <w:r w:rsidRPr="00FE30E6">
            <w:rPr>
              <w:sz w:val="24"/>
              <w:szCs w:val="24"/>
            </w:rPr>
            <w:t>: Employees must perceive budget targets as fair and achievable. Unreasonable expectations can demoralise staff, while transparent evaluation systems can promote trust and drive performance (Hansen et al., 2003).</w:t>
          </w:r>
        </w:p>
        <w:p w14:paraId="25944870" w14:textId="77777777" w:rsidR="00FE30E6" w:rsidRPr="00FE30E6" w:rsidRDefault="00FE30E6" w:rsidP="003333FB">
          <w:pPr>
            <w:spacing w:line="360" w:lineRule="auto"/>
            <w:rPr>
              <w:sz w:val="24"/>
              <w:szCs w:val="24"/>
            </w:rPr>
          </w:pPr>
          <w:r w:rsidRPr="00FE30E6">
            <w:rPr>
              <w:sz w:val="24"/>
              <w:szCs w:val="24"/>
            </w:rPr>
            <w:t>Effective budgeting requires a blend of technical, strategic, and human-centric approaches. For Blue Thread Ltd, embedding budgeting in a culture of transparency, participation, and flexibility is essential. While the financial systems must be accurate and timely, the behaviours and perceptions of those who use them ultimately determine their success.</w:t>
          </w:r>
        </w:p>
        <w:p w14:paraId="44ABC4FB" w14:textId="77777777" w:rsidR="00FE30E6" w:rsidRDefault="00FE30E6" w:rsidP="003333FB">
          <w:pPr>
            <w:spacing w:line="360" w:lineRule="auto"/>
            <w:rPr>
              <w:sz w:val="24"/>
              <w:szCs w:val="24"/>
            </w:rPr>
          </w:pPr>
          <w:r w:rsidRPr="00FE30E6">
            <w:rPr>
              <w:sz w:val="24"/>
              <w:szCs w:val="24"/>
            </w:rPr>
            <w:t>A shift toward inclusive budgeting processes—backed by real-time data, performance incentives, and open communication—can transform budgeting from a compliance activity into a strategic enabler.</w:t>
          </w:r>
        </w:p>
        <w:p w14:paraId="54D00048" w14:textId="77777777" w:rsidR="00F554DA" w:rsidRPr="00F554DA" w:rsidRDefault="00F554DA" w:rsidP="00F554DA">
          <w:pPr>
            <w:spacing w:line="360" w:lineRule="auto"/>
            <w:rPr>
              <w:sz w:val="24"/>
              <w:szCs w:val="24"/>
            </w:rPr>
          </w:pPr>
          <w:r w:rsidRPr="00F554DA">
            <w:rPr>
              <w:sz w:val="24"/>
              <w:szCs w:val="24"/>
            </w:rPr>
            <w:t>One additional factor that contributes to budgetary success is the establishment of performance-based incentives linked directly to budget outcomes. Organisations that align budget targets with employee rewards and performance evaluations tend to foster greater accountability and motivation. For example, when departments are measured not only on whether they stay within budget, but also on how efficiently they utilise resources to achieve strategic goals, employees become more engaged in the budgeting process (Merchant and Van der Stede, 2017). These systems work best when coupled with clear, achievable KPIs and regular performance feedback, allowing managers to adjust strategies in real time. However, organisations must avoid rigid or punitive applications of performance-linked budgeting, which can encourage dysfunctional behaviour such as budget padding or short-termism (Anthony and Govindarajan, 2007). Therefore, thoughtful design and regular evaluation of incentive structures are essential to support effective, behaviourally sound budgetary control.</w:t>
          </w:r>
        </w:p>
        <w:p w14:paraId="381A389E" w14:textId="77777777" w:rsidR="00F554DA" w:rsidRDefault="00F554DA" w:rsidP="003333FB">
          <w:pPr>
            <w:spacing w:line="360" w:lineRule="auto"/>
            <w:rPr>
              <w:sz w:val="24"/>
              <w:szCs w:val="24"/>
            </w:rPr>
          </w:pPr>
        </w:p>
        <w:p w14:paraId="4DFFEC23" w14:textId="77777777" w:rsidR="00A66C05" w:rsidRDefault="00A66C05" w:rsidP="003333FB">
          <w:pPr>
            <w:spacing w:line="360" w:lineRule="auto"/>
            <w:rPr>
              <w:sz w:val="24"/>
              <w:szCs w:val="24"/>
            </w:rPr>
          </w:pPr>
        </w:p>
        <w:p w14:paraId="74AF00A0" w14:textId="3D4D22AC" w:rsidR="00A66C05" w:rsidRDefault="00B61849" w:rsidP="00B61849">
          <w:pPr>
            <w:pStyle w:val="Heading2"/>
          </w:pPr>
          <w:bookmarkStart w:id="7" w:name="_Toc194668466"/>
          <w:r>
            <w:lastRenderedPageBreak/>
            <w:t>d)</w:t>
          </w:r>
          <w:r w:rsidR="00A66C05" w:rsidRPr="00A66C05">
            <w:t>. Critique of Traditional Budgeting in a Changing Business Environment</w:t>
          </w:r>
          <w:bookmarkEnd w:id="7"/>
        </w:p>
        <w:p w14:paraId="496E52BF" w14:textId="77777777" w:rsidR="005C47E7" w:rsidRPr="005C47E7" w:rsidRDefault="005C47E7" w:rsidP="005C47E7"/>
        <w:p w14:paraId="78B7E844" w14:textId="77777777" w:rsidR="00A66C05" w:rsidRPr="00A66C05" w:rsidRDefault="00A66C05" w:rsidP="00A66C05">
          <w:pPr>
            <w:spacing w:line="360" w:lineRule="auto"/>
            <w:rPr>
              <w:sz w:val="24"/>
              <w:szCs w:val="24"/>
            </w:rPr>
          </w:pPr>
          <w:r w:rsidRPr="00A66C05">
            <w:rPr>
              <w:sz w:val="24"/>
              <w:szCs w:val="24"/>
            </w:rPr>
            <w:t>Traditional budgeting practices have long been a cornerstone of financial control. Typically structured around annual planning cycles and based on incremental changes from previous years, traditional budgeting offers a sense of stability and predictability. However, in rapidly changing and uncertain business environments such as the retail fashion sector, these characteristics can quickly become liabilities (Hope and Fraser, 2003).</w:t>
          </w:r>
        </w:p>
        <w:p w14:paraId="42567981" w14:textId="1F19F906" w:rsidR="00A66C05" w:rsidRPr="00A66C05" w:rsidRDefault="00700A3A" w:rsidP="00A66C05">
          <w:pPr>
            <w:spacing w:line="360" w:lineRule="auto"/>
            <w:rPr>
              <w:b/>
              <w:bCs/>
              <w:sz w:val="24"/>
              <w:szCs w:val="24"/>
            </w:rPr>
          </w:pPr>
          <w:r w:rsidRPr="00A66C05">
            <w:rPr>
              <w:b/>
              <w:bCs/>
              <w:sz w:val="24"/>
              <w:szCs w:val="24"/>
            </w:rPr>
            <w:t>Essential</w:t>
          </w:r>
          <w:r w:rsidR="00A66C05" w:rsidRPr="00A66C05">
            <w:rPr>
              <w:b/>
              <w:bCs/>
              <w:sz w:val="24"/>
              <w:szCs w:val="24"/>
            </w:rPr>
            <w:t xml:space="preserve"> Limitations of Traditional Budgeting</w:t>
          </w:r>
        </w:p>
        <w:p w14:paraId="0A802CFF" w14:textId="77777777" w:rsidR="00A66C05" w:rsidRPr="00A66C05" w:rsidRDefault="00A66C05" w:rsidP="00A66C05">
          <w:pPr>
            <w:numPr>
              <w:ilvl w:val="0"/>
              <w:numId w:val="6"/>
            </w:numPr>
            <w:spacing w:line="360" w:lineRule="auto"/>
            <w:rPr>
              <w:sz w:val="24"/>
              <w:szCs w:val="24"/>
            </w:rPr>
          </w:pPr>
          <w:r w:rsidRPr="00A66C05">
            <w:rPr>
              <w:b/>
              <w:bCs/>
              <w:sz w:val="24"/>
              <w:szCs w:val="24"/>
            </w:rPr>
            <w:t>Lack of Responsiveness</w:t>
          </w:r>
          <w:r w:rsidRPr="00A66C05">
            <w:rPr>
              <w:sz w:val="24"/>
              <w:szCs w:val="24"/>
            </w:rPr>
            <w:t>: Traditional budgets are fixed for the financial year, limiting an organisation’s ability to respond to changes in the external environment. In a retail context, where seasonal trends and consumer behaviour shift rapidly, this rigidity can result in missed opportunities or overstretched resources (Neely et al., 2003).</w:t>
          </w:r>
        </w:p>
        <w:p w14:paraId="724AF206" w14:textId="77777777" w:rsidR="00A66C05" w:rsidRPr="00A66C05" w:rsidRDefault="00A66C05" w:rsidP="00A66C05">
          <w:pPr>
            <w:numPr>
              <w:ilvl w:val="0"/>
              <w:numId w:val="6"/>
            </w:numPr>
            <w:spacing w:line="360" w:lineRule="auto"/>
            <w:rPr>
              <w:sz w:val="24"/>
              <w:szCs w:val="24"/>
            </w:rPr>
          </w:pPr>
          <w:r w:rsidRPr="00A66C05">
            <w:rPr>
              <w:b/>
              <w:bCs/>
              <w:sz w:val="24"/>
              <w:szCs w:val="24"/>
            </w:rPr>
            <w:t>Encouragement of Short-Term Focus</w:t>
          </w:r>
          <w:r w:rsidRPr="00A66C05">
            <w:rPr>
              <w:sz w:val="24"/>
              <w:szCs w:val="24"/>
            </w:rPr>
            <w:t>: Because budgets often serve as performance benchmarks, managers may be incentivised to focus on short-term cost-cutting to meet targets, potentially at the expense of long-term strategic investments (Merchant and Van der Stede, 2017).</w:t>
          </w:r>
        </w:p>
        <w:p w14:paraId="4033C3A5" w14:textId="77777777" w:rsidR="00A66C05" w:rsidRPr="00A66C05" w:rsidRDefault="00A66C05" w:rsidP="00A66C05">
          <w:pPr>
            <w:numPr>
              <w:ilvl w:val="0"/>
              <w:numId w:val="6"/>
            </w:numPr>
            <w:spacing w:line="360" w:lineRule="auto"/>
            <w:rPr>
              <w:sz w:val="24"/>
              <w:szCs w:val="24"/>
            </w:rPr>
          </w:pPr>
          <w:r w:rsidRPr="00A66C05">
            <w:rPr>
              <w:b/>
              <w:bCs/>
              <w:sz w:val="24"/>
              <w:szCs w:val="24"/>
            </w:rPr>
            <w:t>Bureaucratic and Time-Consuming</w:t>
          </w:r>
          <w:r w:rsidRPr="00A66C05">
            <w:rPr>
              <w:sz w:val="24"/>
              <w:szCs w:val="24"/>
            </w:rPr>
            <w:t>: Preparing an annual budget can be an extensive process involving multiple departments, reviews, and iterations. This often leads to a focus on process over outcome, and the budget may be obsolete by the time it is finalised (Libby and Lindsay, 2010).</w:t>
          </w:r>
        </w:p>
        <w:p w14:paraId="1CE56756" w14:textId="77777777" w:rsidR="00A66C05" w:rsidRPr="00A66C05" w:rsidRDefault="00A66C05" w:rsidP="00A66C05">
          <w:pPr>
            <w:numPr>
              <w:ilvl w:val="0"/>
              <w:numId w:val="6"/>
            </w:numPr>
            <w:spacing w:line="360" w:lineRule="auto"/>
            <w:rPr>
              <w:sz w:val="24"/>
              <w:szCs w:val="24"/>
            </w:rPr>
          </w:pPr>
          <w:r w:rsidRPr="00A66C05">
            <w:rPr>
              <w:b/>
              <w:bCs/>
              <w:sz w:val="24"/>
              <w:szCs w:val="24"/>
            </w:rPr>
            <w:t>Budgetary Slack and Gaming</w:t>
          </w:r>
          <w:r w:rsidRPr="00A66C05">
            <w:rPr>
              <w:sz w:val="24"/>
              <w:szCs w:val="24"/>
            </w:rPr>
            <w:t>: Traditional budgeting is prone to manipulative behaviours such as budget padding and resource hoarding, which undermine transparency and reduce efficiency (Anthony and Govindarajan, 2007).</w:t>
          </w:r>
        </w:p>
        <w:p w14:paraId="27BA1247" w14:textId="77777777" w:rsidR="00A66C05" w:rsidRPr="00A66C05" w:rsidRDefault="00A66C05" w:rsidP="00A66C05">
          <w:pPr>
            <w:numPr>
              <w:ilvl w:val="0"/>
              <w:numId w:val="6"/>
            </w:numPr>
            <w:spacing w:line="360" w:lineRule="auto"/>
            <w:rPr>
              <w:sz w:val="24"/>
              <w:szCs w:val="24"/>
            </w:rPr>
          </w:pPr>
          <w:r w:rsidRPr="00A66C05">
            <w:rPr>
              <w:b/>
              <w:bCs/>
              <w:sz w:val="24"/>
              <w:szCs w:val="24"/>
            </w:rPr>
            <w:t>Disconnection from Strategy</w:t>
          </w:r>
          <w:r w:rsidRPr="00A66C05">
            <w:rPr>
              <w:sz w:val="24"/>
              <w:szCs w:val="24"/>
            </w:rPr>
            <w:t>: In many cases, departmental budgets are developed independently of broader business strategy, resulting in misaligned resource allocation (Otley, 1999).</w:t>
          </w:r>
        </w:p>
        <w:p w14:paraId="285C04F0" w14:textId="77777777" w:rsidR="00A66C05" w:rsidRPr="00A66C05" w:rsidRDefault="00A66C05" w:rsidP="00A66C05">
          <w:pPr>
            <w:spacing w:line="360" w:lineRule="auto"/>
            <w:rPr>
              <w:b/>
              <w:bCs/>
              <w:sz w:val="24"/>
              <w:szCs w:val="24"/>
            </w:rPr>
          </w:pPr>
          <w:r w:rsidRPr="00A66C05">
            <w:rPr>
              <w:b/>
              <w:bCs/>
              <w:sz w:val="24"/>
              <w:szCs w:val="24"/>
            </w:rPr>
            <w:t>Modern Alternatives to Traditional Budgeting</w:t>
          </w:r>
        </w:p>
        <w:p w14:paraId="6D36282D" w14:textId="77777777" w:rsidR="00A66C05" w:rsidRPr="00A66C05" w:rsidRDefault="00A66C05" w:rsidP="00A66C05">
          <w:pPr>
            <w:numPr>
              <w:ilvl w:val="0"/>
              <w:numId w:val="7"/>
            </w:numPr>
            <w:spacing w:line="360" w:lineRule="auto"/>
            <w:rPr>
              <w:sz w:val="24"/>
              <w:szCs w:val="24"/>
            </w:rPr>
          </w:pPr>
          <w:r w:rsidRPr="00A66C05">
            <w:rPr>
              <w:b/>
              <w:bCs/>
              <w:sz w:val="24"/>
              <w:szCs w:val="24"/>
            </w:rPr>
            <w:lastRenderedPageBreak/>
            <w:t>Rolling Forecasts</w:t>
          </w:r>
          <w:r w:rsidRPr="00A66C05">
            <w:rPr>
              <w:sz w:val="24"/>
              <w:szCs w:val="24"/>
            </w:rPr>
            <w:t>: Updated regularly (e.g., monthly or quarterly), rolling forecasts replace static annual budgets with dynamic tools that reflect real-time performance. This allows organisations to respond quickly to emerging opportunities or risks (</w:t>
          </w:r>
          <w:proofErr w:type="spellStart"/>
          <w:r w:rsidRPr="00A66C05">
            <w:rPr>
              <w:sz w:val="24"/>
              <w:szCs w:val="24"/>
            </w:rPr>
            <w:t>Bogsnes</w:t>
          </w:r>
          <w:proofErr w:type="spellEnd"/>
          <w:r w:rsidRPr="00A66C05">
            <w:rPr>
              <w:sz w:val="24"/>
              <w:szCs w:val="24"/>
            </w:rPr>
            <w:t>, 2016).</w:t>
          </w:r>
        </w:p>
        <w:p w14:paraId="51B04101" w14:textId="77777777" w:rsidR="00A66C05" w:rsidRPr="00A66C05" w:rsidRDefault="00A66C05" w:rsidP="00A66C05">
          <w:pPr>
            <w:numPr>
              <w:ilvl w:val="0"/>
              <w:numId w:val="7"/>
            </w:numPr>
            <w:spacing w:line="360" w:lineRule="auto"/>
            <w:rPr>
              <w:sz w:val="24"/>
              <w:szCs w:val="24"/>
            </w:rPr>
          </w:pPr>
          <w:r w:rsidRPr="00A66C05">
            <w:rPr>
              <w:b/>
              <w:bCs/>
              <w:sz w:val="24"/>
              <w:szCs w:val="24"/>
            </w:rPr>
            <w:t>Zero-Based Budgeting (ZBB)</w:t>
          </w:r>
          <w:r w:rsidRPr="00A66C05">
            <w:rPr>
              <w:sz w:val="24"/>
              <w:szCs w:val="24"/>
            </w:rPr>
            <w:t>: Rather than using historical figures, ZBB requires justification for all expenditures. This promotes cost discipline and aligns spending with strategic priorities but can be resource-intensive (Chartered Accountants ANZ, 2021).</w:t>
          </w:r>
        </w:p>
        <w:p w14:paraId="71BAAA89" w14:textId="77777777" w:rsidR="00A66C05" w:rsidRPr="00A66C05" w:rsidRDefault="00A66C05" w:rsidP="00A66C05">
          <w:pPr>
            <w:numPr>
              <w:ilvl w:val="0"/>
              <w:numId w:val="7"/>
            </w:numPr>
            <w:spacing w:line="360" w:lineRule="auto"/>
            <w:rPr>
              <w:sz w:val="24"/>
              <w:szCs w:val="24"/>
            </w:rPr>
          </w:pPr>
          <w:r w:rsidRPr="00A66C05">
            <w:rPr>
              <w:b/>
              <w:bCs/>
              <w:sz w:val="24"/>
              <w:szCs w:val="24"/>
            </w:rPr>
            <w:t>Activity-Based Budgeting (ABB)</w:t>
          </w:r>
          <w:r w:rsidRPr="00A66C05">
            <w:rPr>
              <w:sz w:val="24"/>
              <w:szCs w:val="24"/>
            </w:rPr>
            <w:t>: ABB links resource allocation to key activities that drive value, offering a more accurate view of cost behaviour and operational efficiency (Kaplan and Cooper, 1998).</w:t>
          </w:r>
        </w:p>
        <w:p w14:paraId="212D4E8B" w14:textId="77777777" w:rsidR="00A66C05" w:rsidRPr="00A66C05" w:rsidRDefault="00A66C05" w:rsidP="00A66C05">
          <w:pPr>
            <w:numPr>
              <w:ilvl w:val="0"/>
              <w:numId w:val="7"/>
            </w:numPr>
            <w:spacing w:line="360" w:lineRule="auto"/>
            <w:rPr>
              <w:sz w:val="24"/>
              <w:szCs w:val="24"/>
            </w:rPr>
          </w:pPr>
          <w:r w:rsidRPr="00A66C05">
            <w:rPr>
              <w:b/>
              <w:bCs/>
              <w:sz w:val="24"/>
              <w:szCs w:val="24"/>
            </w:rPr>
            <w:t>Beyond Budgeting</w:t>
          </w:r>
          <w:r w:rsidRPr="00A66C05">
            <w:rPr>
              <w:sz w:val="24"/>
              <w:szCs w:val="24"/>
            </w:rPr>
            <w:t>: This model advocates for abandoning traditional budgets in favour of adaptive management systems that promote decentralisation, continuous planning, and performance benchmarking based on relative rather than fixed targets (Hope and Fraser, 2003).</w:t>
          </w:r>
        </w:p>
        <w:p w14:paraId="622AFF3D" w14:textId="77777777" w:rsidR="00A66C05" w:rsidRPr="00A66C05" w:rsidRDefault="00A66C05" w:rsidP="00A66C05">
          <w:pPr>
            <w:spacing w:line="360" w:lineRule="auto"/>
            <w:rPr>
              <w:b/>
              <w:bCs/>
              <w:sz w:val="24"/>
              <w:szCs w:val="24"/>
            </w:rPr>
          </w:pPr>
          <w:r w:rsidRPr="00A66C05">
            <w:rPr>
              <w:b/>
              <w:bCs/>
              <w:sz w:val="24"/>
              <w:szCs w:val="24"/>
            </w:rPr>
            <w:t>Suitability of Alternatives for Blue Thread Ltd</w:t>
          </w:r>
        </w:p>
        <w:p w14:paraId="268EB1B6" w14:textId="77777777" w:rsidR="00A66C05" w:rsidRPr="00A66C05" w:rsidRDefault="00A66C05" w:rsidP="00A66C05">
          <w:pPr>
            <w:spacing w:line="360" w:lineRule="auto"/>
            <w:rPr>
              <w:sz w:val="24"/>
              <w:szCs w:val="24"/>
            </w:rPr>
          </w:pPr>
          <w:r w:rsidRPr="00A66C05">
            <w:rPr>
              <w:sz w:val="24"/>
              <w:szCs w:val="24"/>
            </w:rPr>
            <w:t xml:space="preserve">Given Blue Thread </w:t>
          </w:r>
          <w:proofErr w:type="spellStart"/>
          <w:r w:rsidRPr="00A66C05">
            <w:rPr>
              <w:sz w:val="24"/>
              <w:szCs w:val="24"/>
            </w:rPr>
            <w:t>Ltd’s</w:t>
          </w:r>
          <w:proofErr w:type="spellEnd"/>
          <w:r w:rsidRPr="00A66C05">
            <w:rPr>
              <w:sz w:val="24"/>
              <w:szCs w:val="24"/>
            </w:rPr>
            <w:t xml:space="preserve"> context—retail sector volatility, cash flow challenges, and a relatively small organisational structure—a hybrid approach may be most effective. For instance, rolling forecasts could replace static budgets, enabling the finance team to adapt quickly to sales fluctuations. ABB could improve understanding of the cost drivers behind stock procurement, store refurbishment, and marketing campaigns.</w:t>
          </w:r>
        </w:p>
        <w:p w14:paraId="4B4451D5" w14:textId="77777777" w:rsidR="00A66C05" w:rsidRPr="00A66C05" w:rsidRDefault="00A66C05" w:rsidP="00A66C05">
          <w:pPr>
            <w:spacing w:line="360" w:lineRule="auto"/>
            <w:rPr>
              <w:sz w:val="24"/>
              <w:szCs w:val="24"/>
            </w:rPr>
          </w:pPr>
          <w:r w:rsidRPr="00A66C05">
            <w:rPr>
              <w:sz w:val="24"/>
              <w:szCs w:val="24"/>
            </w:rPr>
            <w:t>Beyond Budgeting, while appealing in theory, may be difficult to implement in a smaller organisation without a major cultural transformation. ZBB, although potentially beneficial for cost control, may overburden management unless supported by integrated systems and automation (Hope, 2022).</w:t>
          </w:r>
        </w:p>
        <w:p w14:paraId="17383DD2" w14:textId="77777777" w:rsidR="00A66C05" w:rsidRPr="00A66C05" w:rsidRDefault="00A66C05" w:rsidP="00A66C05">
          <w:pPr>
            <w:spacing w:line="360" w:lineRule="auto"/>
            <w:rPr>
              <w:sz w:val="24"/>
              <w:szCs w:val="24"/>
            </w:rPr>
          </w:pPr>
          <w:r w:rsidRPr="00A66C05">
            <w:rPr>
              <w:sz w:val="24"/>
              <w:szCs w:val="24"/>
            </w:rPr>
            <w:t xml:space="preserve">There is no one-size-fits-all solution. The choice of budgeting approach must reflect the company’s strategic goals, operational complexity, and capacity for change. However, it is increasingly evident that traditional budgets alone are insufficient in volatile markets. As </w:t>
          </w:r>
          <w:r w:rsidRPr="00A66C05">
            <w:rPr>
              <w:sz w:val="24"/>
              <w:szCs w:val="24"/>
            </w:rPr>
            <w:lastRenderedPageBreak/>
            <w:t>such, Blue Thread Ltd would benefit from adopting a flexible budgeting system that balances control with agility.</w:t>
          </w:r>
        </w:p>
        <w:p w14:paraId="63A85AFB" w14:textId="77777777" w:rsidR="00A66C05" w:rsidRPr="00A66C05" w:rsidRDefault="00A66C05" w:rsidP="00A66C05">
          <w:pPr>
            <w:spacing w:line="360" w:lineRule="auto"/>
            <w:rPr>
              <w:sz w:val="24"/>
              <w:szCs w:val="24"/>
            </w:rPr>
          </w:pPr>
          <w:r w:rsidRPr="00A66C05">
            <w:rPr>
              <w:sz w:val="24"/>
              <w:szCs w:val="24"/>
            </w:rPr>
            <w:t>The emphasis should be on embedding continuous learning, feedback, and responsiveness into the budgeting cycle. Doing so would empower decision-makers, reduce inefficiencies, and better align resource allocation with the company’s growth objectives.</w:t>
          </w:r>
        </w:p>
        <w:p w14:paraId="6B21C12D" w14:textId="77777777" w:rsidR="00D16AAC" w:rsidRDefault="00D16AAC" w:rsidP="00AA2A91">
          <w:pPr>
            <w:pStyle w:val="Heading1"/>
          </w:pPr>
        </w:p>
        <w:p w14:paraId="5C67928C" w14:textId="195BA04F" w:rsidR="00AA2A91" w:rsidRPr="00263FFC" w:rsidRDefault="00AA2A91" w:rsidP="00AA2A91">
          <w:pPr>
            <w:pStyle w:val="Heading1"/>
          </w:pPr>
          <w:bookmarkStart w:id="8" w:name="_Toc194668467"/>
          <w:r w:rsidRPr="00263FFC">
            <w:t>Conclusion</w:t>
          </w:r>
          <w:bookmarkEnd w:id="8"/>
          <w:r w:rsidR="00D854A5" w:rsidRPr="00263FFC">
            <w:t xml:space="preserve"> </w:t>
          </w:r>
        </w:p>
        <w:p w14:paraId="0C6DEB97" w14:textId="77777777" w:rsidR="00AA2A91" w:rsidRPr="00263FFC" w:rsidRDefault="00AA2A91" w:rsidP="00AA2A91"/>
        <w:p w14:paraId="6FF3B474" w14:textId="77777777" w:rsidR="00AA2A91" w:rsidRPr="00263FFC" w:rsidRDefault="00AA2A91" w:rsidP="00AA2A91"/>
        <w:p w14:paraId="463C1E39" w14:textId="77777777" w:rsidR="00B964A2" w:rsidRDefault="00B964A2" w:rsidP="00B964A2">
          <w:pPr>
            <w:spacing w:line="360" w:lineRule="auto"/>
            <w:rPr>
              <w:sz w:val="24"/>
              <w:szCs w:val="24"/>
            </w:rPr>
          </w:pPr>
          <w:r w:rsidRPr="00B964A2">
            <w:rPr>
              <w:sz w:val="24"/>
              <w:szCs w:val="24"/>
            </w:rPr>
            <w:t>Through the perspective of budgeting, this report provided a thorough analysis of Blue Thread Ltd.'s financial management procedures. Despite a strong gross profit margin and consistent sales, the company is having significant liquidity issues, according to the analysis of the stock, cash flow, and profit and loss budgets. Rigid loan repayment plans, misplaced capital expenditures, and overstocking are all associated with these problems. Financial inefficiencies are also made worse by structural and behavioural problems in the company's budgeting process.</w:t>
          </w:r>
        </w:p>
        <w:p w14:paraId="44111E08" w14:textId="77777777" w:rsidR="007932F8" w:rsidRDefault="007932F8" w:rsidP="007932F8">
          <w:pPr>
            <w:spacing w:line="360" w:lineRule="auto"/>
            <w:rPr>
              <w:sz w:val="24"/>
              <w:szCs w:val="24"/>
            </w:rPr>
          </w:pPr>
          <w:r w:rsidRPr="007932F8">
            <w:rPr>
              <w:sz w:val="24"/>
              <w:szCs w:val="24"/>
            </w:rPr>
            <w:t xml:space="preserve">Although historically helpful for control and forecasting, it was brought to light how traditional budgeting tools are becoming more and more incompatible with dynamic business environments. On the other hand, contemporary methods like activity-based budgeting, zero-based budgeting, and rolling forecasts provide adaptable, flexible, and strategically aligned solutions. However, organisational ability, cultural readiness, and the requirement for behavioural change must all be </w:t>
          </w:r>
          <w:proofErr w:type="gramStart"/>
          <w:r w:rsidRPr="007932F8">
            <w:rPr>
              <w:sz w:val="24"/>
              <w:szCs w:val="24"/>
            </w:rPr>
            <w:t>taken into account</w:t>
          </w:r>
          <w:proofErr w:type="gramEnd"/>
          <w:r w:rsidRPr="007932F8">
            <w:rPr>
              <w:sz w:val="24"/>
              <w:szCs w:val="24"/>
            </w:rPr>
            <w:t xml:space="preserve"> when putting such systems into place.</w:t>
          </w:r>
        </w:p>
        <w:p w14:paraId="170968F1" w14:textId="77777777" w:rsidR="008563EB" w:rsidRDefault="00850560" w:rsidP="00781C59">
          <w:pPr>
            <w:spacing w:line="360" w:lineRule="auto"/>
            <w:rPr>
              <w:sz w:val="24"/>
              <w:szCs w:val="24"/>
            </w:rPr>
          </w:pPr>
          <w:r w:rsidRPr="00850560">
            <w:rPr>
              <w:sz w:val="24"/>
              <w:szCs w:val="24"/>
            </w:rPr>
            <w:t xml:space="preserve">A supportive infrastructure that includes precise data, interdepartmental communication, managerial dedication, and employee involvement is necessary for successful budgeting. To make sure the budgeting system promotes performance rather than reduces it, behavioural elements like aligned goals, resistance to change, and perceived fairness must also be actively controlled. </w:t>
          </w:r>
          <w:r w:rsidRPr="00850560">
            <w:rPr>
              <w:sz w:val="24"/>
              <w:szCs w:val="24"/>
            </w:rPr>
            <w:br/>
            <w:t xml:space="preserve">The report recommends that Blue Thread Ltd. use a hybrid budgeting strategy </w:t>
          </w:r>
          <w:proofErr w:type="gramStart"/>
          <w:r w:rsidRPr="00850560">
            <w:rPr>
              <w:sz w:val="24"/>
              <w:szCs w:val="24"/>
            </w:rPr>
            <w:t>in light of</w:t>
          </w:r>
          <w:proofErr w:type="gramEnd"/>
          <w:r w:rsidRPr="00850560">
            <w:rPr>
              <w:sz w:val="24"/>
              <w:szCs w:val="24"/>
            </w:rPr>
            <w:t xml:space="preserve"> </w:t>
          </w:r>
          <w:r w:rsidRPr="00850560">
            <w:rPr>
              <w:sz w:val="24"/>
              <w:szCs w:val="24"/>
            </w:rPr>
            <w:lastRenderedPageBreak/>
            <w:t xml:space="preserve">these findings. This would incorporate flexible, interactive, and strategically informed aspects while maintaining the familiarity and structure of traditional methods. </w:t>
          </w:r>
          <w:r w:rsidR="00781C59" w:rsidRPr="00781C59">
            <w:rPr>
              <w:sz w:val="24"/>
              <w:szCs w:val="24"/>
            </w:rPr>
            <w:t>To increase responsiveness, the business should specifically:</w:t>
          </w:r>
        </w:p>
        <w:p w14:paraId="7C7AC70C" w14:textId="728FF07A" w:rsidR="00781C59" w:rsidRDefault="00781C59" w:rsidP="00781C59">
          <w:pPr>
            <w:spacing w:line="360" w:lineRule="auto"/>
            <w:rPr>
              <w:sz w:val="24"/>
              <w:szCs w:val="24"/>
            </w:rPr>
          </w:pPr>
          <w:r w:rsidRPr="00781C59">
            <w:rPr>
              <w:sz w:val="24"/>
              <w:szCs w:val="24"/>
            </w:rPr>
            <w:t xml:space="preserve"> • Switch from static annual budgeting to rolling forecasts. </w:t>
          </w:r>
          <w:r w:rsidRPr="00781C59">
            <w:rPr>
              <w:sz w:val="24"/>
              <w:szCs w:val="24"/>
            </w:rPr>
            <w:br/>
            <w:t xml:space="preserve">• Use JIT inventory techniques to enhance cash flow and free up working capital. </w:t>
          </w:r>
          <w:r w:rsidRPr="00781C59">
            <w:rPr>
              <w:sz w:val="24"/>
              <w:szCs w:val="24"/>
            </w:rPr>
            <w:br/>
            <w:t xml:space="preserve">• Capital expenditures should be phased in accordance with project priorities and cash flow forecasts. </w:t>
          </w:r>
          <w:r w:rsidRPr="00781C59">
            <w:rPr>
              <w:sz w:val="24"/>
              <w:szCs w:val="24"/>
            </w:rPr>
            <w:br/>
            <w:t xml:space="preserve">• To increase commitment and accuracy, include staff members in budget preparation. </w:t>
          </w:r>
          <w:r w:rsidRPr="00781C59">
            <w:rPr>
              <w:sz w:val="24"/>
              <w:szCs w:val="24"/>
            </w:rPr>
            <w:br/>
            <w:t>• To support modern budgeting tools, look at training and system enhancements.</w:t>
          </w:r>
        </w:p>
        <w:p w14:paraId="0B2A4331" w14:textId="03F302B7" w:rsidR="009B034D" w:rsidRPr="009B034D" w:rsidRDefault="009B034D" w:rsidP="009B034D">
          <w:pPr>
            <w:spacing w:line="360" w:lineRule="auto"/>
            <w:rPr>
              <w:sz w:val="24"/>
              <w:szCs w:val="24"/>
            </w:rPr>
          </w:pPr>
          <w:r w:rsidRPr="009B034D">
            <w:rPr>
              <w:sz w:val="24"/>
              <w:szCs w:val="24"/>
            </w:rPr>
            <w:t xml:space="preserve">By addressing both financial and behavioural challenges, Blue Thread Ltd can improve its financial stability, eliminate its overdraft, and build a budgeting system that supports sustainable growth in a rapidly </w:t>
          </w:r>
          <w:r w:rsidR="00C30EBF" w:rsidRPr="009B034D">
            <w:rPr>
              <w:sz w:val="24"/>
              <w:szCs w:val="24"/>
            </w:rPr>
            <w:t>growing</w:t>
          </w:r>
          <w:r w:rsidRPr="009B034D">
            <w:rPr>
              <w:sz w:val="24"/>
              <w:szCs w:val="24"/>
            </w:rPr>
            <w:t xml:space="preserve"> retail </w:t>
          </w:r>
          <w:r w:rsidR="00C30EBF">
            <w:rPr>
              <w:sz w:val="24"/>
              <w:szCs w:val="24"/>
            </w:rPr>
            <w:t xml:space="preserve">business </w:t>
          </w:r>
          <w:r>
            <w:rPr>
              <w:sz w:val="24"/>
              <w:szCs w:val="24"/>
            </w:rPr>
            <w:t>environment</w:t>
          </w:r>
          <w:r w:rsidRPr="009B034D">
            <w:rPr>
              <w:sz w:val="24"/>
              <w:szCs w:val="24"/>
            </w:rPr>
            <w:t>.</w:t>
          </w:r>
        </w:p>
        <w:p w14:paraId="3C4EA509" w14:textId="77777777" w:rsidR="009B034D" w:rsidRPr="00781C59" w:rsidRDefault="009B034D" w:rsidP="00781C59">
          <w:pPr>
            <w:spacing w:line="360" w:lineRule="auto"/>
            <w:rPr>
              <w:sz w:val="24"/>
              <w:szCs w:val="24"/>
            </w:rPr>
          </w:pPr>
        </w:p>
        <w:p w14:paraId="52137AD4" w14:textId="0D331CE3" w:rsidR="00850560" w:rsidRPr="00850560" w:rsidRDefault="00850560" w:rsidP="00850560">
          <w:pPr>
            <w:spacing w:line="360" w:lineRule="auto"/>
            <w:rPr>
              <w:sz w:val="24"/>
              <w:szCs w:val="24"/>
            </w:rPr>
          </w:pPr>
        </w:p>
        <w:p w14:paraId="429B0A7B" w14:textId="77777777" w:rsidR="00850560" w:rsidRPr="007932F8" w:rsidRDefault="00850560" w:rsidP="007932F8">
          <w:pPr>
            <w:spacing w:line="360" w:lineRule="auto"/>
            <w:rPr>
              <w:sz w:val="24"/>
              <w:szCs w:val="24"/>
            </w:rPr>
          </w:pPr>
        </w:p>
        <w:p w14:paraId="7246D263" w14:textId="77777777" w:rsidR="00AA2A91" w:rsidRPr="00263FFC" w:rsidRDefault="00AA2A91" w:rsidP="00AA2A91"/>
        <w:p w14:paraId="617B5053" w14:textId="77777777" w:rsidR="00AA2A91" w:rsidRDefault="00AA2A91" w:rsidP="00AA2A91"/>
        <w:p w14:paraId="1386BB10" w14:textId="77777777" w:rsidR="008A5FB9" w:rsidRDefault="008A5FB9" w:rsidP="00AA2A91"/>
        <w:p w14:paraId="0212EEAD" w14:textId="77777777" w:rsidR="008A5FB9" w:rsidRDefault="008A5FB9" w:rsidP="00AA2A91"/>
        <w:p w14:paraId="13BA9C74" w14:textId="77777777" w:rsidR="008A5FB9" w:rsidRDefault="008A5FB9" w:rsidP="00AA2A91"/>
        <w:p w14:paraId="2373A95D" w14:textId="77777777" w:rsidR="008A5FB9" w:rsidRDefault="008A5FB9" w:rsidP="00AA2A91"/>
        <w:p w14:paraId="7B064BED" w14:textId="77777777" w:rsidR="008A5FB9" w:rsidRDefault="008A5FB9" w:rsidP="00AA2A91"/>
        <w:p w14:paraId="295888A9" w14:textId="77777777" w:rsidR="008A5FB9" w:rsidRDefault="008A5FB9" w:rsidP="00AA2A91"/>
        <w:p w14:paraId="7F5054C0" w14:textId="77777777" w:rsidR="008A5FB9" w:rsidRDefault="008A5FB9" w:rsidP="00AA2A91"/>
        <w:p w14:paraId="6A52D907" w14:textId="77777777" w:rsidR="008A5FB9" w:rsidRDefault="008A5FB9" w:rsidP="00AA2A91"/>
        <w:p w14:paraId="7677A043" w14:textId="77777777" w:rsidR="008A5FB9" w:rsidRDefault="008A5FB9" w:rsidP="00AA2A91"/>
        <w:p w14:paraId="63065608" w14:textId="77777777" w:rsidR="008A5FB9" w:rsidRDefault="008A5FB9" w:rsidP="00AA2A91"/>
        <w:p w14:paraId="09E40104" w14:textId="77777777" w:rsidR="008A5FB9" w:rsidRPr="00263FFC" w:rsidRDefault="008A5FB9" w:rsidP="00AA2A91"/>
        <w:p w14:paraId="7202FDFC" w14:textId="77777777" w:rsidR="00AA2A91" w:rsidRDefault="00AA2A91" w:rsidP="00AA2A91">
          <w:pPr>
            <w:pStyle w:val="Heading1"/>
          </w:pPr>
          <w:bookmarkStart w:id="9" w:name="_Toc194668468"/>
          <w:r w:rsidRPr="00263FFC">
            <w:lastRenderedPageBreak/>
            <w:t>Bibliography</w:t>
          </w:r>
          <w:bookmarkEnd w:id="9"/>
        </w:p>
        <w:p w14:paraId="343B0412" w14:textId="77777777" w:rsidR="001E19F7" w:rsidRDefault="001E19F7" w:rsidP="001E19F7"/>
        <w:p w14:paraId="24970652" w14:textId="77777777" w:rsidR="008F0E29" w:rsidRPr="00BC4BCF" w:rsidRDefault="008F0E29" w:rsidP="00622403">
          <w:pPr>
            <w:pStyle w:val="ListParagraph"/>
            <w:numPr>
              <w:ilvl w:val="0"/>
              <w:numId w:val="2"/>
            </w:numPr>
          </w:pPr>
          <w:r w:rsidRPr="00BC4BCF">
            <w:t xml:space="preserve">ACCA (2021) </w:t>
          </w:r>
          <w:r w:rsidRPr="00622403">
            <w:rPr>
              <w:i/>
              <w:iCs/>
            </w:rPr>
            <w:t>Managing cash flow in a crisis</w:t>
          </w:r>
          <w:r w:rsidRPr="00BC4BCF">
            <w:t xml:space="preserve">. Association of Chartered Certified Accountants. Available at: </w:t>
          </w:r>
          <w:hyperlink r:id="rId9" w:history="1">
            <w:r w:rsidRPr="002D7B3E">
              <w:rPr>
                <w:rStyle w:val="Hyperlink"/>
              </w:rPr>
              <w:t>https://www.accaglobal.com</w:t>
            </w:r>
          </w:hyperlink>
          <w:r>
            <w:t xml:space="preserve"> </w:t>
          </w:r>
          <w:r w:rsidRPr="00BC4BCF">
            <w:t xml:space="preserve">(Accessed: </w:t>
          </w:r>
          <w:r>
            <w:t>30</w:t>
          </w:r>
          <w:r w:rsidRPr="00BC4BCF">
            <w:t xml:space="preserve"> </w:t>
          </w:r>
          <w:r>
            <w:t>March</w:t>
          </w:r>
          <w:r w:rsidRPr="00BC4BCF">
            <w:t xml:space="preserve"> 2025).</w:t>
          </w:r>
        </w:p>
        <w:p w14:paraId="50DA4E7B" w14:textId="77777777" w:rsidR="008F0E29" w:rsidRPr="00BC4BCF" w:rsidRDefault="008F0E29" w:rsidP="00BC4BCF">
          <w:pPr>
            <w:numPr>
              <w:ilvl w:val="0"/>
              <w:numId w:val="2"/>
            </w:numPr>
          </w:pPr>
          <w:r w:rsidRPr="00BC4BCF">
            <w:t xml:space="preserve">Anthony, R.N. and Govindarajan, V. (2007) </w:t>
          </w:r>
          <w:r w:rsidRPr="00BC4BCF">
            <w:rPr>
              <w:i/>
              <w:iCs/>
            </w:rPr>
            <w:t>Management Control Systems</w:t>
          </w:r>
          <w:r w:rsidRPr="00BC4BCF">
            <w:t xml:space="preserve">. 12th </w:t>
          </w:r>
          <w:proofErr w:type="spellStart"/>
          <w:r w:rsidRPr="00BC4BCF">
            <w:t>edn</w:t>
          </w:r>
          <w:proofErr w:type="spellEnd"/>
          <w:r w:rsidRPr="00BC4BCF">
            <w:t>. New York: McGraw-Hill.</w:t>
          </w:r>
        </w:p>
        <w:p w14:paraId="741421E0" w14:textId="77777777" w:rsidR="008F0E29" w:rsidRPr="00BC4BCF" w:rsidRDefault="008F0E29" w:rsidP="00BC4BCF">
          <w:pPr>
            <w:numPr>
              <w:ilvl w:val="0"/>
              <w:numId w:val="2"/>
            </w:numPr>
          </w:pPr>
          <w:proofErr w:type="spellStart"/>
          <w:r w:rsidRPr="00BC4BCF">
            <w:t>Atrill</w:t>
          </w:r>
          <w:proofErr w:type="spellEnd"/>
          <w:r w:rsidRPr="00BC4BCF">
            <w:t xml:space="preserve">, P. and McLaney, E. (2022) </w:t>
          </w:r>
          <w:r w:rsidRPr="00BC4BCF">
            <w:rPr>
              <w:i/>
              <w:iCs/>
            </w:rPr>
            <w:t>Accounting and Finance for Non-Specialists</w:t>
          </w:r>
          <w:r w:rsidRPr="00BC4BCF">
            <w:t xml:space="preserve">. 12th </w:t>
          </w:r>
          <w:proofErr w:type="spellStart"/>
          <w:r w:rsidRPr="00BC4BCF">
            <w:t>edn</w:t>
          </w:r>
          <w:proofErr w:type="spellEnd"/>
          <w:r w:rsidRPr="00BC4BCF">
            <w:t>. Harlow: Pearson Education.</w:t>
          </w:r>
        </w:p>
        <w:p w14:paraId="4364733B" w14:textId="77777777" w:rsidR="008F0E29" w:rsidRPr="00BC4BCF" w:rsidRDefault="008F0E29" w:rsidP="00BC4BCF">
          <w:pPr>
            <w:numPr>
              <w:ilvl w:val="0"/>
              <w:numId w:val="2"/>
            </w:numPr>
          </w:pPr>
          <w:r w:rsidRPr="00BC4BCF">
            <w:t xml:space="preserve">Bhimani, A., Horngren, C.T., Datar, S.M. and Rajan, M. (2019) </w:t>
          </w:r>
          <w:r w:rsidRPr="00BC4BCF">
            <w:rPr>
              <w:i/>
              <w:iCs/>
            </w:rPr>
            <w:t>Management and Cost Accounting</w:t>
          </w:r>
          <w:r w:rsidRPr="00BC4BCF">
            <w:t xml:space="preserve">. 7th </w:t>
          </w:r>
          <w:proofErr w:type="spellStart"/>
          <w:r w:rsidRPr="00BC4BCF">
            <w:t>edn</w:t>
          </w:r>
          <w:proofErr w:type="spellEnd"/>
          <w:r w:rsidRPr="00BC4BCF">
            <w:t>. Harlow: Pearson Education.</w:t>
          </w:r>
        </w:p>
        <w:p w14:paraId="7FA564CA" w14:textId="77777777" w:rsidR="008F0E29" w:rsidRPr="00BC4BCF" w:rsidRDefault="008F0E29" w:rsidP="00BC4BCF">
          <w:pPr>
            <w:numPr>
              <w:ilvl w:val="0"/>
              <w:numId w:val="2"/>
            </w:numPr>
          </w:pPr>
          <w:proofErr w:type="spellStart"/>
          <w:r w:rsidRPr="00BC4BCF">
            <w:t>Bogsnes</w:t>
          </w:r>
          <w:proofErr w:type="spellEnd"/>
          <w:r w:rsidRPr="00BC4BCF">
            <w:t xml:space="preserve">, B. (2016) </w:t>
          </w:r>
          <w:r w:rsidRPr="00BC4BCF">
            <w:rPr>
              <w:i/>
              <w:iCs/>
            </w:rPr>
            <w:t>Implementing Beyond Budgeting: Unlocking the Performance Potential</w:t>
          </w:r>
          <w:r w:rsidRPr="00BC4BCF">
            <w:t xml:space="preserve">. 2nd </w:t>
          </w:r>
          <w:proofErr w:type="spellStart"/>
          <w:r w:rsidRPr="00BC4BCF">
            <w:t>edn</w:t>
          </w:r>
          <w:proofErr w:type="spellEnd"/>
          <w:r w:rsidRPr="00BC4BCF">
            <w:t>. Hoboken: Wiley.</w:t>
          </w:r>
        </w:p>
        <w:p w14:paraId="071888BB" w14:textId="77777777" w:rsidR="008F0E29" w:rsidRPr="00BC4BCF" w:rsidRDefault="008F0E29" w:rsidP="00BC4BCF">
          <w:pPr>
            <w:numPr>
              <w:ilvl w:val="0"/>
              <w:numId w:val="2"/>
            </w:numPr>
          </w:pPr>
          <w:r w:rsidRPr="00BC4BCF">
            <w:t xml:space="preserve">Chartered Accountants Australia and New Zealand (2021) </w:t>
          </w:r>
          <w:r w:rsidRPr="00BC4BCF">
            <w:rPr>
              <w:i/>
              <w:iCs/>
            </w:rPr>
            <w:t>Zero-Based Budgeting: A Strategic Tool for Cost Management</w:t>
          </w:r>
          <w:r w:rsidRPr="00BC4BCF">
            <w:t xml:space="preserve">. Available at: </w:t>
          </w:r>
          <w:hyperlink r:id="rId10" w:history="1">
            <w:r w:rsidRPr="00BC4BCF">
              <w:rPr>
                <w:rStyle w:val="Hyperlink"/>
              </w:rPr>
              <w:t>https://www.charteredaccountantsanz.com</w:t>
            </w:r>
          </w:hyperlink>
          <w:r>
            <w:t xml:space="preserve"> </w:t>
          </w:r>
          <w:r w:rsidRPr="00BC4BCF">
            <w:t xml:space="preserve">(Accessed: </w:t>
          </w:r>
          <w:r>
            <w:t>1</w:t>
          </w:r>
          <w:r w:rsidRPr="00BC4BCF">
            <w:t xml:space="preserve"> April 2025).</w:t>
          </w:r>
        </w:p>
        <w:p w14:paraId="53421E69" w14:textId="77777777" w:rsidR="008F0E29" w:rsidRPr="00BC4BCF" w:rsidRDefault="008F0E29" w:rsidP="00BC4BCF">
          <w:pPr>
            <w:numPr>
              <w:ilvl w:val="0"/>
              <w:numId w:val="2"/>
            </w:numPr>
          </w:pPr>
          <w:r w:rsidRPr="00BC4BCF">
            <w:t xml:space="preserve">Chartered Institute of Management Accountants (CIMA) (2017) </w:t>
          </w:r>
          <w:r w:rsidRPr="00BC4BCF">
            <w:rPr>
              <w:i/>
              <w:iCs/>
            </w:rPr>
            <w:t>Budgeting and Forecasting Guidelines</w:t>
          </w:r>
          <w:r w:rsidRPr="00BC4BCF">
            <w:t>. London: CIMA.</w:t>
          </w:r>
        </w:p>
        <w:p w14:paraId="2A958FFE" w14:textId="77777777" w:rsidR="008F0E29" w:rsidRPr="00BC4BCF" w:rsidRDefault="008F0E29" w:rsidP="00BC4BCF">
          <w:pPr>
            <w:numPr>
              <w:ilvl w:val="0"/>
              <w:numId w:val="2"/>
            </w:numPr>
          </w:pPr>
          <w:r w:rsidRPr="00BC4BCF">
            <w:t xml:space="preserve">Chartered Institute of Procurement &amp; Supply (CIPS) (2020) </w:t>
          </w:r>
          <w:r w:rsidRPr="00BC4BCF">
            <w:rPr>
              <w:i/>
              <w:iCs/>
            </w:rPr>
            <w:t>Effective Supplier Relationship Management</w:t>
          </w:r>
          <w:r w:rsidRPr="00BC4BCF">
            <w:t xml:space="preserve">. Available at: </w:t>
          </w:r>
          <w:hyperlink r:id="rId11" w:history="1">
            <w:r w:rsidRPr="00BC4BCF">
              <w:rPr>
                <w:rStyle w:val="Hyperlink"/>
              </w:rPr>
              <w:t>https://www.cips.org</w:t>
            </w:r>
          </w:hyperlink>
          <w:r>
            <w:t xml:space="preserve"> </w:t>
          </w:r>
          <w:r w:rsidRPr="00BC4BCF">
            <w:t>(Accessed: 3 April 2025).</w:t>
          </w:r>
        </w:p>
        <w:p w14:paraId="46C1C1B0" w14:textId="77777777" w:rsidR="008F0E29" w:rsidRPr="00BC4BCF" w:rsidRDefault="008F0E29" w:rsidP="00BC4BCF">
          <w:pPr>
            <w:numPr>
              <w:ilvl w:val="0"/>
              <w:numId w:val="2"/>
            </w:numPr>
          </w:pPr>
          <w:r w:rsidRPr="00BC4BCF">
            <w:t xml:space="preserve">Chartered Institute of Public Finance and Accountancy (CIPFA) (2021) </w:t>
          </w:r>
          <w:r w:rsidRPr="00BC4BCF">
            <w:rPr>
              <w:i/>
              <w:iCs/>
            </w:rPr>
            <w:t>Strategic Budgeting in Local Government</w:t>
          </w:r>
          <w:r w:rsidRPr="00BC4BCF">
            <w:t>. London: CIPFA.</w:t>
          </w:r>
        </w:p>
        <w:p w14:paraId="1230628B" w14:textId="77777777" w:rsidR="008F0E29" w:rsidRPr="00BC4BCF" w:rsidRDefault="008F0E29" w:rsidP="00BC4BCF">
          <w:pPr>
            <w:numPr>
              <w:ilvl w:val="0"/>
              <w:numId w:val="2"/>
            </w:numPr>
          </w:pPr>
          <w:r w:rsidRPr="00BC4BCF">
            <w:t xml:space="preserve">Deloitte (2022) </w:t>
          </w:r>
          <w:r w:rsidRPr="00BC4BCF">
            <w:rPr>
              <w:i/>
              <w:iCs/>
            </w:rPr>
            <w:t>Rolling Forecasts: Reimagining Planning and Budgeting</w:t>
          </w:r>
          <w:r w:rsidRPr="00BC4BCF">
            <w:t xml:space="preserve">. Available at: </w:t>
          </w:r>
          <w:hyperlink r:id="rId12" w:history="1">
            <w:r w:rsidRPr="00BC4BCF">
              <w:rPr>
                <w:rStyle w:val="Hyperlink"/>
              </w:rPr>
              <w:t>https://www2.deloitte.com</w:t>
            </w:r>
          </w:hyperlink>
          <w:r>
            <w:t xml:space="preserve"> </w:t>
          </w:r>
          <w:r w:rsidRPr="00BC4BCF">
            <w:t xml:space="preserve">(Accessed: </w:t>
          </w:r>
          <w:r>
            <w:t>1</w:t>
          </w:r>
          <w:r w:rsidRPr="00BC4BCF">
            <w:t xml:space="preserve"> April 2025).</w:t>
          </w:r>
        </w:p>
        <w:p w14:paraId="65412DA9" w14:textId="77777777" w:rsidR="008F0E29" w:rsidRPr="00095260" w:rsidRDefault="008F0E29" w:rsidP="00095260">
          <w:pPr>
            <w:numPr>
              <w:ilvl w:val="0"/>
              <w:numId w:val="2"/>
            </w:numPr>
          </w:pPr>
          <w:r w:rsidRPr="00095260">
            <w:t xml:space="preserve">Doran, G.T. (1981) ‘There’s a S.M.A.R.T. way to write management’s goals and objectives’, </w:t>
          </w:r>
          <w:r w:rsidRPr="00095260">
            <w:rPr>
              <w:i/>
              <w:iCs/>
            </w:rPr>
            <w:t>Management Review</w:t>
          </w:r>
          <w:r w:rsidRPr="00095260">
            <w:t>, 70(11), pp. 35–36.</w:t>
          </w:r>
        </w:p>
        <w:p w14:paraId="10818AF5" w14:textId="77777777" w:rsidR="008F0E29" w:rsidRPr="00BC4BCF" w:rsidRDefault="008F0E29" w:rsidP="00BC4BCF">
          <w:pPr>
            <w:numPr>
              <w:ilvl w:val="0"/>
              <w:numId w:val="2"/>
            </w:numPr>
          </w:pPr>
          <w:r w:rsidRPr="00BC4BCF">
            <w:t xml:space="preserve">Drury, C. (2018) </w:t>
          </w:r>
          <w:r w:rsidRPr="00BC4BCF">
            <w:rPr>
              <w:i/>
              <w:iCs/>
            </w:rPr>
            <w:t>Management and Cost Accounting</w:t>
          </w:r>
          <w:r w:rsidRPr="00BC4BCF">
            <w:t xml:space="preserve">. 10th </w:t>
          </w:r>
          <w:proofErr w:type="spellStart"/>
          <w:r w:rsidRPr="00BC4BCF">
            <w:t>edn</w:t>
          </w:r>
          <w:proofErr w:type="spellEnd"/>
          <w:r w:rsidRPr="00BC4BCF">
            <w:t>. Andover: Cengage Learning.</w:t>
          </w:r>
        </w:p>
        <w:p w14:paraId="54BC9552" w14:textId="77777777" w:rsidR="008F0E29" w:rsidRPr="00BC4BCF" w:rsidRDefault="008F0E29" w:rsidP="00BC4BCF">
          <w:pPr>
            <w:numPr>
              <w:ilvl w:val="0"/>
              <w:numId w:val="2"/>
            </w:numPr>
          </w:pPr>
          <w:r w:rsidRPr="00BC4BCF">
            <w:t xml:space="preserve">Gartner (2022) </w:t>
          </w:r>
          <w:r w:rsidRPr="00BC4BCF">
            <w:rPr>
              <w:i/>
              <w:iCs/>
            </w:rPr>
            <w:t>Strategic Planning and Budgeting for the Digital Age</w:t>
          </w:r>
          <w:r w:rsidRPr="00BC4BCF">
            <w:t xml:space="preserve">. Available at: </w:t>
          </w:r>
          <w:hyperlink r:id="rId13" w:history="1">
            <w:r w:rsidRPr="00BC4BCF">
              <w:rPr>
                <w:rStyle w:val="Hyperlink"/>
              </w:rPr>
              <w:t>https://www.gartner.com</w:t>
            </w:r>
          </w:hyperlink>
          <w:r>
            <w:t xml:space="preserve"> </w:t>
          </w:r>
          <w:r w:rsidRPr="00BC4BCF">
            <w:t>(Accessed: 4 April 2025).</w:t>
          </w:r>
        </w:p>
        <w:p w14:paraId="61B94D18" w14:textId="77777777" w:rsidR="008F0E29" w:rsidRPr="00BC4BCF" w:rsidRDefault="008F0E29" w:rsidP="00BC4BCF">
          <w:pPr>
            <w:numPr>
              <w:ilvl w:val="0"/>
              <w:numId w:val="2"/>
            </w:numPr>
          </w:pPr>
          <w:r w:rsidRPr="00BC4BCF">
            <w:t xml:space="preserve">Government Finance Function (2022) </w:t>
          </w:r>
          <w:r w:rsidRPr="00BC4BCF">
            <w:rPr>
              <w:i/>
              <w:iCs/>
            </w:rPr>
            <w:t>Guidance on Strategic Financial Management</w:t>
          </w:r>
          <w:r w:rsidRPr="00BC4BCF">
            <w:t>. London: HM Treasury.</w:t>
          </w:r>
        </w:p>
        <w:p w14:paraId="1CCF778C" w14:textId="77777777" w:rsidR="008F0E29" w:rsidRDefault="008F0E29" w:rsidP="00BC4BCF">
          <w:pPr>
            <w:numPr>
              <w:ilvl w:val="0"/>
              <w:numId w:val="2"/>
            </w:numPr>
          </w:pPr>
          <w:r w:rsidRPr="00583187">
            <w:t xml:space="preserve">Hansen, S.C., Otley, D.T. and Van der Stede, W.A. (2003) ‘Practice developments in budgeting: An overview and research perspective’, </w:t>
          </w:r>
          <w:r w:rsidRPr="00583187">
            <w:rPr>
              <w:i/>
              <w:iCs/>
            </w:rPr>
            <w:t>Journal of Management Accounting Research</w:t>
          </w:r>
          <w:r w:rsidRPr="00583187">
            <w:t xml:space="preserve">, 15(1), pp. 95–116. Available at: </w:t>
          </w:r>
          <w:hyperlink r:id="rId14" w:tgtFrame="_new" w:history="1">
            <w:r w:rsidRPr="00583187">
              <w:rPr>
                <w:rStyle w:val="Hyperlink"/>
              </w:rPr>
              <w:t>https://doi.org/10.2308/jmar.2003.15.1.9</w:t>
            </w:r>
          </w:hyperlink>
        </w:p>
        <w:p w14:paraId="5E2A09ED" w14:textId="77777777" w:rsidR="008F0E29" w:rsidRPr="00BC4BCF" w:rsidRDefault="008F0E29" w:rsidP="00BC4BCF">
          <w:pPr>
            <w:numPr>
              <w:ilvl w:val="0"/>
              <w:numId w:val="2"/>
            </w:numPr>
          </w:pPr>
          <w:r w:rsidRPr="00BC4BCF">
            <w:t xml:space="preserve">Hope, J. (2022) ‘Beyond budgeting revisited: A modern perspective on flexibility in planning’, </w:t>
          </w:r>
          <w:r w:rsidRPr="00BC4BCF">
            <w:rPr>
              <w:i/>
              <w:iCs/>
            </w:rPr>
            <w:t>Strategic Finance</w:t>
          </w:r>
          <w:r w:rsidRPr="00BC4BCF">
            <w:t>, 104(5), pp. 42–49.</w:t>
          </w:r>
        </w:p>
        <w:p w14:paraId="0DCBC1A9" w14:textId="77777777" w:rsidR="008F0E29" w:rsidRPr="00BC4BCF" w:rsidRDefault="008F0E29" w:rsidP="00BC4BCF">
          <w:pPr>
            <w:numPr>
              <w:ilvl w:val="0"/>
              <w:numId w:val="2"/>
            </w:numPr>
          </w:pPr>
          <w:r w:rsidRPr="00BC4BCF">
            <w:t xml:space="preserve">Hope, J. and Fraser, R. (2003) </w:t>
          </w:r>
          <w:r w:rsidRPr="00BC4BCF">
            <w:rPr>
              <w:i/>
              <w:iCs/>
            </w:rPr>
            <w:t>Beyond Budgeting: How Managers Can Break Free from the Annual Performance Trap</w:t>
          </w:r>
          <w:r w:rsidRPr="00BC4BCF">
            <w:t>. Boston: Harvard Business School Press.</w:t>
          </w:r>
        </w:p>
        <w:p w14:paraId="5CD12DD6" w14:textId="77777777" w:rsidR="008F0E29" w:rsidRPr="00BC4BCF" w:rsidRDefault="008F0E29" w:rsidP="00BC4BCF">
          <w:pPr>
            <w:numPr>
              <w:ilvl w:val="0"/>
              <w:numId w:val="2"/>
            </w:numPr>
          </w:pPr>
          <w:r w:rsidRPr="00BC4BCF">
            <w:lastRenderedPageBreak/>
            <w:t xml:space="preserve">Horngren, C.T., Sundem, G.L., Stratton, W.O., Burgstahler, D. and Schatzberg, J. (2013) </w:t>
          </w:r>
          <w:r w:rsidRPr="00BC4BCF">
            <w:rPr>
              <w:i/>
              <w:iCs/>
            </w:rPr>
            <w:t>Introduction to Management Accounting</w:t>
          </w:r>
          <w:r w:rsidRPr="00BC4BCF">
            <w:t xml:space="preserve">. 16th </w:t>
          </w:r>
          <w:proofErr w:type="spellStart"/>
          <w:r w:rsidRPr="00BC4BCF">
            <w:t>edn</w:t>
          </w:r>
          <w:proofErr w:type="spellEnd"/>
          <w:r w:rsidRPr="00BC4BCF">
            <w:t>. Harlow: Pearson Education.</w:t>
          </w:r>
        </w:p>
        <w:p w14:paraId="5FD8427B" w14:textId="77777777" w:rsidR="008F0E29" w:rsidRPr="00BC4BCF" w:rsidRDefault="008F0E29" w:rsidP="00BC4BCF">
          <w:pPr>
            <w:numPr>
              <w:ilvl w:val="0"/>
              <w:numId w:val="2"/>
            </w:numPr>
          </w:pPr>
          <w:r w:rsidRPr="00BC4BCF">
            <w:t xml:space="preserve">Jackson, A., Sawyers, R. and Jenkins, G. (2013) </w:t>
          </w:r>
          <w:r w:rsidRPr="00BC4BCF">
            <w:rPr>
              <w:i/>
              <w:iCs/>
            </w:rPr>
            <w:t>Managerial Accounting: A Focus on Ethical Decision Making</w:t>
          </w:r>
          <w:r w:rsidRPr="00BC4BCF">
            <w:t xml:space="preserve">. 6th </w:t>
          </w:r>
          <w:proofErr w:type="spellStart"/>
          <w:r w:rsidRPr="00BC4BCF">
            <w:t>edn</w:t>
          </w:r>
          <w:proofErr w:type="spellEnd"/>
          <w:r w:rsidRPr="00BC4BCF">
            <w:t>. Mason: Cengage Learning.</w:t>
          </w:r>
        </w:p>
        <w:p w14:paraId="067B5D6D" w14:textId="77777777" w:rsidR="008F0E29" w:rsidRPr="00BC4BCF" w:rsidRDefault="008F0E29" w:rsidP="00BC4BCF">
          <w:pPr>
            <w:numPr>
              <w:ilvl w:val="0"/>
              <w:numId w:val="2"/>
            </w:numPr>
          </w:pPr>
          <w:r w:rsidRPr="00BC4BCF">
            <w:t xml:space="preserve">Kaplan, R.S. and Cooper, R. (1998) </w:t>
          </w:r>
          <w:r w:rsidRPr="00BC4BCF">
            <w:rPr>
              <w:i/>
              <w:iCs/>
            </w:rPr>
            <w:t>Cost &amp; Effect: Using Integrated Cost Systems to Drive Profitability and Performance</w:t>
          </w:r>
          <w:r w:rsidRPr="00BC4BCF">
            <w:t>. Boston: Harvard Business Press.</w:t>
          </w:r>
        </w:p>
        <w:p w14:paraId="45BBD1EC" w14:textId="77777777" w:rsidR="008F0E29" w:rsidRPr="0002209D" w:rsidRDefault="008F0E29" w:rsidP="0002209D">
          <w:pPr>
            <w:numPr>
              <w:ilvl w:val="0"/>
              <w:numId w:val="2"/>
            </w:numPr>
          </w:pPr>
          <w:r w:rsidRPr="0002209D">
            <w:t xml:space="preserve">Kaplan, R.S. and Norton, D.P. (1996) </w:t>
          </w:r>
          <w:r w:rsidRPr="0002209D">
            <w:rPr>
              <w:i/>
              <w:iCs/>
            </w:rPr>
            <w:t>The Balanced Scorecard: Translating Strategy into Action</w:t>
          </w:r>
          <w:r w:rsidRPr="0002209D">
            <w:t>. Boston: Harvard Business School Press.</w:t>
          </w:r>
        </w:p>
        <w:p w14:paraId="517134D5" w14:textId="77777777" w:rsidR="008F0E29" w:rsidRPr="00BC4BCF" w:rsidRDefault="008F0E29" w:rsidP="00BC4BCF">
          <w:pPr>
            <w:numPr>
              <w:ilvl w:val="0"/>
              <w:numId w:val="2"/>
            </w:numPr>
          </w:pPr>
          <w:r w:rsidRPr="00BC4BCF">
            <w:t xml:space="preserve">KPMG (2021) </w:t>
          </w:r>
          <w:r w:rsidRPr="00BC4BCF">
            <w:rPr>
              <w:i/>
              <w:iCs/>
            </w:rPr>
            <w:t>Managing Working Capital in Uncertain Times</w:t>
          </w:r>
          <w:r w:rsidRPr="00BC4BCF">
            <w:t xml:space="preserve">. Available at: </w:t>
          </w:r>
          <w:hyperlink r:id="rId15" w:history="1">
            <w:r w:rsidRPr="00BC4BCF">
              <w:rPr>
                <w:rStyle w:val="Hyperlink"/>
              </w:rPr>
              <w:t>https://home.kpmg/xx/en/home.html</w:t>
            </w:r>
          </w:hyperlink>
          <w:r>
            <w:t xml:space="preserve"> </w:t>
          </w:r>
          <w:r w:rsidRPr="00BC4BCF">
            <w:t>(Accessed: 4 April 2025).</w:t>
          </w:r>
        </w:p>
        <w:p w14:paraId="7F04B102" w14:textId="77777777" w:rsidR="008F0E29" w:rsidRDefault="008F0E29" w:rsidP="00BC4BCF">
          <w:pPr>
            <w:numPr>
              <w:ilvl w:val="0"/>
              <w:numId w:val="2"/>
            </w:numPr>
          </w:pPr>
          <w:r w:rsidRPr="007637D9">
            <w:t>Libby, T. and Lindsay, R.M.</w:t>
          </w:r>
          <w:r>
            <w:t xml:space="preserve"> </w:t>
          </w:r>
          <w:r w:rsidRPr="007637D9">
            <w:t xml:space="preserve">(2010) ‘Beyond budgeting or budgeting reconsidered? A survey of </w:t>
          </w:r>
          <w:proofErr w:type="gramStart"/>
          <w:r w:rsidRPr="007637D9">
            <w:t>North-American</w:t>
          </w:r>
          <w:proofErr w:type="gramEnd"/>
          <w:r w:rsidRPr="007637D9">
            <w:t xml:space="preserve"> budgeting practice’, </w:t>
          </w:r>
          <w:r w:rsidRPr="007637D9">
            <w:rPr>
              <w:i/>
              <w:iCs/>
            </w:rPr>
            <w:t>Management Accounting Research</w:t>
          </w:r>
          <w:r w:rsidRPr="007637D9">
            <w:t xml:space="preserve">, 21(1), pp. 56–75. Available at: </w:t>
          </w:r>
          <w:hyperlink r:id="rId16" w:tgtFrame="_new" w:history="1">
            <w:r w:rsidRPr="007637D9">
              <w:rPr>
                <w:rStyle w:val="Hyperlink"/>
              </w:rPr>
              <w:t>https://doi.org/10.1016/j.mar.2009.10.003</w:t>
            </w:r>
          </w:hyperlink>
          <w:r w:rsidRPr="007637D9">
            <w:t>.</w:t>
          </w:r>
        </w:p>
        <w:p w14:paraId="72078D90" w14:textId="77777777" w:rsidR="008F0E29" w:rsidRPr="00BC4BCF" w:rsidRDefault="008F0E29" w:rsidP="00BC4BCF">
          <w:pPr>
            <w:numPr>
              <w:ilvl w:val="0"/>
              <w:numId w:val="2"/>
            </w:numPr>
          </w:pPr>
          <w:r w:rsidRPr="00BC4BCF">
            <w:t xml:space="preserve">McKinsey &amp; Company (2023) </w:t>
          </w:r>
          <w:r w:rsidRPr="00BC4BCF">
            <w:rPr>
              <w:i/>
              <w:iCs/>
            </w:rPr>
            <w:t>Building Agile Budgeting Models</w:t>
          </w:r>
          <w:r w:rsidRPr="00BC4BCF">
            <w:t xml:space="preserve">. Available at: </w:t>
          </w:r>
          <w:hyperlink r:id="rId17" w:history="1">
            <w:r w:rsidRPr="00BC4BCF">
              <w:rPr>
                <w:rStyle w:val="Hyperlink"/>
              </w:rPr>
              <w:t>https://www.mckinsey.com</w:t>
            </w:r>
          </w:hyperlink>
          <w:r>
            <w:t xml:space="preserve"> </w:t>
          </w:r>
          <w:r w:rsidRPr="00BC4BCF">
            <w:t>(Accessed: 4 April 2025).</w:t>
          </w:r>
        </w:p>
        <w:p w14:paraId="26CEC6A0" w14:textId="77777777" w:rsidR="008F0E29" w:rsidRDefault="008F0E29" w:rsidP="00BC4BCF">
          <w:pPr>
            <w:numPr>
              <w:ilvl w:val="0"/>
              <w:numId w:val="2"/>
            </w:numPr>
          </w:pPr>
          <w:r w:rsidRPr="00BC4BCF">
            <w:t xml:space="preserve">Merchant, K.A. and Van der Stede, W.A. (2017) </w:t>
          </w:r>
          <w:r w:rsidRPr="00BC4BCF">
            <w:rPr>
              <w:i/>
              <w:iCs/>
            </w:rPr>
            <w:t>Management Control Systems: Performance Measurement, Evaluation and Incentives</w:t>
          </w:r>
          <w:r w:rsidRPr="00BC4BCF">
            <w:t xml:space="preserve">. 4th </w:t>
          </w:r>
          <w:proofErr w:type="spellStart"/>
          <w:r w:rsidRPr="00BC4BCF">
            <w:t>edn</w:t>
          </w:r>
          <w:proofErr w:type="spellEnd"/>
          <w:r w:rsidRPr="00BC4BCF">
            <w:t>. Harlow: Pearson Education.</w:t>
          </w:r>
        </w:p>
        <w:p w14:paraId="441F2F72" w14:textId="77777777" w:rsidR="008F0E29" w:rsidRDefault="008F0E29" w:rsidP="00BC4BCF">
          <w:pPr>
            <w:numPr>
              <w:ilvl w:val="0"/>
              <w:numId w:val="2"/>
            </w:numPr>
          </w:pPr>
          <w:r w:rsidRPr="001A0B16">
            <w:t>Neely, A., Bourne, M. and Adams, C. (2003) ‘Better budgeting or beyond budgeting?’, </w:t>
          </w:r>
          <w:r w:rsidRPr="001A0B16">
            <w:rPr>
              <w:i/>
              <w:iCs/>
            </w:rPr>
            <w:t>Measuring Business Excellence</w:t>
          </w:r>
          <w:r w:rsidRPr="001A0B16">
            <w:t xml:space="preserve">, 7(3), pp. 22–28. Available at: </w:t>
          </w:r>
          <w:hyperlink r:id="rId18" w:history="1">
            <w:r w:rsidRPr="002D7B3E">
              <w:rPr>
                <w:rStyle w:val="Hyperlink"/>
              </w:rPr>
              <w:t>https://doi.org/10.1108/13683040310496471</w:t>
            </w:r>
          </w:hyperlink>
          <w:r>
            <w:t xml:space="preserve"> </w:t>
          </w:r>
          <w:r w:rsidRPr="001A0B16">
            <w:t>.</w:t>
          </w:r>
        </w:p>
        <w:p w14:paraId="7B6BF669" w14:textId="77777777" w:rsidR="008F0E29" w:rsidRPr="00BC4BCF" w:rsidRDefault="008F0E29" w:rsidP="00BC4BCF">
          <w:pPr>
            <w:numPr>
              <w:ilvl w:val="0"/>
              <w:numId w:val="2"/>
            </w:numPr>
          </w:pPr>
          <w:r w:rsidRPr="00BC4BCF">
            <w:t xml:space="preserve">OECD (2019) </w:t>
          </w:r>
          <w:r w:rsidRPr="00BC4BCF">
            <w:rPr>
              <w:i/>
              <w:iCs/>
            </w:rPr>
            <w:t>Budgeting and Public Expenditures in OECD Countries</w:t>
          </w:r>
          <w:r w:rsidRPr="00BC4BCF">
            <w:t>. Paris: OECD Publishing.</w:t>
          </w:r>
        </w:p>
        <w:p w14:paraId="77D91DB7" w14:textId="77777777" w:rsidR="008F0E29" w:rsidRPr="00BC4BCF" w:rsidRDefault="008F0E29" w:rsidP="00BC4BCF">
          <w:pPr>
            <w:numPr>
              <w:ilvl w:val="0"/>
              <w:numId w:val="2"/>
            </w:numPr>
          </w:pPr>
          <w:r w:rsidRPr="00BC4BCF">
            <w:t xml:space="preserve">Otley, D. (1999) ‘Performance management: A framework for management control systems research’, </w:t>
          </w:r>
          <w:r w:rsidRPr="00BC4BCF">
            <w:rPr>
              <w:i/>
              <w:iCs/>
            </w:rPr>
            <w:t>Management Accounting Research</w:t>
          </w:r>
          <w:r w:rsidRPr="00BC4BCF">
            <w:t>, 10(4), pp. 363–382.</w:t>
          </w:r>
        </w:p>
        <w:p w14:paraId="5F55F42F" w14:textId="77777777" w:rsidR="008F0E29" w:rsidRPr="00BC4BCF" w:rsidRDefault="008F0E29" w:rsidP="00BC4BCF">
          <w:pPr>
            <w:numPr>
              <w:ilvl w:val="0"/>
              <w:numId w:val="2"/>
            </w:numPr>
          </w:pPr>
          <w:r w:rsidRPr="00BC4BCF">
            <w:t xml:space="preserve">PwC (2020) </w:t>
          </w:r>
          <w:r w:rsidRPr="00BC4BCF">
            <w:rPr>
              <w:i/>
              <w:iCs/>
            </w:rPr>
            <w:t>Finance Effectiveness Benchmark Report</w:t>
          </w:r>
          <w:r w:rsidRPr="00BC4BCF">
            <w:t xml:space="preserve">. Available at: </w:t>
          </w:r>
          <w:hyperlink r:id="rId19" w:history="1">
            <w:r w:rsidRPr="00BC4BCF">
              <w:rPr>
                <w:rStyle w:val="Hyperlink"/>
              </w:rPr>
              <w:t>https://www.pwc.com</w:t>
            </w:r>
          </w:hyperlink>
          <w:r>
            <w:t xml:space="preserve"> </w:t>
          </w:r>
          <w:r w:rsidRPr="00BC4BCF">
            <w:t>(Accessed: 4 April 2025).</w:t>
          </w:r>
        </w:p>
        <w:p w14:paraId="7F858EE7" w14:textId="77777777" w:rsidR="008F0E29" w:rsidRPr="00BC4BCF" w:rsidRDefault="008F0E29" w:rsidP="00BC4BCF">
          <w:pPr>
            <w:numPr>
              <w:ilvl w:val="0"/>
              <w:numId w:val="2"/>
            </w:numPr>
          </w:pPr>
          <w:r w:rsidRPr="00BC4BCF">
            <w:t xml:space="preserve">Shim, J.K. and Siegel, J.G. (2021) </w:t>
          </w:r>
          <w:r w:rsidRPr="00BC4BCF">
            <w:rPr>
              <w:i/>
              <w:iCs/>
            </w:rPr>
            <w:t>Budgeting Basics and Beyond</w:t>
          </w:r>
          <w:r w:rsidRPr="00BC4BCF">
            <w:t xml:space="preserve">. 6th </w:t>
          </w:r>
          <w:proofErr w:type="spellStart"/>
          <w:r w:rsidRPr="00BC4BCF">
            <w:t>edn</w:t>
          </w:r>
          <w:proofErr w:type="spellEnd"/>
          <w:r w:rsidRPr="00BC4BCF">
            <w:t>. Hoboken: Wiley.</w:t>
          </w:r>
        </w:p>
        <w:p w14:paraId="41C84055" w14:textId="77777777" w:rsidR="008F0E29" w:rsidRPr="00BC4BCF" w:rsidRDefault="008F0E29" w:rsidP="00BC4BCF">
          <w:pPr>
            <w:numPr>
              <w:ilvl w:val="0"/>
              <w:numId w:val="2"/>
            </w:numPr>
          </w:pPr>
          <w:r w:rsidRPr="00BC4BCF">
            <w:t xml:space="preserve">Slack, N., Brandon-Jones, A. and Burgess, N. (2020) </w:t>
          </w:r>
          <w:r w:rsidRPr="00BC4BCF">
            <w:rPr>
              <w:i/>
              <w:iCs/>
            </w:rPr>
            <w:t>Operations Management</w:t>
          </w:r>
          <w:r w:rsidRPr="00BC4BCF">
            <w:t xml:space="preserve">. 10th </w:t>
          </w:r>
          <w:proofErr w:type="spellStart"/>
          <w:r w:rsidRPr="00BC4BCF">
            <w:t>edn</w:t>
          </w:r>
          <w:proofErr w:type="spellEnd"/>
          <w:r w:rsidRPr="00BC4BCF">
            <w:t>. Harlow: Pearson Education.</w:t>
          </w:r>
        </w:p>
        <w:p w14:paraId="3A58E601" w14:textId="77777777" w:rsidR="008F0E29" w:rsidRPr="00BC4BCF" w:rsidRDefault="008F0E29" w:rsidP="00BC4BCF">
          <w:pPr>
            <w:numPr>
              <w:ilvl w:val="0"/>
              <w:numId w:val="2"/>
            </w:numPr>
          </w:pPr>
          <w:r w:rsidRPr="00BC4BCF">
            <w:t xml:space="preserve">The Institute of Chartered Accountants in England and Wales (ICAEW) (2021) </w:t>
          </w:r>
          <w:r w:rsidRPr="00BC4BCF">
            <w:rPr>
              <w:i/>
              <w:iCs/>
            </w:rPr>
            <w:t>Best Practice in Budgeting</w:t>
          </w:r>
          <w:r w:rsidRPr="00BC4BCF">
            <w:t>. London: ICAEW.</w:t>
          </w:r>
        </w:p>
        <w:p w14:paraId="7F7C8821" w14:textId="77777777" w:rsidR="008F0E29" w:rsidRPr="00BC4BCF" w:rsidRDefault="008F0E29" w:rsidP="00BC4BCF">
          <w:pPr>
            <w:numPr>
              <w:ilvl w:val="0"/>
              <w:numId w:val="2"/>
            </w:numPr>
          </w:pPr>
          <w:r w:rsidRPr="00BC4BCF">
            <w:t xml:space="preserve">Walker, D. (2020) ‘The new budgeting reality’, </w:t>
          </w:r>
          <w:r w:rsidRPr="00BC4BCF">
            <w:rPr>
              <w:i/>
              <w:iCs/>
            </w:rPr>
            <w:t>Harvard Business Review</w:t>
          </w:r>
          <w:r w:rsidRPr="00BC4BCF">
            <w:t xml:space="preserve">, July–August. Available at: </w:t>
          </w:r>
          <w:hyperlink r:id="rId20" w:history="1">
            <w:r w:rsidRPr="00BC4BCF">
              <w:rPr>
                <w:rStyle w:val="Hyperlink"/>
              </w:rPr>
              <w:t>https://hbr.org</w:t>
            </w:r>
          </w:hyperlink>
          <w:r>
            <w:t xml:space="preserve"> </w:t>
          </w:r>
          <w:r w:rsidRPr="00BC4BCF">
            <w:t>(Accessed: 2 April 2025).</w:t>
          </w:r>
        </w:p>
        <w:p w14:paraId="677F5D09" w14:textId="77777777" w:rsidR="008F0E29" w:rsidRPr="00BC4BCF" w:rsidRDefault="008F0E29" w:rsidP="00BC4BCF">
          <w:pPr>
            <w:numPr>
              <w:ilvl w:val="0"/>
              <w:numId w:val="2"/>
            </w:numPr>
          </w:pPr>
          <w:r w:rsidRPr="00BC4BCF">
            <w:t xml:space="preserve">World Bank (2020) </w:t>
          </w:r>
          <w:r w:rsidRPr="00BC4BCF">
            <w:rPr>
              <w:i/>
              <w:iCs/>
            </w:rPr>
            <w:t>Public Expenditure and Financial Accountability (PEFA) Framework</w:t>
          </w:r>
          <w:r w:rsidRPr="00BC4BCF">
            <w:t xml:space="preserve">. Available at: </w:t>
          </w:r>
          <w:hyperlink r:id="rId21" w:history="1">
            <w:r w:rsidRPr="00BC4BCF">
              <w:rPr>
                <w:rStyle w:val="Hyperlink"/>
              </w:rPr>
              <w:t>https://www.worldbank.org</w:t>
            </w:r>
          </w:hyperlink>
          <w:r>
            <w:t xml:space="preserve"> </w:t>
          </w:r>
          <w:r w:rsidRPr="00BC4BCF">
            <w:t>(Accessed: 4 April 2025).</w:t>
          </w:r>
        </w:p>
        <w:p w14:paraId="1C2116A3" w14:textId="77777777" w:rsidR="008F0E29" w:rsidRDefault="008F0E29" w:rsidP="00BC4BCF">
          <w:pPr>
            <w:numPr>
              <w:ilvl w:val="0"/>
              <w:numId w:val="2"/>
            </w:numPr>
          </w:pPr>
          <w:r w:rsidRPr="00BC4BCF">
            <w:t xml:space="preserve">Young, S.M. (2003) ‘The balanced scorecard as a management tool for budgetary control’, </w:t>
          </w:r>
          <w:r w:rsidRPr="00BC4BCF">
            <w:rPr>
              <w:i/>
              <w:iCs/>
            </w:rPr>
            <w:t>Public Budgeting &amp; Finance</w:t>
          </w:r>
          <w:r w:rsidRPr="00BC4BCF">
            <w:t>, 23(4), pp. 69–84.</w:t>
          </w:r>
        </w:p>
        <w:p w14:paraId="2447ACFC" w14:textId="77777777" w:rsidR="00F60AEA" w:rsidRDefault="00F60AEA" w:rsidP="008F0E29">
          <w:pPr>
            <w:ind w:left="720"/>
          </w:pPr>
        </w:p>
        <w:p w14:paraId="4E382CD4" w14:textId="77777777" w:rsidR="00EA1BF6" w:rsidRPr="00BC4BCF" w:rsidRDefault="00EA1BF6" w:rsidP="00095260">
          <w:pPr>
            <w:ind w:left="720"/>
          </w:pPr>
        </w:p>
        <w:p w14:paraId="4F64565F" w14:textId="77777777" w:rsidR="001E19F7" w:rsidRPr="001E19F7" w:rsidRDefault="001E19F7" w:rsidP="001E19F7"/>
        <w:p w14:paraId="77D69E6F" w14:textId="77777777" w:rsidR="004A11F6" w:rsidRPr="00263FFC" w:rsidRDefault="004A11F6" w:rsidP="007D1947"/>
        <w:p w14:paraId="7F890C1F" w14:textId="77777777" w:rsidR="00CA09F3" w:rsidRDefault="0009737C"/>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6D37"/>
    <w:multiLevelType w:val="hybridMultilevel"/>
    <w:tmpl w:val="5E7AC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A1F22"/>
    <w:multiLevelType w:val="multilevel"/>
    <w:tmpl w:val="22904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427BAF"/>
    <w:multiLevelType w:val="multilevel"/>
    <w:tmpl w:val="74BCD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2D6C07"/>
    <w:multiLevelType w:val="multilevel"/>
    <w:tmpl w:val="360E3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233E11"/>
    <w:multiLevelType w:val="multilevel"/>
    <w:tmpl w:val="8A765F6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B6508D"/>
    <w:multiLevelType w:val="multilevel"/>
    <w:tmpl w:val="07A23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6"/>
  </w:num>
  <w:num w:numId="2" w16cid:durableId="434517140">
    <w:abstractNumId w:val="4"/>
  </w:num>
  <w:num w:numId="3" w16cid:durableId="321353410">
    <w:abstractNumId w:val="0"/>
  </w:num>
  <w:num w:numId="4" w16cid:durableId="300502835">
    <w:abstractNumId w:val="3"/>
  </w:num>
  <w:num w:numId="5" w16cid:durableId="212011764">
    <w:abstractNumId w:val="1"/>
  </w:num>
  <w:num w:numId="6" w16cid:durableId="1103961201">
    <w:abstractNumId w:val="2"/>
  </w:num>
  <w:num w:numId="7" w16cid:durableId="6975885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09D"/>
    <w:rsid w:val="000224D0"/>
    <w:rsid w:val="000525B5"/>
    <w:rsid w:val="000635AE"/>
    <w:rsid w:val="00084E65"/>
    <w:rsid w:val="00095260"/>
    <w:rsid w:val="0009737C"/>
    <w:rsid w:val="000A176D"/>
    <w:rsid w:val="000B3D71"/>
    <w:rsid w:val="000F115D"/>
    <w:rsid w:val="000F1D8A"/>
    <w:rsid w:val="00100CF0"/>
    <w:rsid w:val="00107936"/>
    <w:rsid w:val="00115B96"/>
    <w:rsid w:val="0013513B"/>
    <w:rsid w:val="00140E53"/>
    <w:rsid w:val="00166C40"/>
    <w:rsid w:val="001A0B16"/>
    <w:rsid w:val="001C692D"/>
    <w:rsid w:val="001C6A53"/>
    <w:rsid w:val="001D4A85"/>
    <w:rsid w:val="001E19F7"/>
    <w:rsid w:val="00237A56"/>
    <w:rsid w:val="00240E69"/>
    <w:rsid w:val="00263FFC"/>
    <w:rsid w:val="002739FC"/>
    <w:rsid w:val="00297A89"/>
    <w:rsid w:val="003037D3"/>
    <w:rsid w:val="00303D0F"/>
    <w:rsid w:val="00316095"/>
    <w:rsid w:val="00324CCD"/>
    <w:rsid w:val="003333FB"/>
    <w:rsid w:val="00341E02"/>
    <w:rsid w:val="003A2D5E"/>
    <w:rsid w:val="003B3253"/>
    <w:rsid w:val="003C5CDE"/>
    <w:rsid w:val="003D16F0"/>
    <w:rsid w:val="003E0452"/>
    <w:rsid w:val="00401126"/>
    <w:rsid w:val="00424B71"/>
    <w:rsid w:val="00441909"/>
    <w:rsid w:val="00480872"/>
    <w:rsid w:val="004A11F6"/>
    <w:rsid w:val="004B2CD4"/>
    <w:rsid w:val="004D519C"/>
    <w:rsid w:val="00500C2F"/>
    <w:rsid w:val="00505714"/>
    <w:rsid w:val="00514108"/>
    <w:rsid w:val="00535E39"/>
    <w:rsid w:val="0054180F"/>
    <w:rsid w:val="0057041A"/>
    <w:rsid w:val="00583187"/>
    <w:rsid w:val="005B089D"/>
    <w:rsid w:val="005C47E7"/>
    <w:rsid w:val="005C72FA"/>
    <w:rsid w:val="006167FB"/>
    <w:rsid w:val="00617C88"/>
    <w:rsid w:val="00622403"/>
    <w:rsid w:val="00660A12"/>
    <w:rsid w:val="00684865"/>
    <w:rsid w:val="006B6FE9"/>
    <w:rsid w:val="006C4955"/>
    <w:rsid w:val="006C7E0C"/>
    <w:rsid w:val="006E6C44"/>
    <w:rsid w:val="006F0936"/>
    <w:rsid w:val="006F2F9A"/>
    <w:rsid w:val="00700A3A"/>
    <w:rsid w:val="007317AD"/>
    <w:rsid w:val="007508DF"/>
    <w:rsid w:val="007637D9"/>
    <w:rsid w:val="00770CBD"/>
    <w:rsid w:val="00781C59"/>
    <w:rsid w:val="007932F8"/>
    <w:rsid w:val="007B51ED"/>
    <w:rsid w:val="007D1947"/>
    <w:rsid w:val="007D2B10"/>
    <w:rsid w:val="007E0914"/>
    <w:rsid w:val="007F659E"/>
    <w:rsid w:val="00850560"/>
    <w:rsid w:val="008563EB"/>
    <w:rsid w:val="00885EBB"/>
    <w:rsid w:val="008A58A8"/>
    <w:rsid w:val="008A5FB9"/>
    <w:rsid w:val="008C2DC5"/>
    <w:rsid w:val="008C6014"/>
    <w:rsid w:val="008E5108"/>
    <w:rsid w:val="008F0009"/>
    <w:rsid w:val="008F0E29"/>
    <w:rsid w:val="008F4B79"/>
    <w:rsid w:val="00904EE7"/>
    <w:rsid w:val="0090677D"/>
    <w:rsid w:val="00931CAA"/>
    <w:rsid w:val="009422C8"/>
    <w:rsid w:val="00996FD9"/>
    <w:rsid w:val="009A4E26"/>
    <w:rsid w:val="009B034D"/>
    <w:rsid w:val="009B672B"/>
    <w:rsid w:val="00A02724"/>
    <w:rsid w:val="00A12B58"/>
    <w:rsid w:val="00A22528"/>
    <w:rsid w:val="00A432D2"/>
    <w:rsid w:val="00A66C05"/>
    <w:rsid w:val="00A6774E"/>
    <w:rsid w:val="00A8206A"/>
    <w:rsid w:val="00AA2A91"/>
    <w:rsid w:val="00AC3BDA"/>
    <w:rsid w:val="00AD686B"/>
    <w:rsid w:val="00B1002F"/>
    <w:rsid w:val="00B43089"/>
    <w:rsid w:val="00B61849"/>
    <w:rsid w:val="00B964A2"/>
    <w:rsid w:val="00BC16E3"/>
    <w:rsid w:val="00BC4BCF"/>
    <w:rsid w:val="00BF15E5"/>
    <w:rsid w:val="00BF3680"/>
    <w:rsid w:val="00BF7700"/>
    <w:rsid w:val="00C231D9"/>
    <w:rsid w:val="00C30EBF"/>
    <w:rsid w:val="00C56D33"/>
    <w:rsid w:val="00C7184B"/>
    <w:rsid w:val="00C83539"/>
    <w:rsid w:val="00C84910"/>
    <w:rsid w:val="00CA09F3"/>
    <w:rsid w:val="00CA7766"/>
    <w:rsid w:val="00CD0C30"/>
    <w:rsid w:val="00CD70A4"/>
    <w:rsid w:val="00CE4FF7"/>
    <w:rsid w:val="00D16AAC"/>
    <w:rsid w:val="00D53D22"/>
    <w:rsid w:val="00D61CBD"/>
    <w:rsid w:val="00D71D5B"/>
    <w:rsid w:val="00D81641"/>
    <w:rsid w:val="00D853AD"/>
    <w:rsid w:val="00D854A5"/>
    <w:rsid w:val="00DE0CEF"/>
    <w:rsid w:val="00DE31F9"/>
    <w:rsid w:val="00E029C2"/>
    <w:rsid w:val="00E03A6B"/>
    <w:rsid w:val="00E25119"/>
    <w:rsid w:val="00E65C33"/>
    <w:rsid w:val="00EA1BF6"/>
    <w:rsid w:val="00EA2EF8"/>
    <w:rsid w:val="00EA37E3"/>
    <w:rsid w:val="00EC0FD6"/>
    <w:rsid w:val="00EC4E5D"/>
    <w:rsid w:val="00F20881"/>
    <w:rsid w:val="00F41162"/>
    <w:rsid w:val="00F554DA"/>
    <w:rsid w:val="00F60AEA"/>
    <w:rsid w:val="00F87E01"/>
    <w:rsid w:val="00F976C9"/>
    <w:rsid w:val="00FE30E6"/>
    <w:rsid w:val="00FE4876"/>
    <w:rsid w:val="00FF3B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styleId="UnresolvedMention">
    <w:name w:val="Unresolved Mention"/>
    <w:basedOn w:val="DefaultParagraphFont"/>
    <w:uiPriority w:val="99"/>
    <w:semiHidden/>
    <w:unhideWhenUsed/>
    <w:rsid w:val="00617C88"/>
    <w:rPr>
      <w:color w:val="605E5C"/>
      <w:shd w:val="clear" w:color="auto" w:fill="E1DFDD"/>
    </w:rPr>
  </w:style>
  <w:style w:type="character" w:styleId="FollowedHyperlink">
    <w:name w:val="FollowedHyperlink"/>
    <w:basedOn w:val="DefaultParagraphFont"/>
    <w:uiPriority w:val="99"/>
    <w:semiHidden/>
    <w:unhideWhenUsed/>
    <w:rsid w:val="00C83539"/>
    <w:rPr>
      <w:color w:val="954F72" w:themeColor="followedHyperlink"/>
      <w:u w:val="single"/>
    </w:rPr>
  </w:style>
  <w:style w:type="paragraph" w:styleId="NormalWeb">
    <w:name w:val="Normal (Web)"/>
    <w:basedOn w:val="Normal"/>
    <w:uiPriority w:val="99"/>
    <w:semiHidden/>
    <w:unhideWhenUsed/>
    <w:rsid w:val="001D4A8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97279">
      <w:bodyDiv w:val="1"/>
      <w:marLeft w:val="0"/>
      <w:marRight w:val="0"/>
      <w:marTop w:val="0"/>
      <w:marBottom w:val="0"/>
      <w:divBdr>
        <w:top w:val="none" w:sz="0" w:space="0" w:color="auto"/>
        <w:left w:val="none" w:sz="0" w:space="0" w:color="auto"/>
        <w:bottom w:val="none" w:sz="0" w:space="0" w:color="auto"/>
        <w:right w:val="none" w:sz="0" w:space="0" w:color="auto"/>
      </w:divBdr>
    </w:div>
    <w:div w:id="116654266">
      <w:bodyDiv w:val="1"/>
      <w:marLeft w:val="0"/>
      <w:marRight w:val="0"/>
      <w:marTop w:val="0"/>
      <w:marBottom w:val="0"/>
      <w:divBdr>
        <w:top w:val="none" w:sz="0" w:space="0" w:color="auto"/>
        <w:left w:val="none" w:sz="0" w:space="0" w:color="auto"/>
        <w:bottom w:val="none" w:sz="0" w:space="0" w:color="auto"/>
        <w:right w:val="none" w:sz="0" w:space="0" w:color="auto"/>
      </w:divBdr>
    </w:div>
    <w:div w:id="123885570">
      <w:bodyDiv w:val="1"/>
      <w:marLeft w:val="0"/>
      <w:marRight w:val="0"/>
      <w:marTop w:val="0"/>
      <w:marBottom w:val="0"/>
      <w:divBdr>
        <w:top w:val="none" w:sz="0" w:space="0" w:color="auto"/>
        <w:left w:val="none" w:sz="0" w:space="0" w:color="auto"/>
        <w:bottom w:val="none" w:sz="0" w:space="0" w:color="auto"/>
        <w:right w:val="none" w:sz="0" w:space="0" w:color="auto"/>
      </w:divBdr>
    </w:div>
    <w:div w:id="284431046">
      <w:bodyDiv w:val="1"/>
      <w:marLeft w:val="0"/>
      <w:marRight w:val="0"/>
      <w:marTop w:val="0"/>
      <w:marBottom w:val="0"/>
      <w:divBdr>
        <w:top w:val="none" w:sz="0" w:space="0" w:color="auto"/>
        <w:left w:val="none" w:sz="0" w:space="0" w:color="auto"/>
        <w:bottom w:val="none" w:sz="0" w:space="0" w:color="auto"/>
        <w:right w:val="none" w:sz="0" w:space="0" w:color="auto"/>
      </w:divBdr>
    </w:div>
    <w:div w:id="359939649">
      <w:bodyDiv w:val="1"/>
      <w:marLeft w:val="0"/>
      <w:marRight w:val="0"/>
      <w:marTop w:val="0"/>
      <w:marBottom w:val="0"/>
      <w:divBdr>
        <w:top w:val="none" w:sz="0" w:space="0" w:color="auto"/>
        <w:left w:val="none" w:sz="0" w:space="0" w:color="auto"/>
        <w:bottom w:val="none" w:sz="0" w:space="0" w:color="auto"/>
        <w:right w:val="none" w:sz="0" w:space="0" w:color="auto"/>
      </w:divBdr>
    </w:div>
    <w:div w:id="666593283">
      <w:bodyDiv w:val="1"/>
      <w:marLeft w:val="0"/>
      <w:marRight w:val="0"/>
      <w:marTop w:val="0"/>
      <w:marBottom w:val="0"/>
      <w:divBdr>
        <w:top w:val="none" w:sz="0" w:space="0" w:color="auto"/>
        <w:left w:val="none" w:sz="0" w:space="0" w:color="auto"/>
        <w:bottom w:val="none" w:sz="0" w:space="0" w:color="auto"/>
        <w:right w:val="none" w:sz="0" w:space="0" w:color="auto"/>
      </w:divBdr>
    </w:div>
    <w:div w:id="788164008">
      <w:bodyDiv w:val="1"/>
      <w:marLeft w:val="0"/>
      <w:marRight w:val="0"/>
      <w:marTop w:val="0"/>
      <w:marBottom w:val="0"/>
      <w:divBdr>
        <w:top w:val="none" w:sz="0" w:space="0" w:color="auto"/>
        <w:left w:val="none" w:sz="0" w:space="0" w:color="auto"/>
        <w:bottom w:val="none" w:sz="0" w:space="0" w:color="auto"/>
        <w:right w:val="none" w:sz="0" w:space="0" w:color="auto"/>
      </w:divBdr>
    </w:div>
    <w:div w:id="867371583">
      <w:bodyDiv w:val="1"/>
      <w:marLeft w:val="0"/>
      <w:marRight w:val="0"/>
      <w:marTop w:val="0"/>
      <w:marBottom w:val="0"/>
      <w:divBdr>
        <w:top w:val="none" w:sz="0" w:space="0" w:color="auto"/>
        <w:left w:val="none" w:sz="0" w:space="0" w:color="auto"/>
        <w:bottom w:val="none" w:sz="0" w:space="0" w:color="auto"/>
        <w:right w:val="none" w:sz="0" w:space="0" w:color="auto"/>
      </w:divBdr>
    </w:div>
    <w:div w:id="903954135">
      <w:bodyDiv w:val="1"/>
      <w:marLeft w:val="0"/>
      <w:marRight w:val="0"/>
      <w:marTop w:val="0"/>
      <w:marBottom w:val="0"/>
      <w:divBdr>
        <w:top w:val="none" w:sz="0" w:space="0" w:color="auto"/>
        <w:left w:val="none" w:sz="0" w:space="0" w:color="auto"/>
        <w:bottom w:val="none" w:sz="0" w:space="0" w:color="auto"/>
        <w:right w:val="none" w:sz="0" w:space="0" w:color="auto"/>
      </w:divBdr>
    </w:div>
    <w:div w:id="1040595306">
      <w:bodyDiv w:val="1"/>
      <w:marLeft w:val="0"/>
      <w:marRight w:val="0"/>
      <w:marTop w:val="0"/>
      <w:marBottom w:val="0"/>
      <w:divBdr>
        <w:top w:val="none" w:sz="0" w:space="0" w:color="auto"/>
        <w:left w:val="none" w:sz="0" w:space="0" w:color="auto"/>
        <w:bottom w:val="none" w:sz="0" w:space="0" w:color="auto"/>
        <w:right w:val="none" w:sz="0" w:space="0" w:color="auto"/>
      </w:divBdr>
    </w:div>
    <w:div w:id="1148207980">
      <w:bodyDiv w:val="1"/>
      <w:marLeft w:val="0"/>
      <w:marRight w:val="0"/>
      <w:marTop w:val="0"/>
      <w:marBottom w:val="0"/>
      <w:divBdr>
        <w:top w:val="none" w:sz="0" w:space="0" w:color="auto"/>
        <w:left w:val="none" w:sz="0" w:space="0" w:color="auto"/>
        <w:bottom w:val="none" w:sz="0" w:space="0" w:color="auto"/>
        <w:right w:val="none" w:sz="0" w:space="0" w:color="auto"/>
      </w:divBdr>
    </w:div>
    <w:div w:id="1185821181">
      <w:bodyDiv w:val="1"/>
      <w:marLeft w:val="0"/>
      <w:marRight w:val="0"/>
      <w:marTop w:val="0"/>
      <w:marBottom w:val="0"/>
      <w:divBdr>
        <w:top w:val="none" w:sz="0" w:space="0" w:color="auto"/>
        <w:left w:val="none" w:sz="0" w:space="0" w:color="auto"/>
        <w:bottom w:val="none" w:sz="0" w:space="0" w:color="auto"/>
        <w:right w:val="none" w:sz="0" w:space="0" w:color="auto"/>
      </w:divBdr>
    </w:div>
    <w:div w:id="1276474529">
      <w:bodyDiv w:val="1"/>
      <w:marLeft w:val="0"/>
      <w:marRight w:val="0"/>
      <w:marTop w:val="0"/>
      <w:marBottom w:val="0"/>
      <w:divBdr>
        <w:top w:val="none" w:sz="0" w:space="0" w:color="auto"/>
        <w:left w:val="none" w:sz="0" w:space="0" w:color="auto"/>
        <w:bottom w:val="none" w:sz="0" w:space="0" w:color="auto"/>
        <w:right w:val="none" w:sz="0" w:space="0" w:color="auto"/>
      </w:divBdr>
    </w:div>
    <w:div w:id="1317952705">
      <w:bodyDiv w:val="1"/>
      <w:marLeft w:val="0"/>
      <w:marRight w:val="0"/>
      <w:marTop w:val="0"/>
      <w:marBottom w:val="0"/>
      <w:divBdr>
        <w:top w:val="none" w:sz="0" w:space="0" w:color="auto"/>
        <w:left w:val="none" w:sz="0" w:space="0" w:color="auto"/>
        <w:bottom w:val="none" w:sz="0" w:space="0" w:color="auto"/>
        <w:right w:val="none" w:sz="0" w:space="0" w:color="auto"/>
      </w:divBdr>
    </w:div>
    <w:div w:id="1318798270">
      <w:bodyDiv w:val="1"/>
      <w:marLeft w:val="0"/>
      <w:marRight w:val="0"/>
      <w:marTop w:val="0"/>
      <w:marBottom w:val="0"/>
      <w:divBdr>
        <w:top w:val="none" w:sz="0" w:space="0" w:color="auto"/>
        <w:left w:val="none" w:sz="0" w:space="0" w:color="auto"/>
        <w:bottom w:val="none" w:sz="0" w:space="0" w:color="auto"/>
        <w:right w:val="none" w:sz="0" w:space="0" w:color="auto"/>
      </w:divBdr>
    </w:div>
    <w:div w:id="1365861183">
      <w:bodyDiv w:val="1"/>
      <w:marLeft w:val="0"/>
      <w:marRight w:val="0"/>
      <w:marTop w:val="0"/>
      <w:marBottom w:val="0"/>
      <w:divBdr>
        <w:top w:val="none" w:sz="0" w:space="0" w:color="auto"/>
        <w:left w:val="none" w:sz="0" w:space="0" w:color="auto"/>
        <w:bottom w:val="none" w:sz="0" w:space="0" w:color="auto"/>
        <w:right w:val="none" w:sz="0" w:space="0" w:color="auto"/>
      </w:divBdr>
    </w:div>
    <w:div w:id="1558125780">
      <w:bodyDiv w:val="1"/>
      <w:marLeft w:val="0"/>
      <w:marRight w:val="0"/>
      <w:marTop w:val="0"/>
      <w:marBottom w:val="0"/>
      <w:divBdr>
        <w:top w:val="none" w:sz="0" w:space="0" w:color="auto"/>
        <w:left w:val="none" w:sz="0" w:space="0" w:color="auto"/>
        <w:bottom w:val="none" w:sz="0" w:space="0" w:color="auto"/>
        <w:right w:val="none" w:sz="0" w:space="0" w:color="auto"/>
      </w:divBdr>
    </w:div>
    <w:div w:id="1616520458">
      <w:bodyDiv w:val="1"/>
      <w:marLeft w:val="0"/>
      <w:marRight w:val="0"/>
      <w:marTop w:val="0"/>
      <w:marBottom w:val="0"/>
      <w:divBdr>
        <w:top w:val="none" w:sz="0" w:space="0" w:color="auto"/>
        <w:left w:val="none" w:sz="0" w:space="0" w:color="auto"/>
        <w:bottom w:val="none" w:sz="0" w:space="0" w:color="auto"/>
        <w:right w:val="none" w:sz="0" w:space="0" w:color="auto"/>
      </w:divBdr>
    </w:div>
    <w:div w:id="1705400818">
      <w:bodyDiv w:val="1"/>
      <w:marLeft w:val="0"/>
      <w:marRight w:val="0"/>
      <w:marTop w:val="0"/>
      <w:marBottom w:val="0"/>
      <w:divBdr>
        <w:top w:val="none" w:sz="0" w:space="0" w:color="auto"/>
        <w:left w:val="none" w:sz="0" w:space="0" w:color="auto"/>
        <w:bottom w:val="none" w:sz="0" w:space="0" w:color="auto"/>
        <w:right w:val="none" w:sz="0" w:space="0" w:color="auto"/>
      </w:divBdr>
    </w:div>
    <w:div w:id="1706443724">
      <w:bodyDiv w:val="1"/>
      <w:marLeft w:val="0"/>
      <w:marRight w:val="0"/>
      <w:marTop w:val="0"/>
      <w:marBottom w:val="0"/>
      <w:divBdr>
        <w:top w:val="none" w:sz="0" w:space="0" w:color="auto"/>
        <w:left w:val="none" w:sz="0" w:space="0" w:color="auto"/>
        <w:bottom w:val="none" w:sz="0" w:space="0" w:color="auto"/>
        <w:right w:val="none" w:sz="0" w:space="0" w:color="auto"/>
      </w:divBdr>
    </w:div>
    <w:div w:id="1706715482">
      <w:bodyDiv w:val="1"/>
      <w:marLeft w:val="0"/>
      <w:marRight w:val="0"/>
      <w:marTop w:val="0"/>
      <w:marBottom w:val="0"/>
      <w:divBdr>
        <w:top w:val="none" w:sz="0" w:space="0" w:color="auto"/>
        <w:left w:val="none" w:sz="0" w:space="0" w:color="auto"/>
        <w:bottom w:val="none" w:sz="0" w:space="0" w:color="auto"/>
        <w:right w:val="none" w:sz="0" w:space="0" w:color="auto"/>
      </w:divBdr>
    </w:div>
    <w:div w:id="1943294118">
      <w:bodyDiv w:val="1"/>
      <w:marLeft w:val="0"/>
      <w:marRight w:val="0"/>
      <w:marTop w:val="0"/>
      <w:marBottom w:val="0"/>
      <w:divBdr>
        <w:top w:val="none" w:sz="0" w:space="0" w:color="auto"/>
        <w:left w:val="none" w:sz="0" w:space="0" w:color="auto"/>
        <w:bottom w:val="none" w:sz="0" w:space="0" w:color="auto"/>
        <w:right w:val="none" w:sz="0" w:space="0" w:color="auto"/>
      </w:divBdr>
    </w:div>
    <w:div w:id="2030913531">
      <w:bodyDiv w:val="1"/>
      <w:marLeft w:val="0"/>
      <w:marRight w:val="0"/>
      <w:marTop w:val="0"/>
      <w:marBottom w:val="0"/>
      <w:divBdr>
        <w:top w:val="none" w:sz="0" w:space="0" w:color="auto"/>
        <w:left w:val="none" w:sz="0" w:space="0" w:color="auto"/>
        <w:bottom w:val="none" w:sz="0" w:space="0" w:color="auto"/>
        <w:right w:val="none" w:sz="0" w:space="0" w:color="auto"/>
      </w:divBdr>
    </w:div>
    <w:div w:id="2094086889">
      <w:bodyDiv w:val="1"/>
      <w:marLeft w:val="0"/>
      <w:marRight w:val="0"/>
      <w:marTop w:val="0"/>
      <w:marBottom w:val="0"/>
      <w:divBdr>
        <w:top w:val="none" w:sz="0" w:space="0" w:color="auto"/>
        <w:left w:val="none" w:sz="0" w:space="0" w:color="auto"/>
        <w:bottom w:val="none" w:sz="0" w:space="0" w:color="auto"/>
        <w:right w:val="none" w:sz="0" w:space="0" w:color="auto"/>
      </w:divBdr>
    </w:div>
    <w:div w:id="211793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artner.com" TargetMode="External"/><Relationship Id="rId18" Type="http://schemas.openxmlformats.org/officeDocument/2006/relationships/hyperlink" Target="https://doi.org/10.1108/13683040310496471" TargetMode="External"/><Relationship Id="rId3" Type="http://schemas.openxmlformats.org/officeDocument/2006/relationships/numbering" Target="numbering.xml"/><Relationship Id="rId21" Type="http://schemas.openxmlformats.org/officeDocument/2006/relationships/hyperlink" Target="https://www.worldbank.org" TargetMode="External"/><Relationship Id="rId7" Type="http://schemas.openxmlformats.org/officeDocument/2006/relationships/image" Target="media/image1.png"/><Relationship Id="rId12" Type="http://schemas.openxmlformats.org/officeDocument/2006/relationships/hyperlink" Target="https://www2.deloitte.com" TargetMode="External"/><Relationship Id="rId17" Type="http://schemas.openxmlformats.org/officeDocument/2006/relationships/hyperlink" Target="https://www.mckinsey.com" TargetMode="External"/><Relationship Id="rId2" Type="http://schemas.openxmlformats.org/officeDocument/2006/relationships/customXml" Target="../customXml/item2.xml"/><Relationship Id="rId16" Type="http://schemas.openxmlformats.org/officeDocument/2006/relationships/hyperlink" Target="https://doi.org/10.1016/j.mar.2009.10.003" TargetMode="External"/><Relationship Id="rId20" Type="http://schemas.openxmlformats.org/officeDocument/2006/relationships/hyperlink" Target="https://hbr.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s.org" TargetMode="External"/><Relationship Id="rId5" Type="http://schemas.openxmlformats.org/officeDocument/2006/relationships/settings" Target="settings.xml"/><Relationship Id="rId15" Type="http://schemas.openxmlformats.org/officeDocument/2006/relationships/hyperlink" Target="https://home.kpmg/xx/en/home.html" TargetMode="External"/><Relationship Id="rId23" Type="http://schemas.openxmlformats.org/officeDocument/2006/relationships/theme" Target="theme/theme1.xml"/><Relationship Id="rId10" Type="http://schemas.openxmlformats.org/officeDocument/2006/relationships/hyperlink" Target="https://www.charteredaccountantsanz.com" TargetMode="External"/><Relationship Id="rId19" Type="http://schemas.openxmlformats.org/officeDocument/2006/relationships/hyperlink" Target="https://www.pwc.com" TargetMode="External"/><Relationship Id="rId4" Type="http://schemas.openxmlformats.org/officeDocument/2006/relationships/styles" Target="styles.xml"/><Relationship Id="rId9" Type="http://schemas.openxmlformats.org/officeDocument/2006/relationships/hyperlink" Target="https://www.accaglobal.com" TargetMode="External"/><Relationship Id="rId14" Type="http://schemas.openxmlformats.org/officeDocument/2006/relationships/hyperlink" Target="https://doi.org/10.2308/jmar.2003.15.1.9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21</Pages>
  <Words>4941</Words>
  <Characters>28168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Budgeting and Financial Management Analysis for Blue Thread Ltd</dc:title>
  <dc:subject>Principles and Concepts of Finance (BMSW5012_SWAN)                                  Raluca-Cornelia Vasiu(2241085)</dc:subject>
  <dc:creator>Marie Pitson</dc:creator>
  <cp:keywords/>
  <dc:description/>
  <cp:lastModifiedBy>Raluca Vasiu</cp:lastModifiedBy>
  <cp:revision>142</cp:revision>
  <dcterms:created xsi:type="dcterms:W3CDTF">2025-04-04T04:59:00Z</dcterms:created>
  <dcterms:modified xsi:type="dcterms:W3CDTF">2025-04-04T13:15:00Z</dcterms:modified>
</cp:coreProperties>
</file>