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8926" w:type="dxa"/>
        <w:jc w:val="center"/>
        <w:tblLook w:val="04E0" w:firstRow="1" w:lastRow="1" w:firstColumn="1" w:lastColumn="0" w:noHBand="0" w:noVBand="1"/>
      </w:tblPr>
      <w:tblGrid>
        <w:gridCol w:w="2785"/>
        <w:gridCol w:w="6141"/>
      </w:tblGrid>
      <w:tr w:rsidR="00B12405" w:rsidRPr="008158F5" w14:paraId="1DC55B88" w14:textId="77777777" w:rsidTr="00CE2153">
        <w:trPr>
          <w:trHeight w:val="680"/>
          <w:jc w:val="center"/>
        </w:trPr>
        <w:tc>
          <w:tcPr>
            <w:tcW w:w="2785" w:type="dxa"/>
            <w:tcBorders>
              <w:top w:val="single" w:sz="4" w:space="0" w:color="auto"/>
              <w:left w:val="single" w:sz="4" w:space="0" w:color="auto"/>
              <w:bottom w:val="single" w:sz="4" w:space="0" w:color="auto"/>
              <w:right w:val="single" w:sz="4" w:space="0" w:color="auto"/>
            </w:tcBorders>
            <w:noWrap/>
            <w:vAlign w:val="center"/>
            <w:hideMark/>
          </w:tcPr>
          <w:p w14:paraId="5C8F9598" w14:textId="77777777" w:rsidR="00B12405" w:rsidRPr="008158F5" w:rsidRDefault="00B12405"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NAME</w:t>
            </w:r>
          </w:p>
        </w:tc>
        <w:tc>
          <w:tcPr>
            <w:tcW w:w="6141" w:type="dxa"/>
            <w:tcBorders>
              <w:top w:val="single" w:sz="4" w:space="0" w:color="auto"/>
              <w:left w:val="nil"/>
              <w:bottom w:val="single" w:sz="4" w:space="0" w:color="auto"/>
              <w:right w:val="single" w:sz="4" w:space="0" w:color="auto"/>
            </w:tcBorders>
            <w:noWrap/>
            <w:vAlign w:val="center"/>
            <w:hideMark/>
          </w:tcPr>
          <w:p w14:paraId="79CCA545" w14:textId="2ECCA0C1" w:rsidR="0059103E" w:rsidRDefault="00B12405"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59103E">
              <w:rPr>
                <w:rFonts w:ascii="Arial" w:eastAsia="Calibri" w:hAnsi="Arial" w:cs="Arial"/>
                <w:b/>
                <w:bCs/>
                <w:kern w:val="0"/>
                <w:sz w:val="22"/>
                <w:szCs w:val="22"/>
                <w14:ligatures w14:val="none"/>
              </w:rPr>
              <w:t xml:space="preserve">VIVIAN </w:t>
            </w:r>
            <w:r w:rsidR="00C57027">
              <w:rPr>
                <w:rFonts w:ascii="Arial" w:eastAsia="Calibri" w:hAnsi="Arial" w:cs="Arial"/>
                <w:b/>
                <w:bCs/>
                <w:kern w:val="0"/>
                <w:sz w:val="22"/>
                <w:szCs w:val="22"/>
                <w14:ligatures w14:val="none"/>
              </w:rPr>
              <w:t>BIOH</w:t>
            </w:r>
          </w:p>
          <w:p w14:paraId="0B6ADDA3" w14:textId="44BA5F02" w:rsidR="0059103E" w:rsidRPr="008158F5" w:rsidRDefault="0059103E" w:rsidP="00D10E44">
            <w:pPr>
              <w:spacing w:line="360" w:lineRule="auto"/>
              <w:rPr>
                <w:rFonts w:ascii="Arial" w:eastAsia="Calibri" w:hAnsi="Arial" w:cs="Arial"/>
                <w:b/>
                <w:bCs/>
                <w:kern w:val="0"/>
                <w:sz w:val="22"/>
                <w:szCs w:val="22"/>
                <w14:ligatures w14:val="none"/>
              </w:rPr>
            </w:pPr>
          </w:p>
        </w:tc>
      </w:tr>
      <w:tr w:rsidR="00B12405" w:rsidRPr="008158F5" w14:paraId="1F265DBD" w14:textId="77777777" w:rsidTr="00CE2153">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3755356B" w14:textId="77777777" w:rsidR="00B12405" w:rsidRPr="008158F5" w:rsidRDefault="00B12405"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STUDENT No.</w:t>
            </w:r>
          </w:p>
        </w:tc>
        <w:tc>
          <w:tcPr>
            <w:tcW w:w="6141" w:type="dxa"/>
            <w:tcBorders>
              <w:top w:val="nil"/>
              <w:left w:val="nil"/>
              <w:bottom w:val="single" w:sz="4" w:space="0" w:color="auto"/>
              <w:right w:val="single" w:sz="4" w:space="0" w:color="auto"/>
            </w:tcBorders>
            <w:noWrap/>
            <w:vAlign w:val="center"/>
            <w:hideMark/>
          </w:tcPr>
          <w:p w14:paraId="5AEF0883" w14:textId="484E2570" w:rsidR="00B12405" w:rsidRPr="008158F5" w:rsidRDefault="00B12405"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C57027">
              <w:rPr>
                <w:rFonts w:ascii="Arial" w:eastAsia="Calibri" w:hAnsi="Arial" w:cs="Arial"/>
                <w:b/>
                <w:bCs/>
                <w:kern w:val="0"/>
                <w:sz w:val="22"/>
                <w:szCs w:val="22"/>
                <w14:ligatures w14:val="none"/>
              </w:rPr>
              <w:t>2432999</w:t>
            </w:r>
          </w:p>
        </w:tc>
      </w:tr>
      <w:tr w:rsidR="00B12405" w:rsidRPr="008158F5" w14:paraId="109D4D57" w14:textId="77777777" w:rsidTr="00CE2153">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1DE6CE77" w14:textId="77777777" w:rsidR="00B12405" w:rsidRPr="008158F5" w:rsidRDefault="00B12405"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MODULE CODE</w:t>
            </w:r>
          </w:p>
        </w:tc>
        <w:tc>
          <w:tcPr>
            <w:tcW w:w="6141" w:type="dxa"/>
            <w:tcBorders>
              <w:top w:val="nil"/>
              <w:left w:val="nil"/>
              <w:bottom w:val="single" w:sz="4" w:space="0" w:color="auto"/>
              <w:right w:val="single" w:sz="4" w:space="0" w:color="auto"/>
            </w:tcBorders>
            <w:noWrap/>
            <w:vAlign w:val="center"/>
            <w:hideMark/>
          </w:tcPr>
          <w:p w14:paraId="3A8B648D" w14:textId="65D658C9" w:rsidR="00B12405" w:rsidRPr="008158F5" w:rsidRDefault="00B12405"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C57027">
              <w:rPr>
                <w:rFonts w:ascii="Arial" w:eastAsia="Calibri" w:hAnsi="Arial" w:cs="Arial"/>
                <w:b/>
                <w:bCs/>
                <w:kern w:val="0"/>
                <w:sz w:val="22"/>
                <w:szCs w:val="22"/>
                <w14:ligatures w14:val="none"/>
              </w:rPr>
              <w:t>BMHP5023</w:t>
            </w:r>
          </w:p>
        </w:tc>
      </w:tr>
      <w:tr w:rsidR="00B12405" w:rsidRPr="008158F5" w14:paraId="2D591266" w14:textId="77777777" w:rsidTr="00CE2153">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7DACCD75" w14:textId="77777777" w:rsidR="00B12405" w:rsidRPr="008158F5" w:rsidRDefault="00B12405"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COURSE TITLE</w:t>
            </w:r>
          </w:p>
        </w:tc>
        <w:tc>
          <w:tcPr>
            <w:tcW w:w="6141" w:type="dxa"/>
            <w:tcBorders>
              <w:top w:val="nil"/>
              <w:left w:val="nil"/>
              <w:bottom w:val="single" w:sz="4" w:space="0" w:color="auto"/>
              <w:right w:val="single" w:sz="4" w:space="0" w:color="auto"/>
            </w:tcBorders>
            <w:noWrap/>
            <w:vAlign w:val="center"/>
            <w:hideMark/>
          </w:tcPr>
          <w:p w14:paraId="6952ECF3" w14:textId="3A5D8FAE" w:rsidR="00B12405" w:rsidRPr="008158F5" w:rsidRDefault="00B12405"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EF62E0">
              <w:rPr>
                <w:rFonts w:ascii="Arial" w:eastAsia="Calibri" w:hAnsi="Arial" w:cs="Arial"/>
                <w:b/>
                <w:bCs/>
                <w:kern w:val="0"/>
                <w:sz w:val="22"/>
                <w:szCs w:val="22"/>
                <w14:ligatures w14:val="none"/>
              </w:rPr>
              <w:t>BSc Health</w:t>
            </w:r>
            <w:r w:rsidR="00A667C9">
              <w:rPr>
                <w:rFonts w:ascii="Arial" w:eastAsia="Calibri" w:hAnsi="Arial" w:cs="Arial"/>
                <w:b/>
                <w:bCs/>
                <w:kern w:val="0"/>
                <w:sz w:val="22"/>
                <w:szCs w:val="22"/>
                <w14:ligatures w14:val="none"/>
              </w:rPr>
              <w:t xml:space="preserve"> And Social Care</w:t>
            </w:r>
          </w:p>
        </w:tc>
      </w:tr>
      <w:tr w:rsidR="00B12405" w:rsidRPr="008158F5" w14:paraId="66781DA9" w14:textId="77777777" w:rsidTr="00AF546D">
        <w:trPr>
          <w:trHeight w:val="670"/>
          <w:jc w:val="center"/>
        </w:trPr>
        <w:tc>
          <w:tcPr>
            <w:tcW w:w="2785" w:type="dxa"/>
            <w:tcBorders>
              <w:top w:val="nil"/>
              <w:left w:val="single" w:sz="4" w:space="0" w:color="auto"/>
              <w:bottom w:val="single" w:sz="4" w:space="0" w:color="auto"/>
              <w:right w:val="single" w:sz="4" w:space="0" w:color="auto"/>
            </w:tcBorders>
            <w:noWrap/>
            <w:vAlign w:val="center"/>
            <w:hideMark/>
          </w:tcPr>
          <w:p w14:paraId="4D23B104" w14:textId="77777777" w:rsidR="00B12405" w:rsidRPr="008158F5" w:rsidRDefault="00B12405"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xml:space="preserve">ASSIGNMENT TITLE  </w:t>
            </w:r>
          </w:p>
        </w:tc>
        <w:tc>
          <w:tcPr>
            <w:tcW w:w="6141" w:type="dxa"/>
            <w:tcBorders>
              <w:top w:val="nil"/>
              <w:left w:val="nil"/>
              <w:bottom w:val="single" w:sz="4" w:space="0" w:color="auto"/>
              <w:right w:val="single" w:sz="4" w:space="0" w:color="auto"/>
            </w:tcBorders>
            <w:noWrap/>
            <w:vAlign w:val="center"/>
            <w:hideMark/>
          </w:tcPr>
          <w:p w14:paraId="5CE2C3D5" w14:textId="7C290232" w:rsidR="00B12405" w:rsidRDefault="00B12405"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B43A9E">
              <w:rPr>
                <w:rFonts w:ascii="Arial" w:eastAsia="Calibri" w:hAnsi="Arial" w:cs="Arial"/>
                <w:b/>
                <w:bCs/>
                <w:kern w:val="0"/>
                <w:sz w:val="22"/>
                <w:szCs w:val="22"/>
                <w14:ligatures w14:val="none"/>
              </w:rPr>
              <w:t xml:space="preserve">Written </w:t>
            </w:r>
            <w:r w:rsidR="00477B99">
              <w:rPr>
                <w:rFonts w:ascii="Arial" w:eastAsia="Calibri" w:hAnsi="Arial" w:cs="Arial"/>
                <w:b/>
                <w:bCs/>
                <w:kern w:val="0"/>
                <w:sz w:val="22"/>
                <w:szCs w:val="22"/>
                <w14:ligatures w14:val="none"/>
              </w:rPr>
              <w:t>Assignment (</w:t>
            </w:r>
            <w:r w:rsidR="00221324">
              <w:rPr>
                <w:rFonts w:ascii="Arial" w:eastAsia="Calibri" w:hAnsi="Arial" w:cs="Arial"/>
                <w:b/>
                <w:bCs/>
                <w:kern w:val="0"/>
                <w:sz w:val="22"/>
                <w:szCs w:val="22"/>
                <w14:ligatures w14:val="none"/>
              </w:rPr>
              <w:t>case study report</w:t>
            </w:r>
            <w:r w:rsidR="00EC3E71">
              <w:rPr>
                <w:rFonts w:ascii="Arial" w:eastAsia="Calibri" w:hAnsi="Arial" w:cs="Arial"/>
                <w:b/>
                <w:bCs/>
                <w:kern w:val="0"/>
                <w:sz w:val="22"/>
                <w:szCs w:val="22"/>
                <w14:ligatures w14:val="none"/>
              </w:rPr>
              <w:t>)</w:t>
            </w:r>
          </w:p>
          <w:p w14:paraId="6D4AB7BF" w14:textId="40249A07" w:rsidR="00AF546D" w:rsidRPr="008158F5" w:rsidRDefault="00AF546D" w:rsidP="00D10E44">
            <w:pPr>
              <w:spacing w:line="360" w:lineRule="auto"/>
              <w:rPr>
                <w:rFonts w:ascii="Arial" w:eastAsia="Calibri" w:hAnsi="Arial" w:cs="Arial"/>
                <w:b/>
                <w:bCs/>
                <w:kern w:val="0"/>
                <w:sz w:val="22"/>
                <w:szCs w:val="22"/>
                <w14:ligatures w14:val="none"/>
              </w:rPr>
            </w:pPr>
          </w:p>
        </w:tc>
      </w:tr>
      <w:tr w:rsidR="00AF546D" w:rsidRPr="008158F5" w14:paraId="4CCE083D" w14:textId="77777777" w:rsidTr="00AF546D">
        <w:trPr>
          <w:trHeight w:val="400"/>
          <w:jc w:val="center"/>
        </w:trPr>
        <w:tc>
          <w:tcPr>
            <w:tcW w:w="2785" w:type="dxa"/>
            <w:tcBorders>
              <w:top w:val="single" w:sz="4" w:space="0" w:color="auto"/>
              <w:left w:val="single" w:sz="4" w:space="0" w:color="auto"/>
              <w:bottom w:val="single" w:sz="4" w:space="0" w:color="auto"/>
              <w:right w:val="single" w:sz="4" w:space="0" w:color="auto"/>
            </w:tcBorders>
            <w:noWrap/>
            <w:vAlign w:val="center"/>
          </w:tcPr>
          <w:p w14:paraId="3F87D111" w14:textId="1E918EEB" w:rsidR="00AF546D" w:rsidRPr="008158F5" w:rsidRDefault="0037582F" w:rsidP="00D10E44">
            <w:pPr>
              <w:spacing w:line="360" w:lineRule="auto"/>
              <w:rPr>
                <w:rFonts w:ascii="Arial" w:eastAsia="Calibri" w:hAnsi="Arial" w:cs="Arial"/>
                <w:b/>
                <w:bCs/>
                <w:kern w:val="0"/>
                <w:sz w:val="22"/>
                <w:szCs w:val="22"/>
                <w14:ligatures w14:val="none"/>
              </w:rPr>
            </w:pPr>
            <w:r>
              <w:rPr>
                <w:rFonts w:ascii="Arial" w:eastAsia="Calibri" w:hAnsi="Arial" w:cs="Arial"/>
                <w:b/>
                <w:bCs/>
                <w:kern w:val="0"/>
                <w:sz w:val="22"/>
                <w:szCs w:val="22"/>
                <w14:ligatures w14:val="none"/>
              </w:rPr>
              <w:t>LECTU</w:t>
            </w:r>
            <w:r w:rsidR="002B60A4">
              <w:rPr>
                <w:rFonts w:ascii="Arial" w:eastAsia="Calibri" w:hAnsi="Arial" w:cs="Arial"/>
                <w:b/>
                <w:bCs/>
                <w:kern w:val="0"/>
                <w:sz w:val="22"/>
                <w:szCs w:val="22"/>
                <w14:ligatures w14:val="none"/>
              </w:rPr>
              <w:t>RER’S</w:t>
            </w:r>
            <w:r w:rsidR="00477B99">
              <w:rPr>
                <w:rFonts w:ascii="Arial" w:eastAsia="Calibri" w:hAnsi="Arial" w:cs="Arial"/>
                <w:b/>
                <w:bCs/>
                <w:kern w:val="0"/>
                <w:sz w:val="22"/>
                <w:szCs w:val="22"/>
                <w14:ligatures w14:val="none"/>
              </w:rPr>
              <w:t xml:space="preserve"> NAME </w:t>
            </w:r>
          </w:p>
        </w:tc>
        <w:tc>
          <w:tcPr>
            <w:tcW w:w="6141" w:type="dxa"/>
            <w:tcBorders>
              <w:top w:val="single" w:sz="4" w:space="0" w:color="auto"/>
              <w:left w:val="nil"/>
              <w:bottom w:val="single" w:sz="4" w:space="0" w:color="auto"/>
              <w:right w:val="single" w:sz="4" w:space="0" w:color="auto"/>
            </w:tcBorders>
            <w:noWrap/>
            <w:vAlign w:val="center"/>
          </w:tcPr>
          <w:p w14:paraId="586C4633" w14:textId="19A351DE" w:rsidR="00AF546D" w:rsidRPr="008158F5" w:rsidRDefault="00477B99" w:rsidP="00D10E44">
            <w:pPr>
              <w:spacing w:line="360" w:lineRule="auto"/>
              <w:rPr>
                <w:rFonts w:ascii="Arial" w:eastAsia="Calibri" w:hAnsi="Arial" w:cs="Arial"/>
                <w:b/>
                <w:bCs/>
                <w:kern w:val="0"/>
                <w:sz w:val="22"/>
                <w:szCs w:val="22"/>
                <w14:ligatures w14:val="none"/>
              </w:rPr>
            </w:pPr>
            <w:r>
              <w:rPr>
                <w:rFonts w:ascii="Arial" w:eastAsia="Calibri" w:hAnsi="Arial" w:cs="Arial"/>
                <w:b/>
                <w:bCs/>
                <w:kern w:val="0"/>
                <w:sz w:val="22"/>
                <w:szCs w:val="22"/>
                <w14:ligatures w14:val="none"/>
              </w:rPr>
              <w:t>ROBER NART</w:t>
            </w:r>
            <w:r w:rsidR="009C0C27">
              <w:rPr>
                <w:rFonts w:ascii="Arial" w:eastAsia="Calibri" w:hAnsi="Arial" w:cs="Arial"/>
                <w:b/>
                <w:bCs/>
                <w:kern w:val="0"/>
                <w:sz w:val="22"/>
                <w:szCs w:val="22"/>
                <w14:ligatures w14:val="none"/>
              </w:rPr>
              <w:t>OWSKI</w:t>
            </w:r>
          </w:p>
        </w:tc>
      </w:tr>
    </w:tbl>
    <w:p w14:paraId="5EA3A0E5" w14:textId="77777777" w:rsidR="00AF422D" w:rsidRDefault="00AF422D" w:rsidP="004148F4"/>
    <w:p w14:paraId="1DEE1767" w14:textId="77777777" w:rsidR="00B12405" w:rsidRDefault="00B12405" w:rsidP="004148F4"/>
    <w:p w14:paraId="12ABFCDD" w14:textId="77777777" w:rsidR="00B12405" w:rsidRDefault="00B12405" w:rsidP="004148F4"/>
    <w:p w14:paraId="70F1F097" w14:textId="77777777" w:rsidR="00B12405" w:rsidRDefault="00B12405" w:rsidP="004148F4"/>
    <w:p w14:paraId="1CF4FF3C" w14:textId="77777777" w:rsidR="00B12405" w:rsidRDefault="00B12405" w:rsidP="004148F4"/>
    <w:p w14:paraId="0808F12A" w14:textId="77777777" w:rsidR="00B12405" w:rsidRDefault="00B12405" w:rsidP="004148F4"/>
    <w:p w14:paraId="7CE323E0" w14:textId="77777777" w:rsidR="00B12405" w:rsidRDefault="00B12405" w:rsidP="004148F4"/>
    <w:p w14:paraId="419B9DAF" w14:textId="77777777" w:rsidR="00B12405" w:rsidRDefault="00B12405" w:rsidP="004148F4"/>
    <w:p w14:paraId="4E407FCB" w14:textId="77777777" w:rsidR="00B12405" w:rsidRDefault="00B12405" w:rsidP="004148F4"/>
    <w:p w14:paraId="33948A48" w14:textId="77777777" w:rsidR="00B12405" w:rsidRDefault="00B12405" w:rsidP="004148F4"/>
    <w:p w14:paraId="10CBE3DC" w14:textId="77777777" w:rsidR="00B12405" w:rsidRDefault="00B12405" w:rsidP="004148F4"/>
    <w:p w14:paraId="57A73EDF" w14:textId="77777777" w:rsidR="00B12405" w:rsidRDefault="00B12405" w:rsidP="004148F4"/>
    <w:p w14:paraId="653869BB" w14:textId="77777777" w:rsidR="00B12405" w:rsidRDefault="00B12405" w:rsidP="004148F4"/>
    <w:p w14:paraId="7FFE30D2" w14:textId="77777777" w:rsidR="00B12405" w:rsidRDefault="00B12405" w:rsidP="004148F4"/>
    <w:p w14:paraId="0E14E4C3" w14:textId="77777777" w:rsidR="00B12405" w:rsidRDefault="00B12405" w:rsidP="004148F4"/>
    <w:p w14:paraId="4A9AC3A3" w14:textId="77777777" w:rsidR="00B12405" w:rsidRDefault="00B12405" w:rsidP="004148F4"/>
    <w:p w14:paraId="5569908E" w14:textId="77777777" w:rsidR="00B12405" w:rsidRDefault="00B12405" w:rsidP="00AC0A0A"/>
    <w:p w14:paraId="77FCC45C" w14:textId="77777777" w:rsidR="00B12405" w:rsidRDefault="00B12405" w:rsidP="004148F4"/>
    <w:p w14:paraId="7A9523AB" w14:textId="77777777" w:rsidR="00B12405" w:rsidRDefault="00B12405" w:rsidP="000A0F62"/>
    <w:p w14:paraId="2708288F" w14:textId="0DFBB66F" w:rsidR="00B12405" w:rsidRPr="00B12405" w:rsidRDefault="00B12405" w:rsidP="00746A9C">
      <w:pPr>
        <w:spacing w:line="360" w:lineRule="auto"/>
        <w:jc w:val="center"/>
        <w:rPr>
          <w:rFonts w:ascii="Arial" w:hAnsi="Arial" w:cs="Arial"/>
          <w:b/>
          <w:bCs/>
          <w:sz w:val="22"/>
          <w:szCs w:val="22"/>
        </w:rPr>
      </w:pPr>
      <w:r w:rsidRPr="00B12405">
        <w:rPr>
          <w:rFonts w:ascii="Arial" w:hAnsi="Arial" w:cs="Arial"/>
          <w:b/>
          <w:bCs/>
          <w:sz w:val="22"/>
          <w:szCs w:val="22"/>
        </w:rPr>
        <w:t>COMPONENT 1</w:t>
      </w:r>
    </w:p>
    <w:p w14:paraId="45299109" w14:textId="79D414CC" w:rsidR="00B12405" w:rsidRPr="00B12405" w:rsidRDefault="00B12405" w:rsidP="00746A9C">
      <w:pPr>
        <w:spacing w:line="360" w:lineRule="auto"/>
        <w:jc w:val="center"/>
        <w:rPr>
          <w:rFonts w:ascii="Arial" w:hAnsi="Arial" w:cs="Arial"/>
          <w:sz w:val="22"/>
          <w:szCs w:val="22"/>
        </w:rPr>
      </w:pPr>
      <w:r w:rsidRPr="00B12405">
        <w:rPr>
          <w:rFonts w:ascii="Arial" w:hAnsi="Arial" w:cs="Arial"/>
          <w:b/>
          <w:bCs/>
          <w:sz w:val="22"/>
          <w:szCs w:val="22"/>
        </w:rPr>
        <w:t xml:space="preserve">Case Study </w:t>
      </w:r>
      <w:r>
        <w:rPr>
          <w:rFonts w:ascii="Arial" w:hAnsi="Arial" w:cs="Arial"/>
          <w:b/>
          <w:bCs/>
          <w:sz w:val="22"/>
          <w:szCs w:val="22"/>
        </w:rPr>
        <w:t xml:space="preserve">2 </w:t>
      </w:r>
      <w:r w:rsidRPr="00B12405">
        <w:rPr>
          <w:rFonts w:ascii="Arial" w:hAnsi="Arial" w:cs="Arial"/>
          <w:b/>
          <w:bCs/>
          <w:sz w:val="22"/>
          <w:szCs w:val="22"/>
        </w:rPr>
        <w:t>Report</w:t>
      </w:r>
      <w:r>
        <w:rPr>
          <w:rFonts w:ascii="Arial" w:hAnsi="Arial" w:cs="Arial"/>
          <w:b/>
          <w:bCs/>
          <w:sz w:val="22"/>
          <w:szCs w:val="22"/>
        </w:rPr>
        <w:t>:</w:t>
      </w:r>
      <w:r w:rsidRPr="00B12405">
        <w:rPr>
          <w:rFonts w:ascii="Arial" w:hAnsi="Arial" w:cs="Arial"/>
          <w:b/>
          <w:bCs/>
          <w:sz w:val="22"/>
          <w:szCs w:val="22"/>
        </w:rPr>
        <w:t xml:space="preserve"> Respiratory Health and Asthma in Adolescents</w:t>
      </w:r>
    </w:p>
    <w:p w14:paraId="37E5BF0F" w14:textId="1C40A870" w:rsidR="00B12405" w:rsidRPr="00B12405" w:rsidRDefault="00B12405" w:rsidP="00746A9C">
      <w:pPr>
        <w:spacing w:line="360" w:lineRule="auto"/>
        <w:jc w:val="both"/>
        <w:rPr>
          <w:rFonts w:ascii="Arial" w:hAnsi="Arial" w:cs="Arial"/>
          <w:sz w:val="22"/>
          <w:szCs w:val="22"/>
        </w:rPr>
      </w:pPr>
      <w:r w:rsidRPr="00B12405">
        <w:rPr>
          <w:rFonts w:ascii="Arial" w:hAnsi="Arial" w:cs="Arial"/>
          <w:b/>
          <w:bCs/>
          <w:sz w:val="22"/>
          <w:szCs w:val="22"/>
        </w:rPr>
        <w:t>Introduction: Understanding Asthma and Its Risk Factors</w:t>
      </w:r>
    </w:p>
    <w:p w14:paraId="03DF7CD1" w14:textId="534290A9"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 xml:space="preserve">Asthma is a chronic inflammatory condition of the airways </w:t>
      </w:r>
      <w:r w:rsidR="00D0442D" w:rsidRPr="00B12405">
        <w:rPr>
          <w:rFonts w:ascii="Arial" w:hAnsi="Arial" w:cs="Arial"/>
          <w:sz w:val="22"/>
          <w:szCs w:val="22"/>
        </w:rPr>
        <w:t>characterized</w:t>
      </w:r>
      <w:r w:rsidRPr="00B12405">
        <w:rPr>
          <w:rFonts w:ascii="Arial" w:hAnsi="Arial" w:cs="Arial"/>
          <w:sz w:val="22"/>
          <w:szCs w:val="22"/>
        </w:rPr>
        <w:t xml:space="preserve"> by recurring episodes of wheezing, breathlessness, chest tightness</w:t>
      </w:r>
      <w:r w:rsidR="00D0442D">
        <w:rPr>
          <w:rFonts w:ascii="Arial" w:hAnsi="Arial" w:cs="Arial"/>
          <w:sz w:val="22"/>
          <w:szCs w:val="22"/>
        </w:rPr>
        <w:t xml:space="preserve"> and </w:t>
      </w:r>
      <w:r w:rsidRPr="00B12405">
        <w:rPr>
          <w:rFonts w:ascii="Arial" w:hAnsi="Arial" w:cs="Arial"/>
          <w:sz w:val="22"/>
          <w:szCs w:val="22"/>
        </w:rPr>
        <w:t>coughing. The underlying pathophysiology involves airway hyperresponsiveness, mucus hypersecretion</w:t>
      </w:r>
      <w:r w:rsidR="00D0442D">
        <w:rPr>
          <w:rFonts w:ascii="Arial" w:hAnsi="Arial" w:cs="Arial"/>
          <w:sz w:val="22"/>
          <w:szCs w:val="22"/>
        </w:rPr>
        <w:t xml:space="preserve"> and </w:t>
      </w:r>
      <w:r w:rsidRPr="00B12405">
        <w:rPr>
          <w:rFonts w:ascii="Arial" w:hAnsi="Arial" w:cs="Arial"/>
          <w:sz w:val="22"/>
          <w:szCs w:val="22"/>
        </w:rPr>
        <w:t>variable airflow obstruction</w:t>
      </w:r>
      <w:r w:rsidR="00D0442D">
        <w:rPr>
          <w:rFonts w:ascii="Arial" w:hAnsi="Arial" w:cs="Arial"/>
          <w:sz w:val="22"/>
          <w:szCs w:val="22"/>
        </w:rPr>
        <w:t>,</w:t>
      </w:r>
      <w:r w:rsidRPr="00B12405">
        <w:rPr>
          <w:rFonts w:ascii="Arial" w:hAnsi="Arial" w:cs="Arial"/>
          <w:sz w:val="22"/>
          <w:szCs w:val="22"/>
        </w:rPr>
        <w:t xml:space="preserve"> all of which are partially or fully reversible, either spontaneously or with treatment (Global Initiative for Asthma, 202</w:t>
      </w:r>
      <w:r w:rsidR="000747AF">
        <w:rPr>
          <w:rFonts w:ascii="Arial" w:hAnsi="Arial" w:cs="Arial"/>
          <w:sz w:val="22"/>
          <w:szCs w:val="22"/>
        </w:rPr>
        <w:t>5</w:t>
      </w:r>
      <w:r w:rsidRPr="00B12405">
        <w:rPr>
          <w:rFonts w:ascii="Arial" w:hAnsi="Arial" w:cs="Arial"/>
          <w:sz w:val="22"/>
          <w:szCs w:val="22"/>
        </w:rPr>
        <w:t xml:space="preserve">). </w:t>
      </w:r>
      <w:r w:rsidR="00654F10">
        <w:rPr>
          <w:rFonts w:ascii="Arial" w:hAnsi="Arial" w:cs="Arial"/>
          <w:sz w:val="22"/>
          <w:szCs w:val="22"/>
        </w:rPr>
        <w:t xml:space="preserve">About </w:t>
      </w:r>
      <w:r w:rsidR="00654F10" w:rsidRPr="00654F10">
        <w:rPr>
          <w:rFonts w:ascii="Arial" w:hAnsi="Arial" w:cs="Arial"/>
          <w:sz w:val="22"/>
          <w:szCs w:val="22"/>
        </w:rPr>
        <w:t>5.4 million people in the United Kingdom are currently receiving treatment for asthma, making it one of the most common long-term respiratory conditions in the country</w:t>
      </w:r>
      <w:r w:rsidR="00654F10">
        <w:rPr>
          <w:rFonts w:ascii="Arial" w:hAnsi="Arial" w:cs="Arial"/>
          <w:sz w:val="22"/>
          <w:szCs w:val="22"/>
        </w:rPr>
        <w:t xml:space="preserve"> (</w:t>
      </w:r>
      <w:r w:rsidR="00654F10" w:rsidRPr="00654F10">
        <w:rPr>
          <w:rFonts w:ascii="Arial" w:hAnsi="Arial" w:cs="Arial"/>
          <w:sz w:val="22"/>
          <w:szCs w:val="22"/>
        </w:rPr>
        <w:t>British Thoracic Society</w:t>
      </w:r>
      <w:r w:rsidR="00654F10">
        <w:rPr>
          <w:rFonts w:ascii="Arial" w:hAnsi="Arial" w:cs="Arial"/>
          <w:sz w:val="22"/>
          <w:szCs w:val="22"/>
        </w:rPr>
        <w:t xml:space="preserve">, </w:t>
      </w:r>
      <w:r w:rsidR="00654F10" w:rsidRPr="00654F10">
        <w:rPr>
          <w:rFonts w:ascii="Arial" w:hAnsi="Arial" w:cs="Arial"/>
          <w:sz w:val="22"/>
          <w:szCs w:val="22"/>
        </w:rPr>
        <w:t>2021</w:t>
      </w:r>
      <w:r w:rsidR="00654F10">
        <w:rPr>
          <w:rFonts w:ascii="Arial" w:hAnsi="Arial" w:cs="Arial"/>
          <w:sz w:val="22"/>
          <w:szCs w:val="22"/>
        </w:rPr>
        <w:t>)</w:t>
      </w:r>
      <w:r w:rsidR="00654F10" w:rsidRPr="00654F10">
        <w:rPr>
          <w:rFonts w:ascii="Arial" w:hAnsi="Arial" w:cs="Arial"/>
          <w:sz w:val="22"/>
          <w:szCs w:val="22"/>
        </w:rPr>
        <w:t>.</w:t>
      </w:r>
    </w:p>
    <w:p w14:paraId="1032AA37" w14:textId="7A079A18"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 xml:space="preserve">The risk factors for asthma are both intrinsic and extrinsic. Genetic predisposition plays a significant role </w:t>
      </w:r>
      <w:r w:rsidR="00D0442D">
        <w:rPr>
          <w:rFonts w:ascii="Arial" w:hAnsi="Arial" w:cs="Arial"/>
          <w:sz w:val="22"/>
          <w:szCs w:val="22"/>
        </w:rPr>
        <w:t>as</w:t>
      </w:r>
      <w:r w:rsidRPr="00B12405">
        <w:rPr>
          <w:rFonts w:ascii="Arial" w:hAnsi="Arial" w:cs="Arial"/>
          <w:sz w:val="22"/>
          <w:szCs w:val="22"/>
        </w:rPr>
        <w:t xml:space="preserve"> individuals with a family history of asthma, eczema</w:t>
      </w:r>
      <w:r w:rsidR="00D0442D">
        <w:rPr>
          <w:rFonts w:ascii="Arial" w:hAnsi="Arial" w:cs="Arial"/>
          <w:sz w:val="22"/>
          <w:szCs w:val="22"/>
        </w:rPr>
        <w:t xml:space="preserve"> or </w:t>
      </w:r>
      <w:r w:rsidRPr="00B12405">
        <w:rPr>
          <w:rFonts w:ascii="Arial" w:hAnsi="Arial" w:cs="Arial"/>
          <w:sz w:val="22"/>
          <w:szCs w:val="22"/>
        </w:rPr>
        <w:t xml:space="preserve">allergic rhinitis carry a higher risk of developing the condition, reflecting the atopic tendency common across these disorders (Holloway </w:t>
      </w:r>
      <w:r w:rsidRPr="00A76B10">
        <w:rPr>
          <w:rFonts w:ascii="Arial" w:hAnsi="Arial" w:cs="Arial"/>
          <w:i/>
          <w:iCs/>
          <w:sz w:val="22"/>
          <w:szCs w:val="22"/>
        </w:rPr>
        <w:t>et al</w:t>
      </w:r>
      <w:r w:rsidRPr="00B12405">
        <w:rPr>
          <w:rFonts w:ascii="Arial" w:hAnsi="Arial" w:cs="Arial"/>
          <w:sz w:val="22"/>
          <w:szCs w:val="22"/>
        </w:rPr>
        <w:t xml:space="preserve">., 2010). Environmental exposures are equally important. Tobacco smoke whether directly inhaled or encountered passively is among the most well-established triggers, causing direct airway inflammation and impairing mucociliary clearance. Air pollution, occupational dust, </w:t>
      </w:r>
      <w:r w:rsidR="00522415" w:rsidRPr="00B12405">
        <w:rPr>
          <w:rFonts w:ascii="Arial" w:hAnsi="Arial" w:cs="Arial"/>
          <w:sz w:val="22"/>
          <w:szCs w:val="22"/>
        </w:rPr>
        <w:t>mold</w:t>
      </w:r>
      <w:r w:rsidRPr="00B12405">
        <w:rPr>
          <w:rFonts w:ascii="Arial" w:hAnsi="Arial" w:cs="Arial"/>
          <w:sz w:val="22"/>
          <w:szCs w:val="22"/>
        </w:rPr>
        <w:t>, pet dander</w:t>
      </w:r>
      <w:r w:rsidR="00D0442D">
        <w:rPr>
          <w:rFonts w:ascii="Arial" w:hAnsi="Arial" w:cs="Arial"/>
          <w:sz w:val="22"/>
          <w:szCs w:val="22"/>
        </w:rPr>
        <w:t xml:space="preserve"> and </w:t>
      </w:r>
      <w:r w:rsidRPr="00B12405">
        <w:rPr>
          <w:rFonts w:ascii="Arial" w:hAnsi="Arial" w:cs="Arial"/>
          <w:sz w:val="22"/>
          <w:szCs w:val="22"/>
        </w:rPr>
        <w:t xml:space="preserve">respiratory viral infections have all been implicated in both triggering acute exacerbations and contributing to long-term airway </w:t>
      </w:r>
      <w:r w:rsidR="00D0442D" w:rsidRPr="00B12405">
        <w:rPr>
          <w:rFonts w:ascii="Arial" w:hAnsi="Arial" w:cs="Arial"/>
          <w:sz w:val="22"/>
          <w:szCs w:val="22"/>
        </w:rPr>
        <w:t>remodeling</w:t>
      </w:r>
      <w:r w:rsidRPr="00B12405">
        <w:rPr>
          <w:rFonts w:ascii="Arial" w:hAnsi="Arial" w:cs="Arial"/>
          <w:sz w:val="22"/>
          <w:szCs w:val="22"/>
        </w:rPr>
        <w:t xml:space="preserve"> (</w:t>
      </w:r>
      <w:r w:rsidR="00187414" w:rsidRPr="00187414">
        <w:rPr>
          <w:rFonts w:ascii="Arial" w:hAnsi="Arial" w:cs="Arial"/>
          <w:sz w:val="22"/>
          <w:szCs w:val="22"/>
        </w:rPr>
        <w:t>Boulet,</w:t>
      </w:r>
      <w:r w:rsidR="00187414">
        <w:rPr>
          <w:rFonts w:ascii="Arial" w:hAnsi="Arial" w:cs="Arial"/>
          <w:sz w:val="22"/>
          <w:szCs w:val="22"/>
        </w:rPr>
        <w:t xml:space="preserve"> </w:t>
      </w:r>
      <w:r w:rsidR="00187414" w:rsidRPr="00187414">
        <w:rPr>
          <w:rFonts w:ascii="Arial" w:hAnsi="Arial" w:cs="Arial"/>
          <w:sz w:val="22"/>
          <w:szCs w:val="22"/>
        </w:rPr>
        <w:t>2019</w:t>
      </w:r>
      <w:r w:rsidRPr="00B12405">
        <w:rPr>
          <w:rFonts w:ascii="Arial" w:hAnsi="Arial" w:cs="Arial"/>
          <w:sz w:val="22"/>
          <w:szCs w:val="22"/>
        </w:rPr>
        <w:t xml:space="preserve">). Among adolescents specifically, </w:t>
      </w:r>
      <w:r w:rsidR="00D0442D" w:rsidRPr="00B12405">
        <w:rPr>
          <w:rFonts w:ascii="Arial" w:hAnsi="Arial" w:cs="Arial"/>
          <w:sz w:val="22"/>
          <w:szCs w:val="22"/>
        </w:rPr>
        <w:t>behavioral</w:t>
      </w:r>
      <w:r w:rsidRPr="00B12405">
        <w:rPr>
          <w:rFonts w:ascii="Arial" w:hAnsi="Arial" w:cs="Arial"/>
          <w:sz w:val="22"/>
          <w:szCs w:val="22"/>
        </w:rPr>
        <w:t xml:space="preserve"> risk factors take on particular significance. The transition from childhood to adolescence often introduces new exposures </w:t>
      </w:r>
      <w:r w:rsidR="00D0442D">
        <w:rPr>
          <w:rFonts w:ascii="Arial" w:hAnsi="Arial" w:cs="Arial"/>
          <w:sz w:val="22"/>
          <w:szCs w:val="22"/>
        </w:rPr>
        <w:t>such as</w:t>
      </w:r>
      <w:r w:rsidRPr="00B12405">
        <w:rPr>
          <w:rFonts w:ascii="Arial" w:hAnsi="Arial" w:cs="Arial"/>
          <w:sz w:val="22"/>
          <w:szCs w:val="22"/>
        </w:rPr>
        <w:t xml:space="preserve"> smoking, vaping, alcohol use</w:t>
      </w:r>
      <w:r w:rsidR="00D0442D">
        <w:rPr>
          <w:rFonts w:ascii="Arial" w:hAnsi="Arial" w:cs="Arial"/>
          <w:sz w:val="22"/>
          <w:szCs w:val="22"/>
        </w:rPr>
        <w:t xml:space="preserve"> and </w:t>
      </w:r>
      <w:r w:rsidRPr="00B12405">
        <w:rPr>
          <w:rFonts w:ascii="Arial" w:hAnsi="Arial" w:cs="Arial"/>
          <w:sz w:val="22"/>
          <w:szCs w:val="22"/>
        </w:rPr>
        <w:t>increased time in crowded, poorly ventilated environments</w:t>
      </w:r>
      <w:r w:rsidR="00293090">
        <w:rPr>
          <w:rFonts w:ascii="Arial" w:hAnsi="Arial" w:cs="Arial"/>
          <w:sz w:val="22"/>
          <w:szCs w:val="22"/>
        </w:rPr>
        <w:t xml:space="preserve"> can </w:t>
      </w:r>
      <w:r w:rsidRPr="00B12405">
        <w:rPr>
          <w:rFonts w:ascii="Arial" w:hAnsi="Arial" w:cs="Arial"/>
          <w:sz w:val="22"/>
          <w:szCs w:val="22"/>
        </w:rPr>
        <w:t>substantially alter the risk profile and can precipitate more severe exacerbations in those who were previously managing their condition adequately.</w:t>
      </w:r>
    </w:p>
    <w:p w14:paraId="02B8AA78" w14:textId="2BB134F4" w:rsidR="00B12405" w:rsidRPr="00B12405" w:rsidRDefault="00B12405" w:rsidP="00746A9C">
      <w:pPr>
        <w:spacing w:line="360" w:lineRule="auto"/>
        <w:jc w:val="both"/>
        <w:rPr>
          <w:rFonts w:ascii="Arial" w:hAnsi="Arial" w:cs="Arial"/>
          <w:sz w:val="22"/>
          <w:szCs w:val="22"/>
        </w:rPr>
      </w:pPr>
      <w:r w:rsidRPr="00B12405">
        <w:rPr>
          <w:rFonts w:ascii="Arial" w:hAnsi="Arial" w:cs="Arial"/>
          <w:b/>
          <w:bCs/>
          <w:sz w:val="22"/>
          <w:szCs w:val="22"/>
        </w:rPr>
        <w:t>Structure of the Respiratory System and Mechanical Respiration</w:t>
      </w:r>
    </w:p>
    <w:p w14:paraId="017070B3" w14:textId="7D645D90"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 xml:space="preserve">The respiratory system is anatomically </w:t>
      </w:r>
      <w:r w:rsidR="00D0442D" w:rsidRPr="00B12405">
        <w:rPr>
          <w:rFonts w:ascii="Arial" w:hAnsi="Arial" w:cs="Arial"/>
          <w:sz w:val="22"/>
          <w:szCs w:val="22"/>
        </w:rPr>
        <w:t>organized</w:t>
      </w:r>
      <w:r w:rsidRPr="00B12405">
        <w:rPr>
          <w:rFonts w:ascii="Arial" w:hAnsi="Arial" w:cs="Arial"/>
          <w:sz w:val="22"/>
          <w:szCs w:val="22"/>
        </w:rPr>
        <w:t xml:space="preserve"> into upper and lower tracts, each serving distinct but interconnected functions. The upper respiratory tract comprises the nose, nasal cavity, pharynx</w:t>
      </w:r>
      <w:r w:rsidR="00D0442D">
        <w:rPr>
          <w:rFonts w:ascii="Arial" w:hAnsi="Arial" w:cs="Arial"/>
          <w:sz w:val="22"/>
          <w:szCs w:val="22"/>
        </w:rPr>
        <w:t xml:space="preserve"> and </w:t>
      </w:r>
      <w:r w:rsidRPr="00B12405">
        <w:rPr>
          <w:rFonts w:ascii="Arial" w:hAnsi="Arial" w:cs="Arial"/>
          <w:sz w:val="22"/>
          <w:szCs w:val="22"/>
        </w:rPr>
        <w:t>larynx. Air entering through the nasal passages is filtered, warmed</w:t>
      </w:r>
      <w:r w:rsidR="00D0442D">
        <w:rPr>
          <w:rFonts w:ascii="Arial" w:hAnsi="Arial" w:cs="Arial"/>
          <w:sz w:val="22"/>
          <w:szCs w:val="22"/>
        </w:rPr>
        <w:t xml:space="preserve"> and </w:t>
      </w:r>
      <w:r w:rsidRPr="00B12405">
        <w:rPr>
          <w:rFonts w:ascii="Arial" w:hAnsi="Arial" w:cs="Arial"/>
          <w:sz w:val="22"/>
          <w:szCs w:val="22"/>
        </w:rPr>
        <w:t>humidified before proceeding toward the lungs</w:t>
      </w:r>
      <w:r w:rsidR="00293090">
        <w:rPr>
          <w:rFonts w:ascii="Arial" w:hAnsi="Arial" w:cs="Arial"/>
          <w:sz w:val="22"/>
          <w:szCs w:val="22"/>
        </w:rPr>
        <w:t>,</w:t>
      </w:r>
      <w:r w:rsidRPr="00B12405">
        <w:rPr>
          <w:rFonts w:ascii="Arial" w:hAnsi="Arial" w:cs="Arial"/>
          <w:sz w:val="22"/>
          <w:szCs w:val="22"/>
        </w:rPr>
        <w:t xml:space="preserve"> a preparatory process that reduces the risk of infection and prevents damage to delicate lower airway tissues. The lower respiratory tract begins at the trachea, a cartilage-reinforced tube approximately 12 </w:t>
      </w:r>
      <w:r w:rsidR="00D0442D" w:rsidRPr="00B12405">
        <w:rPr>
          <w:rFonts w:ascii="Arial" w:hAnsi="Arial" w:cs="Arial"/>
          <w:sz w:val="22"/>
          <w:szCs w:val="22"/>
        </w:rPr>
        <w:t>centimeters</w:t>
      </w:r>
      <w:r w:rsidRPr="00B12405">
        <w:rPr>
          <w:rFonts w:ascii="Arial" w:hAnsi="Arial" w:cs="Arial"/>
          <w:sz w:val="22"/>
          <w:szCs w:val="22"/>
        </w:rPr>
        <w:t xml:space="preserve"> in length, which bifurcates at </w:t>
      </w:r>
      <w:r w:rsidRPr="00B12405">
        <w:rPr>
          <w:rFonts w:ascii="Arial" w:hAnsi="Arial" w:cs="Arial"/>
          <w:sz w:val="22"/>
          <w:szCs w:val="22"/>
        </w:rPr>
        <w:lastRenderedPageBreak/>
        <w:t xml:space="preserve">the carina into the left and right main bronchi. These bronchi divide progressively into smaller bronchioles, eventually terminating in the alveolar ducts and alveoli </w:t>
      </w:r>
      <w:r w:rsidR="00293090">
        <w:rPr>
          <w:rFonts w:ascii="Arial" w:hAnsi="Arial" w:cs="Arial"/>
          <w:sz w:val="22"/>
          <w:szCs w:val="22"/>
        </w:rPr>
        <w:t>which is</w:t>
      </w:r>
      <w:r w:rsidRPr="00B12405">
        <w:rPr>
          <w:rFonts w:ascii="Arial" w:hAnsi="Arial" w:cs="Arial"/>
          <w:sz w:val="22"/>
          <w:szCs w:val="22"/>
        </w:rPr>
        <w:t xml:space="preserve"> the functional units of gas exchange (Tortora and Derrickson, 201</w:t>
      </w:r>
      <w:r w:rsidR="00187414">
        <w:rPr>
          <w:rFonts w:ascii="Arial" w:hAnsi="Arial" w:cs="Arial"/>
          <w:sz w:val="22"/>
          <w:szCs w:val="22"/>
        </w:rPr>
        <w:t>8</w:t>
      </w:r>
      <w:r w:rsidRPr="00B12405">
        <w:rPr>
          <w:rFonts w:ascii="Arial" w:hAnsi="Arial" w:cs="Arial"/>
          <w:sz w:val="22"/>
          <w:szCs w:val="22"/>
        </w:rPr>
        <w:t>).</w:t>
      </w:r>
    </w:p>
    <w:p w14:paraId="51A031DC" w14:textId="77777777"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The lungs themselves sit within the thoracic cavity, enclosed by the pleural membranes. The right lung has three lobes and the left two, accommodating the position of the heart. The diaphragm, a dome-shaped skeletal muscle, forms the floor of the thoracic cavity and is the primary muscle of respiration.</w:t>
      </w:r>
    </w:p>
    <w:p w14:paraId="09A5A38E" w14:textId="2A6A3166"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 xml:space="preserve">Mechanical </w:t>
      </w:r>
      <w:proofErr w:type="gramStart"/>
      <w:r w:rsidRPr="00B12405">
        <w:rPr>
          <w:rFonts w:ascii="Arial" w:hAnsi="Arial" w:cs="Arial"/>
          <w:sz w:val="22"/>
          <w:szCs w:val="22"/>
        </w:rPr>
        <w:t>respiration</w:t>
      </w:r>
      <w:proofErr w:type="gramEnd"/>
      <w:r w:rsidRPr="00B12405">
        <w:rPr>
          <w:rFonts w:ascii="Arial" w:hAnsi="Arial" w:cs="Arial"/>
          <w:sz w:val="22"/>
          <w:szCs w:val="22"/>
        </w:rPr>
        <w:t xml:space="preserve"> </w:t>
      </w:r>
      <w:r w:rsidR="00293090">
        <w:rPr>
          <w:rFonts w:ascii="Arial" w:hAnsi="Arial" w:cs="Arial"/>
          <w:sz w:val="22"/>
          <w:szCs w:val="22"/>
        </w:rPr>
        <w:t>which is</w:t>
      </w:r>
      <w:r w:rsidRPr="00B12405">
        <w:rPr>
          <w:rFonts w:ascii="Arial" w:hAnsi="Arial" w:cs="Arial"/>
          <w:sz w:val="22"/>
          <w:szCs w:val="22"/>
        </w:rPr>
        <w:t xml:space="preserve"> the physical movement of air into and out of the </w:t>
      </w:r>
      <w:proofErr w:type="gramStart"/>
      <w:r w:rsidRPr="00B12405">
        <w:rPr>
          <w:rFonts w:ascii="Arial" w:hAnsi="Arial" w:cs="Arial"/>
          <w:sz w:val="22"/>
          <w:szCs w:val="22"/>
        </w:rPr>
        <w:t>lungs</w:t>
      </w:r>
      <w:proofErr w:type="gramEnd"/>
      <w:r w:rsidRPr="00B12405">
        <w:rPr>
          <w:rFonts w:ascii="Arial" w:hAnsi="Arial" w:cs="Arial"/>
          <w:sz w:val="22"/>
          <w:szCs w:val="22"/>
        </w:rPr>
        <w:t xml:space="preserve"> operates through changes in thoracic pressure and volume governed by Boyle's Law, which states that pressure and volume are inversely related in a closed system. During inhalation, the diaphragm contracts and flattens while the external intercostal muscles elevate the ribcage, increasing thoracic volume and reducing intrapulmonary pressure below atmospheric pressure, causing air to flow in. During exhalation at rest, this process reverses passively </w:t>
      </w:r>
      <w:r w:rsidR="00293090">
        <w:rPr>
          <w:rFonts w:ascii="Arial" w:hAnsi="Arial" w:cs="Arial"/>
          <w:sz w:val="22"/>
          <w:szCs w:val="22"/>
        </w:rPr>
        <w:t>as</w:t>
      </w:r>
      <w:r w:rsidRPr="00B12405">
        <w:rPr>
          <w:rFonts w:ascii="Arial" w:hAnsi="Arial" w:cs="Arial"/>
          <w:sz w:val="22"/>
          <w:szCs w:val="22"/>
        </w:rPr>
        <w:t xml:space="preserve"> the diaphragm relaxes, thoracic volume decreases, pressure rises</w:t>
      </w:r>
      <w:r w:rsidR="00D0442D">
        <w:rPr>
          <w:rFonts w:ascii="Arial" w:hAnsi="Arial" w:cs="Arial"/>
          <w:sz w:val="22"/>
          <w:szCs w:val="22"/>
        </w:rPr>
        <w:t xml:space="preserve"> and </w:t>
      </w:r>
      <w:r w:rsidRPr="00B12405">
        <w:rPr>
          <w:rFonts w:ascii="Arial" w:hAnsi="Arial" w:cs="Arial"/>
          <w:sz w:val="22"/>
          <w:szCs w:val="22"/>
        </w:rPr>
        <w:t>air is expelled. Forced exhalation, as occurs during exercise or coughing, recruits internal intercostal muscles and abdominal muscles to accelerate this process (</w:t>
      </w:r>
      <w:proofErr w:type="spellStart"/>
      <w:r w:rsidRPr="00B12405">
        <w:rPr>
          <w:rFonts w:ascii="Arial" w:hAnsi="Arial" w:cs="Arial"/>
          <w:sz w:val="22"/>
          <w:szCs w:val="22"/>
        </w:rPr>
        <w:t>Marieb</w:t>
      </w:r>
      <w:proofErr w:type="spellEnd"/>
      <w:r w:rsidRPr="00B12405">
        <w:rPr>
          <w:rFonts w:ascii="Arial" w:hAnsi="Arial" w:cs="Arial"/>
          <w:sz w:val="22"/>
          <w:szCs w:val="22"/>
        </w:rPr>
        <w:t xml:space="preserve"> and Hoehn, 2</w:t>
      </w:r>
      <w:r w:rsidR="00187414">
        <w:rPr>
          <w:rFonts w:ascii="Arial" w:hAnsi="Arial" w:cs="Arial"/>
          <w:sz w:val="22"/>
          <w:szCs w:val="22"/>
        </w:rPr>
        <w:t>007</w:t>
      </w:r>
      <w:r w:rsidRPr="00B12405">
        <w:rPr>
          <w:rFonts w:ascii="Arial" w:hAnsi="Arial" w:cs="Arial"/>
          <w:sz w:val="22"/>
          <w:szCs w:val="22"/>
        </w:rPr>
        <w:t>). In individuals with asthma, airway narrowing due to bronchoconstriction and mucosal oedema disrupts this otherwise efficient mechanical process, increasing the work of breathing and reducing airflow particularly during exhalation.</w:t>
      </w:r>
    </w:p>
    <w:p w14:paraId="7A8EE72C" w14:textId="4387D8C2" w:rsidR="00B12405" w:rsidRPr="00B12405" w:rsidRDefault="00B12405" w:rsidP="00746A9C">
      <w:pPr>
        <w:spacing w:line="360" w:lineRule="auto"/>
        <w:jc w:val="both"/>
        <w:rPr>
          <w:rFonts w:ascii="Arial" w:hAnsi="Arial" w:cs="Arial"/>
          <w:sz w:val="22"/>
          <w:szCs w:val="22"/>
        </w:rPr>
      </w:pPr>
      <w:r w:rsidRPr="00B12405">
        <w:rPr>
          <w:rFonts w:ascii="Arial" w:hAnsi="Arial" w:cs="Arial"/>
          <w:b/>
          <w:bCs/>
          <w:sz w:val="22"/>
          <w:szCs w:val="22"/>
        </w:rPr>
        <w:t>Gas Exchange in the Lungs</w:t>
      </w:r>
    </w:p>
    <w:p w14:paraId="5747783F" w14:textId="2200008B"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Gas exchange occurs at the alveolar-capillary interface</w:t>
      </w:r>
      <w:r w:rsidR="00293090">
        <w:rPr>
          <w:rFonts w:ascii="Arial" w:hAnsi="Arial" w:cs="Arial"/>
          <w:sz w:val="22"/>
          <w:szCs w:val="22"/>
        </w:rPr>
        <w:t>,</w:t>
      </w:r>
      <w:r w:rsidRPr="00B12405">
        <w:rPr>
          <w:rFonts w:ascii="Arial" w:hAnsi="Arial" w:cs="Arial"/>
          <w:sz w:val="22"/>
          <w:szCs w:val="22"/>
        </w:rPr>
        <w:t xml:space="preserve"> a remarkably thin membrane, less than 0.5 </w:t>
      </w:r>
      <w:r w:rsidR="00D0442D" w:rsidRPr="00B12405">
        <w:rPr>
          <w:rFonts w:ascii="Arial" w:hAnsi="Arial" w:cs="Arial"/>
          <w:sz w:val="22"/>
          <w:szCs w:val="22"/>
        </w:rPr>
        <w:t>micrometers</w:t>
      </w:r>
      <w:r w:rsidRPr="00B12405">
        <w:rPr>
          <w:rFonts w:ascii="Arial" w:hAnsi="Arial" w:cs="Arial"/>
          <w:sz w:val="22"/>
          <w:szCs w:val="22"/>
        </w:rPr>
        <w:t xml:space="preserve"> in places, across which oxygen and carbon dioxide move by simple diffusion driven by concentration gradients. The alveoli are surrounded by a dense network of pulmonary capillaries, creating an enormous surface area estimated at approximately 70 square </w:t>
      </w:r>
      <w:r w:rsidR="00D0442D" w:rsidRPr="00B12405">
        <w:rPr>
          <w:rFonts w:ascii="Arial" w:hAnsi="Arial" w:cs="Arial"/>
          <w:sz w:val="22"/>
          <w:szCs w:val="22"/>
        </w:rPr>
        <w:t>meters</w:t>
      </w:r>
      <w:r w:rsidRPr="00B12405">
        <w:rPr>
          <w:rFonts w:ascii="Arial" w:hAnsi="Arial" w:cs="Arial"/>
          <w:sz w:val="22"/>
          <w:szCs w:val="22"/>
        </w:rPr>
        <w:t xml:space="preserve"> in a healthy adult (West, 2012).</w:t>
      </w:r>
    </w:p>
    <w:p w14:paraId="6BDCED10" w14:textId="44D5A5D0"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 xml:space="preserve">Oxygen diffuses from the alveolar air where its partial pressure is relatively high (approximately 104 mmHg) into the pulmonary capillary blood, where oxygen partial pressure in deoxygenated blood arriving from the right heart is considerably lower (approximately 40 mmHg). </w:t>
      </w:r>
      <w:r w:rsidR="00522415" w:rsidRPr="00B12405">
        <w:rPr>
          <w:rFonts w:ascii="Arial" w:hAnsi="Arial" w:cs="Arial"/>
          <w:sz w:val="22"/>
          <w:szCs w:val="22"/>
        </w:rPr>
        <w:t xml:space="preserve">These </w:t>
      </w:r>
      <w:proofErr w:type="gramStart"/>
      <w:r w:rsidR="00522415" w:rsidRPr="00B12405">
        <w:rPr>
          <w:rFonts w:ascii="Arial" w:hAnsi="Arial" w:cs="Arial"/>
          <w:sz w:val="22"/>
          <w:szCs w:val="22"/>
        </w:rPr>
        <w:t>gradient</w:t>
      </w:r>
      <w:proofErr w:type="gramEnd"/>
      <w:r w:rsidR="00522415" w:rsidRPr="00B12405">
        <w:rPr>
          <w:rFonts w:ascii="Arial" w:hAnsi="Arial" w:cs="Arial"/>
          <w:sz w:val="22"/>
          <w:szCs w:val="22"/>
        </w:rPr>
        <w:t xml:space="preserve"> drives</w:t>
      </w:r>
      <w:r w:rsidRPr="00B12405">
        <w:rPr>
          <w:rFonts w:ascii="Arial" w:hAnsi="Arial" w:cs="Arial"/>
          <w:sz w:val="22"/>
          <w:szCs w:val="22"/>
        </w:rPr>
        <w:t xml:space="preserve"> rapid oxygen uptake. Once in the blood, </w:t>
      </w:r>
      <w:proofErr w:type="gramStart"/>
      <w:r w:rsidRPr="00B12405">
        <w:rPr>
          <w:rFonts w:ascii="Arial" w:hAnsi="Arial" w:cs="Arial"/>
          <w:sz w:val="22"/>
          <w:szCs w:val="22"/>
        </w:rPr>
        <w:t>the vast majority of</w:t>
      </w:r>
      <w:proofErr w:type="gramEnd"/>
      <w:r w:rsidRPr="00B12405">
        <w:rPr>
          <w:rFonts w:ascii="Arial" w:hAnsi="Arial" w:cs="Arial"/>
          <w:sz w:val="22"/>
          <w:szCs w:val="22"/>
        </w:rPr>
        <w:t xml:space="preserve"> oxygen binds to </w:t>
      </w:r>
      <w:r w:rsidR="00D0442D" w:rsidRPr="00B12405">
        <w:rPr>
          <w:rFonts w:ascii="Arial" w:hAnsi="Arial" w:cs="Arial"/>
          <w:sz w:val="22"/>
          <w:szCs w:val="22"/>
        </w:rPr>
        <w:t>hemoglobin</w:t>
      </w:r>
      <w:r w:rsidRPr="00B12405">
        <w:rPr>
          <w:rFonts w:ascii="Arial" w:hAnsi="Arial" w:cs="Arial"/>
          <w:sz w:val="22"/>
          <w:szCs w:val="22"/>
        </w:rPr>
        <w:t xml:space="preserve"> within red blood cells to form </w:t>
      </w:r>
      <w:r w:rsidR="00D0442D" w:rsidRPr="00B12405">
        <w:rPr>
          <w:rFonts w:ascii="Arial" w:hAnsi="Arial" w:cs="Arial"/>
          <w:sz w:val="22"/>
          <w:szCs w:val="22"/>
        </w:rPr>
        <w:t>oxyhemoglobin</w:t>
      </w:r>
      <w:r w:rsidRPr="00B12405">
        <w:rPr>
          <w:rFonts w:ascii="Arial" w:hAnsi="Arial" w:cs="Arial"/>
          <w:sz w:val="22"/>
          <w:szCs w:val="22"/>
        </w:rPr>
        <w:t xml:space="preserve">, which is then transported to tissues throughout the body. A small fraction dissolves directly </w:t>
      </w:r>
      <w:proofErr w:type="gramStart"/>
      <w:r w:rsidRPr="00B12405">
        <w:rPr>
          <w:rFonts w:ascii="Arial" w:hAnsi="Arial" w:cs="Arial"/>
          <w:sz w:val="22"/>
          <w:szCs w:val="22"/>
        </w:rPr>
        <w:t>in</w:t>
      </w:r>
      <w:proofErr w:type="gramEnd"/>
      <w:r w:rsidRPr="00B12405">
        <w:rPr>
          <w:rFonts w:ascii="Arial" w:hAnsi="Arial" w:cs="Arial"/>
          <w:sz w:val="22"/>
          <w:szCs w:val="22"/>
        </w:rPr>
        <w:t xml:space="preserve"> plasma.</w:t>
      </w:r>
    </w:p>
    <w:p w14:paraId="5660F7D3" w14:textId="5BAB1213"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lastRenderedPageBreak/>
        <w:t xml:space="preserve">Carbon dioxide moves in the opposite direction. Produced as a metabolic waste product in peripheral tissues, it is carried in the blood primarily as bicarbonate ions (approximately 70%), with smaller proportions bound to </w:t>
      </w:r>
      <w:r w:rsidR="00D0442D" w:rsidRPr="00B12405">
        <w:rPr>
          <w:rFonts w:ascii="Arial" w:hAnsi="Arial" w:cs="Arial"/>
          <w:sz w:val="22"/>
          <w:szCs w:val="22"/>
        </w:rPr>
        <w:t>hemoglobin</w:t>
      </w:r>
      <w:r w:rsidRPr="00B12405">
        <w:rPr>
          <w:rFonts w:ascii="Arial" w:hAnsi="Arial" w:cs="Arial"/>
          <w:sz w:val="22"/>
          <w:szCs w:val="22"/>
        </w:rPr>
        <w:t xml:space="preserve"> as </w:t>
      </w:r>
      <w:r w:rsidR="00D0442D" w:rsidRPr="00B12405">
        <w:rPr>
          <w:rFonts w:ascii="Arial" w:hAnsi="Arial" w:cs="Arial"/>
          <w:sz w:val="22"/>
          <w:szCs w:val="22"/>
        </w:rPr>
        <w:t>carbaminohemoglobin</w:t>
      </w:r>
      <w:r w:rsidRPr="00B12405">
        <w:rPr>
          <w:rFonts w:ascii="Arial" w:hAnsi="Arial" w:cs="Arial"/>
          <w:sz w:val="22"/>
          <w:szCs w:val="22"/>
        </w:rPr>
        <w:t xml:space="preserve"> or dissolved in plasma. At the alveolar-capillary membrane, carbon dioxide diffuses from the blood where its partial pressure is higher (approximately 45 mmHg) into the alveoli where it is lower (approximately 40 mmHg)</w:t>
      </w:r>
      <w:r w:rsidR="00D0442D">
        <w:rPr>
          <w:rFonts w:ascii="Arial" w:hAnsi="Arial" w:cs="Arial"/>
          <w:sz w:val="22"/>
          <w:szCs w:val="22"/>
        </w:rPr>
        <w:t xml:space="preserve"> and </w:t>
      </w:r>
      <w:r w:rsidRPr="00B12405">
        <w:rPr>
          <w:rFonts w:ascii="Arial" w:hAnsi="Arial" w:cs="Arial"/>
          <w:sz w:val="22"/>
          <w:szCs w:val="22"/>
        </w:rPr>
        <w:t>is subsequently expelled during exhalation (Tortora and Derrickson, 201</w:t>
      </w:r>
      <w:r w:rsidR="00187414">
        <w:rPr>
          <w:rFonts w:ascii="Arial" w:hAnsi="Arial" w:cs="Arial"/>
          <w:sz w:val="22"/>
          <w:szCs w:val="22"/>
        </w:rPr>
        <w:t>8</w:t>
      </w:r>
      <w:r w:rsidRPr="00B12405">
        <w:rPr>
          <w:rFonts w:ascii="Arial" w:hAnsi="Arial" w:cs="Arial"/>
          <w:sz w:val="22"/>
          <w:szCs w:val="22"/>
        </w:rPr>
        <w:t>). In asthma, thickened and inflamed airway walls, mucus plugging</w:t>
      </w:r>
      <w:r w:rsidR="00D0442D">
        <w:rPr>
          <w:rFonts w:ascii="Arial" w:hAnsi="Arial" w:cs="Arial"/>
          <w:sz w:val="22"/>
          <w:szCs w:val="22"/>
        </w:rPr>
        <w:t xml:space="preserve"> and </w:t>
      </w:r>
      <w:r w:rsidRPr="00B12405">
        <w:rPr>
          <w:rFonts w:ascii="Arial" w:hAnsi="Arial" w:cs="Arial"/>
          <w:sz w:val="22"/>
          <w:szCs w:val="22"/>
        </w:rPr>
        <w:t xml:space="preserve">bronchoconstriction reduce the efficiency of this exchange, contributing to </w:t>
      </w:r>
      <w:r w:rsidR="00D0442D" w:rsidRPr="00B12405">
        <w:rPr>
          <w:rFonts w:ascii="Arial" w:hAnsi="Arial" w:cs="Arial"/>
          <w:sz w:val="22"/>
          <w:szCs w:val="22"/>
        </w:rPr>
        <w:t>hypoxemia</w:t>
      </w:r>
      <w:r w:rsidRPr="00B12405">
        <w:rPr>
          <w:rFonts w:ascii="Arial" w:hAnsi="Arial" w:cs="Arial"/>
          <w:sz w:val="22"/>
          <w:szCs w:val="22"/>
        </w:rPr>
        <w:t xml:space="preserve"> and hypercapnia during severe exacerbations.</w:t>
      </w:r>
    </w:p>
    <w:p w14:paraId="61103537" w14:textId="12F820D7" w:rsidR="00B12405" w:rsidRPr="00B12405" w:rsidRDefault="00B12405" w:rsidP="00746A9C">
      <w:pPr>
        <w:spacing w:line="360" w:lineRule="auto"/>
        <w:jc w:val="both"/>
        <w:rPr>
          <w:rFonts w:ascii="Arial" w:hAnsi="Arial" w:cs="Arial"/>
          <w:sz w:val="22"/>
          <w:szCs w:val="22"/>
        </w:rPr>
      </w:pPr>
      <w:r w:rsidRPr="00B12405">
        <w:rPr>
          <w:rFonts w:ascii="Arial" w:hAnsi="Arial" w:cs="Arial"/>
          <w:b/>
          <w:bCs/>
          <w:sz w:val="22"/>
          <w:szCs w:val="22"/>
        </w:rPr>
        <w:t>Irritants, Airway Inflammation</w:t>
      </w:r>
      <w:r w:rsidR="00D0442D">
        <w:rPr>
          <w:rFonts w:ascii="Arial" w:hAnsi="Arial" w:cs="Arial"/>
          <w:b/>
          <w:bCs/>
          <w:sz w:val="22"/>
          <w:szCs w:val="22"/>
        </w:rPr>
        <w:t xml:space="preserve"> and </w:t>
      </w:r>
      <w:r w:rsidRPr="00B12405">
        <w:rPr>
          <w:rFonts w:ascii="Arial" w:hAnsi="Arial" w:cs="Arial"/>
          <w:b/>
          <w:bCs/>
          <w:sz w:val="22"/>
          <w:szCs w:val="22"/>
        </w:rPr>
        <w:t>the Impact on Respiration</w:t>
      </w:r>
    </w:p>
    <w:p w14:paraId="45D65779" w14:textId="5839F286"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When the respiratory system is repeatedly exposed to irritants including tobacco smoke, vape aerosols, allergens</w:t>
      </w:r>
      <w:r w:rsidR="00D0442D">
        <w:rPr>
          <w:rFonts w:ascii="Arial" w:hAnsi="Arial" w:cs="Arial"/>
          <w:sz w:val="22"/>
          <w:szCs w:val="22"/>
        </w:rPr>
        <w:t xml:space="preserve"> or </w:t>
      </w:r>
      <w:r w:rsidRPr="00B12405">
        <w:rPr>
          <w:rFonts w:ascii="Arial" w:hAnsi="Arial" w:cs="Arial"/>
          <w:sz w:val="22"/>
          <w:szCs w:val="22"/>
        </w:rPr>
        <w:t xml:space="preserve">airborne </w:t>
      </w:r>
      <w:proofErr w:type="gramStart"/>
      <w:r w:rsidRPr="00B12405">
        <w:rPr>
          <w:rFonts w:ascii="Arial" w:hAnsi="Arial" w:cs="Arial"/>
          <w:sz w:val="22"/>
          <w:szCs w:val="22"/>
        </w:rPr>
        <w:t>pathogens</w:t>
      </w:r>
      <w:proofErr w:type="gramEnd"/>
      <w:r w:rsidRPr="00B12405">
        <w:rPr>
          <w:rFonts w:ascii="Arial" w:hAnsi="Arial" w:cs="Arial"/>
          <w:sz w:val="22"/>
          <w:szCs w:val="22"/>
        </w:rPr>
        <w:t xml:space="preserve"> a cascade of inflammatory responses is triggered within the airway mucosa. Mast cells, eosinophils, T-lymphocytes</w:t>
      </w:r>
      <w:r w:rsidR="00D0442D">
        <w:rPr>
          <w:rFonts w:ascii="Arial" w:hAnsi="Arial" w:cs="Arial"/>
          <w:sz w:val="22"/>
          <w:szCs w:val="22"/>
        </w:rPr>
        <w:t xml:space="preserve"> and </w:t>
      </w:r>
      <w:r w:rsidRPr="00B12405">
        <w:rPr>
          <w:rFonts w:ascii="Arial" w:hAnsi="Arial" w:cs="Arial"/>
          <w:sz w:val="22"/>
          <w:szCs w:val="22"/>
        </w:rPr>
        <w:t>macrophages are recruited to the site of irritation and release pro-inflammatory mediators including histamine, leukotrienes</w:t>
      </w:r>
      <w:r w:rsidR="00D0442D">
        <w:rPr>
          <w:rFonts w:ascii="Arial" w:hAnsi="Arial" w:cs="Arial"/>
          <w:sz w:val="22"/>
          <w:szCs w:val="22"/>
        </w:rPr>
        <w:t xml:space="preserve"> and </w:t>
      </w:r>
      <w:r w:rsidRPr="00B12405">
        <w:rPr>
          <w:rFonts w:ascii="Arial" w:hAnsi="Arial" w:cs="Arial"/>
          <w:sz w:val="22"/>
          <w:szCs w:val="22"/>
        </w:rPr>
        <w:t xml:space="preserve">interleukins. These mediators cause vasodilation and </w:t>
      </w:r>
      <w:proofErr w:type="gramStart"/>
      <w:r w:rsidRPr="00B12405">
        <w:rPr>
          <w:rFonts w:ascii="Arial" w:hAnsi="Arial" w:cs="Arial"/>
          <w:sz w:val="22"/>
          <w:szCs w:val="22"/>
        </w:rPr>
        <w:t>increased</w:t>
      </w:r>
      <w:proofErr w:type="gramEnd"/>
      <w:r w:rsidRPr="00B12405">
        <w:rPr>
          <w:rFonts w:ascii="Arial" w:hAnsi="Arial" w:cs="Arial"/>
          <w:sz w:val="22"/>
          <w:szCs w:val="22"/>
        </w:rPr>
        <w:t xml:space="preserve"> vascular permeability in bronchial tissue, resulting in mucosal oedema</w:t>
      </w:r>
      <w:r w:rsidR="00293090">
        <w:rPr>
          <w:rFonts w:ascii="Arial" w:hAnsi="Arial" w:cs="Arial"/>
          <w:sz w:val="22"/>
          <w:szCs w:val="22"/>
        </w:rPr>
        <w:t xml:space="preserve"> which is the</w:t>
      </w:r>
      <w:r w:rsidRPr="00B12405">
        <w:rPr>
          <w:rFonts w:ascii="Arial" w:hAnsi="Arial" w:cs="Arial"/>
          <w:sz w:val="22"/>
          <w:szCs w:val="22"/>
        </w:rPr>
        <w:t xml:space="preserve"> swelling of the airway lining that physically narrows the lumen through which air must pass (Barnes, 2008).</w:t>
      </w:r>
    </w:p>
    <w:p w14:paraId="4AE6844A" w14:textId="2CE147A2"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Simultaneously, smooth muscle encircling the bronchi and bronchioles contracts in response to these mediators, causing bronchoconstriction that further reduces airway diameter. Goblet cells within the mucosa are stimulated to overproduce mucus, which accumulates within already narrowed airways, creating partial or complete obstruction in the smaller bronchioles. The combined effect of oedema, bronchoconstriction</w:t>
      </w:r>
      <w:r w:rsidR="00D0442D">
        <w:rPr>
          <w:rFonts w:ascii="Arial" w:hAnsi="Arial" w:cs="Arial"/>
          <w:sz w:val="22"/>
          <w:szCs w:val="22"/>
        </w:rPr>
        <w:t xml:space="preserve"> and </w:t>
      </w:r>
      <w:r w:rsidRPr="00B12405">
        <w:rPr>
          <w:rFonts w:ascii="Arial" w:hAnsi="Arial" w:cs="Arial"/>
          <w:sz w:val="22"/>
          <w:szCs w:val="22"/>
        </w:rPr>
        <w:t>mucus plugging substantially increases airway resistance.</w:t>
      </w:r>
    </w:p>
    <w:p w14:paraId="7A79640C" w14:textId="0E514079"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 xml:space="preserve">The physiological consequence is a significant reduction in expiratory flow </w:t>
      </w:r>
      <w:r w:rsidR="00293090">
        <w:rPr>
          <w:rFonts w:ascii="Arial" w:hAnsi="Arial" w:cs="Arial"/>
          <w:sz w:val="22"/>
          <w:szCs w:val="22"/>
        </w:rPr>
        <w:t>as</w:t>
      </w:r>
      <w:r w:rsidRPr="00B12405">
        <w:rPr>
          <w:rFonts w:ascii="Arial" w:hAnsi="Arial" w:cs="Arial"/>
          <w:sz w:val="22"/>
          <w:szCs w:val="22"/>
        </w:rPr>
        <w:t xml:space="preserve"> air can be drawn in with effort but becomes trapped distally as airways collapse during exhalation, leading to air trapping and hyperinflation of the lungs. This is experienced clinically as the characteristic wheeze, prolonged expiration</w:t>
      </w:r>
      <w:r w:rsidR="00D0442D">
        <w:rPr>
          <w:rFonts w:ascii="Arial" w:hAnsi="Arial" w:cs="Arial"/>
          <w:sz w:val="22"/>
          <w:szCs w:val="22"/>
        </w:rPr>
        <w:t xml:space="preserve"> and </w:t>
      </w:r>
      <w:r w:rsidRPr="00B12405">
        <w:rPr>
          <w:rFonts w:ascii="Arial" w:hAnsi="Arial" w:cs="Arial"/>
          <w:sz w:val="22"/>
          <w:szCs w:val="22"/>
        </w:rPr>
        <w:t xml:space="preserve">breathlessness of an asthma exacerbation. With chronic or repeated exposure to irritants, structural changes </w:t>
      </w:r>
      <w:r w:rsidR="00293090">
        <w:rPr>
          <w:rFonts w:ascii="Arial" w:hAnsi="Arial" w:cs="Arial"/>
          <w:sz w:val="22"/>
          <w:szCs w:val="22"/>
        </w:rPr>
        <w:t xml:space="preserve">which </w:t>
      </w:r>
      <w:proofErr w:type="gramStart"/>
      <w:r w:rsidR="00293090">
        <w:rPr>
          <w:rFonts w:ascii="Arial" w:hAnsi="Arial" w:cs="Arial"/>
          <w:sz w:val="22"/>
          <w:szCs w:val="22"/>
        </w:rPr>
        <w:t>is</w:t>
      </w:r>
      <w:proofErr w:type="gramEnd"/>
      <w:r w:rsidRPr="00B12405">
        <w:rPr>
          <w:rFonts w:ascii="Arial" w:hAnsi="Arial" w:cs="Arial"/>
          <w:sz w:val="22"/>
          <w:szCs w:val="22"/>
        </w:rPr>
        <w:t xml:space="preserve"> known collectively as airway </w:t>
      </w:r>
      <w:r w:rsidR="00D0442D" w:rsidRPr="00B12405">
        <w:rPr>
          <w:rFonts w:ascii="Arial" w:hAnsi="Arial" w:cs="Arial"/>
          <w:sz w:val="22"/>
          <w:szCs w:val="22"/>
        </w:rPr>
        <w:t>remodeling</w:t>
      </w:r>
      <w:r w:rsidRPr="00B12405">
        <w:rPr>
          <w:rFonts w:ascii="Arial" w:hAnsi="Arial" w:cs="Arial"/>
          <w:sz w:val="22"/>
          <w:szCs w:val="22"/>
        </w:rPr>
        <w:t xml:space="preserve"> can occur, including subepithelial fibrosis, smooth muscle hypertrophy</w:t>
      </w:r>
      <w:r w:rsidR="00D0442D">
        <w:rPr>
          <w:rFonts w:ascii="Arial" w:hAnsi="Arial" w:cs="Arial"/>
          <w:sz w:val="22"/>
          <w:szCs w:val="22"/>
        </w:rPr>
        <w:t xml:space="preserve"> and </w:t>
      </w:r>
      <w:r w:rsidRPr="00B12405">
        <w:rPr>
          <w:rFonts w:ascii="Arial" w:hAnsi="Arial" w:cs="Arial"/>
          <w:sz w:val="22"/>
          <w:szCs w:val="22"/>
        </w:rPr>
        <w:t xml:space="preserve">permanent thickening of the airway wall, resulting in a degree of fixed airflow obstruction that is no longer fully reversible (Holgate, 2011). In adolescents who take up smoking or vaping, this </w:t>
      </w:r>
      <w:r w:rsidR="00D0442D" w:rsidRPr="00B12405">
        <w:rPr>
          <w:rFonts w:ascii="Arial" w:hAnsi="Arial" w:cs="Arial"/>
          <w:sz w:val="22"/>
          <w:szCs w:val="22"/>
        </w:rPr>
        <w:t>remodeling</w:t>
      </w:r>
      <w:r w:rsidRPr="00B12405">
        <w:rPr>
          <w:rFonts w:ascii="Arial" w:hAnsi="Arial" w:cs="Arial"/>
          <w:sz w:val="22"/>
          <w:szCs w:val="22"/>
        </w:rPr>
        <w:t xml:space="preserve"> process is accelerated, compounding the existing inflammatory burden of their asthma.</w:t>
      </w:r>
    </w:p>
    <w:p w14:paraId="6BDEC655" w14:textId="77777777" w:rsidR="00522415" w:rsidRDefault="00522415" w:rsidP="00746A9C">
      <w:pPr>
        <w:spacing w:line="360" w:lineRule="auto"/>
        <w:jc w:val="both"/>
        <w:rPr>
          <w:rFonts w:ascii="Arial" w:hAnsi="Arial" w:cs="Arial"/>
          <w:b/>
          <w:bCs/>
          <w:sz w:val="22"/>
          <w:szCs w:val="22"/>
        </w:rPr>
      </w:pPr>
    </w:p>
    <w:p w14:paraId="1E002B81" w14:textId="4926AD9A" w:rsidR="00B12405" w:rsidRPr="00B12405" w:rsidRDefault="00B12405" w:rsidP="00746A9C">
      <w:pPr>
        <w:spacing w:line="360" w:lineRule="auto"/>
        <w:jc w:val="both"/>
        <w:rPr>
          <w:rFonts w:ascii="Arial" w:hAnsi="Arial" w:cs="Arial"/>
          <w:sz w:val="22"/>
          <w:szCs w:val="22"/>
        </w:rPr>
      </w:pPr>
      <w:r w:rsidRPr="00B12405">
        <w:rPr>
          <w:rFonts w:ascii="Arial" w:hAnsi="Arial" w:cs="Arial"/>
          <w:b/>
          <w:bCs/>
          <w:sz w:val="22"/>
          <w:szCs w:val="22"/>
        </w:rPr>
        <w:t>Monitoring Respiratory Function: Peak Flow and Self-Management</w:t>
      </w:r>
    </w:p>
    <w:p w14:paraId="0791B32E" w14:textId="7B63BC26"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Peak expiratory flow (PEF) measurement is one of the most practical and accessible tools available to individuals with asthma for monitoring their respiratory status. Peak flow is measured using a handheld peak flow meter and reflects the maximum speed at which air can be forcibly expelled from the lungs following a full inhalation</w:t>
      </w:r>
      <w:r w:rsidR="00293090">
        <w:rPr>
          <w:rFonts w:ascii="Arial" w:hAnsi="Arial" w:cs="Arial"/>
          <w:sz w:val="22"/>
          <w:szCs w:val="22"/>
        </w:rPr>
        <w:t>,</w:t>
      </w:r>
      <w:r w:rsidRPr="00B12405">
        <w:rPr>
          <w:rFonts w:ascii="Arial" w:hAnsi="Arial" w:cs="Arial"/>
          <w:sz w:val="22"/>
          <w:szCs w:val="22"/>
        </w:rPr>
        <w:t xml:space="preserve"> a measurement that is directly sensitive to the degree of airway narrowing present at the time of testing (NI</w:t>
      </w:r>
      <w:r w:rsidR="00187414">
        <w:rPr>
          <w:rFonts w:ascii="Arial" w:hAnsi="Arial" w:cs="Arial"/>
          <w:sz w:val="22"/>
          <w:szCs w:val="22"/>
        </w:rPr>
        <w:t>H</w:t>
      </w:r>
      <w:r w:rsidRPr="00B12405">
        <w:rPr>
          <w:rFonts w:ascii="Arial" w:hAnsi="Arial" w:cs="Arial"/>
          <w:sz w:val="22"/>
          <w:szCs w:val="22"/>
        </w:rPr>
        <w:t>CE, 2017).</w:t>
      </w:r>
    </w:p>
    <w:p w14:paraId="7B93B1D7" w14:textId="5A915619"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 xml:space="preserve">Regular peak flow monitoring serves several important clinical purposes. First, it provides an objective measure of lung function that complements symptom reporting, which can be unreliable </w:t>
      </w:r>
      <w:r w:rsidR="00293090">
        <w:rPr>
          <w:rFonts w:ascii="Arial" w:hAnsi="Arial" w:cs="Arial"/>
          <w:sz w:val="22"/>
          <w:szCs w:val="22"/>
        </w:rPr>
        <w:t>as</w:t>
      </w:r>
      <w:r w:rsidRPr="00B12405">
        <w:rPr>
          <w:rFonts w:ascii="Arial" w:hAnsi="Arial" w:cs="Arial"/>
          <w:sz w:val="22"/>
          <w:szCs w:val="22"/>
        </w:rPr>
        <w:t xml:space="preserve"> some individuals adapt to gradually worsening lung function and underestimate the severity of their condition. Second, tracking peak flow readings over time allows both the individual and their clinical team to identify patterns </w:t>
      </w:r>
      <w:r w:rsidR="00293090">
        <w:rPr>
          <w:rFonts w:ascii="Arial" w:hAnsi="Arial" w:cs="Arial"/>
          <w:sz w:val="22"/>
          <w:szCs w:val="22"/>
        </w:rPr>
        <w:t>such as</w:t>
      </w:r>
      <w:r w:rsidRPr="00B12405">
        <w:rPr>
          <w:rFonts w:ascii="Arial" w:hAnsi="Arial" w:cs="Arial"/>
          <w:sz w:val="22"/>
          <w:szCs w:val="22"/>
        </w:rPr>
        <w:t xml:space="preserve"> morning dips in peak flow, for instance, are a </w:t>
      </w:r>
      <w:r w:rsidR="00D0442D" w:rsidRPr="00B12405">
        <w:rPr>
          <w:rFonts w:ascii="Arial" w:hAnsi="Arial" w:cs="Arial"/>
          <w:sz w:val="22"/>
          <w:szCs w:val="22"/>
        </w:rPr>
        <w:t>recognized</w:t>
      </w:r>
      <w:r w:rsidRPr="00B12405">
        <w:rPr>
          <w:rFonts w:ascii="Arial" w:hAnsi="Arial" w:cs="Arial"/>
          <w:sz w:val="22"/>
          <w:szCs w:val="22"/>
        </w:rPr>
        <w:t xml:space="preserve"> marker of poorly controlled asthma and nocturnal airway inflammation. Third, when incorporated into a </w:t>
      </w:r>
      <w:r w:rsidR="00D0442D" w:rsidRPr="00B12405">
        <w:rPr>
          <w:rFonts w:ascii="Arial" w:hAnsi="Arial" w:cs="Arial"/>
          <w:sz w:val="22"/>
          <w:szCs w:val="22"/>
        </w:rPr>
        <w:t>personalized</w:t>
      </w:r>
      <w:r w:rsidRPr="00B12405">
        <w:rPr>
          <w:rFonts w:ascii="Arial" w:hAnsi="Arial" w:cs="Arial"/>
          <w:sz w:val="22"/>
          <w:szCs w:val="22"/>
        </w:rPr>
        <w:t xml:space="preserve"> asthma action plan, peak flow zones</w:t>
      </w:r>
      <w:r w:rsidR="00293090">
        <w:rPr>
          <w:rFonts w:ascii="Arial" w:hAnsi="Arial" w:cs="Arial"/>
          <w:sz w:val="22"/>
          <w:szCs w:val="22"/>
        </w:rPr>
        <w:t>,</w:t>
      </w:r>
      <w:r w:rsidRPr="00B12405">
        <w:rPr>
          <w:rFonts w:ascii="Arial" w:hAnsi="Arial" w:cs="Arial"/>
          <w:sz w:val="22"/>
          <w:szCs w:val="22"/>
        </w:rPr>
        <w:t xml:space="preserve"> typically </w:t>
      </w:r>
      <w:proofErr w:type="spellStart"/>
      <w:r w:rsidRPr="00B12405">
        <w:rPr>
          <w:rFonts w:ascii="Arial" w:hAnsi="Arial" w:cs="Arial"/>
          <w:sz w:val="22"/>
          <w:szCs w:val="22"/>
        </w:rPr>
        <w:t>colour</w:t>
      </w:r>
      <w:proofErr w:type="spellEnd"/>
      <w:r w:rsidRPr="00B12405">
        <w:rPr>
          <w:rFonts w:ascii="Arial" w:hAnsi="Arial" w:cs="Arial"/>
          <w:sz w:val="22"/>
          <w:szCs w:val="22"/>
        </w:rPr>
        <w:t>-coded green, amber</w:t>
      </w:r>
      <w:r w:rsidR="00D0442D">
        <w:rPr>
          <w:rFonts w:ascii="Arial" w:hAnsi="Arial" w:cs="Arial"/>
          <w:sz w:val="22"/>
          <w:szCs w:val="22"/>
        </w:rPr>
        <w:t xml:space="preserve"> and </w:t>
      </w:r>
      <w:r w:rsidRPr="00B12405">
        <w:rPr>
          <w:rFonts w:ascii="Arial" w:hAnsi="Arial" w:cs="Arial"/>
          <w:sz w:val="22"/>
          <w:szCs w:val="22"/>
        </w:rPr>
        <w:t>red give individuals clear, pre-agreed guidance on when to step up medication, seek urgent review</w:t>
      </w:r>
      <w:r w:rsidR="00D0442D">
        <w:rPr>
          <w:rFonts w:ascii="Arial" w:hAnsi="Arial" w:cs="Arial"/>
          <w:sz w:val="22"/>
          <w:szCs w:val="22"/>
        </w:rPr>
        <w:t xml:space="preserve"> or </w:t>
      </w:r>
      <w:r w:rsidRPr="00B12405">
        <w:rPr>
          <w:rFonts w:ascii="Arial" w:hAnsi="Arial" w:cs="Arial"/>
          <w:sz w:val="22"/>
          <w:szCs w:val="22"/>
        </w:rPr>
        <w:t>call emergency services (</w:t>
      </w:r>
      <w:r w:rsidR="00F568D7" w:rsidRPr="00F568D7">
        <w:rPr>
          <w:rFonts w:ascii="Arial" w:hAnsi="Arial" w:cs="Arial"/>
          <w:sz w:val="22"/>
          <w:szCs w:val="22"/>
        </w:rPr>
        <w:t>British Thoracic Society, 202</w:t>
      </w:r>
      <w:r w:rsidR="00F568D7">
        <w:rPr>
          <w:rFonts w:ascii="Arial" w:hAnsi="Arial" w:cs="Arial"/>
          <w:sz w:val="22"/>
          <w:szCs w:val="22"/>
        </w:rPr>
        <w:t>1</w:t>
      </w:r>
      <w:r w:rsidRPr="00B12405">
        <w:rPr>
          <w:rFonts w:ascii="Arial" w:hAnsi="Arial" w:cs="Arial"/>
          <w:sz w:val="22"/>
          <w:szCs w:val="22"/>
        </w:rPr>
        <w:t>).</w:t>
      </w:r>
    </w:p>
    <w:p w14:paraId="508FF869" w14:textId="6FF35D63"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 xml:space="preserve">For adolescents, self-monitoring through peak flow diaries also promotes engagement with their own health management </w:t>
      </w:r>
      <w:r w:rsidR="00293090">
        <w:rPr>
          <w:rFonts w:ascii="Arial" w:hAnsi="Arial" w:cs="Arial"/>
          <w:sz w:val="22"/>
          <w:szCs w:val="22"/>
        </w:rPr>
        <w:t>which is</w:t>
      </w:r>
      <w:r w:rsidRPr="00B12405">
        <w:rPr>
          <w:rFonts w:ascii="Arial" w:hAnsi="Arial" w:cs="Arial"/>
          <w:sz w:val="22"/>
          <w:szCs w:val="22"/>
        </w:rPr>
        <w:t xml:space="preserve"> an important factor given that adherence to treatment plans tends to decline in this age group. Digital peak flow meters and smartphone applications that log readings and generate trend data are increasingly available and may support better engagement among technologically familiar young people (Marcano Belisario </w:t>
      </w:r>
      <w:r w:rsidRPr="00F568D7">
        <w:rPr>
          <w:rFonts w:ascii="Arial" w:hAnsi="Arial" w:cs="Arial"/>
          <w:i/>
          <w:iCs/>
          <w:sz w:val="22"/>
          <w:szCs w:val="22"/>
        </w:rPr>
        <w:t>et al</w:t>
      </w:r>
      <w:r w:rsidRPr="00B12405">
        <w:rPr>
          <w:rFonts w:ascii="Arial" w:hAnsi="Arial" w:cs="Arial"/>
          <w:sz w:val="22"/>
          <w:szCs w:val="22"/>
        </w:rPr>
        <w:t>., 2013).</w:t>
      </w:r>
    </w:p>
    <w:p w14:paraId="3E39B9F9" w14:textId="0A5E78AB" w:rsidR="00B12405" w:rsidRPr="00B12405" w:rsidRDefault="00B12405" w:rsidP="00746A9C">
      <w:pPr>
        <w:spacing w:line="360" w:lineRule="auto"/>
        <w:jc w:val="both"/>
        <w:rPr>
          <w:rFonts w:ascii="Arial" w:hAnsi="Arial" w:cs="Arial"/>
          <w:sz w:val="22"/>
          <w:szCs w:val="22"/>
        </w:rPr>
      </w:pPr>
      <w:r w:rsidRPr="00B12405">
        <w:rPr>
          <w:rFonts w:ascii="Arial" w:hAnsi="Arial" w:cs="Arial"/>
          <w:b/>
          <w:bCs/>
          <w:sz w:val="22"/>
          <w:szCs w:val="22"/>
        </w:rPr>
        <w:t>Evidence-Based Recommendations for Lifestyle Change</w:t>
      </w:r>
    </w:p>
    <w:p w14:paraId="47A05987" w14:textId="77777777"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The evidence base for lifestyle modification in adolescent asthma management is substantial and should form a central component of any patient education intervention delivered in the clinic setting.</w:t>
      </w:r>
    </w:p>
    <w:p w14:paraId="6D97623D" w14:textId="70A53488"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 xml:space="preserve">Smoking cessation is the single most impactful lifestyle change an adolescent with asthma can make. Tobacco smoke contains over 7,000 chemicals, many of which are direct bronchial irritants and pro-inflammatory agents. Continued smoking accelerates airway </w:t>
      </w:r>
      <w:r w:rsidR="00D0442D" w:rsidRPr="00B12405">
        <w:rPr>
          <w:rFonts w:ascii="Arial" w:hAnsi="Arial" w:cs="Arial"/>
          <w:sz w:val="22"/>
          <w:szCs w:val="22"/>
        </w:rPr>
        <w:t>remodeling</w:t>
      </w:r>
      <w:r w:rsidRPr="00B12405">
        <w:rPr>
          <w:rFonts w:ascii="Arial" w:hAnsi="Arial" w:cs="Arial"/>
          <w:sz w:val="22"/>
          <w:szCs w:val="22"/>
        </w:rPr>
        <w:t>, reduces responsiveness to inhaled corticosteroids</w:t>
      </w:r>
      <w:r w:rsidR="00D0442D">
        <w:rPr>
          <w:rFonts w:ascii="Arial" w:hAnsi="Arial" w:cs="Arial"/>
          <w:sz w:val="22"/>
          <w:szCs w:val="22"/>
        </w:rPr>
        <w:t xml:space="preserve"> and </w:t>
      </w:r>
      <w:r w:rsidRPr="00B12405">
        <w:rPr>
          <w:rFonts w:ascii="Arial" w:hAnsi="Arial" w:cs="Arial"/>
          <w:sz w:val="22"/>
          <w:szCs w:val="22"/>
        </w:rPr>
        <w:t>is associated with significantly worse asthma outcomes (Thomson, 2012). Motivational interviewing, nicotine replacement therapy</w:t>
      </w:r>
      <w:r w:rsidR="00D0442D">
        <w:rPr>
          <w:rFonts w:ascii="Arial" w:hAnsi="Arial" w:cs="Arial"/>
          <w:sz w:val="22"/>
          <w:szCs w:val="22"/>
        </w:rPr>
        <w:t xml:space="preserve"> and </w:t>
      </w:r>
      <w:r w:rsidRPr="00B12405">
        <w:rPr>
          <w:rFonts w:ascii="Arial" w:hAnsi="Arial" w:cs="Arial"/>
          <w:sz w:val="22"/>
          <w:szCs w:val="22"/>
        </w:rPr>
        <w:t xml:space="preserve">referral </w:t>
      </w:r>
      <w:r w:rsidRPr="00B12405">
        <w:rPr>
          <w:rFonts w:ascii="Arial" w:hAnsi="Arial" w:cs="Arial"/>
          <w:sz w:val="22"/>
          <w:szCs w:val="22"/>
        </w:rPr>
        <w:lastRenderedPageBreak/>
        <w:t>to specialist stop-smoking services are all recommended components of a cessation support package for young people.</w:t>
      </w:r>
    </w:p>
    <w:p w14:paraId="63A0A1F6" w14:textId="29B7C34D"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Vaping, while often perceived by adolescents as a safer alternative to smoking, carries its own respiratory risks. The aerosols produced by e-cigarettes contain particulate matter, volatile organic compounds</w:t>
      </w:r>
      <w:r w:rsidR="00D0442D">
        <w:rPr>
          <w:rFonts w:ascii="Arial" w:hAnsi="Arial" w:cs="Arial"/>
          <w:sz w:val="22"/>
          <w:szCs w:val="22"/>
        </w:rPr>
        <w:t xml:space="preserve"> and </w:t>
      </w:r>
      <w:r w:rsidR="00522415" w:rsidRPr="00B12405">
        <w:rPr>
          <w:rFonts w:ascii="Arial" w:hAnsi="Arial" w:cs="Arial"/>
          <w:sz w:val="22"/>
          <w:szCs w:val="22"/>
        </w:rPr>
        <w:t>flavoring</w:t>
      </w:r>
      <w:r w:rsidRPr="00B12405">
        <w:rPr>
          <w:rFonts w:ascii="Arial" w:hAnsi="Arial" w:cs="Arial"/>
          <w:sz w:val="22"/>
          <w:szCs w:val="22"/>
        </w:rPr>
        <w:t xml:space="preserve"> chemicals that provoke airway inflammation and have been associated with e-cigarette or vaping product use-associated lung injury (Layden </w:t>
      </w:r>
      <w:r w:rsidRPr="00293090">
        <w:rPr>
          <w:rFonts w:ascii="Arial" w:hAnsi="Arial" w:cs="Arial"/>
          <w:i/>
          <w:iCs/>
          <w:sz w:val="22"/>
          <w:szCs w:val="22"/>
        </w:rPr>
        <w:t>et al</w:t>
      </w:r>
      <w:r w:rsidRPr="00B12405">
        <w:rPr>
          <w:rFonts w:ascii="Arial" w:hAnsi="Arial" w:cs="Arial"/>
          <w:sz w:val="22"/>
          <w:szCs w:val="22"/>
        </w:rPr>
        <w:t>., 2020). Adolescents should be clearly informed that vaping is not a safe option for those with asthma and that the long-term pulmonary effects remain incompletely understood.</w:t>
      </w:r>
    </w:p>
    <w:p w14:paraId="24725879" w14:textId="34B92F74"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Regarding crowded indoor environments such as bars and clubs, the risks include exposure to second-hand smoke, chemical irritants</w:t>
      </w:r>
      <w:r w:rsidR="00D0442D">
        <w:rPr>
          <w:rFonts w:ascii="Arial" w:hAnsi="Arial" w:cs="Arial"/>
          <w:sz w:val="22"/>
          <w:szCs w:val="22"/>
        </w:rPr>
        <w:t xml:space="preserve"> and </w:t>
      </w:r>
      <w:r w:rsidRPr="00B12405">
        <w:rPr>
          <w:rFonts w:ascii="Arial" w:hAnsi="Arial" w:cs="Arial"/>
          <w:sz w:val="22"/>
          <w:szCs w:val="22"/>
        </w:rPr>
        <w:t xml:space="preserve">respiratory pathogens all of which can precipitate exacerbations. Practical advice includes </w:t>
      </w:r>
      <w:proofErr w:type="gramStart"/>
      <w:r w:rsidRPr="00B12405">
        <w:rPr>
          <w:rFonts w:ascii="Arial" w:hAnsi="Arial" w:cs="Arial"/>
          <w:sz w:val="22"/>
          <w:szCs w:val="22"/>
        </w:rPr>
        <w:t>ensuring reliever inhaler availability at all times</w:t>
      </w:r>
      <w:proofErr w:type="gramEnd"/>
      <w:r w:rsidRPr="00B12405">
        <w:rPr>
          <w:rFonts w:ascii="Arial" w:hAnsi="Arial" w:cs="Arial"/>
          <w:sz w:val="22"/>
          <w:szCs w:val="22"/>
        </w:rPr>
        <w:t>, avoiding heavily smoke-filled environments</w:t>
      </w:r>
      <w:r w:rsidR="00D0442D">
        <w:rPr>
          <w:rFonts w:ascii="Arial" w:hAnsi="Arial" w:cs="Arial"/>
          <w:sz w:val="22"/>
          <w:szCs w:val="22"/>
        </w:rPr>
        <w:t xml:space="preserve"> and </w:t>
      </w:r>
      <w:r w:rsidRPr="00B12405">
        <w:rPr>
          <w:rFonts w:ascii="Arial" w:hAnsi="Arial" w:cs="Arial"/>
          <w:sz w:val="22"/>
          <w:szCs w:val="22"/>
        </w:rPr>
        <w:t>maintaining up-to-date influenza and pneumococcal vaccinations, both of which are recommended for individuals with asthma by Public Health England</w:t>
      </w:r>
      <w:r w:rsidR="007721C5">
        <w:rPr>
          <w:rFonts w:ascii="Arial" w:hAnsi="Arial" w:cs="Arial"/>
          <w:sz w:val="22"/>
          <w:szCs w:val="22"/>
        </w:rPr>
        <w:t xml:space="preserve"> (</w:t>
      </w:r>
      <w:r w:rsidR="007721C5" w:rsidRPr="007721C5">
        <w:rPr>
          <w:rFonts w:ascii="Arial" w:hAnsi="Arial" w:cs="Arial"/>
          <w:sz w:val="22"/>
          <w:szCs w:val="22"/>
        </w:rPr>
        <w:t>Salisbury</w:t>
      </w:r>
      <w:r w:rsidR="007721C5">
        <w:rPr>
          <w:rFonts w:ascii="Arial" w:hAnsi="Arial" w:cs="Arial"/>
          <w:sz w:val="22"/>
          <w:szCs w:val="22"/>
        </w:rPr>
        <w:t xml:space="preserve"> </w:t>
      </w:r>
      <w:r w:rsidR="007721C5" w:rsidRPr="007721C5">
        <w:rPr>
          <w:rFonts w:ascii="Arial" w:hAnsi="Arial" w:cs="Arial"/>
          <w:i/>
          <w:iCs/>
          <w:sz w:val="22"/>
          <w:szCs w:val="22"/>
        </w:rPr>
        <w:t>et al</w:t>
      </w:r>
      <w:r w:rsidR="007721C5">
        <w:rPr>
          <w:rFonts w:ascii="Arial" w:hAnsi="Arial" w:cs="Arial"/>
          <w:sz w:val="22"/>
          <w:szCs w:val="22"/>
        </w:rPr>
        <w:t>., 2006).</w:t>
      </w:r>
    </w:p>
    <w:p w14:paraId="3DB5DE92" w14:textId="2D2E7810"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 xml:space="preserve">Regular physical activity, when appropriately managed, is beneficial rather than harmful for individuals with asthma. Exercise-induced bronchoconstriction can be mitigated through pre-exercise use of a short-acting bronchodilator and adequate warm-up periods. </w:t>
      </w:r>
      <w:r w:rsidR="00BA1166" w:rsidRPr="00BA1166">
        <w:rPr>
          <w:rFonts w:ascii="Arial" w:hAnsi="Arial" w:cs="Arial"/>
          <w:sz w:val="22"/>
          <w:szCs w:val="22"/>
        </w:rPr>
        <w:t xml:space="preserve">Regular physical activity improves respiratory muscle efficiency, helps reduce obesity, an independent risk factor for asthma, and is associated with improved overall asthma control </w:t>
      </w:r>
      <w:r w:rsidRPr="00B12405">
        <w:rPr>
          <w:rFonts w:ascii="Arial" w:hAnsi="Arial" w:cs="Arial"/>
          <w:sz w:val="22"/>
          <w:szCs w:val="22"/>
        </w:rPr>
        <w:t xml:space="preserve">(Carson </w:t>
      </w:r>
      <w:r w:rsidRPr="00BA1166">
        <w:rPr>
          <w:rFonts w:ascii="Arial" w:hAnsi="Arial" w:cs="Arial"/>
          <w:i/>
          <w:iCs/>
          <w:sz w:val="22"/>
          <w:szCs w:val="22"/>
        </w:rPr>
        <w:t>et al</w:t>
      </w:r>
      <w:r w:rsidRPr="00B12405">
        <w:rPr>
          <w:rFonts w:ascii="Arial" w:hAnsi="Arial" w:cs="Arial"/>
          <w:sz w:val="22"/>
          <w:szCs w:val="22"/>
        </w:rPr>
        <w:t>., 201</w:t>
      </w:r>
      <w:r w:rsidR="007721C5">
        <w:rPr>
          <w:rFonts w:ascii="Arial" w:hAnsi="Arial" w:cs="Arial"/>
          <w:sz w:val="22"/>
          <w:szCs w:val="22"/>
        </w:rPr>
        <w:t>4</w:t>
      </w:r>
      <w:r w:rsidRPr="00B12405">
        <w:rPr>
          <w:rFonts w:ascii="Arial" w:hAnsi="Arial" w:cs="Arial"/>
          <w:sz w:val="22"/>
          <w:szCs w:val="22"/>
        </w:rPr>
        <w:t xml:space="preserve">). </w:t>
      </w:r>
      <w:r w:rsidR="00BA1166" w:rsidRPr="00BA1166">
        <w:rPr>
          <w:rFonts w:ascii="Arial" w:hAnsi="Arial" w:cs="Arial"/>
          <w:sz w:val="22"/>
          <w:szCs w:val="22"/>
        </w:rPr>
        <w:t>Maintaining a healthy body weight, practicing good sleep hygiene, and reducing psychosocial stress can positively influence immune function and inflammatory status, forming important components of a holistic asthma management strategy.</w:t>
      </w:r>
    </w:p>
    <w:p w14:paraId="05284AC7" w14:textId="6CF7F44D" w:rsidR="00B12405" w:rsidRPr="00B12405" w:rsidRDefault="00B12405" w:rsidP="00746A9C">
      <w:pPr>
        <w:spacing w:line="360" w:lineRule="auto"/>
        <w:jc w:val="both"/>
        <w:rPr>
          <w:rFonts w:ascii="Arial" w:hAnsi="Arial" w:cs="Arial"/>
          <w:sz w:val="22"/>
          <w:szCs w:val="22"/>
        </w:rPr>
      </w:pPr>
      <w:r w:rsidRPr="00B12405">
        <w:rPr>
          <w:rFonts w:ascii="Arial" w:hAnsi="Arial" w:cs="Arial"/>
          <w:b/>
          <w:bCs/>
          <w:sz w:val="22"/>
          <w:szCs w:val="22"/>
        </w:rPr>
        <w:t>Conclusion</w:t>
      </w:r>
    </w:p>
    <w:p w14:paraId="14B9CF94" w14:textId="7736C032" w:rsidR="00522415" w:rsidRDefault="00B12405" w:rsidP="00746A9C">
      <w:pPr>
        <w:spacing w:line="360" w:lineRule="auto"/>
        <w:jc w:val="both"/>
        <w:rPr>
          <w:rFonts w:ascii="Arial" w:hAnsi="Arial" w:cs="Arial"/>
          <w:sz w:val="22"/>
          <w:szCs w:val="22"/>
        </w:rPr>
      </w:pPr>
      <w:r w:rsidRPr="00B12405">
        <w:rPr>
          <w:rFonts w:ascii="Arial" w:hAnsi="Arial" w:cs="Arial"/>
          <w:sz w:val="22"/>
          <w:szCs w:val="22"/>
        </w:rPr>
        <w:t xml:space="preserve">Asthma in adolescents is a condition shaped as much by </w:t>
      </w:r>
      <w:r w:rsidR="00D83942" w:rsidRPr="00B12405">
        <w:rPr>
          <w:rFonts w:ascii="Arial" w:hAnsi="Arial" w:cs="Arial"/>
          <w:sz w:val="22"/>
          <w:szCs w:val="22"/>
        </w:rPr>
        <w:t>behavior</w:t>
      </w:r>
      <w:r w:rsidRPr="00B12405">
        <w:rPr>
          <w:rFonts w:ascii="Arial" w:hAnsi="Arial" w:cs="Arial"/>
          <w:sz w:val="22"/>
          <w:szCs w:val="22"/>
        </w:rPr>
        <w:t xml:space="preserve"> and environment as by genetics and biology. This report has outlined the structural and physiological basis of respiratory function, explained the mechanisms through which irritants and inflammation compromise airway patency and gas exchange</w:t>
      </w:r>
      <w:r w:rsidR="00D0442D">
        <w:rPr>
          <w:rFonts w:ascii="Arial" w:hAnsi="Arial" w:cs="Arial"/>
          <w:sz w:val="22"/>
          <w:szCs w:val="22"/>
        </w:rPr>
        <w:t xml:space="preserve"> and </w:t>
      </w:r>
      <w:r w:rsidRPr="00B12405">
        <w:rPr>
          <w:rFonts w:ascii="Arial" w:hAnsi="Arial" w:cs="Arial"/>
          <w:sz w:val="22"/>
          <w:szCs w:val="22"/>
        </w:rPr>
        <w:t xml:space="preserve">demonstrated the clinical value of ongoing respiratory monitoring through peak flow measurement. The lifestyle factors most relevant to this adolescent cohort </w:t>
      </w:r>
      <w:r w:rsidR="00BA1166">
        <w:rPr>
          <w:rFonts w:ascii="Arial" w:hAnsi="Arial" w:cs="Arial"/>
          <w:sz w:val="22"/>
          <w:szCs w:val="22"/>
        </w:rPr>
        <w:t xml:space="preserve">such as </w:t>
      </w:r>
      <w:r w:rsidRPr="00B12405">
        <w:rPr>
          <w:rFonts w:ascii="Arial" w:hAnsi="Arial" w:cs="Arial"/>
          <w:sz w:val="22"/>
          <w:szCs w:val="22"/>
        </w:rPr>
        <w:t>smoking, vaping</w:t>
      </w:r>
      <w:r w:rsidR="00D0442D">
        <w:rPr>
          <w:rFonts w:ascii="Arial" w:hAnsi="Arial" w:cs="Arial"/>
          <w:sz w:val="22"/>
          <w:szCs w:val="22"/>
        </w:rPr>
        <w:t xml:space="preserve"> and </w:t>
      </w:r>
      <w:r w:rsidRPr="00B12405">
        <w:rPr>
          <w:rFonts w:ascii="Arial" w:hAnsi="Arial" w:cs="Arial"/>
          <w:sz w:val="22"/>
          <w:szCs w:val="22"/>
        </w:rPr>
        <w:t>exposure to crowded environments are modifiable</w:t>
      </w:r>
      <w:r w:rsidR="00D0442D">
        <w:rPr>
          <w:rFonts w:ascii="Arial" w:hAnsi="Arial" w:cs="Arial"/>
          <w:sz w:val="22"/>
          <w:szCs w:val="22"/>
        </w:rPr>
        <w:t xml:space="preserve"> and </w:t>
      </w:r>
      <w:r w:rsidRPr="00B12405">
        <w:rPr>
          <w:rFonts w:ascii="Arial" w:hAnsi="Arial" w:cs="Arial"/>
          <w:sz w:val="22"/>
          <w:szCs w:val="22"/>
        </w:rPr>
        <w:t xml:space="preserve">the evidence </w:t>
      </w:r>
      <w:r w:rsidRPr="00522415">
        <w:rPr>
          <w:rFonts w:ascii="Arial" w:hAnsi="Arial" w:cs="Arial"/>
          <w:sz w:val="22"/>
          <w:szCs w:val="22"/>
        </w:rPr>
        <w:t>supporting</w:t>
      </w:r>
      <w:r w:rsidRPr="00B12405">
        <w:rPr>
          <w:rFonts w:ascii="Arial" w:hAnsi="Arial" w:cs="Arial"/>
          <w:sz w:val="22"/>
          <w:szCs w:val="22"/>
        </w:rPr>
        <w:t xml:space="preserve"> intervention is clear. Empowering young people with a genuine understanding of their respiratory physiology and the consequences of their </w:t>
      </w:r>
      <w:r w:rsidR="00522415" w:rsidRPr="00B12405">
        <w:rPr>
          <w:rFonts w:ascii="Arial" w:hAnsi="Arial" w:cs="Arial"/>
          <w:sz w:val="22"/>
          <w:szCs w:val="22"/>
        </w:rPr>
        <w:t>behavioral</w:t>
      </w:r>
      <w:r w:rsidRPr="00B12405">
        <w:rPr>
          <w:rFonts w:ascii="Arial" w:hAnsi="Arial" w:cs="Arial"/>
          <w:sz w:val="22"/>
          <w:szCs w:val="22"/>
        </w:rPr>
        <w:t xml:space="preserve"> choices is not merely </w:t>
      </w:r>
      <w:r w:rsidRPr="00B12405">
        <w:rPr>
          <w:rFonts w:ascii="Arial" w:hAnsi="Arial" w:cs="Arial"/>
          <w:sz w:val="22"/>
          <w:szCs w:val="22"/>
        </w:rPr>
        <w:lastRenderedPageBreak/>
        <w:t>educational</w:t>
      </w:r>
      <w:r w:rsidR="00BA1166">
        <w:rPr>
          <w:rFonts w:ascii="Arial" w:hAnsi="Arial" w:cs="Arial"/>
          <w:sz w:val="22"/>
          <w:szCs w:val="22"/>
        </w:rPr>
        <w:t>,</w:t>
      </w:r>
      <w:r w:rsidRPr="00B12405">
        <w:rPr>
          <w:rFonts w:ascii="Arial" w:hAnsi="Arial" w:cs="Arial"/>
          <w:sz w:val="22"/>
          <w:szCs w:val="22"/>
        </w:rPr>
        <w:t xml:space="preserve"> it is a clinically meaningful strategy for reducing </w:t>
      </w:r>
      <w:proofErr w:type="gramStart"/>
      <w:r w:rsidRPr="00B12405">
        <w:rPr>
          <w:rFonts w:ascii="Arial" w:hAnsi="Arial" w:cs="Arial"/>
          <w:sz w:val="22"/>
          <w:szCs w:val="22"/>
        </w:rPr>
        <w:t>exacerbations</w:t>
      </w:r>
      <w:proofErr w:type="gramEnd"/>
      <w:r w:rsidRPr="00B12405">
        <w:rPr>
          <w:rFonts w:ascii="Arial" w:hAnsi="Arial" w:cs="Arial"/>
          <w:sz w:val="22"/>
          <w:szCs w:val="22"/>
        </w:rPr>
        <w:t>, preventing long-term airway damage</w:t>
      </w:r>
      <w:r w:rsidR="00D0442D">
        <w:rPr>
          <w:rFonts w:ascii="Arial" w:hAnsi="Arial" w:cs="Arial"/>
          <w:sz w:val="22"/>
          <w:szCs w:val="22"/>
        </w:rPr>
        <w:t xml:space="preserve"> and </w:t>
      </w:r>
      <w:r w:rsidRPr="00B12405">
        <w:rPr>
          <w:rFonts w:ascii="Arial" w:hAnsi="Arial" w:cs="Arial"/>
          <w:sz w:val="22"/>
          <w:szCs w:val="22"/>
        </w:rPr>
        <w:t>supporting these individuals to take active ownership of their health. The role</w:t>
      </w:r>
      <w:r w:rsidR="00522415">
        <w:rPr>
          <w:rFonts w:ascii="Arial" w:hAnsi="Arial" w:cs="Arial"/>
          <w:sz w:val="22"/>
          <w:szCs w:val="22"/>
        </w:rPr>
        <w:t xml:space="preserve"> </w:t>
      </w:r>
    </w:p>
    <w:p w14:paraId="4BC9B4CA" w14:textId="4187E06F" w:rsidR="00B12405" w:rsidRPr="00B12405" w:rsidRDefault="00B12405" w:rsidP="00746A9C">
      <w:pPr>
        <w:spacing w:line="360" w:lineRule="auto"/>
        <w:jc w:val="both"/>
        <w:rPr>
          <w:rFonts w:ascii="Arial" w:hAnsi="Arial" w:cs="Arial"/>
          <w:sz w:val="22"/>
          <w:szCs w:val="22"/>
        </w:rPr>
      </w:pPr>
      <w:r w:rsidRPr="00B12405">
        <w:rPr>
          <w:rFonts w:ascii="Arial" w:hAnsi="Arial" w:cs="Arial"/>
          <w:sz w:val="22"/>
          <w:szCs w:val="22"/>
        </w:rPr>
        <w:t xml:space="preserve">of the practice nurse in translating this evidence into accessible, </w:t>
      </w:r>
      <w:r w:rsidR="00D0442D" w:rsidRPr="00B12405">
        <w:rPr>
          <w:rFonts w:ascii="Arial" w:hAnsi="Arial" w:cs="Arial"/>
          <w:sz w:val="22"/>
          <w:szCs w:val="22"/>
        </w:rPr>
        <w:t>personalized</w:t>
      </w:r>
      <w:r w:rsidRPr="00B12405">
        <w:rPr>
          <w:rFonts w:ascii="Arial" w:hAnsi="Arial" w:cs="Arial"/>
          <w:sz w:val="22"/>
          <w:szCs w:val="22"/>
        </w:rPr>
        <w:t xml:space="preserve"> information within the clinic setting is therefore both significant and indispensable.</w:t>
      </w:r>
    </w:p>
    <w:p w14:paraId="27D18A59" w14:textId="77777777" w:rsidR="00522415" w:rsidRDefault="00522415" w:rsidP="00746A9C">
      <w:pPr>
        <w:spacing w:line="360" w:lineRule="auto"/>
        <w:jc w:val="both"/>
        <w:rPr>
          <w:rFonts w:ascii="Arial" w:hAnsi="Arial" w:cs="Arial"/>
          <w:b/>
          <w:bCs/>
          <w:sz w:val="22"/>
          <w:szCs w:val="22"/>
        </w:rPr>
      </w:pPr>
    </w:p>
    <w:p w14:paraId="410A6B95" w14:textId="77777777" w:rsidR="00522415" w:rsidRDefault="00522415" w:rsidP="00746A9C">
      <w:pPr>
        <w:spacing w:line="360" w:lineRule="auto"/>
        <w:jc w:val="both"/>
        <w:rPr>
          <w:rFonts w:ascii="Arial" w:hAnsi="Arial" w:cs="Arial"/>
          <w:b/>
          <w:bCs/>
          <w:sz w:val="22"/>
          <w:szCs w:val="22"/>
        </w:rPr>
      </w:pPr>
    </w:p>
    <w:p w14:paraId="460840F3" w14:textId="77777777" w:rsidR="00522415" w:rsidRDefault="00522415" w:rsidP="00746A9C">
      <w:pPr>
        <w:spacing w:line="360" w:lineRule="auto"/>
        <w:jc w:val="both"/>
        <w:rPr>
          <w:rFonts w:ascii="Arial" w:hAnsi="Arial" w:cs="Arial"/>
          <w:b/>
          <w:bCs/>
          <w:sz w:val="22"/>
          <w:szCs w:val="22"/>
        </w:rPr>
      </w:pPr>
    </w:p>
    <w:p w14:paraId="1D92FE0D" w14:textId="77777777" w:rsidR="00522415" w:rsidRDefault="00522415" w:rsidP="00746A9C">
      <w:pPr>
        <w:spacing w:line="360" w:lineRule="auto"/>
        <w:jc w:val="both"/>
        <w:rPr>
          <w:rFonts w:ascii="Arial" w:hAnsi="Arial" w:cs="Arial"/>
          <w:b/>
          <w:bCs/>
          <w:sz w:val="22"/>
          <w:szCs w:val="22"/>
        </w:rPr>
      </w:pPr>
    </w:p>
    <w:p w14:paraId="5CD7883D" w14:textId="77777777" w:rsidR="00522415" w:rsidRDefault="00522415" w:rsidP="00746A9C">
      <w:pPr>
        <w:spacing w:line="360" w:lineRule="auto"/>
        <w:jc w:val="both"/>
        <w:rPr>
          <w:rFonts w:ascii="Arial" w:hAnsi="Arial" w:cs="Arial"/>
          <w:b/>
          <w:bCs/>
          <w:sz w:val="22"/>
          <w:szCs w:val="22"/>
        </w:rPr>
      </w:pPr>
    </w:p>
    <w:p w14:paraId="367ED036" w14:textId="77777777" w:rsidR="00522415" w:rsidRDefault="00522415" w:rsidP="00746A9C">
      <w:pPr>
        <w:spacing w:line="360" w:lineRule="auto"/>
        <w:jc w:val="both"/>
        <w:rPr>
          <w:rFonts w:ascii="Arial" w:hAnsi="Arial" w:cs="Arial"/>
          <w:b/>
          <w:bCs/>
          <w:sz w:val="22"/>
          <w:szCs w:val="22"/>
        </w:rPr>
      </w:pPr>
    </w:p>
    <w:p w14:paraId="24203404" w14:textId="77777777" w:rsidR="00522415" w:rsidRDefault="00522415" w:rsidP="00746A9C">
      <w:pPr>
        <w:spacing w:line="360" w:lineRule="auto"/>
        <w:jc w:val="both"/>
        <w:rPr>
          <w:rFonts w:ascii="Arial" w:hAnsi="Arial" w:cs="Arial"/>
          <w:b/>
          <w:bCs/>
          <w:sz w:val="22"/>
          <w:szCs w:val="22"/>
        </w:rPr>
      </w:pPr>
    </w:p>
    <w:p w14:paraId="5D664DAB" w14:textId="77777777" w:rsidR="00522415" w:rsidRDefault="00522415" w:rsidP="00746A9C">
      <w:pPr>
        <w:spacing w:line="360" w:lineRule="auto"/>
        <w:jc w:val="both"/>
        <w:rPr>
          <w:rFonts w:ascii="Arial" w:hAnsi="Arial" w:cs="Arial"/>
          <w:b/>
          <w:bCs/>
          <w:sz w:val="22"/>
          <w:szCs w:val="22"/>
        </w:rPr>
      </w:pPr>
    </w:p>
    <w:p w14:paraId="7DE5892F" w14:textId="77777777" w:rsidR="00522415" w:rsidRDefault="00522415" w:rsidP="00746A9C">
      <w:pPr>
        <w:spacing w:line="360" w:lineRule="auto"/>
        <w:jc w:val="both"/>
        <w:rPr>
          <w:rFonts w:ascii="Arial" w:hAnsi="Arial" w:cs="Arial"/>
          <w:b/>
          <w:bCs/>
          <w:sz w:val="22"/>
          <w:szCs w:val="22"/>
        </w:rPr>
      </w:pPr>
    </w:p>
    <w:p w14:paraId="71B541A8" w14:textId="77777777" w:rsidR="00522415" w:rsidRDefault="00522415" w:rsidP="00746A9C">
      <w:pPr>
        <w:spacing w:line="360" w:lineRule="auto"/>
        <w:jc w:val="both"/>
        <w:rPr>
          <w:rFonts w:ascii="Arial" w:hAnsi="Arial" w:cs="Arial"/>
          <w:b/>
          <w:bCs/>
          <w:sz w:val="22"/>
          <w:szCs w:val="22"/>
        </w:rPr>
      </w:pPr>
    </w:p>
    <w:p w14:paraId="39A194F6" w14:textId="77777777" w:rsidR="00522415" w:rsidRDefault="00522415" w:rsidP="00746A9C">
      <w:pPr>
        <w:spacing w:line="360" w:lineRule="auto"/>
        <w:jc w:val="both"/>
        <w:rPr>
          <w:rFonts w:ascii="Arial" w:hAnsi="Arial" w:cs="Arial"/>
          <w:b/>
          <w:bCs/>
          <w:sz w:val="22"/>
          <w:szCs w:val="22"/>
        </w:rPr>
      </w:pPr>
    </w:p>
    <w:p w14:paraId="52CB994C" w14:textId="77777777" w:rsidR="00522415" w:rsidRDefault="00522415" w:rsidP="00746A9C">
      <w:pPr>
        <w:spacing w:line="360" w:lineRule="auto"/>
        <w:jc w:val="both"/>
        <w:rPr>
          <w:rFonts w:ascii="Arial" w:hAnsi="Arial" w:cs="Arial"/>
          <w:b/>
          <w:bCs/>
          <w:sz w:val="22"/>
          <w:szCs w:val="22"/>
        </w:rPr>
      </w:pPr>
    </w:p>
    <w:p w14:paraId="056E3015" w14:textId="77777777" w:rsidR="00522415" w:rsidRDefault="00522415" w:rsidP="00746A9C">
      <w:pPr>
        <w:spacing w:line="360" w:lineRule="auto"/>
        <w:jc w:val="both"/>
        <w:rPr>
          <w:rFonts w:ascii="Arial" w:hAnsi="Arial" w:cs="Arial"/>
          <w:b/>
          <w:bCs/>
          <w:sz w:val="22"/>
          <w:szCs w:val="22"/>
        </w:rPr>
      </w:pPr>
    </w:p>
    <w:p w14:paraId="36360B68" w14:textId="77777777" w:rsidR="00522415" w:rsidRDefault="00522415" w:rsidP="00746A9C">
      <w:pPr>
        <w:spacing w:line="360" w:lineRule="auto"/>
        <w:jc w:val="both"/>
        <w:rPr>
          <w:rFonts w:ascii="Arial" w:hAnsi="Arial" w:cs="Arial"/>
          <w:b/>
          <w:bCs/>
          <w:sz w:val="22"/>
          <w:szCs w:val="22"/>
        </w:rPr>
      </w:pPr>
    </w:p>
    <w:p w14:paraId="55110302" w14:textId="77777777" w:rsidR="00522415" w:rsidRDefault="00522415" w:rsidP="00746A9C">
      <w:pPr>
        <w:spacing w:line="360" w:lineRule="auto"/>
        <w:jc w:val="both"/>
        <w:rPr>
          <w:rFonts w:ascii="Arial" w:hAnsi="Arial" w:cs="Arial"/>
          <w:b/>
          <w:bCs/>
          <w:sz w:val="22"/>
          <w:szCs w:val="22"/>
        </w:rPr>
      </w:pPr>
    </w:p>
    <w:p w14:paraId="7850BEA8" w14:textId="77777777" w:rsidR="00522415" w:rsidRDefault="00522415" w:rsidP="00746A9C">
      <w:pPr>
        <w:spacing w:line="360" w:lineRule="auto"/>
        <w:jc w:val="both"/>
        <w:rPr>
          <w:rFonts w:ascii="Arial" w:hAnsi="Arial" w:cs="Arial"/>
          <w:b/>
          <w:bCs/>
          <w:sz w:val="22"/>
          <w:szCs w:val="22"/>
        </w:rPr>
      </w:pPr>
    </w:p>
    <w:p w14:paraId="76B528E8" w14:textId="77777777" w:rsidR="00522415" w:rsidRDefault="00522415" w:rsidP="00746A9C">
      <w:pPr>
        <w:spacing w:line="360" w:lineRule="auto"/>
        <w:jc w:val="both"/>
        <w:rPr>
          <w:rFonts w:ascii="Arial" w:hAnsi="Arial" w:cs="Arial"/>
          <w:b/>
          <w:bCs/>
          <w:sz w:val="22"/>
          <w:szCs w:val="22"/>
        </w:rPr>
      </w:pPr>
    </w:p>
    <w:p w14:paraId="5A0608DE" w14:textId="77777777" w:rsidR="00522415" w:rsidRDefault="00522415" w:rsidP="00746A9C">
      <w:pPr>
        <w:spacing w:line="360" w:lineRule="auto"/>
        <w:jc w:val="both"/>
        <w:rPr>
          <w:rFonts w:ascii="Arial" w:hAnsi="Arial" w:cs="Arial"/>
          <w:b/>
          <w:bCs/>
          <w:sz w:val="22"/>
          <w:szCs w:val="22"/>
        </w:rPr>
      </w:pPr>
    </w:p>
    <w:p w14:paraId="71DE2E34" w14:textId="77777777" w:rsidR="00522415" w:rsidRDefault="00522415" w:rsidP="00746A9C">
      <w:pPr>
        <w:spacing w:line="360" w:lineRule="auto"/>
        <w:jc w:val="both"/>
        <w:rPr>
          <w:rFonts w:ascii="Arial" w:hAnsi="Arial" w:cs="Arial"/>
          <w:b/>
          <w:bCs/>
          <w:sz w:val="22"/>
          <w:szCs w:val="22"/>
        </w:rPr>
      </w:pPr>
    </w:p>
    <w:p w14:paraId="4781BA67" w14:textId="77777777" w:rsidR="00522415" w:rsidRDefault="00522415" w:rsidP="00746A9C">
      <w:pPr>
        <w:spacing w:line="360" w:lineRule="auto"/>
        <w:jc w:val="both"/>
        <w:rPr>
          <w:rFonts w:ascii="Arial" w:hAnsi="Arial" w:cs="Arial"/>
          <w:b/>
          <w:bCs/>
          <w:sz w:val="22"/>
          <w:szCs w:val="22"/>
        </w:rPr>
      </w:pPr>
    </w:p>
    <w:p w14:paraId="571E5322" w14:textId="77777777" w:rsidR="00522415" w:rsidRDefault="00522415" w:rsidP="00746A9C">
      <w:pPr>
        <w:spacing w:line="360" w:lineRule="auto"/>
        <w:jc w:val="both"/>
        <w:rPr>
          <w:rFonts w:ascii="Arial" w:hAnsi="Arial" w:cs="Arial"/>
          <w:b/>
          <w:bCs/>
          <w:sz w:val="22"/>
          <w:szCs w:val="22"/>
        </w:rPr>
      </w:pPr>
    </w:p>
    <w:p w14:paraId="51B7FD2E" w14:textId="77777777" w:rsidR="00522415" w:rsidRDefault="00522415" w:rsidP="00746A9C">
      <w:pPr>
        <w:spacing w:line="360" w:lineRule="auto"/>
        <w:jc w:val="both"/>
        <w:rPr>
          <w:rFonts w:ascii="Arial" w:hAnsi="Arial" w:cs="Arial"/>
          <w:b/>
          <w:bCs/>
          <w:sz w:val="22"/>
          <w:szCs w:val="22"/>
        </w:rPr>
      </w:pPr>
    </w:p>
    <w:p w14:paraId="14297C55" w14:textId="416819F1" w:rsidR="00B12405" w:rsidRDefault="00B12405" w:rsidP="00746A9C">
      <w:pPr>
        <w:spacing w:line="360" w:lineRule="auto"/>
        <w:jc w:val="both"/>
        <w:rPr>
          <w:rFonts w:ascii="Arial" w:hAnsi="Arial" w:cs="Arial"/>
          <w:b/>
          <w:bCs/>
          <w:sz w:val="22"/>
          <w:szCs w:val="22"/>
        </w:rPr>
      </w:pPr>
      <w:r w:rsidRPr="00B12405">
        <w:rPr>
          <w:rFonts w:ascii="Arial" w:hAnsi="Arial" w:cs="Arial"/>
          <w:b/>
          <w:bCs/>
          <w:sz w:val="22"/>
          <w:szCs w:val="22"/>
        </w:rPr>
        <w:t>Reference List</w:t>
      </w:r>
    </w:p>
    <w:p w14:paraId="72751142" w14:textId="77777777" w:rsidR="007721C5" w:rsidRPr="007721C5" w:rsidRDefault="007721C5" w:rsidP="00746A9C">
      <w:pPr>
        <w:spacing w:line="360" w:lineRule="auto"/>
        <w:jc w:val="both"/>
        <w:rPr>
          <w:rFonts w:ascii="Arial" w:hAnsi="Arial" w:cs="Arial"/>
          <w:sz w:val="22"/>
          <w:szCs w:val="22"/>
        </w:rPr>
      </w:pPr>
      <w:r w:rsidRPr="007721C5">
        <w:rPr>
          <w:rFonts w:ascii="Arial" w:hAnsi="Arial" w:cs="Arial"/>
          <w:sz w:val="22"/>
          <w:szCs w:val="22"/>
        </w:rPr>
        <w:t xml:space="preserve">Barnes, P.J. (2008) 'Immunology of asthma and chronic obstructive pulmonary disease', </w:t>
      </w:r>
      <w:r w:rsidRPr="007721C5">
        <w:rPr>
          <w:rFonts w:ascii="Arial" w:hAnsi="Arial" w:cs="Arial"/>
          <w:i/>
          <w:iCs/>
          <w:sz w:val="22"/>
          <w:szCs w:val="22"/>
        </w:rPr>
        <w:t>Nature Reviews Immunology</w:t>
      </w:r>
      <w:r w:rsidRPr="007721C5">
        <w:rPr>
          <w:rFonts w:ascii="Arial" w:hAnsi="Arial" w:cs="Arial"/>
          <w:sz w:val="22"/>
          <w:szCs w:val="22"/>
        </w:rPr>
        <w:t>, 8(3), pp. 183–192.</w:t>
      </w:r>
    </w:p>
    <w:p w14:paraId="1023F8D5" w14:textId="77777777" w:rsidR="007721C5" w:rsidRPr="007721C5" w:rsidRDefault="007721C5" w:rsidP="00746A9C">
      <w:pPr>
        <w:spacing w:line="360" w:lineRule="auto"/>
        <w:jc w:val="both"/>
        <w:rPr>
          <w:rFonts w:ascii="Arial" w:hAnsi="Arial" w:cs="Arial"/>
          <w:sz w:val="22"/>
          <w:szCs w:val="22"/>
        </w:rPr>
      </w:pPr>
      <w:r w:rsidRPr="007721C5">
        <w:rPr>
          <w:rFonts w:ascii="Arial" w:hAnsi="Arial" w:cs="Arial"/>
          <w:sz w:val="22"/>
          <w:szCs w:val="22"/>
        </w:rPr>
        <w:t xml:space="preserve">Belisario, J.S.M., </w:t>
      </w:r>
      <w:proofErr w:type="spellStart"/>
      <w:r w:rsidRPr="007721C5">
        <w:rPr>
          <w:rFonts w:ascii="Arial" w:hAnsi="Arial" w:cs="Arial"/>
          <w:sz w:val="22"/>
          <w:szCs w:val="22"/>
        </w:rPr>
        <w:t>Huckvale</w:t>
      </w:r>
      <w:proofErr w:type="spellEnd"/>
      <w:r w:rsidRPr="007721C5">
        <w:rPr>
          <w:rFonts w:ascii="Arial" w:hAnsi="Arial" w:cs="Arial"/>
          <w:sz w:val="22"/>
          <w:szCs w:val="22"/>
        </w:rPr>
        <w:t xml:space="preserve">, K., Greenfield, G., Car, J. and Gunn, L.H., 2013. Smartphone and tablet </w:t>
      </w:r>
      <w:proofErr w:type="spellStart"/>
      <w:r w:rsidRPr="007721C5">
        <w:rPr>
          <w:rFonts w:ascii="Arial" w:hAnsi="Arial" w:cs="Arial"/>
          <w:sz w:val="22"/>
          <w:szCs w:val="22"/>
        </w:rPr>
        <w:t>self management</w:t>
      </w:r>
      <w:proofErr w:type="spellEnd"/>
      <w:r w:rsidRPr="007721C5">
        <w:rPr>
          <w:rFonts w:ascii="Arial" w:hAnsi="Arial" w:cs="Arial"/>
          <w:sz w:val="22"/>
          <w:szCs w:val="22"/>
        </w:rPr>
        <w:t xml:space="preserve"> apps for asthma. </w:t>
      </w:r>
      <w:r w:rsidRPr="007721C5">
        <w:rPr>
          <w:rFonts w:ascii="Arial" w:hAnsi="Arial" w:cs="Arial"/>
          <w:i/>
          <w:iCs/>
          <w:sz w:val="22"/>
          <w:szCs w:val="22"/>
        </w:rPr>
        <w:t>Cochrane Database of Systematic Reviews</w:t>
      </w:r>
      <w:r w:rsidRPr="007721C5">
        <w:rPr>
          <w:rFonts w:ascii="Arial" w:hAnsi="Arial" w:cs="Arial"/>
          <w:sz w:val="22"/>
          <w:szCs w:val="22"/>
        </w:rPr>
        <w:t>, (11).</w:t>
      </w:r>
    </w:p>
    <w:p w14:paraId="4F0DAD90" w14:textId="77777777" w:rsidR="007721C5" w:rsidRPr="007721C5" w:rsidRDefault="007721C5" w:rsidP="00746A9C">
      <w:pPr>
        <w:spacing w:line="360" w:lineRule="auto"/>
        <w:jc w:val="both"/>
        <w:rPr>
          <w:rFonts w:ascii="Arial" w:hAnsi="Arial" w:cs="Arial"/>
          <w:sz w:val="22"/>
          <w:szCs w:val="22"/>
        </w:rPr>
      </w:pPr>
      <w:r w:rsidRPr="007721C5">
        <w:rPr>
          <w:rFonts w:ascii="Arial" w:hAnsi="Arial" w:cs="Arial"/>
          <w:sz w:val="22"/>
          <w:szCs w:val="22"/>
        </w:rPr>
        <w:t>Boulet, L.P., 2019. Difficult-to-Treat and Severe Asthma in adolescents and adults: diagnosis and management (GINA Pocket Guide). </w:t>
      </w:r>
      <w:r w:rsidRPr="007721C5">
        <w:rPr>
          <w:rFonts w:ascii="Arial" w:hAnsi="Arial" w:cs="Arial"/>
          <w:i/>
          <w:iCs/>
          <w:sz w:val="22"/>
          <w:szCs w:val="22"/>
        </w:rPr>
        <w:t>Global Initiative for Asthma</w:t>
      </w:r>
      <w:r w:rsidRPr="007721C5">
        <w:rPr>
          <w:rFonts w:ascii="Arial" w:hAnsi="Arial" w:cs="Arial"/>
          <w:sz w:val="22"/>
          <w:szCs w:val="22"/>
        </w:rPr>
        <w:t>.</w:t>
      </w:r>
    </w:p>
    <w:p w14:paraId="5AC85144" w14:textId="77777777" w:rsidR="007721C5" w:rsidRPr="007721C5" w:rsidRDefault="007721C5" w:rsidP="00746A9C">
      <w:pPr>
        <w:spacing w:line="360" w:lineRule="auto"/>
        <w:jc w:val="both"/>
        <w:rPr>
          <w:rFonts w:ascii="Arial" w:hAnsi="Arial" w:cs="Arial"/>
          <w:sz w:val="22"/>
          <w:szCs w:val="22"/>
        </w:rPr>
      </w:pPr>
      <w:r w:rsidRPr="007721C5">
        <w:rPr>
          <w:rFonts w:ascii="Arial" w:hAnsi="Arial" w:cs="Arial"/>
          <w:sz w:val="22"/>
          <w:szCs w:val="22"/>
        </w:rPr>
        <w:t xml:space="preserve">British Thoracic Society (2021) </w:t>
      </w:r>
      <w:r w:rsidRPr="007721C5">
        <w:rPr>
          <w:rFonts w:ascii="Arial" w:hAnsi="Arial" w:cs="Arial"/>
          <w:i/>
          <w:iCs/>
          <w:sz w:val="22"/>
          <w:szCs w:val="22"/>
        </w:rPr>
        <w:t>Asthma</w:t>
      </w:r>
      <w:r w:rsidRPr="007721C5">
        <w:rPr>
          <w:rFonts w:ascii="Arial" w:hAnsi="Arial" w:cs="Arial"/>
          <w:sz w:val="22"/>
          <w:szCs w:val="22"/>
        </w:rPr>
        <w:t xml:space="preserve">. Available at: </w:t>
      </w:r>
      <w:hyperlink r:id="rId4" w:tgtFrame="_new" w:history="1">
        <w:r w:rsidRPr="007721C5">
          <w:rPr>
            <w:rStyle w:val="Hyperlink"/>
            <w:rFonts w:ascii="Arial" w:hAnsi="Arial" w:cs="Arial"/>
            <w:sz w:val="22"/>
            <w:szCs w:val="22"/>
          </w:rPr>
          <w:t>https://www.brit-thoracic.org.uk/clinical-resources/asthma/</w:t>
        </w:r>
      </w:hyperlink>
      <w:r w:rsidRPr="007721C5">
        <w:rPr>
          <w:rFonts w:ascii="Arial" w:hAnsi="Arial" w:cs="Arial"/>
          <w:sz w:val="22"/>
          <w:szCs w:val="22"/>
        </w:rPr>
        <w:t xml:space="preserve"> (Accessed: 11 June 2026).</w:t>
      </w:r>
    </w:p>
    <w:p w14:paraId="51E28361" w14:textId="77777777" w:rsidR="007721C5" w:rsidRPr="007721C5" w:rsidRDefault="007721C5" w:rsidP="00746A9C">
      <w:pPr>
        <w:spacing w:line="360" w:lineRule="auto"/>
        <w:jc w:val="both"/>
        <w:rPr>
          <w:rFonts w:ascii="Arial" w:hAnsi="Arial" w:cs="Arial"/>
          <w:sz w:val="22"/>
          <w:szCs w:val="22"/>
        </w:rPr>
      </w:pPr>
      <w:r w:rsidRPr="007721C5">
        <w:rPr>
          <w:rFonts w:ascii="Arial" w:hAnsi="Arial" w:cs="Arial"/>
          <w:sz w:val="22"/>
          <w:szCs w:val="22"/>
        </w:rPr>
        <w:t>British Thoracic Society, 2021. </w:t>
      </w:r>
      <w:r w:rsidRPr="007721C5">
        <w:rPr>
          <w:rFonts w:ascii="Arial" w:hAnsi="Arial" w:cs="Arial"/>
          <w:i/>
          <w:iCs/>
          <w:sz w:val="22"/>
          <w:szCs w:val="22"/>
        </w:rPr>
        <w:t>Scottish Intercollegiate Guidelines Network. BTS/SIGN British Guideline on the Management of Asthma. 2019</w:t>
      </w:r>
      <w:r w:rsidRPr="007721C5">
        <w:rPr>
          <w:rFonts w:ascii="Arial" w:hAnsi="Arial" w:cs="Arial"/>
          <w:sz w:val="22"/>
          <w:szCs w:val="22"/>
        </w:rPr>
        <w:t>.</w:t>
      </w:r>
    </w:p>
    <w:p w14:paraId="79D70CBB" w14:textId="77777777" w:rsidR="007721C5" w:rsidRPr="007721C5" w:rsidRDefault="007721C5" w:rsidP="00746A9C">
      <w:pPr>
        <w:spacing w:line="360" w:lineRule="auto"/>
        <w:jc w:val="both"/>
        <w:rPr>
          <w:rFonts w:ascii="Arial" w:hAnsi="Arial" w:cs="Arial"/>
          <w:sz w:val="22"/>
          <w:szCs w:val="22"/>
        </w:rPr>
      </w:pPr>
      <w:r w:rsidRPr="007721C5">
        <w:rPr>
          <w:rFonts w:ascii="Arial" w:hAnsi="Arial" w:cs="Arial"/>
          <w:sz w:val="22"/>
          <w:szCs w:val="22"/>
        </w:rPr>
        <w:t xml:space="preserve">Carson, K.V., </w:t>
      </w:r>
      <w:proofErr w:type="spellStart"/>
      <w:r w:rsidRPr="007721C5">
        <w:rPr>
          <w:rFonts w:ascii="Arial" w:hAnsi="Arial" w:cs="Arial"/>
          <w:sz w:val="22"/>
          <w:szCs w:val="22"/>
        </w:rPr>
        <w:t>Chandratilleke</w:t>
      </w:r>
      <w:proofErr w:type="spellEnd"/>
      <w:r w:rsidRPr="007721C5">
        <w:rPr>
          <w:rFonts w:ascii="Arial" w:hAnsi="Arial" w:cs="Arial"/>
          <w:sz w:val="22"/>
          <w:szCs w:val="22"/>
        </w:rPr>
        <w:t>, M.G., Picot, J., Brinn, M.P., A, A.J.E. and Smith, B.J., 2014. Physical training for asthma. </w:t>
      </w:r>
      <w:r w:rsidRPr="007721C5">
        <w:rPr>
          <w:rFonts w:ascii="Arial" w:hAnsi="Arial" w:cs="Arial"/>
          <w:i/>
          <w:iCs/>
          <w:sz w:val="22"/>
          <w:szCs w:val="22"/>
        </w:rPr>
        <w:t>Sao Paulo Medical Journal</w:t>
      </w:r>
      <w:r w:rsidRPr="007721C5">
        <w:rPr>
          <w:rFonts w:ascii="Arial" w:hAnsi="Arial" w:cs="Arial"/>
          <w:sz w:val="22"/>
          <w:szCs w:val="22"/>
        </w:rPr>
        <w:t>, </w:t>
      </w:r>
      <w:r w:rsidRPr="007721C5">
        <w:rPr>
          <w:rFonts w:ascii="Arial" w:hAnsi="Arial" w:cs="Arial"/>
          <w:i/>
          <w:iCs/>
          <w:sz w:val="22"/>
          <w:szCs w:val="22"/>
        </w:rPr>
        <w:t>132</w:t>
      </w:r>
      <w:r w:rsidRPr="007721C5">
        <w:rPr>
          <w:rFonts w:ascii="Arial" w:hAnsi="Arial" w:cs="Arial"/>
          <w:sz w:val="22"/>
          <w:szCs w:val="22"/>
        </w:rPr>
        <w:t>(03), pp.193-194.</w:t>
      </w:r>
    </w:p>
    <w:p w14:paraId="4A1062BC" w14:textId="77777777" w:rsidR="007721C5" w:rsidRPr="007721C5" w:rsidRDefault="007721C5" w:rsidP="00746A9C">
      <w:pPr>
        <w:spacing w:line="360" w:lineRule="auto"/>
        <w:jc w:val="both"/>
        <w:rPr>
          <w:rFonts w:ascii="Arial" w:hAnsi="Arial" w:cs="Arial"/>
          <w:sz w:val="22"/>
          <w:szCs w:val="22"/>
        </w:rPr>
      </w:pPr>
      <w:r w:rsidRPr="007721C5">
        <w:rPr>
          <w:rFonts w:ascii="Arial" w:hAnsi="Arial" w:cs="Arial"/>
          <w:sz w:val="22"/>
          <w:szCs w:val="22"/>
        </w:rPr>
        <w:t>Global Initiative for Asthma, 2025. </w:t>
      </w:r>
      <w:r w:rsidRPr="007721C5">
        <w:rPr>
          <w:rFonts w:ascii="Arial" w:hAnsi="Arial" w:cs="Arial"/>
          <w:i/>
          <w:iCs/>
          <w:sz w:val="22"/>
          <w:szCs w:val="22"/>
        </w:rPr>
        <w:t>Global strategy for asthma management and prevention</w:t>
      </w:r>
      <w:r w:rsidRPr="007721C5">
        <w:rPr>
          <w:rFonts w:ascii="Arial" w:hAnsi="Arial" w:cs="Arial"/>
          <w:sz w:val="22"/>
          <w:szCs w:val="22"/>
        </w:rPr>
        <w:t>. Global Initiative for Asthma.</w:t>
      </w:r>
    </w:p>
    <w:p w14:paraId="71A8A96D" w14:textId="77777777" w:rsidR="007721C5" w:rsidRPr="007721C5" w:rsidRDefault="007721C5" w:rsidP="00746A9C">
      <w:pPr>
        <w:spacing w:line="360" w:lineRule="auto"/>
        <w:jc w:val="both"/>
        <w:rPr>
          <w:rFonts w:ascii="Arial" w:hAnsi="Arial" w:cs="Arial"/>
          <w:sz w:val="22"/>
          <w:szCs w:val="22"/>
        </w:rPr>
      </w:pPr>
      <w:r w:rsidRPr="007721C5">
        <w:rPr>
          <w:rFonts w:ascii="Arial" w:hAnsi="Arial" w:cs="Arial"/>
          <w:sz w:val="22"/>
          <w:szCs w:val="22"/>
        </w:rPr>
        <w:t>Holgate, S.T., 2011. The sentinel role of the airway epithelium in asthma pathogenesis. </w:t>
      </w:r>
      <w:r w:rsidRPr="007721C5">
        <w:rPr>
          <w:rFonts w:ascii="Arial" w:hAnsi="Arial" w:cs="Arial"/>
          <w:i/>
          <w:iCs/>
          <w:sz w:val="22"/>
          <w:szCs w:val="22"/>
        </w:rPr>
        <w:t>Immunological reviews</w:t>
      </w:r>
      <w:r w:rsidRPr="007721C5">
        <w:rPr>
          <w:rFonts w:ascii="Arial" w:hAnsi="Arial" w:cs="Arial"/>
          <w:sz w:val="22"/>
          <w:szCs w:val="22"/>
        </w:rPr>
        <w:t>, </w:t>
      </w:r>
      <w:r w:rsidRPr="007721C5">
        <w:rPr>
          <w:rFonts w:ascii="Arial" w:hAnsi="Arial" w:cs="Arial"/>
          <w:i/>
          <w:iCs/>
          <w:sz w:val="22"/>
          <w:szCs w:val="22"/>
        </w:rPr>
        <w:t>242</w:t>
      </w:r>
      <w:r w:rsidRPr="007721C5">
        <w:rPr>
          <w:rFonts w:ascii="Arial" w:hAnsi="Arial" w:cs="Arial"/>
          <w:sz w:val="22"/>
          <w:szCs w:val="22"/>
        </w:rPr>
        <w:t>(1), pp.205-219.</w:t>
      </w:r>
    </w:p>
    <w:p w14:paraId="6E78A059" w14:textId="77777777" w:rsidR="007721C5" w:rsidRPr="007721C5" w:rsidRDefault="007721C5" w:rsidP="00746A9C">
      <w:pPr>
        <w:spacing w:line="360" w:lineRule="auto"/>
        <w:jc w:val="both"/>
        <w:rPr>
          <w:rFonts w:ascii="Arial" w:hAnsi="Arial" w:cs="Arial"/>
          <w:sz w:val="22"/>
          <w:szCs w:val="22"/>
        </w:rPr>
      </w:pPr>
      <w:r w:rsidRPr="007721C5">
        <w:rPr>
          <w:rFonts w:ascii="Arial" w:hAnsi="Arial" w:cs="Arial"/>
          <w:sz w:val="22"/>
          <w:szCs w:val="22"/>
        </w:rPr>
        <w:t>Holloway, J.W., Yang, I.A. and Holgate, S.T., 2010. Genetics of allergic disease. </w:t>
      </w:r>
      <w:r w:rsidRPr="007721C5">
        <w:rPr>
          <w:rFonts w:ascii="Arial" w:hAnsi="Arial" w:cs="Arial"/>
          <w:i/>
          <w:iCs/>
          <w:sz w:val="22"/>
          <w:szCs w:val="22"/>
        </w:rPr>
        <w:t>Journal of Allergy and Clinical Immunology</w:t>
      </w:r>
      <w:r w:rsidRPr="007721C5">
        <w:rPr>
          <w:rFonts w:ascii="Arial" w:hAnsi="Arial" w:cs="Arial"/>
          <w:sz w:val="22"/>
          <w:szCs w:val="22"/>
        </w:rPr>
        <w:t>, </w:t>
      </w:r>
      <w:r w:rsidRPr="007721C5">
        <w:rPr>
          <w:rFonts w:ascii="Arial" w:hAnsi="Arial" w:cs="Arial"/>
          <w:i/>
          <w:iCs/>
          <w:sz w:val="22"/>
          <w:szCs w:val="22"/>
        </w:rPr>
        <w:t>125</w:t>
      </w:r>
      <w:r w:rsidRPr="007721C5">
        <w:rPr>
          <w:rFonts w:ascii="Arial" w:hAnsi="Arial" w:cs="Arial"/>
          <w:sz w:val="22"/>
          <w:szCs w:val="22"/>
        </w:rPr>
        <w:t xml:space="preserve">(2), </w:t>
      </w:r>
      <w:proofErr w:type="gramStart"/>
      <w:r w:rsidRPr="007721C5">
        <w:rPr>
          <w:rFonts w:ascii="Arial" w:hAnsi="Arial" w:cs="Arial"/>
          <w:sz w:val="22"/>
          <w:szCs w:val="22"/>
        </w:rPr>
        <w:t>pp.S</w:t>
      </w:r>
      <w:proofErr w:type="gramEnd"/>
      <w:r w:rsidRPr="007721C5">
        <w:rPr>
          <w:rFonts w:ascii="Arial" w:hAnsi="Arial" w:cs="Arial"/>
          <w:sz w:val="22"/>
          <w:szCs w:val="22"/>
        </w:rPr>
        <w:t>81-S94.</w:t>
      </w:r>
    </w:p>
    <w:p w14:paraId="24AC69F3" w14:textId="77777777" w:rsidR="007721C5" w:rsidRPr="007721C5" w:rsidRDefault="007721C5" w:rsidP="00746A9C">
      <w:pPr>
        <w:spacing w:line="360" w:lineRule="auto"/>
        <w:jc w:val="both"/>
        <w:rPr>
          <w:rFonts w:ascii="Arial" w:hAnsi="Arial" w:cs="Arial"/>
          <w:sz w:val="22"/>
          <w:szCs w:val="22"/>
        </w:rPr>
      </w:pPr>
      <w:r w:rsidRPr="007721C5">
        <w:rPr>
          <w:rFonts w:ascii="Arial" w:hAnsi="Arial" w:cs="Arial"/>
          <w:sz w:val="22"/>
          <w:szCs w:val="22"/>
        </w:rPr>
        <w:t xml:space="preserve">Layden, J.E., </w:t>
      </w:r>
      <w:proofErr w:type="spellStart"/>
      <w:r w:rsidRPr="007721C5">
        <w:rPr>
          <w:rFonts w:ascii="Arial" w:hAnsi="Arial" w:cs="Arial"/>
          <w:sz w:val="22"/>
          <w:szCs w:val="22"/>
        </w:rPr>
        <w:t>Ghinai</w:t>
      </w:r>
      <w:proofErr w:type="spellEnd"/>
      <w:r w:rsidRPr="007721C5">
        <w:rPr>
          <w:rFonts w:ascii="Arial" w:hAnsi="Arial" w:cs="Arial"/>
          <w:sz w:val="22"/>
          <w:szCs w:val="22"/>
        </w:rPr>
        <w:t xml:space="preserve">, I., Pray, I., Kimball, A., Layer, M., </w:t>
      </w:r>
      <w:proofErr w:type="spellStart"/>
      <w:r w:rsidRPr="007721C5">
        <w:rPr>
          <w:rFonts w:ascii="Arial" w:hAnsi="Arial" w:cs="Arial"/>
          <w:sz w:val="22"/>
          <w:szCs w:val="22"/>
        </w:rPr>
        <w:t>Tenforde</w:t>
      </w:r>
      <w:proofErr w:type="spellEnd"/>
      <w:r w:rsidRPr="007721C5">
        <w:rPr>
          <w:rFonts w:ascii="Arial" w:hAnsi="Arial" w:cs="Arial"/>
          <w:sz w:val="22"/>
          <w:szCs w:val="22"/>
        </w:rPr>
        <w:t xml:space="preserve">, M.W., Navon, L., Hoots, B., Salvatore, P.P., </w:t>
      </w:r>
      <w:proofErr w:type="spellStart"/>
      <w:r w:rsidRPr="007721C5">
        <w:rPr>
          <w:rFonts w:ascii="Arial" w:hAnsi="Arial" w:cs="Arial"/>
          <w:sz w:val="22"/>
          <w:szCs w:val="22"/>
        </w:rPr>
        <w:t>Elderbrook</w:t>
      </w:r>
      <w:proofErr w:type="spellEnd"/>
      <w:r w:rsidRPr="007721C5">
        <w:rPr>
          <w:rFonts w:ascii="Arial" w:hAnsi="Arial" w:cs="Arial"/>
          <w:sz w:val="22"/>
          <w:szCs w:val="22"/>
        </w:rPr>
        <w:t>, M. and Haupt, T., 2020. Pulmonary illness related to e-cigarette use in Illinois and Wisconsin. </w:t>
      </w:r>
      <w:r w:rsidRPr="007721C5">
        <w:rPr>
          <w:rFonts w:ascii="Arial" w:hAnsi="Arial" w:cs="Arial"/>
          <w:i/>
          <w:iCs/>
          <w:sz w:val="22"/>
          <w:szCs w:val="22"/>
        </w:rPr>
        <w:t>New England journal of medicine</w:t>
      </w:r>
      <w:r w:rsidRPr="007721C5">
        <w:rPr>
          <w:rFonts w:ascii="Arial" w:hAnsi="Arial" w:cs="Arial"/>
          <w:sz w:val="22"/>
          <w:szCs w:val="22"/>
        </w:rPr>
        <w:t>, </w:t>
      </w:r>
      <w:r w:rsidRPr="007721C5">
        <w:rPr>
          <w:rFonts w:ascii="Arial" w:hAnsi="Arial" w:cs="Arial"/>
          <w:i/>
          <w:iCs/>
          <w:sz w:val="22"/>
          <w:szCs w:val="22"/>
        </w:rPr>
        <w:t>382</w:t>
      </w:r>
      <w:r w:rsidRPr="007721C5">
        <w:rPr>
          <w:rFonts w:ascii="Arial" w:hAnsi="Arial" w:cs="Arial"/>
          <w:sz w:val="22"/>
          <w:szCs w:val="22"/>
        </w:rPr>
        <w:t>(10), pp.903-916.</w:t>
      </w:r>
    </w:p>
    <w:p w14:paraId="05694D3F" w14:textId="77777777" w:rsidR="007721C5" w:rsidRPr="007721C5" w:rsidRDefault="007721C5" w:rsidP="00746A9C">
      <w:pPr>
        <w:spacing w:line="360" w:lineRule="auto"/>
        <w:jc w:val="both"/>
        <w:rPr>
          <w:rFonts w:ascii="Arial" w:hAnsi="Arial" w:cs="Arial"/>
          <w:sz w:val="22"/>
          <w:szCs w:val="22"/>
        </w:rPr>
      </w:pPr>
      <w:r w:rsidRPr="007721C5">
        <w:rPr>
          <w:rFonts w:ascii="Arial" w:hAnsi="Arial" w:cs="Arial"/>
          <w:sz w:val="22"/>
          <w:szCs w:val="22"/>
        </w:rPr>
        <w:t>Marieb, E.N. and Hoehn, K., 2007. </w:t>
      </w:r>
      <w:r w:rsidRPr="007721C5">
        <w:rPr>
          <w:rFonts w:ascii="Arial" w:hAnsi="Arial" w:cs="Arial"/>
          <w:i/>
          <w:iCs/>
          <w:sz w:val="22"/>
          <w:szCs w:val="22"/>
        </w:rPr>
        <w:t>Human anatomy &amp; physiology</w:t>
      </w:r>
      <w:r w:rsidRPr="007721C5">
        <w:rPr>
          <w:rFonts w:ascii="Arial" w:hAnsi="Arial" w:cs="Arial"/>
          <w:sz w:val="22"/>
          <w:szCs w:val="22"/>
        </w:rPr>
        <w:t>. Pearson education.</w:t>
      </w:r>
    </w:p>
    <w:p w14:paraId="33C525AE" w14:textId="77777777" w:rsidR="007721C5" w:rsidRPr="007721C5" w:rsidRDefault="007721C5" w:rsidP="00746A9C">
      <w:pPr>
        <w:spacing w:line="360" w:lineRule="auto"/>
        <w:jc w:val="both"/>
        <w:rPr>
          <w:rFonts w:ascii="Arial" w:hAnsi="Arial" w:cs="Arial"/>
          <w:sz w:val="22"/>
          <w:szCs w:val="22"/>
        </w:rPr>
      </w:pPr>
      <w:r w:rsidRPr="007721C5">
        <w:rPr>
          <w:rFonts w:ascii="Arial" w:hAnsi="Arial" w:cs="Arial"/>
          <w:sz w:val="22"/>
          <w:szCs w:val="22"/>
        </w:rPr>
        <w:t>National Institute for Health and Care Excellence (NIHCE), 2017. </w:t>
      </w:r>
      <w:r w:rsidRPr="007721C5">
        <w:rPr>
          <w:rFonts w:ascii="Arial" w:hAnsi="Arial" w:cs="Arial"/>
          <w:i/>
          <w:iCs/>
          <w:sz w:val="22"/>
          <w:szCs w:val="22"/>
        </w:rPr>
        <w:t>Chronic Asthma: Management</w:t>
      </w:r>
      <w:r w:rsidRPr="007721C5">
        <w:rPr>
          <w:rFonts w:ascii="Arial" w:hAnsi="Arial" w:cs="Arial"/>
          <w:sz w:val="22"/>
          <w:szCs w:val="22"/>
        </w:rPr>
        <w:t>. National Institute for Health and Care Excellence.</w:t>
      </w:r>
    </w:p>
    <w:p w14:paraId="2D435C1A" w14:textId="77777777" w:rsidR="007721C5" w:rsidRPr="007721C5" w:rsidRDefault="007721C5" w:rsidP="00746A9C">
      <w:pPr>
        <w:spacing w:line="360" w:lineRule="auto"/>
        <w:jc w:val="both"/>
        <w:rPr>
          <w:rFonts w:ascii="Arial" w:hAnsi="Arial" w:cs="Arial"/>
          <w:sz w:val="22"/>
          <w:szCs w:val="22"/>
        </w:rPr>
      </w:pPr>
      <w:r w:rsidRPr="007721C5">
        <w:rPr>
          <w:rFonts w:ascii="Arial" w:hAnsi="Arial" w:cs="Arial"/>
          <w:sz w:val="22"/>
          <w:szCs w:val="22"/>
        </w:rPr>
        <w:t>Salisbury, D., Ramsay, M. and Noakes, K. eds., 2006. </w:t>
      </w:r>
      <w:proofErr w:type="spellStart"/>
      <w:r w:rsidRPr="007721C5">
        <w:rPr>
          <w:rFonts w:ascii="Arial" w:hAnsi="Arial" w:cs="Arial"/>
          <w:i/>
          <w:iCs/>
          <w:sz w:val="22"/>
          <w:szCs w:val="22"/>
        </w:rPr>
        <w:t>Immunisation</w:t>
      </w:r>
      <w:proofErr w:type="spellEnd"/>
      <w:r w:rsidRPr="007721C5">
        <w:rPr>
          <w:rFonts w:ascii="Arial" w:hAnsi="Arial" w:cs="Arial"/>
          <w:i/>
          <w:iCs/>
          <w:sz w:val="22"/>
          <w:szCs w:val="22"/>
        </w:rPr>
        <w:t xml:space="preserve"> against infectious diseases</w:t>
      </w:r>
      <w:r w:rsidRPr="007721C5">
        <w:rPr>
          <w:rFonts w:ascii="Arial" w:hAnsi="Arial" w:cs="Arial"/>
          <w:sz w:val="22"/>
          <w:szCs w:val="22"/>
        </w:rPr>
        <w:t>. The Stationery Office.</w:t>
      </w:r>
    </w:p>
    <w:p w14:paraId="0C312DC3" w14:textId="77777777" w:rsidR="007721C5" w:rsidRPr="007721C5" w:rsidRDefault="007721C5" w:rsidP="00746A9C">
      <w:pPr>
        <w:spacing w:line="360" w:lineRule="auto"/>
        <w:jc w:val="both"/>
        <w:rPr>
          <w:rFonts w:ascii="Arial" w:hAnsi="Arial" w:cs="Arial"/>
          <w:sz w:val="22"/>
          <w:szCs w:val="22"/>
        </w:rPr>
      </w:pPr>
      <w:r w:rsidRPr="007721C5">
        <w:rPr>
          <w:rFonts w:ascii="Arial" w:hAnsi="Arial" w:cs="Arial"/>
          <w:sz w:val="22"/>
          <w:szCs w:val="22"/>
        </w:rPr>
        <w:lastRenderedPageBreak/>
        <w:t xml:space="preserve">Thomson, N.C., 2017. Asthma and smoking-induced airway disease without </w:t>
      </w:r>
      <w:proofErr w:type="spellStart"/>
      <w:r w:rsidRPr="007721C5">
        <w:rPr>
          <w:rFonts w:ascii="Arial" w:hAnsi="Arial" w:cs="Arial"/>
          <w:sz w:val="22"/>
          <w:szCs w:val="22"/>
        </w:rPr>
        <w:t>spirometric</w:t>
      </w:r>
      <w:proofErr w:type="spellEnd"/>
      <w:r w:rsidRPr="007721C5">
        <w:rPr>
          <w:rFonts w:ascii="Arial" w:hAnsi="Arial" w:cs="Arial"/>
          <w:sz w:val="22"/>
          <w:szCs w:val="22"/>
        </w:rPr>
        <w:t xml:space="preserve"> COPD. </w:t>
      </w:r>
      <w:r w:rsidRPr="007721C5">
        <w:rPr>
          <w:rFonts w:ascii="Arial" w:hAnsi="Arial" w:cs="Arial"/>
          <w:i/>
          <w:iCs/>
          <w:sz w:val="22"/>
          <w:szCs w:val="22"/>
        </w:rPr>
        <w:t>European Respiratory Journal</w:t>
      </w:r>
      <w:r w:rsidRPr="007721C5">
        <w:rPr>
          <w:rFonts w:ascii="Arial" w:hAnsi="Arial" w:cs="Arial"/>
          <w:sz w:val="22"/>
          <w:szCs w:val="22"/>
        </w:rPr>
        <w:t>, </w:t>
      </w:r>
      <w:r w:rsidRPr="007721C5">
        <w:rPr>
          <w:rFonts w:ascii="Arial" w:hAnsi="Arial" w:cs="Arial"/>
          <w:i/>
          <w:iCs/>
          <w:sz w:val="22"/>
          <w:szCs w:val="22"/>
        </w:rPr>
        <w:t>49</w:t>
      </w:r>
      <w:r w:rsidRPr="007721C5">
        <w:rPr>
          <w:rFonts w:ascii="Arial" w:hAnsi="Arial" w:cs="Arial"/>
          <w:sz w:val="22"/>
          <w:szCs w:val="22"/>
        </w:rPr>
        <w:t>(5).</w:t>
      </w:r>
    </w:p>
    <w:p w14:paraId="55B53CEC" w14:textId="77777777" w:rsidR="007721C5" w:rsidRPr="007721C5" w:rsidRDefault="007721C5" w:rsidP="00746A9C">
      <w:pPr>
        <w:spacing w:line="360" w:lineRule="auto"/>
        <w:jc w:val="both"/>
        <w:rPr>
          <w:rFonts w:ascii="Arial" w:hAnsi="Arial" w:cs="Arial"/>
          <w:sz w:val="22"/>
          <w:szCs w:val="22"/>
        </w:rPr>
      </w:pPr>
      <w:r w:rsidRPr="007721C5">
        <w:rPr>
          <w:rFonts w:ascii="Arial" w:hAnsi="Arial" w:cs="Arial"/>
          <w:sz w:val="22"/>
          <w:szCs w:val="22"/>
        </w:rPr>
        <w:t>Tortora, G.J. and Derrickson, B.H., 2018. </w:t>
      </w:r>
      <w:r w:rsidRPr="007721C5">
        <w:rPr>
          <w:rFonts w:ascii="Arial" w:hAnsi="Arial" w:cs="Arial"/>
          <w:i/>
          <w:iCs/>
          <w:sz w:val="22"/>
          <w:szCs w:val="22"/>
        </w:rPr>
        <w:t>Principles of anatomy and physiology</w:t>
      </w:r>
      <w:r w:rsidRPr="007721C5">
        <w:rPr>
          <w:rFonts w:ascii="Arial" w:hAnsi="Arial" w:cs="Arial"/>
          <w:sz w:val="22"/>
          <w:szCs w:val="22"/>
        </w:rPr>
        <w:t xml:space="preserve">. John </w:t>
      </w:r>
      <w:proofErr w:type="spellStart"/>
      <w:r w:rsidRPr="007721C5">
        <w:rPr>
          <w:rFonts w:ascii="Arial" w:hAnsi="Arial" w:cs="Arial"/>
          <w:sz w:val="22"/>
          <w:szCs w:val="22"/>
        </w:rPr>
        <w:t>wiley</w:t>
      </w:r>
      <w:proofErr w:type="spellEnd"/>
      <w:r w:rsidRPr="007721C5">
        <w:rPr>
          <w:rFonts w:ascii="Arial" w:hAnsi="Arial" w:cs="Arial"/>
          <w:sz w:val="22"/>
          <w:szCs w:val="22"/>
        </w:rPr>
        <w:t xml:space="preserve"> &amp; sons.</w:t>
      </w:r>
    </w:p>
    <w:p w14:paraId="24EF1496" w14:textId="77777777" w:rsidR="007721C5" w:rsidRPr="007721C5" w:rsidRDefault="007721C5" w:rsidP="00746A9C">
      <w:pPr>
        <w:spacing w:line="360" w:lineRule="auto"/>
        <w:jc w:val="both"/>
        <w:rPr>
          <w:rFonts w:ascii="Arial" w:hAnsi="Arial" w:cs="Arial"/>
          <w:sz w:val="22"/>
          <w:szCs w:val="22"/>
        </w:rPr>
      </w:pPr>
      <w:r w:rsidRPr="007721C5">
        <w:rPr>
          <w:rFonts w:ascii="Arial" w:hAnsi="Arial" w:cs="Arial"/>
          <w:sz w:val="22"/>
          <w:szCs w:val="22"/>
        </w:rPr>
        <w:t>West, J.B., 2012. </w:t>
      </w:r>
      <w:r w:rsidRPr="007721C5">
        <w:rPr>
          <w:rFonts w:ascii="Arial" w:hAnsi="Arial" w:cs="Arial"/>
          <w:i/>
          <w:iCs/>
          <w:sz w:val="22"/>
          <w:szCs w:val="22"/>
        </w:rPr>
        <w:t>Respiratory physiology: the essentials</w:t>
      </w:r>
      <w:r w:rsidRPr="007721C5">
        <w:rPr>
          <w:rFonts w:ascii="Arial" w:hAnsi="Arial" w:cs="Arial"/>
          <w:sz w:val="22"/>
          <w:szCs w:val="22"/>
        </w:rPr>
        <w:t>. Lippincott Williams &amp; Wilkins.</w:t>
      </w:r>
    </w:p>
    <w:p w14:paraId="4F4E91D7" w14:textId="77777777" w:rsidR="007721C5" w:rsidRPr="007721C5" w:rsidRDefault="007721C5" w:rsidP="00746A9C">
      <w:pPr>
        <w:spacing w:line="360" w:lineRule="auto"/>
        <w:jc w:val="both"/>
        <w:rPr>
          <w:rFonts w:ascii="Arial" w:hAnsi="Arial" w:cs="Arial"/>
          <w:sz w:val="22"/>
          <w:szCs w:val="22"/>
        </w:rPr>
      </w:pPr>
    </w:p>
    <w:sectPr w:rsidR="007721C5" w:rsidRPr="007721C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UzMzC2NDe0NDE1NzFU0lEKTi0uzszPAykwrAUAlHxpRiwAAAA="/>
  </w:docVars>
  <w:rsids>
    <w:rsidRoot w:val="008725C0"/>
    <w:rsid w:val="00004AA5"/>
    <w:rsid w:val="000747AF"/>
    <w:rsid w:val="000A0F62"/>
    <w:rsid w:val="00187414"/>
    <w:rsid w:val="00221324"/>
    <w:rsid w:val="002358E5"/>
    <w:rsid w:val="00293090"/>
    <w:rsid w:val="002B60A4"/>
    <w:rsid w:val="00374B4F"/>
    <w:rsid w:val="0037582F"/>
    <w:rsid w:val="004148F4"/>
    <w:rsid w:val="004250B3"/>
    <w:rsid w:val="00477B99"/>
    <w:rsid w:val="0051685E"/>
    <w:rsid w:val="00522415"/>
    <w:rsid w:val="0059103E"/>
    <w:rsid w:val="005D2F77"/>
    <w:rsid w:val="006229FE"/>
    <w:rsid w:val="00654F10"/>
    <w:rsid w:val="006E3385"/>
    <w:rsid w:val="00746A9C"/>
    <w:rsid w:val="00747947"/>
    <w:rsid w:val="007509C7"/>
    <w:rsid w:val="00760311"/>
    <w:rsid w:val="007721C5"/>
    <w:rsid w:val="00795CD1"/>
    <w:rsid w:val="007F393D"/>
    <w:rsid w:val="008725C0"/>
    <w:rsid w:val="008B4F65"/>
    <w:rsid w:val="0092266B"/>
    <w:rsid w:val="00926295"/>
    <w:rsid w:val="00935066"/>
    <w:rsid w:val="009C0C27"/>
    <w:rsid w:val="009C124F"/>
    <w:rsid w:val="00A667C9"/>
    <w:rsid w:val="00A73012"/>
    <w:rsid w:val="00A76B10"/>
    <w:rsid w:val="00AC0A0A"/>
    <w:rsid w:val="00AF422D"/>
    <w:rsid w:val="00AF546D"/>
    <w:rsid w:val="00B12405"/>
    <w:rsid w:val="00B43A9E"/>
    <w:rsid w:val="00BA1166"/>
    <w:rsid w:val="00C015C9"/>
    <w:rsid w:val="00C57027"/>
    <w:rsid w:val="00C85EB4"/>
    <w:rsid w:val="00CA5916"/>
    <w:rsid w:val="00CE2153"/>
    <w:rsid w:val="00D0442D"/>
    <w:rsid w:val="00D83942"/>
    <w:rsid w:val="00DA6B2C"/>
    <w:rsid w:val="00DF30A1"/>
    <w:rsid w:val="00E25496"/>
    <w:rsid w:val="00EB41B2"/>
    <w:rsid w:val="00EC3E71"/>
    <w:rsid w:val="00EE2925"/>
    <w:rsid w:val="00EE6314"/>
    <w:rsid w:val="00EF62E0"/>
    <w:rsid w:val="00F51B25"/>
    <w:rsid w:val="00F54D08"/>
    <w:rsid w:val="00F568D7"/>
    <w:rsid w:val="00FA10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9C8CF"/>
  <w15:chartTrackingRefBased/>
  <w15:docId w15:val="{0A6982A9-C0D3-4E1B-9776-C1A21450F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405"/>
  </w:style>
  <w:style w:type="paragraph" w:styleId="Heading1">
    <w:name w:val="heading 1"/>
    <w:basedOn w:val="Normal"/>
    <w:next w:val="Normal"/>
    <w:link w:val="Heading1Char"/>
    <w:uiPriority w:val="9"/>
    <w:qFormat/>
    <w:rsid w:val="008725C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725C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725C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725C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725C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725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25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25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25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5C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725C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725C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725C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725C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725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25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25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25C0"/>
    <w:rPr>
      <w:rFonts w:eastAsiaTheme="majorEastAsia" w:cstheme="majorBidi"/>
      <w:color w:val="272727" w:themeColor="text1" w:themeTint="D8"/>
    </w:rPr>
  </w:style>
  <w:style w:type="paragraph" w:styleId="Title">
    <w:name w:val="Title"/>
    <w:basedOn w:val="Normal"/>
    <w:next w:val="Normal"/>
    <w:link w:val="TitleChar"/>
    <w:uiPriority w:val="10"/>
    <w:qFormat/>
    <w:rsid w:val="008725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5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25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25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25C0"/>
    <w:pPr>
      <w:spacing w:before="160"/>
      <w:jc w:val="center"/>
    </w:pPr>
    <w:rPr>
      <w:i/>
      <w:iCs/>
      <w:color w:val="404040" w:themeColor="text1" w:themeTint="BF"/>
    </w:rPr>
  </w:style>
  <w:style w:type="character" w:customStyle="1" w:styleId="QuoteChar">
    <w:name w:val="Quote Char"/>
    <w:basedOn w:val="DefaultParagraphFont"/>
    <w:link w:val="Quote"/>
    <w:uiPriority w:val="29"/>
    <w:rsid w:val="008725C0"/>
    <w:rPr>
      <w:i/>
      <w:iCs/>
      <w:color w:val="404040" w:themeColor="text1" w:themeTint="BF"/>
    </w:rPr>
  </w:style>
  <w:style w:type="paragraph" w:styleId="ListParagraph">
    <w:name w:val="List Paragraph"/>
    <w:basedOn w:val="Normal"/>
    <w:uiPriority w:val="34"/>
    <w:qFormat/>
    <w:rsid w:val="008725C0"/>
    <w:pPr>
      <w:ind w:left="720"/>
      <w:contextualSpacing/>
    </w:pPr>
  </w:style>
  <w:style w:type="character" w:styleId="IntenseEmphasis">
    <w:name w:val="Intense Emphasis"/>
    <w:basedOn w:val="DefaultParagraphFont"/>
    <w:uiPriority w:val="21"/>
    <w:qFormat/>
    <w:rsid w:val="008725C0"/>
    <w:rPr>
      <w:i/>
      <w:iCs/>
      <w:color w:val="2F5496" w:themeColor="accent1" w:themeShade="BF"/>
    </w:rPr>
  </w:style>
  <w:style w:type="paragraph" w:styleId="IntenseQuote">
    <w:name w:val="Intense Quote"/>
    <w:basedOn w:val="Normal"/>
    <w:next w:val="Normal"/>
    <w:link w:val="IntenseQuoteChar"/>
    <w:uiPriority w:val="30"/>
    <w:qFormat/>
    <w:rsid w:val="008725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725C0"/>
    <w:rPr>
      <w:i/>
      <w:iCs/>
      <w:color w:val="2F5496" w:themeColor="accent1" w:themeShade="BF"/>
    </w:rPr>
  </w:style>
  <w:style w:type="character" w:styleId="IntenseReference">
    <w:name w:val="Intense Reference"/>
    <w:basedOn w:val="DefaultParagraphFont"/>
    <w:uiPriority w:val="32"/>
    <w:qFormat/>
    <w:rsid w:val="008725C0"/>
    <w:rPr>
      <w:b/>
      <w:bCs/>
      <w:smallCaps/>
      <w:color w:val="2F5496" w:themeColor="accent1" w:themeShade="BF"/>
      <w:spacing w:val="5"/>
    </w:rPr>
  </w:style>
  <w:style w:type="character" w:styleId="Hyperlink">
    <w:name w:val="Hyperlink"/>
    <w:basedOn w:val="DefaultParagraphFont"/>
    <w:uiPriority w:val="99"/>
    <w:unhideWhenUsed/>
    <w:rsid w:val="00B12405"/>
    <w:rPr>
      <w:color w:val="0563C1" w:themeColor="hyperlink"/>
      <w:u w:val="single"/>
    </w:rPr>
  </w:style>
  <w:style w:type="character" w:styleId="UnresolvedMention">
    <w:name w:val="Unresolved Mention"/>
    <w:basedOn w:val="DefaultParagraphFont"/>
    <w:uiPriority w:val="99"/>
    <w:semiHidden/>
    <w:unhideWhenUsed/>
    <w:rsid w:val="00B12405"/>
    <w:rPr>
      <w:color w:val="605E5C"/>
      <w:shd w:val="clear" w:color="auto" w:fill="E1DFDD"/>
    </w:rPr>
  </w:style>
  <w:style w:type="paragraph" w:styleId="NoSpacing">
    <w:name w:val="No Spacing"/>
    <w:uiPriority w:val="1"/>
    <w:qFormat/>
    <w:rsid w:val="00AC0A0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brit-thoracic.org.uk/clinical-resources/asth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434</TotalTime>
  <Pages>9</Pages>
  <Words>2385</Words>
  <Characters>13600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vivian Bioh</cp:lastModifiedBy>
  <cp:revision>40</cp:revision>
  <dcterms:created xsi:type="dcterms:W3CDTF">2026-06-11T14:06:00Z</dcterms:created>
  <dcterms:modified xsi:type="dcterms:W3CDTF">2026-06-24T13:41:00Z</dcterms:modified>
</cp:coreProperties>
</file>