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197EC" w14:textId="77777777" w:rsidR="00532F83" w:rsidRPr="00532F83" w:rsidRDefault="00532F83" w:rsidP="00882B2B">
      <w:pPr>
        <w:spacing w:line="360" w:lineRule="auto"/>
        <w:rPr>
          <w:b/>
          <w:sz w:val="24"/>
          <w:szCs w:val="24"/>
        </w:rPr>
      </w:pPr>
    </w:p>
    <w:bookmarkStart w:id="0" w:name="_Hlk135209052" w:displacedByCustomXml="next"/>
    <w:bookmarkEnd w:id="0" w:displacedByCustomXml="next"/>
    <w:sdt>
      <w:sdtPr>
        <w:rPr>
          <w:rFonts w:ascii="Arial" w:eastAsiaTheme="minorHAnsi" w:hAnsi="Arial" w:cs="Arial"/>
          <w:color w:val="4F81BD" w:themeColor="accent1"/>
          <w:kern w:val="2"/>
          <w:sz w:val="32"/>
          <w:szCs w:val="32"/>
          <w:lang w:val="en-GB" w:eastAsia="en-IN"/>
          <w14:ligatures w14:val="none"/>
        </w:rPr>
        <w:id w:val="1217551079"/>
        <w:docPartObj>
          <w:docPartGallery w:val="Cover Pages"/>
          <w:docPartUnique/>
        </w:docPartObj>
      </w:sdtPr>
      <w:sdtEndPr>
        <w:rPr>
          <w:rFonts w:eastAsia="Arial"/>
          <w:color w:val="auto"/>
          <w:kern w:val="0"/>
        </w:rPr>
      </w:sdtEndPr>
      <w:sdtContent>
        <w:p w14:paraId="48F9D191" w14:textId="3A223758" w:rsidR="00347511" w:rsidRPr="00611F1E" w:rsidRDefault="00347511" w:rsidP="00347511">
          <w:pPr>
            <w:pStyle w:val="NoSpacing"/>
            <w:spacing w:before="1540" w:after="240"/>
            <w:jc w:val="center"/>
            <w:rPr>
              <w:color w:val="4F81BD" w:themeColor="accent1"/>
              <w:sz w:val="32"/>
              <w:szCs w:val="32"/>
            </w:rPr>
          </w:pPr>
        </w:p>
        <w:p w14:paraId="0C15BDC8" w14:textId="1380747B" w:rsidR="000B08B5" w:rsidRPr="00611F1E" w:rsidRDefault="00347511" w:rsidP="00347511">
          <w:pPr>
            <w:pStyle w:val="NoSpacing"/>
            <w:pBdr>
              <w:top w:val="single" w:sz="6" w:space="6" w:color="4F81BD" w:themeColor="accent1"/>
              <w:bottom w:val="single" w:sz="6" w:space="0" w:color="4F81BD" w:themeColor="accent1"/>
            </w:pBdr>
            <w:tabs>
              <w:tab w:val="center" w:pos="4514"/>
              <w:tab w:val="left" w:pos="6624"/>
            </w:tabs>
            <w:spacing w:after="240"/>
            <w:jc w:val="center"/>
            <w:rPr>
              <w:rFonts w:asciiTheme="majorHAnsi" w:eastAsiaTheme="majorEastAsia" w:hAnsiTheme="majorHAnsi" w:cstheme="majorBidi"/>
              <w:caps/>
              <w:color w:val="4F81BD" w:themeColor="accent1"/>
              <w:sz w:val="32"/>
              <w:szCs w:val="32"/>
            </w:rPr>
          </w:pPr>
          <w:r w:rsidRPr="00611F1E">
            <w:rPr>
              <w:rFonts w:ascii="Arial" w:eastAsia="Arial" w:hAnsi="Arial" w:cs="Arial"/>
              <w:b/>
              <w:sz w:val="32"/>
              <w:szCs w:val="32"/>
              <w:lang w:val="en-GB" w:eastAsia="en-IN"/>
              <w14:ligatures w14:val="none"/>
            </w:rPr>
            <w:t>Title: Does the required skill set of</w:t>
          </w:r>
          <w:r w:rsidRPr="00611F1E">
            <w:rPr>
              <w:rFonts w:ascii="Arial" w:eastAsia="Arial" w:hAnsi="Arial" w:cs="Arial"/>
              <w:b/>
              <w:sz w:val="32"/>
              <w:szCs w:val="32"/>
              <w:lang w:val="en-GB" w:eastAsia="en-IN"/>
              <w14:ligatures w14:val="none"/>
            </w:rPr>
            <w:t xml:space="preserve"> </w:t>
          </w:r>
          <w:r w:rsidR="00014436">
            <w:rPr>
              <w:rFonts w:ascii="Arial" w:eastAsia="Arial" w:hAnsi="Arial" w:cs="Arial"/>
              <w:b/>
              <w:sz w:val="32"/>
              <w:szCs w:val="32"/>
              <w:lang w:val="en-GB" w:eastAsia="en-IN"/>
              <w14:ligatures w14:val="none"/>
            </w:rPr>
            <w:t>F</w:t>
          </w:r>
          <w:r w:rsidR="00611F1E" w:rsidRPr="00611F1E">
            <w:rPr>
              <w:rFonts w:ascii="Arial" w:eastAsia="Arial" w:hAnsi="Arial" w:cs="Arial"/>
              <w:b/>
              <w:sz w:val="32"/>
              <w:szCs w:val="32"/>
              <w:lang w:val="en-GB" w:eastAsia="en-IN"/>
              <w14:ligatures w14:val="none"/>
            </w:rPr>
            <w:t>ood &amp; Beverage employee change, based on the type of business and the type of service that is offered?</w:t>
          </w:r>
        </w:p>
        <w:p w14:paraId="5C922110" w14:textId="32C3F3B4" w:rsidR="000B08B5" w:rsidRPr="00611F1E" w:rsidRDefault="000B08B5" w:rsidP="00882B2B">
          <w:pPr>
            <w:pStyle w:val="NoSpacing"/>
            <w:spacing w:before="480"/>
            <w:rPr>
              <w:rFonts w:ascii="Arial" w:hAnsi="Arial" w:cs="Arial"/>
              <w:b/>
              <w:bCs/>
              <w:sz w:val="32"/>
              <w:szCs w:val="32"/>
            </w:rPr>
          </w:pPr>
          <w:r w:rsidRPr="00611F1E">
            <w:rPr>
              <w:noProof/>
              <w:sz w:val="32"/>
              <w:szCs w:val="32"/>
            </w:rPr>
            <mc:AlternateContent>
              <mc:Choice Requires="wps">
                <w:drawing>
                  <wp:anchor distT="0" distB="0" distL="114300" distR="114300" simplePos="0" relativeHeight="251656192" behindDoc="0" locked="0" layoutInCell="1" allowOverlap="1" wp14:anchorId="349CE148" wp14:editId="017B5383">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5943600" cy="242570"/>
                    <wp:effectExtent l="0" t="0" r="0" b="0"/>
                    <wp:wrapNone/>
                    <wp:docPr id="7595596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4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3C7BC65" w14:textId="77777777" w:rsidR="000B08B5" w:rsidRPr="00FC6D93" w:rsidRDefault="000B08B5" w:rsidP="000B08B5">
                                    <w:pPr>
                                      <w:pStyle w:val="NoSpacing"/>
                                      <w:spacing w:after="40"/>
                                      <w:jc w:val="center"/>
                                      <w:rPr>
                                        <w:caps/>
                                        <w:color w:val="4F81BD" w:themeColor="accent1"/>
                                        <w:sz w:val="28"/>
                                        <w:szCs w:val="28"/>
                                      </w:rPr>
                                    </w:pPr>
                                    <w:r>
                                      <w:rPr>
                                        <w:caps/>
                                        <w:color w:val="4F81BD"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49CE148" id="_x0000_t202" coordsize="21600,21600" o:spt="202" path="m,l,21600r21600,l21600,xe">
                    <v:stroke joinstyle="miter"/>
                    <v:path gradientshapeok="t" o:connecttype="rect"/>
                  </v:shapetype>
                  <v:shape id="Text Box 1" o:spid="_x0000_s1026" type="#_x0000_t202" style="position:absolute;margin-left:0;margin-top:0;width:468pt;height:19.1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3C7BC65" w14:textId="77777777" w:rsidR="000B08B5" w:rsidRPr="00FC6D93" w:rsidRDefault="000B08B5" w:rsidP="000B08B5">
                              <w:pPr>
                                <w:pStyle w:val="NoSpacing"/>
                                <w:spacing w:after="40"/>
                                <w:jc w:val="center"/>
                                <w:rPr>
                                  <w:caps/>
                                  <w:color w:val="4F81BD" w:themeColor="accent1"/>
                                  <w:sz w:val="28"/>
                                  <w:szCs w:val="28"/>
                                </w:rPr>
                              </w:pPr>
                              <w:r>
                                <w:rPr>
                                  <w:caps/>
                                  <w:color w:val="4F81BD" w:themeColor="accent1"/>
                                  <w:sz w:val="28"/>
                                  <w:szCs w:val="28"/>
                                </w:rPr>
                                <w:t xml:space="preserve">     </w:t>
                              </w:r>
                            </w:p>
                          </w:sdtContent>
                        </w:sdt>
                      </w:txbxContent>
                    </v:textbox>
                    <w10:wrap anchorx="margin" anchory="page"/>
                  </v:shape>
                </w:pict>
              </mc:Fallback>
            </mc:AlternateContent>
          </w:r>
          <w:r w:rsidR="00882B2B">
            <w:rPr>
              <w:rFonts w:ascii="Arial" w:hAnsi="Arial" w:cs="Arial"/>
              <w:b/>
              <w:bCs/>
              <w:sz w:val="32"/>
              <w:szCs w:val="32"/>
            </w:rPr>
            <w:t xml:space="preserve">              </w:t>
          </w:r>
          <w:r w:rsidRPr="00611F1E">
            <w:rPr>
              <w:rFonts w:ascii="Arial" w:hAnsi="Arial" w:cs="Arial"/>
              <w:b/>
              <w:bCs/>
              <w:sz w:val="32"/>
              <w:szCs w:val="32"/>
            </w:rPr>
            <w:t xml:space="preserve">Student name:    </w:t>
          </w:r>
          <w:r w:rsidR="00882B2B">
            <w:rPr>
              <w:rFonts w:ascii="Arial" w:hAnsi="Arial" w:cs="Arial"/>
              <w:b/>
              <w:bCs/>
              <w:sz w:val="32"/>
              <w:szCs w:val="32"/>
            </w:rPr>
            <w:t xml:space="preserve">   </w:t>
          </w:r>
          <w:r w:rsidRPr="00611F1E">
            <w:rPr>
              <w:rFonts w:ascii="Arial" w:hAnsi="Arial" w:cs="Arial"/>
              <w:b/>
              <w:bCs/>
              <w:sz w:val="32"/>
              <w:szCs w:val="32"/>
            </w:rPr>
            <w:t>Ioana Dobre</w:t>
          </w:r>
        </w:p>
        <w:p w14:paraId="0D51FA77" w14:textId="4DB20183" w:rsidR="00B962FC" w:rsidRPr="00B962FC" w:rsidRDefault="00B962FC" w:rsidP="00B962FC">
          <w:pPr>
            <w:rPr>
              <w:b/>
              <w:bCs/>
              <w:sz w:val="32"/>
              <w:szCs w:val="32"/>
            </w:rPr>
          </w:pPr>
          <w:r>
            <w:rPr>
              <w:b/>
              <w:bCs/>
              <w:sz w:val="32"/>
              <w:szCs w:val="32"/>
            </w:rPr>
            <w:t xml:space="preserve">             </w:t>
          </w:r>
        </w:p>
        <w:p w14:paraId="674194E0" w14:textId="0B389480" w:rsidR="000B08B5" w:rsidRPr="00611F1E" w:rsidRDefault="00882B2B" w:rsidP="00611F1E">
          <w:pPr>
            <w:jc w:val="center"/>
            <w:rPr>
              <w:sz w:val="32"/>
              <w:szCs w:val="32"/>
            </w:rPr>
          </w:pPr>
          <w:r>
            <w:rPr>
              <w:b/>
              <w:bCs/>
              <w:sz w:val="32"/>
              <w:szCs w:val="32"/>
            </w:rPr>
            <w:t xml:space="preserve">              </w:t>
          </w:r>
          <w:r w:rsidR="000B08B5" w:rsidRPr="00611F1E">
            <w:rPr>
              <w:b/>
              <w:bCs/>
              <w:sz w:val="32"/>
              <w:szCs w:val="32"/>
            </w:rPr>
            <w:t>Course name:</w:t>
          </w:r>
          <w:r w:rsidR="000B08B5" w:rsidRPr="00611F1E">
            <w:rPr>
              <w:sz w:val="32"/>
              <w:szCs w:val="32"/>
            </w:rPr>
            <w:t xml:space="preserve">      </w:t>
          </w:r>
          <w:r>
            <w:rPr>
              <w:sz w:val="32"/>
              <w:szCs w:val="32"/>
            </w:rPr>
            <w:t xml:space="preserve"> </w:t>
          </w:r>
          <w:r w:rsidR="000B08B5" w:rsidRPr="00611F1E">
            <w:rPr>
              <w:b/>
              <w:bCs/>
              <w:sz w:val="32"/>
              <w:szCs w:val="32"/>
            </w:rPr>
            <w:t>Food and Beverage operations</w:t>
          </w:r>
        </w:p>
        <w:p w14:paraId="59F944F1" w14:textId="7895E72E" w:rsidR="000B08B5" w:rsidRPr="00611F1E" w:rsidRDefault="00F24DF6" w:rsidP="00611F1E">
          <w:pPr>
            <w:jc w:val="center"/>
            <w:rPr>
              <w:sz w:val="32"/>
              <w:szCs w:val="32"/>
            </w:rPr>
          </w:pPr>
        </w:p>
      </w:sdtContent>
    </w:sdt>
    <w:p w14:paraId="4AD6BD26" w14:textId="74D4D531" w:rsidR="000B08B5" w:rsidRPr="00611F1E" w:rsidRDefault="000B08B5" w:rsidP="00611F1E">
      <w:pPr>
        <w:jc w:val="center"/>
        <w:rPr>
          <w:b/>
          <w:bCs/>
          <w:sz w:val="32"/>
          <w:szCs w:val="32"/>
        </w:rPr>
      </w:pPr>
      <w:r w:rsidRPr="00611F1E">
        <w:rPr>
          <w:b/>
          <w:bCs/>
          <w:sz w:val="32"/>
          <w:szCs w:val="32"/>
        </w:rPr>
        <w:t xml:space="preserve">Module Tutor:     Muhammad </w:t>
      </w:r>
      <w:proofErr w:type="spellStart"/>
      <w:r w:rsidRPr="00611F1E">
        <w:rPr>
          <w:b/>
          <w:bCs/>
          <w:sz w:val="32"/>
          <w:szCs w:val="32"/>
        </w:rPr>
        <w:t>Cassamo</w:t>
      </w:r>
      <w:proofErr w:type="spellEnd"/>
    </w:p>
    <w:p w14:paraId="2B232E5A" w14:textId="2403B748" w:rsidR="000B08B5" w:rsidRPr="00611F1E" w:rsidRDefault="000B08B5" w:rsidP="00611F1E">
      <w:pPr>
        <w:jc w:val="center"/>
        <w:rPr>
          <w:b/>
          <w:bCs/>
          <w:sz w:val="32"/>
          <w:szCs w:val="32"/>
        </w:rPr>
      </w:pPr>
    </w:p>
    <w:p w14:paraId="7FB5FA79" w14:textId="521EF8C1" w:rsidR="000B08B5" w:rsidRPr="00611F1E" w:rsidRDefault="00882B2B" w:rsidP="00882B2B">
      <w:pPr>
        <w:rPr>
          <w:sz w:val="32"/>
          <w:szCs w:val="32"/>
        </w:rPr>
      </w:pPr>
      <w:r>
        <w:rPr>
          <w:b/>
          <w:bCs/>
          <w:sz w:val="32"/>
          <w:szCs w:val="32"/>
        </w:rPr>
        <w:t xml:space="preserve">                  </w:t>
      </w:r>
      <w:r w:rsidR="000B08B5" w:rsidRPr="00611F1E">
        <w:rPr>
          <w:b/>
          <w:bCs/>
          <w:sz w:val="32"/>
          <w:szCs w:val="32"/>
        </w:rPr>
        <w:t xml:space="preserve">Word    count: </w:t>
      </w:r>
      <w:r>
        <w:rPr>
          <w:b/>
          <w:bCs/>
          <w:sz w:val="32"/>
          <w:szCs w:val="32"/>
        </w:rPr>
        <w:t xml:space="preserve">  </w:t>
      </w:r>
      <w:r w:rsidR="000B08B5" w:rsidRPr="00611F1E">
        <w:rPr>
          <w:b/>
          <w:bCs/>
          <w:sz w:val="32"/>
          <w:szCs w:val="32"/>
        </w:rPr>
        <w:t xml:space="preserve">   817</w:t>
      </w:r>
    </w:p>
    <w:p w14:paraId="36CE0F21" w14:textId="77777777" w:rsidR="00532F83" w:rsidRPr="00532F83" w:rsidRDefault="00532F83" w:rsidP="00532F83">
      <w:pPr>
        <w:spacing w:line="360" w:lineRule="auto"/>
        <w:jc w:val="center"/>
        <w:rPr>
          <w:b/>
          <w:sz w:val="24"/>
          <w:szCs w:val="24"/>
        </w:rPr>
      </w:pPr>
    </w:p>
    <w:p w14:paraId="1A272907" w14:textId="77777777" w:rsidR="00532F83" w:rsidRPr="00532F83" w:rsidRDefault="00532F83" w:rsidP="00532F83">
      <w:pPr>
        <w:spacing w:line="360" w:lineRule="auto"/>
        <w:jc w:val="center"/>
        <w:rPr>
          <w:b/>
          <w:sz w:val="24"/>
          <w:szCs w:val="24"/>
        </w:rPr>
      </w:pPr>
    </w:p>
    <w:p w14:paraId="00000007" w14:textId="77777777" w:rsidR="002C5A36" w:rsidRPr="00532F83" w:rsidRDefault="002320EF" w:rsidP="00532F83">
      <w:pPr>
        <w:spacing w:line="360" w:lineRule="auto"/>
        <w:jc w:val="both"/>
        <w:rPr>
          <w:b/>
          <w:sz w:val="24"/>
          <w:szCs w:val="24"/>
        </w:rPr>
      </w:pPr>
      <w:r w:rsidRPr="00532F83">
        <w:rPr>
          <w:sz w:val="24"/>
          <w:szCs w:val="24"/>
        </w:rPr>
        <w:br w:type="page"/>
      </w:r>
    </w:p>
    <w:p w14:paraId="00000008" w14:textId="77777777" w:rsidR="002C5A36" w:rsidRPr="00532F83" w:rsidRDefault="002320EF" w:rsidP="00532F83">
      <w:pPr>
        <w:spacing w:line="360" w:lineRule="auto"/>
        <w:jc w:val="both"/>
        <w:rPr>
          <w:b/>
          <w:sz w:val="24"/>
          <w:szCs w:val="24"/>
        </w:rPr>
      </w:pPr>
      <w:r w:rsidRPr="00532F83">
        <w:rPr>
          <w:b/>
          <w:sz w:val="24"/>
          <w:szCs w:val="24"/>
        </w:rPr>
        <w:lastRenderedPageBreak/>
        <w:t>Introduction</w:t>
      </w:r>
    </w:p>
    <w:p w14:paraId="00000009" w14:textId="77D3D4A7" w:rsidR="002C5A36" w:rsidRPr="00532F83" w:rsidRDefault="00532F83" w:rsidP="00532F83">
      <w:pPr>
        <w:spacing w:line="360" w:lineRule="auto"/>
        <w:jc w:val="both"/>
        <w:rPr>
          <w:sz w:val="24"/>
          <w:szCs w:val="24"/>
        </w:rPr>
      </w:pPr>
      <w:r w:rsidRPr="00532F83">
        <w:rPr>
          <w:sz w:val="24"/>
          <w:szCs w:val="24"/>
        </w:rPr>
        <w:t>According to</w:t>
      </w:r>
      <w:r w:rsidR="002320EF" w:rsidRPr="00532F83">
        <w:rPr>
          <w:sz w:val="24"/>
          <w:szCs w:val="24"/>
        </w:rPr>
        <w:t xml:space="preserve"> Cousins, (2020), restaurants are engaged in serving people with essential food and beverages required. This service involves the engagement of personnel who try to make the process inclusive and the outcome impressive. Every job role is destined to create separate output. This implies that each job role differs in certain instances. For the provided assignment, two restaurants are taken for which employees are working. Two employees are selected as a part of the discussion where both work at similar positions but at two different restaurants (Boussard, 2021). The restaurants are Gregg and Chiltern Firehouse. I have been working as a Prep cook at Gregg whereas my friend is working as a Prep cook at Chiltern Firehouse. To establish a link between both instances, it is important to understand the job role of both people. Prep cooks are required to prepare cooking ingredients by washing and chopping vegetables, cutting meat and so on (Davis </w:t>
      </w:r>
      <w:r w:rsidR="002320EF" w:rsidRPr="00532F83">
        <w:rPr>
          <w:i/>
          <w:sz w:val="24"/>
          <w:szCs w:val="24"/>
        </w:rPr>
        <w:t>et al</w:t>
      </w:r>
      <w:r w:rsidR="002320EF" w:rsidRPr="00532F83">
        <w:rPr>
          <w:sz w:val="24"/>
          <w:szCs w:val="24"/>
        </w:rPr>
        <w:t xml:space="preserve">., 2018). They undertake basic cooking duties such as reducing sauces, parboiling food, and preparing simple dishes such as salads, entrees and much more. </w:t>
      </w:r>
    </w:p>
    <w:p w14:paraId="0000000A" w14:textId="77777777" w:rsidR="002C5A36" w:rsidRPr="00532F83" w:rsidRDefault="002320EF" w:rsidP="00532F83">
      <w:pPr>
        <w:spacing w:line="360" w:lineRule="auto"/>
        <w:jc w:val="both"/>
        <w:rPr>
          <w:sz w:val="24"/>
          <w:szCs w:val="24"/>
        </w:rPr>
      </w:pPr>
      <w:r w:rsidRPr="00532F83">
        <w:rPr>
          <w:sz w:val="24"/>
          <w:szCs w:val="24"/>
        </w:rPr>
        <w:t>They also look to maintaining cleanliness all around by washing kitchen dishes, sanitizing surfaces, taking out trash, grooming and so on. This job role also requires professionals who have an experience in such a field.</w:t>
      </w:r>
    </w:p>
    <w:p w14:paraId="0000000B" w14:textId="77777777" w:rsidR="002C5A36" w:rsidRPr="00532F83" w:rsidRDefault="002320EF" w:rsidP="00532F83">
      <w:pPr>
        <w:spacing w:line="360" w:lineRule="auto"/>
        <w:jc w:val="both"/>
        <w:rPr>
          <w:b/>
          <w:sz w:val="24"/>
          <w:szCs w:val="24"/>
        </w:rPr>
      </w:pPr>
      <w:r w:rsidRPr="00532F83">
        <w:rPr>
          <w:b/>
          <w:sz w:val="24"/>
          <w:szCs w:val="24"/>
        </w:rPr>
        <w:t>Discussion</w:t>
      </w:r>
    </w:p>
    <w:p w14:paraId="0000000C" w14:textId="77777777" w:rsidR="002C5A36" w:rsidRPr="00532F83" w:rsidRDefault="002320EF" w:rsidP="00532F83">
      <w:pPr>
        <w:spacing w:line="360" w:lineRule="auto"/>
        <w:jc w:val="both"/>
        <w:rPr>
          <w:i/>
          <w:sz w:val="24"/>
          <w:szCs w:val="24"/>
        </w:rPr>
      </w:pPr>
      <w:r w:rsidRPr="00532F83">
        <w:rPr>
          <w:i/>
          <w:sz w:val="24"/>
          <w:szCs w:val="24"/>
        </w:rPr>
        <w:t>Skills required and their differences in other aspects</w:t>
      </w:r>
    </w:p>
    <w:p w14:paraId="0000000D" w14:textId="77777777" w:rsidR="002C5A36" w:rsidRPr="00532F83" w:rsidRDefault="002320EF" w:rsidP="00532F83">
      <w:pPr>
        <w:spacing w:line="360" w:lineRule="auto"/>
        <w:jc w:val="both"/>
        <w:rPr>
          <w:i/>
          <w:sz w:val="24"/>
          <w:szCs w:val="24"/>
        </w:rPr>
      </w:pPr>
      <w:r w:rsidRPr="00532F83">
        <w:rPr>
          <w:sz w:val="24"/>
          <w:szCs w:val="24"/>
        </w:rPr>
        <w:t>There are several skills required to perform a specific job role (Johnston, 2012). In the provided discussion the task I need to perform in comparison to that of my friend is stated to answer that the skill set does not differ for a similar business but the application of such skills to bring efficiency in work differs. The skills are described and contrasted below.</w:t>
      </w:r>
    </w:p>
    <w:p w14:paraId="0000000E" w14:textId="77777777" w:rsidR="002C5A36" w:rsidRPr="00532F83" w:rsidRDefault="002320EF" w:rsidP="00532F83">
      <w:pPr>
        <w:spacing w:line="360" w:lineRule="auto"/>
        <w:jc w:val="both"/>
        <w:rPr>
          <w:i/>
          <w:sz w:val="24"/>
          <w:szCs w:val="24"/>
        </w:rPr>
      </w:pPr>
      <w:r w:rsidRPr="00532F83">
        <w:rPr>
          <w:i/>
          <w:sz w:val="24"/>
          <w:szCs w:val="24"/>
        </w:rPr>
        <w:t>Knowledge of health and safety rules in the kitchen</w:t>
      </w:r>
    </w:p>
    <w:p w14:paraId="0000000F" w14:textId="77777777" w:rsidR="002C5A36" w:rsidRPr="00532F83" w:rsidRDefault="002320EF" w:rsidP="00532F83">
      <w:pPr>
        <w:spacing w:line="360" w:lineRule="auto"/>
        <w:jc w:val="both"/>
        <w:rPr>
          <w:sz w:val="24"/>
          <w:szCs w:val="24"/>
        </w:rPr>
      </w:pPr>
      <w:r w:rsidRPr="00532F83">
        <w:rPr>
          <w:sz w:val="24"/>
          <w:szCs w:val="24"/>
        </w:rPr>
        <w:t xml:space="preserve">As a prep cook, I need to ensure safety in the preparation of food inside the kitchen. Moreover, the rules of health shall also be maintained. My friend at Chiltern is also engaged in the same business and must have the same skill set but this implies how he applies these skills in bringing efficiency to work. I have a list of activities which shall be avoided while preparing food for the table. All of the activities at my end are tech-based. That is why it is easier for me to keep a check on safety standards in comparison to my friend who has to see everything manually.  </w:t>
      </w:r>
    </w:p>
    <w:p w14:paraId="00000010" w14:textId="77777777" w:rsidR="002C5A36" w:rsidRPr="00532F83" w:rsidRDefault="002320EF" w:rsidP="00532F83">
      <w:pPr>
        <w:spacing w:line="360" w:lineRule="auto"/>
        <w:jc w:val="both"/>
        <w:rPr>
          <w:i/>
          <w:sz w:val="24"/>
          <w:szCs w:val="24"/>
        </w:rPr>
      </w:pPr>
      <w:r w:rsidRPr="00532F83">
        <w:rPr>
          <w:i/>
          <w:sz w:val="24"/>
          <w:szCs w:val="24"/>
        </w:rPr>
        <w:t>Knowledge of basic cooking techniques</w:t>
      </w:r>
    </w:p>
    <w:p w14:paraId="00000011" w14:textId="77777777" w:rsidR="002C5A36" w:rsidRPr="00532F83" w:rsidRDefault="002320EF" w:rsidP="00532F83">
      <w:pPr>
        <w:spacing w:line="360" w:lineRule="auto"/>
        <w:jc w:val="both"/>
        <w:rPr>
          <w:sz w:val="24"/>
          <w:szCs w:val="24"/>
        </w:rPr>
      </w:pPr>
      <w:r w:rsidRPr="00532F83">
        <w:rPr>
          <w:sz w:val="24"/>
          <w:szCs w:val="24"/>
        </w:rPr>
        <w:lastRenderedPageBreak/>
        <w:t xml:space="preserve">Before joining such a job, the personnel is tested on having the basic cooking techniques. I was also intrigued by this matter and I passed. The basic cooking techniques include blanching, poaching, steaming, roasting, grilling, pan frying and broiling (Foskett </w:t>
      </w:r>
      <w:r w:rsidRPr="00532F83">
        <w:rPr>
          <w:i/>
          <w:sz w:val="24"/>
          <w:szCs w:val="24"/>
        </w:rPr>
        <w:t>et al</w:t>
      </w:r>
      <w:r w:rsidRPr="00532F83">
        <w:rPr>
          <w:sz w:val="24"/>
          <w:szCs w:val="24"/>
        </w:rPr>
        <w:t>., 2021). I have rotary blanchers that help me in blanching in no time. On the other hand, blanching manually takes much time and effort. The kitchen has a Dutch oven which I use to poach. Poaching is a very important process which shall be handled delicately. My friend finds it difficult to do it manually.</w:t>
      </w:r>
    </w:p>
    <w:p w14:paraId="00000012" w14:textId="77777777" w:rsidR="002C5A36" w:rsidRPr="00532F83" w:rsidRDefault="002320EF" w:rsidP="00532F83">
      <w:pPr>
        <w:spacing w:line="360" w:lineRule="auto"/>
        <w:jc w:val="both"/>
        <w:rPr>
          <w:i/>
          <w:sz w:val="24"/>
          <w:szCs w:val="24"/>
        </w:rPr>
      </w:pPr>
      <w:r w:rsidRPr="00532F83">
        <w:rPr>
          <w:i/>
          <w:sz w:val="24"/>
          <w:szCs w:val="24"/>
        </w:rPr>
        <w:t>Organisational skills</w:t>
      </w:r>
    </w:p>
    <w:p w14:paraId="00000013" w14:textId="77777777" w:rsidR="002C5A36" w:rsidRPr="00532F83" w:rsidRDefault="002320EF" w:rsidP="00532F83">
      <w:pPr>
        <w:spacing w:line="360" w:lineRule="auto"/>
        <w:jc w:val="both"/>
        <w:rPr>
          <w:sz w:val="24"/>
          <w:szCs w:val="24"/>
        </w:rPr>
      </w:pPr>
      <w:r w:rsidRPr="00532F83">
        <w:rPr>
          <w:sz w:val="24"/>
          <w:szCs w:val="24"/>
        </w:rPr>
        <w:t xml:space="preserve">Organisational skills are very crucial for a prep cook to endure (Motarjemi and Lelieveld, 2014). Managing several activities at a time requires top-notch organisational skills so that every operation is managed in line. With the implication of machines in working, I have the benefit of time whereas my friend has to struggle with timing and deadlines in completing certain tasks.  </w:t>
      </w:r>
    </w:p>
    <w:p w14:paraId="00000014" w14:textId="77777777" w:rsidR="002C5A36" w:rsidRPr="00532F83" w:rsidRDefault="002320EF" w:rsidP="00532F83">
      <w:pPr>
        <w:spacing w:line="360" w:lineRule="auto"/>
        <w:jc w:val="both"/>
        <w:rPr>
          <w:i/>
          <w:sz w:val="24"/>
          <w:szCs w:val="24"/>
        </w:rPr>
      </w:pPr>
      <w:r w:rsidRPr="00532F83">
        <w:rPr>
          <w:i/>
          <w:sz w:val="24"/>
          <w:szCs w:val="24"/>
        </w:rPr>
        <w:t>Manual Dexterity</w:t>
      </w:r>
    </w:p>
    <w:p w14:paraId="00000015" w14:textId="77777777" w:rsidR="002C5A36" w:rsidRPr="00532F83" w:rsidRDefault="002320EF" w:rsidP="00532F83">
      <w:pPr>
        <w:spacing w:line="360" w:lineRule="auto"/>
        <w:jc w:val="both"/>
        <w:rPr>
          <w:sz w:val="24"/>
          <w:szCs w:val="24"/>
        </w:rPr>
      </w:pPr>
      <w:r w:rsidRPr="00532F83">
        <w:rPr>
          <w:sz w:val="24"/>
          <w:szCs w:val="24"/>
        </w:rPr>
        <w:t xml:space="preserve">We as prep cooks must be excellent at manual dexterity. It is the ability to use hands in a skilful, coordinated way to grasp and manipulate objects and demonstrate small, precise movements (Brown, 2013). I and my friend learnt this skill together during our training but are placed in different restaurants so practising it differently. Developing and polishing this skill takes a lot of effort as the job roles are diverse (Zutshi, 2109, p.294). I have been doing this past two years and gained significant experience but my friend has been weak at this due to the enlarged burden of tasks without any machine implication which leads to poor time management.  </w:t>
      </w:r>
    </w:p>
    <w:p w14:paraId="00000016" w14:textId="77777777" w:rsidR="002C5A36" w:rsidRPr="00532F83" w:rsidRDefault="002320EF" w:rsidP="00532F83">
      <w:pPr>
        <w:spacing w:line="360" w:lineRule="auto"/>
        <w:jc w:val="both"/>
        <w:rPr>
          <w:i/>
          <w:sz w:val="24"/>
          <w:szCs w:val="24"/>
        </w:rPr>
      </w:pPr>
      <w:r w:rsidRPr="00532F83">
        <w:rPr>
          <w:i/>
          <w:sz w:val="24"/>
          <w:szCs w:val="24"/>
        </w:rPr>
        <w:t>Attention to detail</w:t>
      </w:r>
    </w:p>
    <w:p w14:paraId="00000017" w14:textId="77777777" w:rsidR="002C5A36" w:rsidRPr="00532F83" w:rsidRDefault="002320EF" w:rsidP="00532F83">
      <w:pPr>
        <w:spacing w:line="360" w:lineRule="auto"/>
        <w:jc w:val="both"/>
        <w:rPr>
          <w:sz w:val="24"/>
          <w:szCs w:val="24"/>
        </w:rPr>
      </w:pPr>
      <w:r w:rsidRPr="00532F83">
        <w:rPr>
          <w:sz w:val="24"/>
          <w:szCs w:val="24"/>
        </w:rPr>
        <w:t xml:space="preserve">At restaurants, there are a number of activities and functions happening all around (Cousins </w:t>
      </w:r>
      <w:r w:rsidRPr="00532F83">
        <w:rPr>
          <w:i/>
          <w:sz w:val="24"/>
          <w:szCs w:val="24"/>
        </w:rPr>
        <w:t>et al., 2021</w:t>
      </w:r>
      <w:r w:rsidRPr="00532F83">
        <w:rPr>
          <w:sz w:val="24"/>
          <w:szCs w:val="24"/>
        </w:rPr>
        <w:t xml:space="preserve">). We need to focus and keep a record of every activity separately and precisely. Gregg has a master operator which keeps the record safe and secure. I need not put any extra effort to do so whereas Chiltern does not have any such tool. </w:t>
      </w:r>
    </w:p>
    <w:p w14:paraId="00000018" w14:textId="77777777" w:rsidR="002C5A36" w:rsidRPr="00532F83" w:rsidRDefault="002320EF" w:rsidP="00532F83">
      <w:pPr>
        <w:spacing w:line="360" w:lineRule="auto"/>
        <w:jc w:val="both"/>
        <w:rPr>
          <w:b/>
          <w:sz w:val="24"/>
          <w:szCs w:val="24"/>
        </w:rPr>
      </w:pPr>
      <w:r w:rsidRPr="00532F83">
        <w:rPr>
          <w:b/>
          <w:sz w:val="24"/>
          <w:szCs w:val="24"/>
        </w:rPr>
        <w:t>Conclusion</w:t>
      </w:r>
    </w:p>
    <w:p w14:paraId="00000019" w14:textId="1DC2B702" w:rsidR="00A1703E" w:rsidRPr="00532F83" w:rsidRDefault="002320EF" w:rsidP="00532F83">
      <w:pPr>
        <w:spacing w:line="360" w:lineRule="auto"/>
        <w:jc w:val="both"/>
        <w:rPr>
          <w:sz w:val="24"/>
          <w:szCs w:val="24"/>
        </w:rPr>
      </w:pPr>
      <w:r w:rsidRPr="00532F83">
        <w:rPr>
          <w:sz w:val="24"/>
          <w:szCs w:val="24"/>
        </w:rPr>
        <w:t xml:space="preserve">The entire discussion describes the skill set and its implication in the job of prep cooks. Through the description, I got to gain an understanding of the tasks that I perform and my friend's as well. I am fortunate to have such a placement and got to apply my skills efficiently. Today's generation is all about technology and tools which are core to operations and make the conduct easier. </w:t>
      </w:r>
    </w:p>
    <w:p w14:paraId="51F39414" w14:textId="77777777" w:rsidR="00A1703E" w:rsidRPr="00532F83" w:rsidRDefault="00A1703E" w:rsidP="00532F83">
      <w:pPr>
        <w:spacing w:line="360" w:lineRule="auto"/>
        <w:rPr>
          <w:sz w:val="24"/>
          <w:szCs w:val="24"/>
        </w:rPr>
      </w:pPr>
      <w:r w:rsidRPr="00532F83">
        <w:rPr>
          <w:sz w:val="24"/>
          <w:szCs w:val="24"/>
        </w:rPr>
        <w:br w:type="page"/>
      </w:r>
    </w:p>
    <w:p w14:paraId="357D7599" w14:textId="7DC35811" w:rsidR="00532F83" w:rsidRPr="00532F83" w:rsidRDefault="00A1703E" w:rsidP="00532F83">
      <w:pPr>
        <w:spacing w:line="360" w:lineRule="auto"/>
        <w:jc w:val="both"/>
        <w:rPr>
          <w:b/>
          <w:bCs/>
          <w:sz w:val="24"/>
          <w:szCs w:val="24"/>
        </w:rPr>
      </w:pPr>
      <w:r w:rsidRPr="00532F83">
        <w:rPr>
          <w:b/>
          <w:bCs/>
          <w:sz w:val="24"/>
          <w:szCs w:val="24"/>
        </w:rPr>
        <w:lastRenderedPageBreak/>
        <w:t>References</w:t>
      </w:r>
    </w:p>
    <w:p w14:paraId="2915449A"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Boussard, S (2021) </w:t>
      </w:r>
      <w:r w:rsidRPr="00532F83">
        <w:rPr>
          <w:i/>
          <w:iCs/>
          <w:color w:val="000000"/>
          <w:sz w:val="24"/>
          <w:szCs w:val="24"/>
          <w:lang w:val="en-IN"/>
        </w:rPr>
        <w:t>Food and Beverage Management in the Luxury Hotel Industry</w:t>
      </w:r>
      <w:r w:rsidRPr="00532F83">
        <w:rPr>
          <w:color w:val="000000"/>
          <w:sz w:val="24"/>
          <w:szCs w:val="24"/>
          <w:lang w:val="en-IN"/>
        </w:rPr>
        <w:t xml:space="preserve">. New York: Business  Expert Press** </w:t>
      </w:r>
      <w:hyperlink r:id="rId6" w:history="1">
        <w:r w:rsidRPr="00532F83">
          <w:rPr>
            <w:color w:val="1155CC"/>
            <w:sz w:val="24"/>
            <w:szCs w:val="24"/>
            <w:u w:val="single"/>
            <w:lang w:val="en-IN"/>
          </w:rPr>
          <w:t>https://books.google.com/books?hl=en&amp;lr=&amp;id=3PunAwAAQBAJ&amp;oi=fnd&amp;pg=PP1&amp;dq=related:5vnhftPH9qIJ:scholar.google.com/&amp;ots=lDbh0J-nWt&amp;sig=rsTWCO2lU0iUEeUNIxZVqyA4a4c</w:t>
        </w:r>
      </w:hyperlink>
    </w:p>
    <w:p w14:paraId="2FF58F81"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Brown, D. R., TotalBoox and TBX (2013) </w:t>
      </w:r>
      <w:r w:rsidRPr="00532F83">
        <w:rPr>
          <w:i/>
          <w:iCs/>
          <w:color w:val="000000"/>
          <w:sz w:val="24"/>
          <w:szCs w:val="24"/>
          <w:lang w:val="en-IN"/>
        </w:rPr>
        <w:t>The Restaurant Manager’s Handbook : How to Set Up, Operate,  and Manage a Financially Successful Food Service Operation</w:t>
      </w:r>
      <w:r w:rsidRPr="00532F83">
        <w:rPr>
          <w:color w:val="000000"/>
          <w:sz w:val="24"/>
          <w:szCs w:val="24"/>
          <w:lang w:val="en-IN"/>
        </w:rPr>
        <w:t xml:space="preserve">. 4th Edition. Atlantic Publishing Group* </w:t>
      </w:r>
      <w:hyperlink r:id="rId7" w:history="1">
        <w:r w:rsidRPr="00532F83">
          <w:rPr>
            <w:color w:val="1155CC"/>
            <w:sz w:val="24"/>
            <w:szCs w:val="24"/>
            <w:u w:val="single"/>
            <w:lang w:val="en-IN"/>
          </w:rPr>
          <w:t>https://books.google.com/books?hl=en&amp;lr=&amp;id=uhPzWWZq1fcC&amp;oi=fnd&amp;pg=PT18&amp;dq=Brown,+D.+R.,+TotalBoox+and+TBX+(2013)+The+Restaurant+Manager%E2%80%99s+Handbook+:+How+to+Set+Up,+Operate,++and+Manage+a+Financially+Successful+Food+Service+Operation.+4th+Edition.+Atlantic+Publishing+Group*+&amp;ots=LkMbwrbiez&amp;sig=K5Vu1Wdx7Q9qVbpJeDTtO5ZEM9U</w:t>
        </w:r>
      </w:hyperlink>
    </w:p>
    <w:p w14:paraId="7A8F0D3E"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Cousins </w:t>
      </w:r>
      <w:r w:rsidRPr="00532F83">
        <w:rPr>
          <w:i/>
          <w:iCs/>
          <w:color w:val="000000"/>
          <w:sz w:val="24"/>
          <w:szCs w:val="24"/>
          <w:lang w:val="en-IN"/>
        </w:rPr>
        <w:t xml:space="preserve">et al. </w:t>
      </w:r>
      <w:r w:rsidRPr="00532F83">
        <w:rPr>
          <w:color w:val="000000"/>
          <w:sz w:val="24"/>
          <w:szCs w:val="24"/>
          <w:lang w:val="en-IN"/>
        </w:rPr>
        <w:t xml:space="preserve">(2011) </w:t>
      </w:r>
      <w:r w:rsidRPr="00532F83">
        <w:rPr>
          <w:i/>
          <w:iCs/>
          <w:color w:val="000000"/>
          <w:sz w:val="24"/>
          <w:szCs w:val="24"/>
          <w:lang w:val="en-IN"/>
        </w:rPr>
        <w:t xml:space="preserve">Food and beverage management: For the hospitality, tourism and event  industries. </w:t>
      </w:r>
      <w:r w:rsidRPr="00532F83">
        <w:rPr>
          <w:color w:val="000000"/>
          <w:sz w:val="24"/>
          <w:szCs w:val="24"/>
          <w:lang w:val="en-IN"/>
        </w:rPr>
        <w:t xml:space="preserve">3rd edn. Oxford: Goodfellow. </w:t>
      </w:r>
      <w:hyperlink r:id="rId8" w:history="1">
        <w:r w:rsidRPr="00532F83">
          <w:rPr>
            <w:color w:val="1155CC"/>
            <w:sz w:val="24"/>
            <w:szCs w:val="24"/>
            <w:u w:val="single"/>
            <w:lang w:val="en-IN"/>
          </w:rPr>
          <w:t>https://books.google.com/books?hl=en&amp;lr=&amp;id=2EJ1BAAAQBAJ&amp;oi=fnd&amp;pg=PT7&amp;dq=related:AWn0JPAMjTgJ:scholar.google.com/&amp;ots=-wSCLYTCR9&amp;sig=kBrHJvg7aaTrQTCgQzxkpj1hP68</w:t>
        </w:r>
      </w:hyperlink>
    </w:p>
    <w:p w14:paraId="5CFC0B5E"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Cousins, J. (2020) </w:t>
      </w:r>
      <w:r w:rsidRPr="00532F83">
        <w:rPr>
          <w:i/>
          <w:iCs/>
          <w:color w:val="000000"/>
          <w:sz w:val="24"/>
          <w:szCs w:val="24"/>
          <w:lang w:val="en-IN"/>
        </w:rPr>
        <w:t>Food and beverage service</w:t>
      </w:r>
      <w:r w:rsidRPr="00532F83">
        <w:rPr>
          <w:color w:val="000000"/>
          <w:sz w:val="24"/>
          <w:szCs w:val="24"/>
          <w:lang w:val="en-IN"/>
        </w:rPr>
        <w:t>. 9</w:t>
      </w:r>
      <w:r w:rsidRPr="00532F83">
        <w:rPr>
          <w:color w:val="000000"/>
          <w:sz w:val="24"/>
          <w:szCs w:val="24"/>
          <w:vertAlign w:val="superscript"/>
          <w:lang w:val="en-IN"/>
        </w:rPr>
        <w:t xml:space="preserve">th </w:t>
      </w:r>
      <w:r w:rsidRPr="00532F83">
        <w:rPr>
          <w:color w:val="000000"/>
          <w:sz w:val="24"/>
          <w:szCs w:val="24"/>
          <w:lang w:val="en-IN"/>
        </w:rPr>
        <w:t xml:space="preserve">ed. London </w:t>
      </w:r>
      <w:hyperlink r:id="rId9" w:history="1">
        <w:r w:rsidRPr="00532F83">
          <w:rPr>
            <w:color w:val="1155CC"/>
            <w:sz w:val="24"/>
            <w:szCs w:val="24"/>
            <w:u w:val="single"/>
            <w:lang w:val="en-IN"/>
          </w:rPr>
          <w:t>http://nuir.nkumbauniversity.ac.ug/handle/20.500.12383/855</w:t>
        </w:r>
      </w:hyperlink>
    </w:p>
    <w:p w14:paraId="4C4CFB20"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Foskett, D. </w:t>
      </w:r>
      <w:r w:rsidRPr="00532F83">
        <w:rPr>
          <w:i/>
          <w:iCs/>
          <w:color w:val="000000"/>
          <w:sz w:val="24"/>
          <w:szCs w:val="24"/>
          <w:lang w:val="en-IN"/>
        </w:rPr>
        <w:t>et al</w:t>
      </w:r>
      <w:r w:rsidRPr="00532F83">
        <w:rPr>
          <w:color w:val="000000"/>
          <w:sz w:val="24"/>
          <w:szCs w:val="24"/>
          <w:lang w:val="en-IN"/>
        </w:rPr>
        <w:t xml:space="preserve">. (2021) </w:t>
      </w:r>
      <w:r w:rsidRPr="00532F83">
        <w:rPr>
          <w:i/>
          <w:iCs/>
          <w:color w:val="000000"/>
          <w:sz w:val="24"/>
          <w:szCs w:val="24"/>
          <w:lang w:val="en-IN"/>
        </w:rPr>
        <w:t>The Theory of Hospitality and Catering</w:t>
      </w:r>
      <w:r w:rsidRPr="00532F83">
        <w:rPr>
          <w:color w:val="000000"/>
          <w:sz w:val="24"/>
          <w:szCs w:val="24"/>
          <w:lang w:val="en-IN"/>
        </w:rPr>
        <w:t xml:space="preserve">. 14th Edition. London: Hodder Education  Group.* </w:t>
      </w:r>
      <w:hyperlink r:id="rId10" w:history="1">
        <w:r w:rsidRPr="00532F83">
          <w:rPr>
            <w:color w:val="1155CC"/>
            <w:sz w:val="24"/>
            <w:szCs w:val="24"/>
            <w:u w:val="single"/>
            <w:lang w:val="en-IN"/>
          </w:rPr>
          <w:t>https://www.emerald.com/insight/content/doi/10.1108/IHR-07-2020-0026/full/</w:t>
        </w:r>
      </w:hyperlink>
    </w:p>
    <w:p w14:paraId="404ADCA2"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Hodder Education Group.**  Davis, B </w:t>
      </w:r>
      <w:r w:rsidRPr="00532F83">
        <w:rPr>
          <w:i/>
          <w:iCs/>
          <w:color w:val="000000"/>
          <w:sz w:val="24"/>
          <w:szCs w:val="24"/>
          <w:lang w:val="en-IN"/>
        </w:rPr>
        <w:t>et al</w:t>
      </w:r>
      <w:r w:rsidRPr="00532F83">
        <w:rPr>
          <w:color w:val="000000"/>
          <w:sz w:val="24"/>
          <w:szCs w:val="24"/>
          <w:lang w:val="en-IN"/>
        </w:rPr>
        <w:t xml:space="preserve">. (2018) Food and Beverage Management. 6 edn London: Routledge.** </w:t>
      </w:r>
      <w:hyperlink r:id="rId11" w:history="1">
        <w:r w:rsidRPr="00532F83">
          <w:rPr>
            <w:color w:val="1155CC"/>
            <w:sz w:val="24"/>
            <w:szCs w:val="24"/>
            <w:u w:val="single"/>
            <w:lang w:val="en-IN"/>
          </w:rPr>
          <w:t>https://www.taylorfrancis.com/books/mono/10.4324/9781315415253/strategic-questions-food-beverage-management-roy-wood</w:t>
        </w:r>
      </w:hyperlink>
    </w:p>
    <w:p w14:paraId="12FEFCCF"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Johnston, R. (2012) </w:t>
      </w:r>
      <w:r w:rsidRPr="00532F83">
        <w:rPr>
          <w:i/>
          <w:iCs/>
          <w:color w:val="000000"/>
          <w:sz w:val="24"/>
          <w:szCs w:val="24"/>
          <w:lang w:val="en-IN"/>
        </w:rPr>
        <w:t>Service operations management : improving service delivery</w:t>
      </w:r>
      <w:r w:rsidRPr="00532F83">
        <w:rPr>
          <w:color w:val="000000"/>
          <w:sz w:val="24"/>
          <w:szCs w:val="24"/>
          <w:lang w:val="en-IN"/>
        </w:rPr>
        <w:t xml:space="preserve">. 4th ed. Harlow, England:  Pearson.* </w:t>
      </w:r>
      <w:hyperlink r:id="rId12" w:history="1">
        <w:r w:rsidRPr="00532F83">
          <w:rPr>
            <w:color w:val="1155CC"/>
            <w:sz w:val="24"/>
            <w:szCs w:val="24"/>
            <w:u w:val="single"/>
            <w:lang w:val="en-IN"/>
          </w:rPr>
          <w:t>https://www.emerald.com/insight/content/doi/10.1108/01443579910247383/full/html?mobileUi=0&amp;fullSc=1&amp;mbSc=1&amp;fullSc=1&amp;fullSc=1&amp;fullSc=1</w:t>
        </w:r>
      </w:hyperlink>
    </w:p>
    <w:p w14:paraId="5B354F63"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Motarjemi, Y and Lelieveld, H (2014) </w:t>
      </w:r>
      <w:r w:rsidRPr="00532F83">
        <w:rPr>
          <w:i/>
          <w:iCs/>
          <w:color w:val="000000"/>
          <w:sz w:val="24"/>
          <w:szCs w:val="24"/>
          <w:lang w:val="en-IN"/>
        </w:rPr>
        <w:t>Food safety management : a practical guide for the food industry</w:t>
      </w:r>
      <w:r w:rsidRPr="00532F83">
        <w:rPr>
          <w:color w:val="000000"/>
          <w:sz w:val="24"/>
          <w:szCs w:val="24"/>
          <w:lang w:val="en-IN"/>
        </w:rPr>
        <w:t xml:space="preserve">.  Illustrated edition. Amsterdam: Academic Press.* </w:t>
      </w:r>
      <w:hyperlink r:id="rId13" w:history="1">
        <w:r w:rsidRPr="00532F83">
          <w:rPr>
            <w:color w:val="1155CC"/>
            <w:sz w:val="24"/>
            <w:szCs w:val="24"/>
            <w:u w:val="single"/>
            <w:lang w:val="en-IN"/>
          </w:rPr>
          <w:t>https://books.google.com/books?hl=en&amp;lr=&amp;id=AqDjTV8QSGIC&amp;oi=fnd&amp;pg=PP1&amp;dq=Motarjemi,+Y+and+Lelieveld,+H+(2014)+Food+safety+management+:+a+practical+guide+for+the+food+industry.++Illustrated+edition.+Amsterdam:+Academic+Press.*+&amp;ots=-Hhezcx9T2&amp;sig=n-hor2Xrua58qDE1HNsj3w6HZtQ</w:t>
        </w:r>
      </w:hyperlink>
    </w:p>
    <w:p w14:paraId="27338007" w14:textId="77777777" w:rsidR="00532F83" w:rsidRPr="00532F83" w:rsidRDefault="00532F83" w:rsidP="00532F83">
      <w:pPr>
        <w:spacing w:line="360" w:lineRule="auto"/>
        <w:jc w:val="both"/>
        <w:rPr>
          <w:rFonts w:ascii="Times New Roman" w:hAnsi="Times New Roman" w:cs="Times New Roman"/>
          <w:sz w:val="24"/>
          <w:szCs w:val="24"/>
          <w:lang w:val="en-IN"/>
        </w:rPr>
      </w:pPr>
      <w:r w:rsidRPr="00532F83">
        <w:rPr>
          <w:color w:val="000000"/>
          <w:sz w:val="24"/>
          <w:szCs w:val="24"/>
          <w:lang w:val="en-IN"/>
        </w:rPr>
        <w:t xml:space="preserve">Zutshi, A. (2019) ‘How to develop well-informed and assured teams to embed food safety compliance in the  UK catering and hospitality industry’, </w:t>
      </w:r>
      <w:r w:rsidRPr="00532F83">
        <w:rPr>
          <w:i/>
          <w:iCs/>
          <w:color w:val="000000"/>
          <w:sz w:val="24"/>
          <w:szCs w:val="24"/>
          <w:lang w:val="en-IN"/>
        </w:rPr>
        <w:t>Perspectives in Public Health</w:t>
      </w:r>
      <w:r w:rsidRPr="00532F83">
        <w:rPr>
          <w:color w:val="000000"/>
          <w:sz w:val="24"/>
          <w:szCs w:val="24"/>
          <w:lang w:val="en-IN"/>
        </w:rPr>
        <w:t xml:space="preserve">, 139(6), pp. 294–295.* </w:t>
      </w:r>
      <w:hyperlink r:id="rId14" w:history="1">
        <w:r w:rsidRPr="00532F83">
          <w:rPr>
            <w:color w:val="1155CC"/>
            <w:sz w:val="24"/>
            <w:szCs w:val="24"/>
            <w:u w:val="single"/>
            <w:lang w:val="en-IN"/>
          </w:rPr>
          <w:t>https://journals.sagepub.com/doi/full/10.1177/1757913919872783</w:t>
        </w:r>
      </w:hyperlink>
    </w:p>
    <w:p w14:paraId="30EAC870" w14:textId="50C1F0C9" w:rsidR="00A1703E" w:rsidRPr="00532F83" w:rsidRDefault="00A1703E" w:rsidP="00532F83">
      <w:pPr>
        <w:spacing w:line="360" w:lineRule="auto"/>
        <w:jc w:val="both"/>
        <w:rPr>
          <w:sz w:val="24"/>
          <w:szCs w:val="24"/>
        </w:rPr>
      </w:pPr>
    </w:p>
    <w:sectPr w:rsidR="00A1703E" w:rsidRPr="00532F83">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50BD3" w14:textId="77777777" w:rsidR="00CE4957" w:rsidRDefault="00CE4957" w:rsidP="00A1703E">
      <w:pPr>
        <w:spacing w:line="240" w:lineRule="auto"/>
      </w:pPr>
      <w:r>
        <w:separator/>
      </w:r>
    </w:p>
  </w:endnote>
  <w:endnote w:type="continuationSeparator" w:id="0">
    <w:p w14:paraId="18FDD14F" w14:textId="77777777" w:rsidR="00CE4957" w:rsidRDefault="00CE4957" w:rsidP="00A170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114255"/>
      <w:docPartObj>
        <w:docPartGallery w:val="Page Numbers (Bottom of Page)"/>
        <w:docPartUnique/>
      </w:docPartObj>
    </w:sdtPr>
    <w:sdtEndPr>
      <w:rPr>
        <w:noProof/>
      </w:rPr>
    </w:sdtEndPr>
    <w:sdtContent>
      <w:p w14:paraId="4F6FE8ED" w14:textId="3E9EBAE5" w:rsidR="00A1703E" w:rsidRDefault="00A1703E">
        <w:pPr>
          <w:pStyle w:val="Footer"/>
          <w:jc w:val="right"/>
        </w:pPr>
        <w:r>
          <w:fldChar w:fldCharType="begin"/>
        </w:r>
        <w:r>
          <w:instrText xml:space="preserve"> PAGE   \* MERGEFORMAT </w:instrText>
        </w:r>
        <w:r>
          <w:fldChar w:fldCharType="separate"/>
        </w:r>
        <w:r w:rsidR="00532F83">
          <w:rPr>
            <w:noProof/>
          </w:rPr>
          <w:t>1</w:t>
        </w:r>
        <w:r>
          <w:rPr>
            <w:noProof/>
          </w:rPr>
          <w:fldChar w:fldCharType="end"/>
        </w:r>
      </w:p>
    </w:sdtContent>
  </w:sdt>
  <w:p w14:paraId="6BD46110" w14:textId="77777777" w:rsidR="00A1703E" w:rsidRDefault="00A17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32C7A" w14:textId="77777777" w:rsidR="00CE4957" w:rsidRDefault="00CE4957" w:rsidP="00A1703E">
      <w:pPr>
        <w:spacing w:line="240" w:lineRule="auto"/>
      </w:pPr>
      <w:r>
        <w:separator/>
      </w:r>
    </w:p>
  </w:footnote>
  <w:footnote w:type="continuationSeparator" w:id="0">
    <w:p w14:paraId="497BFBA9" w14:textId="77777777" w:rsidR="00CE4957" w:rsidRDefault="00CE4957" w:rsidP="00A170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A36"/>
    <w:rsid w:val="00014436"/>
    <w:rsid w:val="000B08B5"/>
    <w:rsid w:val="001C3FBF"/>
    <w:rsid w:val="002320EF"/>
    <w:rsid w:val="002C5A36"/>
    <w:rsid w:val="002E0BC9"/>
    <w:rsid w:val="00340016"/>
    <w:rsid w:val="00347511"/>
    <w:rsid w:val="00532F83"/>
    <w:rsid w:val="00611F1E"/>
    <w:rsid w:val="00882B2B"/>
    <w:rsid w:val="00A1703E"/>
    <w:rsid w:val="00B962FC"/>
    <w:rsid w:val="00CE49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A0A1"/>
  <w15:docId w15:val="{A823D269-1FFA-48A7-86E9-0B6DB2492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1703E"/>
    <w:pPr>
      <w:tabs>
        <w:tab w:val="center" w:pos="4513"/>
        <w:tab w:val="right" w:pos="9026"/>
      </w:tabs>
      <w:spacing w:line="240" w:lineRule="auto"/>
    </w:pPr>
  </w:style>
  <w:style w:type="character" w:customStyle="1" w:styleId="HeaderChar">
    <w:name w:val="Header Char"/>
    <w:basedOn w:val="DefaultParagraphFont"/>
    <w:link w:val="Header"/>
    <w:uiPriority w:val="99"/>
    <w:rsid w:val="00A1703E"/>
  </w:style>
  <w:style w:type="paragraph" w:styleId="Footer">
    <w:name w:val="footer"/>
    <w:basedOn w:val="Normal"/>
    <w:link w:val="FooterChar"/>
    <w:uiPriority w:val="99"/>
    <w:unhideWhenUsed/>
    <w:rsid w:val="00A1703E"/>
    <w:pPr>
      <w:tabs>
        <w:tab w:val="center" w:pos="4513"/>
        <w:tab w:val="right" w:pos="9026"/>
      </w:tabs>
      <w:spacing w:line="240" w:lineRule="auto"/>
    </w:pPr>
  </w:style>
  <w:style w:type="character" w:customStyle="1" w:styleId="FooterChar">
    <w:name w:val="Footer Char"/>
    <w:basedOn w:val="DefaultParagraphFont"/>
    <w:link w:val="Footer"/>
    <w:uiPriority w:val="99"/>
    <w:rsid w:val="00A1703E"/>
  </w:style>
  <w:style w:type="paragraph" w:styleId="NormalWeb">
    <w:name w:val="Normal (Web)"/>
    <w:basedOn w:val="Normal"/>
    <w:uiPriority w:val="99"/>
    <w:semiHidden/>
    <w:unhideWhenUsed/>
    <w:rsid w:val="00A1703E"/>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semiHidden/>
    <w:unhideWhenUsed/>
    <w:rsid w:val="00A1703E"/>
    <w:rPr>
      <w:color w:val="0000FF"/>
      <w:u w:val="single"/>
    </w:rPr>
  </w:style>
  <w:style w:type="paragraph" w:styleId="NoSpacing">
    <w:name w:val="No Spacing"/>
    <w:link w:val="NoSpacingChar"/>
    <w:uiPriority w:val="1"/>
    <w:qFormat/>
    <w:rsid w:val="000B08B5"/>
    <w:pPr>
      <w:spacing w:line="240" w:lineRule="auto"/>
    </w:pPr>
    <w:rPr>
      <w:rFonts w:asciiTheme="minorHAnsi" w:eastAsiaTheme="minorEastAsia" w:hAnsiTheme="minorHAnsi" w:cstheme="minorBidi"/>
      <w:lang w:val="en-US" w:eastAsia="en-US"/>
      <w14:ligatures w14:val="standardContextual"/>
    </w:rPr>
  </w:style>
  <w:style w:type="character" w:customStyle="1" w:styleId="NoSpacingChar">
    <w:name w:val="No Spacing Char"/>
    <w:basedOn w:val="DefaultParagraphFont"/>
    <w:link w:val="NoSpacing"/>
    <w:uiPriority w:val="1"/>
    <w:rsid w:val="000B08B5"/>
    <w:rPr>
      <w:rFonts w:asciiTheme="minorHAnsi" w:eastAsiaTheme="minorEastAsia" w:hAnsiTheme="minorHAnsi" w:cstheme="minorBidi"/>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705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2EJ1BAAAQBAJ&amp;oi=fnd&amp;pg=PT7&amp;dq=related:AWn0JPAMjTgJ:scholar.google.com/&amp;ots=-wSCLYTCR9&amp;sig=kBrHJvg7aaTrQTCgQzxkpj1hP68" TargetMode="External"/><Relationship Id="rId13" Type="http://schemas.openxmlformats.org/officeDocument/2006/relationships/hyperlink" Target="https://books.google.com/books?hl=en&amp;lr=&amp;id=AqDjTV8QSGIC&amp;oi=fnd&amp;pg=PP1&amp;dq=Motarjemi,+Y+and+Lelieveld,+H+(2014)+Food+safety+management+:+a+practical+guide+for+the+food+industry.++Illustrated+edition.+Amsterdam:+Academic+Press.*+&amp;ots=-Hhezcx9T2&amp;sig=n-hor2Xrua58qDE1HNsj3w6HZtQ" TargetMode="External"/><Relationship Id="rId3" Type="http://schemas.openxmlformats.org/officeDocument/2006/relationships/webSettings" Target="webSettings.xml"/><Relationship Id="rId7" Type="http://schemas.openxmlformats.org/officeDocument/2006/relationships/hyperlink" Target="https://books.google.com/books?hl=en&amp;lr=&amp;id=uhPzWWZq1fcC&amp;oi=fnd&amp;pg=PT18&amp;dq=Brown,+D.+R.,+TotalBoox+and+TBX+(2013)+The+Restaurant+Manager%E2%80%99s+Handbook+:+How+to+Set+Up,+Operate,++and+Manage+a+Financially+Successful+Food+Service+Operation.+4th+Edition.+Atlantic+Publishing+Group*+&amp;ots=LkMbwrbiez&amp;sig=K5Vu1Wdx7Q9qVbpJeDTtO5ZEM9U" TargetMode="External"/><Relationship Id="rId12" Type="http://schemas.openxmlformats.org/officeDocument/2006/relationships/hyperlink" Target="https://www.emerald.com/insight/content/doi/10.1108/01443579910247383/full/html?mobileUi=0&amp;fullSc=1&amp;mbSc=1&amp;fullSc=1&amp;fullSc=1&amp;fullSc=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books.google.com/books?hl=en&amp;lr=&amp;id=3PunAwAAQBAJ&amp;oi=fnd&amp;pg=PP1&amp;dq=related:5vnhftPH9qIJ:scholar.google.com/&amp;ots=lDbh0J-nWt&amp;sig=rsTWCO2lU0iUEeUNIxZVqyA4a4c" TargetMode="External"/><Relationship Id="rId11" Type="http://schemas.openxmlformats.org/officeDocument/2006/relationships/hyperlink" Target="https://www.taylorfrancis.com/books/mono/10.4324/9781315415253/strategic-questions-food-beverage-management-roy-wood"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emerald.com/insight/content/doi/10.1108/IHR-07-2020-0026/full/" TargetMode="External"/><Relationship Id="rId4" Type="http://schemas.openxmlformats.org/officeDocument/2006/relationships/footnotes" Target="footnotes.xml"/><Relationship Id="rId9" Type="http://schemas.openxmlformats.org/officeDocument/2006/relationships/hyperlink" Target="http://nuir.nkumbauniversity.ac.ug/handle/20.500.12383/855" TargetMode="External"/><Relationship Id="rId14" Type="http://schemas.openxmlformats.org/officeDocument/2006/relationships/hyperlink" Target="https://journals.sagepub.com/doi/full/10.1177/17579139198727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1394</Words>
  <Characters>7951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Cociuba</dc:creator>
  <cp:lastModifiedBy>pycusan pycu</cp:lastModifiedBy>
  <cp:revision>2</cp:revision>
  <dcterms:created xsi:type="dcterms:W3CDTF">2023-05-17T19:36:00Z</dcterms:created>
  <dcterms:modified xsi:type="dcterms:W3CDTF">2023-05-17T19:36:00Z</dcterms:modified>
</cp:coreProperties>
</file>